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68" w:after="4"/>
        <w:ind w:left="0" w:right="336" w:firstLine="0"/>
        <w:jc w:val="right"/>
        <w:rPr>
          <w:sz w:val="18"/>
        </w:rPr>
      </w:pPr>
      <w:r>
        <w:rPr>
          <w:sz w:val="18"/>
        </w:rPr>
        <w:t>复星联合健康保险〔</w:t>
      </w:r>
      <w:r>
        <w:rPr>
          <w:rFonts w:ascii="Times New Roman" w:eastAsia="Times New Roman"/>
          <w:sz w:val="18"/>
        </w:rPr>
        <w:t>2021</w:t>
      </w:r>
      <w:r>
        <w:rPr>
          <w:spacing w:val="-8"/>
          <w:sz w:val="18"/>
        </w:rPr>
        <w:t xml:space="preserve">〕医疗保险 </w:t>
      </w:r>
      <w:r>
        <w:rPr>
          <w:rFonts w:ascii="Times New Roman" w:eastAsia="Times New Roman"/>
          <w:sz w:val="18"/>
        </w:rPr>
        <w:t xml:space="preserve">15 </w:t>
      </w:r>
      <w:r>
        <w:rPr>
          <w:spacing w:val="-10"/>
          <w:sz w:val="18"/>
        </w:rPr>
        <w:t>号</w:t>
      </w:r>
    </w:p>
    <w:p>
      <w:pPr>
        <w:pStyle w:val="4"/>
        <w:ind w:left="8845"/>
        <w:rPr>
          <w:sz w:val="20"/>
        </w:rPr>
      </w:pPr>
      <w:r>
        <w:rPr>
          <w:sz w:val="20"/>
        </w:rPr>
        <w:drawing>
          <wp:inline distT="0" distB="0" distL="0" distR="0">
            <wp:extent cx="724535" cy="723900"/>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a:picLocks noChangeAspect="1"/>
                    </pic:cNvPicPr>
                  </pic:nvPicPr>
                  <pic:blipFill>
                    <a:blip r:embed="rId6" cstate="print"/>
                    <a:stretch>
                      <a:fillRect/>
                    </a:stretch>
                  </pic:blipFill>
                  <pic:spPr>
                    <a:xfrm>
                      <a:off x="0" y="0"/>
                      <a:ext cx="724637" cy="723900"/>
                    </a:xfrm>
                    <a:prstGeom prst="rect">
                      <a:avLst/>
                    </a:prstGeom>
                  </pic:spPr>
                </pic:pic>
              </a:graphicData>
            </a:graphic>
          </wp:inline>
        </w:drawing>
      </w:r>
    </w:p>
    <w:p>
      <w:pPr>
        <w:spacing w:before="0"/>
        <w:ind w:left="0" w:right="339" w:firstLine="0"/>
        <w:jc w:val="right"/>
        <w:rPr>
          <w:sz w:val="18"/>
        </w:rPr>
      </w:pPr>
      <w:r>
        <w:rPr>
          <w:spacing w:val="-1"/>
          <w:sz w:val="18"/>
        </w:rPr>
        <w:t>请扫描以查询验证条款</w:t>
      </w:r>
    </w:p>
    <w:p>
      <w:pPr>
        <w:pStyle w:val="5"/>
        <w:ind w:left="1810"/>
      </w:pPr>
      <w:bookmarkStart w:id="0" w:name="_GoBack"/>
      <w:r>
        <w:rPr>
          <w:w w:val="95"/>
        </w:rPr>
        <w:t>复星联合全球通高端医疗保险（2021版）条</w:t>
      </w:r>
      <w:r>
        <w:rPr>
          <w:spacing w:val="-10"/>
          <w:w w:val="95"/>
        </w:rPr>
        <w:t>款</w:t>
      </w:r>
    </w:p>
    <w:bookmarkEnd w:id="0"/>
    <w:p>
      <w:pPr>
        <w:pStyle w:val="5"/>
        <w:spacing w:before="214"/>
      </w:pPr>
      <w:r>
        <w:rPr>
          <w:w w:val="95"/>
        </w:rPr>
        <w:t>阅读指</w:t>
      </w:r>
      <w:r>
        <w:rPr>
          <w:spacing w:val="-10"/>
          <w:w w:val="95"/>
        </w:rPr>
        <w:t>引</w:t>
      </w:r>
    </w:p>
    <w:p>
      <w:pPr>
        <w:pStyle w:val="4"/>
        <w:spacing w:before="129" w:line="278" w:lineRule="auto"/>
        <w:ind w:left="120" w:right="535" w:firstLine="422"/>
      </w:pPr>
      <w:r>
        <w:rPr>
          <w:spacing w:val="-2"/>
        </w:rPr>
        <w:t>本阅读指引有助于您理解复星联合健康保险股份有限公司（以下简称“本公司”）《复星联合全球通高端医疗保险（2021版）条款》（以下简称“本保险条款”）。</w:t>
      </w:r>
    </w:p>
    <w:p>
      <w:pPr>
        <w:pStyle w:val="3"/>
        <w:spacing w:before="16"/>
        <w:ind w:left="120" w:firstLine="0"/>
      </w:pPr>
      <w:r>
        <w:rPr>
          <w:rFonts w:ascii="Wingdings 2" w:hAnsi="Wingdings 2" w:eastAsia="Wingdings 2"/>
          <w:spacing w:val="-2"/>
          <w:position w:val="-11"/>
          <w:sz w:val="52"/>
        </w:rPr>
        <w:t></w:t>
      </w:r>
      <w:r>
        <w:rPr>
          <w:spacing w:val="-4"/>
        </w:rPr>
        <w:t>拥有的重要权益</w:t>
      </w:r>
    </w:p>
    <w:p>
      <w:pPr>
        <w:pStyle w:val="9"/>
        <w:numPr>
          <w:ilvl w:val="0"/>
          <w:numId w:val="1"/>
        </w:numPr>
        <w:tabs>
          <w:tab w:val="left" w:pos="1065"/>
          <w:tab w:val="left" w:pos="1067"/>
          <w:tab w:val="right" w:leader="dot" w:pos="9577"/>
        </w:tabs>
        <w:spacing w:before="60" w:after="0" w:line="240" w:lineRule="auto"/>
        <w:ind w:left="1066" w:right="0" w:hanging="421"/>
        <w:jc w:val="left"/>
        <w:rPr>
          <w:sz w:val="21"/>
        </w:rPr>
      </w:pPr>
      <w:r>
        <w:rPr>
          <w:spacing w:val="-2"/>
          <w:sz w:val="21"/>
        </w:rPr>
        <w:t>被保险人享受的保险保</w:t>
      </w:r>
      <w:r>
        <w:rPr>
          <w:spacing w:val="-10"/>
          <w:sz w:val="21"/>
        </w:rPr>
        <w:t>障</w:t>
      </w:r>
      <w:r>
        <w:rPr>
          <w:rFonts w:ascii="Times New Roman" w:hAnsi="Times New Roman" w:eastAsia="Times New Roman"/>
          <w:sz w:val="21"/>
        </w:rPr>
        <w:tab/>
      </w:r>
      <w:r>
        <w:rPr>
          <w:spacing w:val="-5"/>
          <w:sz w:val="21"/>
        </w:rPr>
        <w:t>2.7</w:t>
      </w:r>
    </w:p>
    <w:p>
      <w:pPr>
        <w:pStyle w:val="9"/>
        <w:numPr>
          <w:ilvl w:val="0"/>
          <w:numId w:val="1"/>
        </w:numPr>
        <w:tabs>
          <w:tab w:val="left" w:pos="1065"/>
          <w:tab w:val="left" w:pos="1067"/>
          <w:tab w:val="right" w:leader="dot" w:pos="9577"/>
        </w:tabs>
        <w:spacing w:before="43" w:after="0" w:line="240" w:lineRule="auto"/>
        <w:ind w:left="1066" w:right="0" w:hanging="421"/>
        <w:jc w:val="left"/>
        <w:rPr>
          <w:sz w:val="21"/>
        </w:rPr>
      </w:pPr>
      <w:r>
        <w:rPr>
          <w:spacing w:val="-2"/>
          <w:sz w:val="21"/>
        </w:rPr>
        <w:t>投保人有解除合同的权</w:t>
      </w:r>
      <w:r>
        <w:rPr>
          <w:spacing w:val="-10"/>
          <w:sz w:val="21"/>
        </w:rPr>
        <w:t>利</w:t>
      </w:r>
      <w:r>
        <w:rPr>
          <w:rFonts w:ascii="Times New Roman" w:hAnsi="Times New Roman" w:eastAsia="Times New Roman"/>
          <w:sz w:val="21"/>
        </w:rPr>
        <w:tab/>
      </w:r>
      <w:r>
        <w:rPr>
          <w:spacing w:val="-5"/>
          <w:sz w:val="21"/>
        </w:rPr>
        <w:t>5.1</w:t>
      </w:r>
    </w:p>
    <w:p>
      <w:pPr>
        <w:pStyle w:val="3"/>
        <w:spacing w:before="59"/>
        <w:ind w:left="120" w:firstLine="0"/>
      </w:pPr>
      <w:r>
        <w:rPr>
          <w:rFonts w:ascii="Wingdings 2" w:hAnsi="Wingdings 2" w:eastAsia="Wingdings 2"/>
          <w:spacing w:val="-2"/>
          <w:position w:val="-11"/>
          <w:sz w:val="52"/>
        </w:rPr>
        <w:t></w:t>
      </w:r>
      <w:r>
        <w:rPr>
          <w:spacing w:val="-3"/>
        </w:rPr>
        <w:t>应当特别注意的事项</w:t>
      </w:r>
    </w:p>
    <w:p>
      <w:pPr>
        <w:pStyle w:val="9"/>
        <w:numPr>
          <w:ilvl w:val="0"/>
          <w:numId w:val="1"/>
        </w:numPr>
        <w:tabs>
          <w:tab w:val="left" w:pos="1065"/>
          <w:tab w:val="left" w:pos="1067"/>
          <w:tab w:val="right" w:leader="dot" w:pos="9577"/>
        </w:tabs>
        <w:spacing w:before="60" w:after="0" w:line="240" w:lineRule="auto"/>
        <w:ind w:left="1066" w:right="0" w:hanging="421"/>
        <w:jc w:val="left"/>
        <w:rPr>
          <w:sz w:val="21"/>
        </w:rPr>
      </w:pPr>
      <w:r>
        <w:rPr>
          <w:spacing w:val="-2"/>
          <w:sz w:val="21"/>
        </w:rPr>
        <w:t>在某些情况下，本公司不承担保险责</w:t>
      </w:r>
      <w:r>
        <w:rPr>
          <w:spacing w:val="-10"/>
          <w:sz w:val="21"/>
        </w:rPr>
        <w:t>任</w:t>
      </w:r>
      <w:r>
        <w:rPr>
          <w:rFonts w:ascii="Times New Roman" w:hAnsi="Times New Roman" w:eastAsia="Times New Roman"/>
          <w:sz w:val="21"/>
        </w:rPr>
        <w:tab/>
      </w:r>
      <w:r>
        <w:rPr>
          <w:spacing w:val="-5"/>
          <w:sz w:val="21"/>
        </w:rPr>
        <w:t>2.9</w:t>
      </w:r>
    </w:p>
    <w:p>
      <w:pPr>
        <w:pStyle w:val="9"/>
        <w:numPr>
          <w:ilvl w:val="0"/>
          <w:numId w:val="1"/>
        </w:numPr>
        <w:tabs>
          <w:tab w:val="left" w:pos="1065"/>
          <w:tab w:val="left" w:pos="1067"/>
          <w:tab w:val="right" w:leader="dot" w:pos="9577"/>
        </w:tabs>
        <w:spacing w:before="43" w:after="0" w:line="240" w:lineRule="auto"/>
        <w:ind w:left="1066" w:right="0" w:hanging="421"/>
        <w:jc w:val="left"/>
        <w:rPr>
          <w:sz w:val="21"/>
        </w:rPr>
      </w:pPr>
      <w:r>
        <w:rPr>
          <w:spacing w:val="-2"/>
          <w:sz w:val="21"/>
        </w:rPr>
        <w:t>及时向本公司通知保险事故的责</w:t>
      </w:r>
      <w:r>
        <w:rPr>
          <w:spacing w:val="-10"/>
          <w:sz w:val="21"/>
        </w:rPr>
        <w:t>任</w:t>
      </w:r>
      <w:r>
        <w:rPr>
          <w:rFonts w:ascii="Times New Roman" w:hAnsi="Times New Roman" w:eastAsia="Times New Roman"/>
          <w:sz w:val="21"/>
        </w:rPr>
        <w:tab/>
      </w:r>
      <w:r>
        <w:rPr>
          <w:spacing w:val="-5"/>
          <w:sz w:val="21"/>
        </w:rPr>
        <w:t>3.2</w:t>
      </w:r>
    </w:p>
    <w:p>
      <w:pPr>
        <w:pStyle w:val="9"/>
        <w:numPr>
          <w:ilvl w:val="0"/>
          <w:numId w:val="1"/>
        </w:numPr>
        <w:tabs>
          <w:tab w:val="left" w:pos="1065"/>
          <w:tab w:val="left" w:pos="1067"/>
          <w:tab w:val="right" w:leader="dot" w:pos="9577"/>
        </w:tabs>
        <w:spacing w:before="43" w:after="0" w:line="240" w:lineRule="auto"/>
        <w:ind w:left="1066" w:right="0" w:hanging="421"/>
        <w:jc w:val="left"/>
        <w:rPr>
          <w:sz w:val="21"/>
        </w:rPr>
      </w:pPr>
      <w:r>
        <w:rPr>
          <w:spacing w:val="-2"/>
          <w:sz w:val="21"/>
        </w:rPr>
        <w:t>应当按时交纳保险</w:t>
      </w:r>
      <w:r>
        <w:rPr>
          <w:spacing w:val="-10"/>
          <w:sz w:val="21"/>
        </w:rPr>
        <w:t>费</w:t>
      </w:r>
      <w:r>
        <w:rPr>
          <w:rFonts w:ascii="Times New Roman" w:hAnsi="Times New Roman" w:eastAsia="Times New Roman"/>
          <w:sz w:val="21"/>
        </w:rPr>
        <w:tab/>
      </w:r>
      <w:r>
        <w:rPr>
          <w:spacing w:val="-5"/>
          <w:sz w:val="21"/>
        </w:rPr>
        <w:t>4.1</w:t>
      </w:r>
    </w:p>
    <w:p>
      <w:pPr>
        <w:pStyle w:val="9"/>
        <w:numPr>
          <w:ilvl w:val="0"/>
          <w:numId w:val="1"/>
        </w:numPr>
        <w:tabs>
          <w:tab w:val="left" w:pos="1065"/>
          <w:tab w:val="left" w:pos="1067"/>
          <w:tab w:val="right" w:leader="dot" w:pos="9577"/>
        </w:tabs>
        <w:spacing w:before="43" w:after="0" w:line="240" w:lineRule="auto"/>
        <w:ind w:left="1066" w:right="0" w:hanging="421"/>
        <w:jc w:val="left"/>
        <w:rPr>
          <w:sz w:val="21"/>
        </w:rPr>
      </w:pPr>
      <w:r>
        <w:rPr>
          <w:spacing w:val="-2"/>
          <w:sz w:val="21"/>
        </w:rPr>
        <w:t>退保会给投保人造成一定的损失，请慎重决</w:t>
      </w:r>
      <w:r>
        <w:rPr>
          <w:spacing w:val="-10"/>
          <w:sz w:val="21"/>
        </w:rPr>
        <w:t>策</w:t>
      </w:r>
      <w:r>
        <w:rPr>
          <w:rFonts w:ascii="Times New Roman" w:hAnsi="Times New Roman" w:eastAsia="Times New Roman"/>
          <w:sz w:val="21"/>
        </w:rPr>
        <w:tab/>
      </w:r>
      <w:r>
        <w:rPr>
          <w:spacing w:val="-5"/>
          <w:sz w:val="21"/>
        </w:rPr>
        <w:t>5.1</w:t>
      </w:r>
    </w:p>
    <w:p>
      <w:pPr>
        <w:pStyle w:val="9"/>
        <w:numPr>
          <w:ilvl w:val="0"/>
          <w:numId w:val="1"/>
        </w:numPr>
        <w:tabs>
          <w:tab w:val="left" w:pos="1065"/>
          <w:tab w:val="left" w:pos="1067"/>
          <w:tab w:val="right" w:leader="dot" w:pos="9577"/>
        </w:tabs>
        <w:spacing w:before="43" w:after="0" w:line="240" w:lineRule="auto"/>
        <w:ind w:left="1066" w:right="0" w:hanging="421"/>
        <w:jc w:val="left"/>
        <w:rPr>
          <w:sz w:val="21"/>
        </w:rPr>
      </w:pPr>
      <w:r>
        <w:rPr>
          <w:spacing w:val="-2"/>
          <w:sz w:val="21"/>
        </w:rPr>
        <w:t>投保人有如实告知的义</w:t>
      </w:r>
      <w:r>
        <w:rPr>
          <w:spacing w:val="-10"/>
          <w:sz w:val="21"/>
        </w:rPr>
        <w:t>务</w:t>
      </w:r>
      <w:r>
        <w:rPr>
          <w:rFonts w:ascii="Times New Roman" w:hAnsi="Times New Roman" w:eastAsia="Times New Roman"/>
          <w:sz w:val="21"/>
        </w:rPr>
        <w:tab/>
      </w:r>
      <w:r>
        <w:rPr>
          <w:spacing w:val="-5"/>
          <w:sz w:val="21"/>
        </w:rPr>
        <w:t>6.1</w:t>
      </w:r>
    </w:p>
    <w:p>
      <w:pPr>
        <w:pStyle w:val="9"/>
        <w:numPr>
          <w:ilvl w:val="0"/>
          <w:numId w:val="1"/>
        </w:numPr>
        <w:tabs>
          <w:tab w:val="left" w:pos="1065"/>
          <w:tab w:val="left" w:pos="1067"/>
        </w:tabs>
        <w:spacing w:before="43" w:after="0" w:line="278" w:lineRule="auto"/>
        <w:ind w:left="1066" w:right="429" w:hanging="420"/>
        <w:jc w:val="left"/>
        <w:rPr>
          <w:sz w:val="21"/>
        </w:rPr>
      </w:pPr>
      <w:r>
        <w:rPr>
          <w:spacing w:val="-2"/>
          <w:sz w:val="21"/>
        </w:rPr>
        <w:t>本公司对可能影响本合同保障的重要内容进行了显著标识，请仔细阅读正文中背景突出显示的内</w:t>
      </w:r>
      <w:r>
        <w:rPr>
          <w:spacing w:val="-10"/>
          <w:sz w:val="21"/>
        </w:rPr>
        <w:t>容</w:t>
      </w:r>
    </w:p>
    <w:p>
      <w:pPr>
        <w:spacing w:before="0" w:line="506" w:lineRule="exact"/>
        <w:ind w:left="120" w:right="0" w:firstLine="0"/>
        <w:jc w:val="left"/>
        <w:rPr>
          <w:b/>
          <w:sz w:val="21"/>
        </w:rPr>
      </w:pPr>
      <w:r>
        <w:pict>
          <v:shape id="docshape1" o:spid="_x0000_s1026" o:spt="202" type="#_x0000_t202" style="position:absolute;left:0pt;margin-left:51pt;margin-top:18.85pt;height:27.5pt;width:24.55pt;mso-position-horizontal-relative:page;z-index:-251650048;mso-width-relative:page;mso-height-relative:page;" filled="f" stroked="f" coordsize="21600,21600">
            <v:path/>
            <v:fill on="f" focussize="0,0"/>
            <v:stroke on="f" joinstyle="miter"/>
            <v:imagedata o:title=""/>
            <o:lock v:ext="edit"/>
            <v:textbox inset="0mm,0mm,0mm,0mm">
              <w:txbxContent>
                <w:p>
                  <w:pPr>
                    <w:spacing w:before="0"/>
                    <w:ind w:left="0" w:right="0" w:firstLine="0"/>
                    <w:jc w:val="left"/>
                    <w:rPr>
                      <w:rFonts w:ascii="Wingdings 2" w:hAnsi="Wingdings 2"/>
                      <w:b/>
                      <w:sz w:val="52"/>
                    </w:rPr>
                  </w:pPr>
                  <w:r>
                    <w:rPr>
                      <w:rFonts w:ascii="Wingdings 2" w:hAnsi="Wingdings 2"/>
                      <w:b/>
                      <w:w w:val="100"/>
                      <w:sz w:val="52"/>
                    </w:rPr>
                    <w:t></w:t>
                  </w:r>
                </w:p>
              </w:txbxContent>
            </v:textbox>
          </v:shape>
        </w:pict>
      </w:r>
      <w:r>
        <w:rPr>
          <w:rFonts w:ascii="Wingdings 2" w:hAnsi="Wingdings 2" w:eastAsia="Wingdings 2"/>
          <w:b/>
          <w:spacing w:val="-2"/>
          <w:position w:val="-11"/>
          <w:sz w:val="52"/>
        </w:rPr>
        <w:t></w:t>
      </w:r>
      <w:r>
        <w:rPr>
          <w:b/>
          <w:spacing w:val="-3"/>
          <w:sz w:val="21"/>
        </w:rPr>
        <w:t>条款是保险合同的重要内容，为充分保障您的权益，请仔细阅读本条款</w:t>
      </w:r>
    </w:p>
    <w:p>
      <w:pPr>
        <w:spacing w:before="0" w:line="250" w:lineRule="exact"/>
        <w:ind w:left="610" w:right="0" w:firstLine="0"/>
        <w:jc w:val="left"/>
        <w:rPr>
          <w:b/>
          <w:sz w:val="21"/>
        </w:rPr>
      </w:pPr>
      <w:r>
        <w:rPr>
          <w:b/>
          <w:spacing w:val="-3"/>
          <w:sz w:val="21"/>
        </w:rPr>
        <w:t>条款目录</w:t>
      </w:r>
    </w:p>
    <w:p>
      <w:pPr>
        <w:spacing w:before="31"/>
        <w:ind w:left="768" w:right="0" w:firstLine="0"/>
        <w:jc w:val="left"/>
        <w:rPr>
          <w:b/>
          <w:sz w:val="21"/>
        </w:rPr>
      </w:pPr>
      <w:r>
        <w:drawing>
          <wp:anchor distT="0" distB="0" distL="0" distR="0" simplePos="0" relativeHeight="251666432" behindDoc="1" locked="0" layoutInCell="1" allowOverlap="1">
            <wp:simplePos x="0" y="0"/>
            <wp:positionH relativeFrom="page">
              <wp:posOffset>981710</wp:posOffset>
            </wp:positionH>
            <wp:positionV relativeFrom="paragraph">
              <wp:posOffset>13970</wp:posOffset>
            </wp:positionV>
            <wp:extent cx="5591175" cy="3644265"/>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a:picLocks noChangeAspect="1"/>
                    </pic:cNvPicPr>
                  </pic:nvPicPr>
                  <pic:blipFill>
                    <a:blip r:embed="rId7" cstate="print"/>
                    <a:stretch>
                      <a:fillRect/>
                    </a:stretch>
                  </pic:blipFill>
                  <pic:spPr>
                    <a:xfrm>
                      <a:off x="0" y="0"/>
                      <a:ext cx="5590997" cy="3644518"/>
                    </a:xfrm>
                    <a:prstGeom prst="rect">
                      <a:avLst/>
                    </a:prstGeom>
                  </pic:spPr>
                </pic:pic>
              </a:graphicData>
            </a:graphic>
          </wp:anchor>
        </w:drawing>
      </w:r>
      <w:r>
        <w:pict>
          <v:shape id="docshape2" o:spid="_x0000_s1027" o:spt="202" type="#_x0000_t202" style="position:absolute;left:0pt;margin-left:90.45pt;margin-top:1.35pt;height:64.05pt;width:321.35pt;mso-position-horizontal-relative:page;z-index:251660288;mso-width-relative:page;mso-height-relative:page;" filled="f" stroked="f" coordsize="21600,21600">
            <v:path/>
            <v:fill on="f" focussize="0,0"/>
            <v:stroke on="f" joinstyle="miter"/>
            <v:imagedata o:title=""/>
            <o:lock v:ext="edit"/>
            <v:textbox inset="0mm,0mm,0mm,0mm">
              <w:txbxContent>
                <w:tbl>
                  <w:tblPr>
                    <w:tblStyle w:val="6"/>
                    <w:tblW w:w="0" w:type="auto"/>
                    <w:tblInd w:w="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438"/>
                    <w:gridCol w:w="3707"/>
                    <w:gridCol w:w="687"/>
                    <w:gridCol w:w="159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6" w:hRule="atLeast"/>
                    </w:trPr>
                    <w:tc>
                      <w:tcPr>
                        <w:tcW w:w="4145" w:type="dxa"/>
                        <w:gridSpan w:val="2"/>
                      </w:tcPr>
                      <w:p>
                        <w:pPr>
                          <w:pStyle w:val="10"/>
                          <w:spacing w:before="3" w:line="264" w:lineRule="exact"/>
                          <w:ind w:left="-36"/>
                          <w:rPr>
                            <w:b/>
                            <w:sz w:val="21"/>
                          </w:rPr>
                        </w:pPr>
                        <w:r>
                          <w:rPr>
                            <w:b/>
                            <w:w w:val="95"/>
                            <w:sz w:val="21"/>
                          </w:rPr>
                          <w:t>.合同订</w:t>
                        </w:r>
                        <w:r>
                          <w:rPr>
                            <w:b/>
                            <w:spacing w:val="-10"/>
                            <w:w w:val="95"/>
                            <w:sz w:val="21"/>
                          </w:rPr>
                          <w:t>立</w:t>
                        </w:r>
                      </w:p>
                      <w:p>
                        <w:pPr>
                          <w:pStyle w:val="10"/>
                          <w:spacing w:before="0" w:line="239" w:lineRule="exact"/>
                          <w:ind w:left="70"/>
                          <w:rPr>
                            <w:sz w:val="21"/>
                          </w:rPr>
                        </w:pPr>
                        <w:r>
                          <w:rPr>
                            <w:sz w:val="21"/>
                          </w:rPr>
                          <w:t>1.1</w:t>
                        </w:r>
                        <w:r>
                          <w:rPr>
                            <w:spacing w:val="-4"/>
                            <w:sz w:val="21"/>
                          </w:rPr>
                          <w:t xml:space="preserve"> 合同构成</w:t>
                        </w:r>
                      </w:p>
                    </w:tc>
                    <w:tc>
                      <w:tcPr>
                        <w:tcW w:w="687" w:type="dxa"/>
                      </w:tcPr>
                      <w:p>
                        <w:pPr>
                          <w:pStyle w:val="10"/>
                          <w:spacing w:before="3" w:line="264" w:lineRule="exact"/>
                          <w:ind w:left="319"/>
                          <w:rPr>
                            <w:sz w:val="21"/>
                          </w:rPr>
                        </w:pPr>
                        <w:r>
                          <w:rPr>
                            <w:spacing w:val="-5"/>
                            <w:sz w:val="21"/>
                          </w:rPr>
                          <w:t>3.5</w:t>
                        </w:r>
                      </w:p>
                      <w:p>
                        <w:pPr>
                          <w:pStyle w:val="10"/>
                          <w:spacing w:before="0" w:line="239" w:lineRule="exact"/>
                          <w:ind w:left="319"/>
                          <w:rPr>
                            <w:sz w:val="21"/>
                          </w:rPr>
                        </w:pPr>
                        <w:r>
                          <w:rPr>
                            <w:spacing w:val="-5"/>
                            <w:sz w:val="21"/>
                          </w:rPr>
                          <w:t>3.6</w:t>
                        </w:r>
                      </w:p>
                    </w:tc>
                    <w:tc>
                      <w:tcPr>
                        <w:tcW w:w="1592" w:type="dxa"/>
                      </w:tcPr>
                      <w:p>
                        <w:pPr>
                          <w:pStyle w:val="10"/>
                          <w:spacing w:before="0" w:line="260" w:lineRule="exact"/>
                          <w:ind w:left="55" w:right="274"/>
                          <w:rPr>
                            <w:sz w:val="21"/>
                          </w:rPr>
                        </w:pPr>
                        <w:r>
                          <w:rPr>
                            <w:spacing w:val="-2"/>
                            <w:sz w:val="21"/>
                          </w:rPr>
                          <w:t>通常惯例水平</w:t>
                        </w:r>
                        <w:r>
                          <w:rPr>
                            <w:spacing w:val="-4"/>
                            <w:sz w:val="21"/>
                          </w:rPr>
                          <w:t>事先授权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0" w:hRule="atLeast"/>
                    </w:trPr>
                    <w:tc>
                      <w:tcPr>
                        <w:tcW w:w="438" w:type="dxa"/>
                      </w:tcPr>
                      <w:p>
                        <w:pPr>
                          <w:pStyle w:val="10"/>
                          <w:spacing w:before="0" w:line="240" w:lineRule="exact"/>
                          <w:ind w:left="70"/>
                          <w:rPr>
                            <w:sz w:val="21"/>
                          </w:rPr>
                        </w:pPr>
                        <w:r>
                          <w:rPr>
                            <w:spacing w:val="-5"/>
                            <w:sz w:val="21"/>
                          </w:rPr>
                          <w:t>1.2</w:t>
                        </w:r>
                      </w:p>
                    </w:tc>
                    <w:tc>
                      <w:tcPr>
                        <w:tcW w:w="3707" w:type="dxa"/>
                      </w:tcPr>
                      <w:p>
                        <w:pPr>
                          <w:pStyle w:val="10"/>
                          <w:spacing w:before="0" w:line="240" w:lineRule="exact"/>
                          <w:ind w:left="51"/>
                          <w:rPr>
                            <w:sz w:val="21"/>
                          </w:rPr>
                        </w:pPr>
                        <w:r>
                          <w:rPr>
                            <w:spacing w:val="-4"/>
                            <w:sz w:val="21"/>
                          </w:rPr>
                          <w:t>合同成立与生效</w:t>
                        </w:r>
                      </w:p>
                    </w:tc>
                    <w:tc>
                      <w:tcPr>
                        <w:tcW w:w="687" w:type="dxa"/>
                      </w:tcPr>
                      <w:p>
                        <w:pPr>
                          <w:pStyle w:val="10"/>
                          <w:spacing w:before="0" w:line="240" w:lineRule="exact"/>
                          <w:ind w:right="48"/>
                          <w:jc w:val="right"/>
                          <w:rPr>
                            <w:sz w:val="21"/>
                          </w:rPr>
                        </w:pPr>
                        <w:r>
                          <w:rPr>
                            <w:spacing w:val="-5"/>
                            <w:sz w:val="21"/>
                          </w:rPr>
                          <w:t>3.7</w:t>
                        </w:r>
                      </w:p>
                    </w:tc>
                    <w:tc>
                      <w:tcPr>
                        <w:tcW w:w="1592" w:type="dxa"/>
                      </w:tcPr>
                      <w:p>
                        <w:pPr>
                          <w:pStyle w:val="10"/>
                          <w:spacing w:before="0" w:line="240" w:lineRule="exact"/>
                          <w:ind w:left="55"/>
                          <w:rPr>
                            <w:sz w:val="21"/>
                          </w:rPr>
                        </w:pPr>
                        <w:r>
                          <w:rPr>
                            <w:spacing w:val="-4"/>
                            <w:sz w:val="21"/>
                          </w:rPr>
                          <w:t>保险金申请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0" w:hRule="atLeast"/>
                    </w:trPr>
                    <w:tc>
                      <w:tcPr>
                        <w:tcW w:w="438" w:type="dxa"/>
                      </w:tcPr>
                      <w:p>
                        <w:pPr>
                          <w:pStyle w:val="10"/>
                          <w:spacing w:before="0" w:line="240" w:lineRule="exact"/>
                          <w:ind w:left="70"/>
                          <w:rPr>
                            <w:sz w:val="21"/>
                          </w:rPr>
                        </w:pPr>
                        <w:r>
                          <w:rPr>
                            <w:spacing w:val="-5"/>
                            <w:sz w:val="21"/>
                          </w:rPr>
                          <w:t>1.3</w:t>
                        </w:r>
                      </w:p>
                    </w:tc>
                    <w:tc>
                      <w:tcPr>
                        <w:tcW w:w="3707" w:type="dxa"/>
                      </w:tcPr>
                      <w:p>
                        <w:pPr>
                          <w:pStyle w:val="10"/>
                          <w:spacing w:before="0" w:line="240" w:lineRule="exact"/>
                          <w:ind w:left="54"/>
                          <w:rPr>
                            <w:sz w:val="21"/>
                          </w:rPr>
                        </w:pPr>
                        <w:r>
                          <w:rPr>
                            <w:spacing w:val="-4"/>
                            <w:sz w:val="21"/>
                          </w:rPr>
                          <w:t>投保范围</w:t>
                        </w:r>
                      </w:p>
                    </w:tc>
                    <w:tc>
                      <w:tcPr>
                        <w:tcW w:w="687" w:type="dxa"/>
                      </w:tcPr>
                      <w:p>
                        <w:pPr>
                          <w:pStyle w:val="10"/>
                          <w:spacing w:before="0" w:line="240" w:lineRule="exact"/>
                          <w:ind w:right="48"/>
                          <w:jc w:val="right"/>
                          <w:rPr>
                            <w:sz w:val="21"/>
                          </w:rPr>
                        </w:pPr>
                        <w:r>
                          <w:rPr>
                            <w:spacing w:val="-5"/>
                            <w:sz w:val="21"/>
                          </w:rPr>
                          <w:t>3.8</w:t>
                        </w:r>
                      </w:p>
                    </w:tc>
                    <w:tc>
                      <w:tcPr>
                        <w:tcW w:w="1592" w:type="dxa"/>
                      </w:tcPr>
                      <w:p>
                        <w:pPr>
                          <w:pStyle w:val="10"/>
                          <w:spacing w:before="0" w:line="240" w:lineRule="exact"/>
                          <w:ind w:left="53"/>
                          <w:rPr>
                            <w:sz w:val="21"/>
                          </w:rPr>
                        </w:pPr>
                        <w:r>
                          <w:rPr>
                            <w:spacing w:val="-4"/>
                            <w:sz w:val="21"/>
                          </w:rPr>
                          <w:t>代理申请及其他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5" w:hRule="atLeast"/>
                    </w:trPr>
                    <w:tc>
                      <w:tcPr>
                        <w:tcW w:w="438" w:type="dxa"/>
                      </w:tcPr>
                      <w:p>
                        <w:pPr>
                          <w:pStyle w:val="10"/>
                          <w:spacing w:before="0" w:line="215" w:lineRule="exact"/>
                          <w:ind w:left="70"/>
                          <w:rPr>
                            <w:sz w:val="21"/>
                          </w:rPr>
                        </w:pPr>
                        <w:r>
                          <w:rPr>
                            <w:spacing w:val="-5"/>
                            <w:sz w:val="21"/>
                          </w:rPr>
                          <w:t>1.4</w:t>
                        </w:r>
                      </w:p>
                    </w:tc>
                    <w:tc>
                      <w:tcPr>
                        <w:tcW w:w="3707" w:type="dxa"/>
                      </w:tcPr>
                      <w:p>
                        <w:pPr>
                          <w:pStyle w:val="10"/>
                          <w:spacing w:before="0" w:line="215" w:lineRule="exact"/>
                          <w:ind w:left="54"/>
                          <w:rPr>
                            <w:sz w:val="21"/>
                          </w:rPr>
                        </w:pPr>
                        <w:r>
                          <w:rPr>
                            <w:spacing w:val="-4"/>
                            <w:sz w:val="21"/>
                          </w:rPr>
                          <w:t>参保方式</w:t>
                        </w:r>
                      </w:p>
                    </w:tc>
                    <w:tc>
                      <w:tcPr>
                        <w:tcW w:w="687" w:type="dxa"/>
                      </w:tcPr>
                      <w:p>
                        <w:pPr>
                          <w:pStyle w:val="10"/>
                          <w:spacing w:before="0" w:line="215" w:lineRule="exact"/>
                          <w:ind w:right="48"/>
                          <w:jc w:val="right"/>
                          <w:rPr>
                            <w:sz w:val="21"/>
                          </w:rPr>
                        </w:pPr>
                        <w:r>
                          <w:rPr>
                            <w:spacing w:val="-5"/>
                            <w:sz w:val="21"/>
                          </w:rPr>
                          <w:t>3.9</w:t>
                        </w:r>
                      </w:p>
                    </w:tc>
                    <w:tc>
                      <w:tcPr>
                        <w:tcW w:w="1592" w:type="dxa"/>
                      </w:tcPr>
                      <w:p>
                        <w:pPr>
                          <w:pStyle w:val="10"/>
                          <w:spacing w:before="0" w:line="215" w:lineRule="exact"/>
                          <w:ind w:left="53"/>
                          <w:rPr>
                            <w:sz w:val="21"/>
                          </w:rPr>
                        </w:pPr>
                        <w:r>
                          <w:rPr>
                            <w:spacing w:val="-4"/>
                            <w:sz w:val="21"/>
                          </w:rPr>
                          <w:t>配合调查</w:t>
                        </w:r>
                      </w:p>
                    </w:tc>
                  </w:tr>
                </w:tbl>
                <w:p>
                  <w:pPr>
                    <w:pStyle w:val="4"/>
                  </w:pPr>
                </w:p>
              </w:txbxContent>
            </v:textbox>
          </v:shape>
        </w:pict>
      </w:r>
      <w:r>
        <w:rPr>
          <w:b/>
          <w:w w:val="99"/>
          <w:sz w:val="21"/>
        </w:rPr>
        <w:t>1</w:t>
      </w:r>
    </w:p>
    <w:p>
      <w:pPr>
        <w:pStyle w:val="4"/>
        <w:rPr>
          <w:b/>
          <w:sz w:val="20"/>
        </w:rPr>
      </w:pPr>
    </w:p>
    <w:p>
      <w:pPr>
        <w:pStyle w:val="4"/>
        <w:rPr>
          <w:b/>
          <w:sz w:val="20"/>
        </w:rPr>
      </w:pPr>
    </w:p>
    <w:p>
      <w:pPr>
        <w:pStyle w:val="4"/>
        <w:rPr>
          <w:b/>
          <w:sz w:val="20"/>
        </w:rPr>
      </w:pPr>
    </w:p>
    <w:p>
      <w:pPr>
        <w:pStyle w:val="4"/>
        <w:spacing w:before="10"/>
        <w:rPr>
          <w:b/>
          <w:sz w:val="14"/>
        </w:rPr>
      </w:pPr>
    </w:p>
    <w:p>
      <w:pPr>
        <w:spacing w:after="0"/>
        <w:rPr>
          <w:sz w:val="14"/>
        </w:rPr>
        <w:sectPr>
          <w:type w:val="continuous"/>
          <w:pgSz w:w="11910" w:h="16840"/>
          <w:pgMar w:top="480" w:right="680" w:bottom="280" w:left="900" w:header="720" w:footer="720" w:gutter="0"/>
          <w:cols w:space="720" w:num="1"/>
        </w:sectPr>
      </w:pPr>
    </w:p>
    <w:p>
      <w:pPr>
        <w:pStyle w:val="4"/>
        <w:spacing w:before="71" w:line="265" w:lineRule="exact"/>
        <w:ind w:right="666"/>
        <w:jc w:val="right"/>
      </w:pPr>
      <w:r>
        <w:t>1.5</w:t>
      </w:r>
      <w:r>
        <w:rPr>
          <w:spacing w:val="-4"/>
        </w:rPr>
        <w:t xml:space="preserve"> 保险卡</w:t>
      </w:r>
    </w:p>
    <w:p>
      <w:pPr>
        <w:pStyle w:val="3"/>
        <w:numPr>
          <w:ilvl w:val="0"/>
          <w:numId w:val="2"/>
        </w:numPr>
        <w:tabs>
          <w:tab w:val="left" w:pos="213"/>
        </w:tabs>
        <w:spacing w:before="0" w:after="0" w:line="260" w:lineRule="exact"/>
        <w:ind w:left="212" w:right="664" w:hanging="213"/>
        <w:jc w:val="right"/>
      </w:pPr>
      <w:r>
        <w:rPr>
          <w:spacing w:val="-2"/>
        </w:rPr>
        <w:t>提供的保障</w:t>
      </w:r>
    </w:p>
    <w:p>
      <w:pPr>
        <w:pStyle w:val="9"/>
        <w:numPr>
          <w:ilvl w:val="1"/>
          <w:numId w:val="2"/>
        </w:numPr>
        <w:tabs>
          <w:tab w:val="left" w:pos="1402"/>
        </w:tabs>
        <w:spacing w:before="0" w:after="0" w:line="259" w:lineRule="exact"/>
        <w:ind w:left="1402" w:right="0" w:hanging="423"/>
        <w:jc w:val="left"/>
        <w:rPr>
          <w:sz w:val="21"/>
        </w:rPr>
      </w:pPr>
      <w:r>
        <w:rPr>
          <w:spacing w:val="-4"/>
          <w:sz w:val="21"/>
        </w:rPr>
        <w:t>保险计划</w:t>
      </w:r>
    </w:p>
    <w:p>
      <w:pPr>
        <w:pStyle w:val="9"/>
        <w:numPr>
          <w:ilvl w:val="1"/>
          <w:numId w:val="2"/>
        </w:numPr>
        <w:tabs>
          <w:tab w:val="left" w:pos="1402"/>
        </w:tabs>
        <w:spacing w:before="0" w:after="0" w:line="260" w:lineRule="exact"/>
        <w:ind w:left="1402" w:right="0" w:hanging="423"/>
        <w:jc w:val="left"/>
        <w:rPr>
          <w:sz w:val="21"/>
        </w:rPr>
      </w:pPr>
      <w:r>
        <w:rPr>
          <w:spacing w:val="-4"/>
          <w:sz w:val="21"/>
        </w:rPr>
        <w:t>保障地域</w:t>
      </w:r>
    </w:p>
    <w:p>
      <w:pPr>
        <w:pStyle w:val="9"/>
        <w:numPr>
          <w:ilvl w:val="1"/>
          <w:numId w:val="2"/>
        </w:numPr>
        <w:tabs>
          <w:tab w:val="left" w:pos="1402"/>
        </w:tabs>
        <w:spacing w:before="0" w:after="0" w:line="260" w:lineRule="exact"/>
        <w:ind w:left="1402" w:right="0" w:hanging="423"/>
        <w:jc w:val="left"/>
        <w:rPr>
          <w:sz w:val="21"/>
        </w:rPr>
      </w:pPr>
      <w:r>
        <w:rPr>
          <w:spacing w:val="-4"/>
          <w:sz w:val="21"/>
        </w:rPr>
        <w:t>保险期间</w:t>
      </w:r>
    </w:p>
    <w:p>
      <w:pPr>
        <w:pStyle w:val="9"/>
        <w:numPr>
          <w:ilvl w:val="1"/>
          <w:numId w:val="2"/>
        </w:numPr>
        <w:tabs>
          <w:tab w:val="left" w:pos="1402"/>
        </w:tabs>
        <w:spacing w:before="0" w:after="0" w:line="259" w:lineRule="exact"/>
        <w:ind w:left="1402" w:right="0" w:hanging="423"/>
        <w:jc w:val="left"/>
        <w:rPr>
          <w:sz w:val="21"/>
        </w:rPr>
      </w:pPr>
      <w:r>
        <w:rPr>
          <w:spacing w:val="-5"/>
          <w:sz w:val="21"/>
        </w:rPr>
        <w:t>等待期</w:t>
      </w:r>
    </w:p>
    <w:p>
      <w:pPr>
        <w:pStyle w:val="9"/>
        <w:numPr>
          <w:ilvl w:val="1"/>
          <w:numId w:val="2"/>
        </w:numPr>
        <w:tabs>
          <w:tab w:val="left" w:pos="1402"/>
        </w:tabs>
        <w:spacing w:before="0" w:after="0" w:line="260" w:lineRule="exact"/>
        <w:ind w:left="1402" w:right="0" w:hanging="423"/>
        <w:jc w:val="left"/>
        <w:rPr>
          <w:sz w:val="21"/>
        </w:rPr>
      </w:pPr>
      <w:r>
        <w:rPr>
          <w:spacing w:val="-5"/>
          <w:sz w:val="21"/>
        </w:rPr>
        <w:t>免赔额</w:t>
      </w:r>
    </w:p>
    <w:p>
      <w:pPr>
        <w:pStyle w:val="9"/>
        <w:numPr>
          <w:ilvl w:val="1"/>
          <w:numId w:val="2"/>
        </w:numPr>
        <w:tabs>
          <w:tab w:val="left" w:pos="1402"/>
        </w:tabs>
        <w:spacing w:before="0" w:after="0" w:line="260" w:lineRule="exact"/>
        <w:ind w:left="1402" w:right="0" w:hanging="423"/>
        <w:jc w:val="left"/>
        <w:rPr>
          <w:sz w:val="21"/>
        </w:rPr>
      </w:pPr>
      <w:r>
        <w:rPr>
          <w:spacing w:val="-4"/>
          <w:sz w:val="21"/>
        </w:rPr>
        <w:t>赔付比例</w:t>
      </w:r>
    </w:p>
    <w:p>
      <w:pPr>
        <w:pStyle w:val="9"/>
        <w:numPr>
          <w:ilvl w:val="1"/>
          <w:numId w:val="2"/>
        </w:numPr>
        <w:tabs>
          <w:tab w:val="left" w:pos="1402"/>
        </w:tabs>
        <w:spacing w:before="0" w:after="0" w:line="259" w:lineRule="exact"/>
        <w:ind w:left="1402" w:right="0" w:hanging="423"/>
        <w:jc w:val="left"/>
        <w:rPr>
          <w:sz w:val="21"/>
        </w:rPr>
      </w:pPr>
      <w:r>
        <w:rPr>
          <w:spacing w:val="-4"/>
          <w:sz w:val="21"/>
        </w:rPr>
        <w:t>保险责任</w:t>
      </w:r>
    </w:p>
    <w:p>
      <w:pPr>
        <w:pStyle w:val="9"/>
        <w:numPr>
          <w:ilvl w:val="1"/>
          <w:numId w:val="2"/>
        </w:numPr>
        <w:tabs>
          <w:tab w:val="left" w:pos="1402"/>
        </w:tabs>
        <w:spacing w:before="0" w:after="0" w:line="260" w:lineRule="exact"/>
        <w:ind w:left="1402" w:right="0" w:hanging="423"/>
        <w:jc w:val="left"/>
        <w:rPr>
          <w:sz w:val="21"/>
        </w:rPr>
      </w:pPr>
      <w:r>
        <w:rPr>
          <w:spacing w:val="-4"/>
          <w:sz w:val="21"/>
        </w:rPr>
        <w:t>保险金的计算</w:t>
      </w:r>
    </w:p>
    <w:p>
      <w:pPr>
        <w:pStyle w:val="9"/>
        <w:numPr>
          <w:ilvl w:val="1"/>
          <w:numId w:val="2"/>
        </w:numPr>
        <w:tabs>
          <w:tab w:val="left" w:pos="1402"/>
        </w:tabs>
        <w:spacing w:before="0" w:after="0" w:line="261" w:lineRule="exact"/>
        <w:ind w:left="1402" w:right="0" w:hanging="423"/>
        <w:jc w:val="left"/>
        <w:rPr>
          <w:sz w:val="21"/>
        </w:rPr>
      </w:pPr>
      <w:r>
        <w:rPr>
          <w:spacing w:val="-4"/>
          <w:sz w:val="21"/>
        </w:rPr>
        <w:t>责任免除</w:t>
      </w:r>
    </w:p>
    <w:p>
      <w:pPr>
        <w:pStyle w:val="9"/>
        <w:numPr>
          <w:ilvl w:val="1"/>
          <w:numId w:val="2"/>
        </w:numPr>
        <w:tabs>
          <w:tab w:val="left" w:pos="1506"/>
        </w:tabs>
        <w:spacing w:before="0" w:after="0" w:line="259" w:lineRule="exact"/>
        <w:ind w:left="1505" w:right="0" w:hanging="527"/>
        <w:jc w:val="left"/>
        <w:rPr>
          <w:sz w:val="21"/>
        </w:rPr>
      </w:pPr>
      <w:r>
        <w:rPr>
          <w:spacing w:val="-4"/>
          <w:sz w:val="21"/>
        </w:rPr>
        <w:t>补偿原则</w:t>
      </w:r>
    </w:p>
    <w:p>
      <w:pPr>
        <w:pStyle w:val="3"/>
        <w:numPr>
          <w:ilvl w:val="0"/>
          <w:numId w:val="2"/>
        </w:numPr>
        <w:tabs>
          <w:tab w:val="left" w:pos="981"/>
        </w:tabs>
        <w:spacing w:before="0" w:after="0" w:line="260" w:lineRule="exact"/>
        <w:ind w:left="980" w:right="0" w:hanging="213"/>
        <w:jc w:val="left"/>
      </w:pPr>
      <w:r>
        <w:rPr>
          <w:spacing w:val="-2"/>
        </w:rPr>
        <w:t>保险金申领</w:t>
      </w:r>
    </w:p>
    <w:p>
      <w:pPr>
        <w:pStyle w:val="9"/>
        <w:numPr>
          <w:ilvl w:val="1"/>
          <w:numId w:val="2"/>
        </w:numPr>
        <w:tabs>
          <w:tab w:val="left" w:pos="1402"/>
        </w:tabs>
        <w:spacing w:before="0" w:after="0" w:line="260" w:lineRule="exact"/>
        <w:ind w:left="1402" w:right="0" w:hanging="423"/>
        <w:jc w:val="left"/>
        <w:rPr>
          <w:sz w:val="21"/>
        </w:rPr>
      </w:pPr>
      <w:r>
        <w:rPr>
          <w:spacing w:val="-5"/>
          <w:sz w:val="21"/>
        </w:rPr>
        <w:t>受益人</w:t>
      </w:r>
    </w:p>
    <w:p>
      <w:pPr>
        <w:pStyle w:val="9"/>
        <w:numPr>
          <w:ilvl w:val="1"/>
          <w:numId w:val="2"/>
        </w:numPr>
        <w:tabs>
          <w:tab w:val="left" w:pos="1400"/>
        </w:tabs>
        <w:spacing w:before="0" w:after="0" w:line="259" w:lineRule="exact"/>
        <w:ind w:left="1399" w:right="0" w:hanging="421"/>
        <w:jc w:val="left"/>
        <w:rPr>
          <w:sz w:val="21"/>
        </w:rPr>
      </w:pPr>
      <w:r>
        <w:rPr>
          <w:spacing w:val="-4"/>
          <w:sz w:val="21"/>
        </w:rPr>
        <w:t>保险事故通知</w:t>
      </w:r>
    </w:p>
    <w:p>
      <w:pPr>
        <w:pStyle w:val="9"/>
        <w:numPr>
          <w:ilvl w:val="1"/>
          <w:numId w:val="2"/>
        </w:numPr>
        <w:tabs>
          <w:tab w:val="left" w:pos="1402"/>
        </w:tabs>
        <w:spacing w:before="0" w:after="0" w:line="260" w:lineRule="exact"/>
        <w:ind w:left="1402" w:right="0" w:hanging="423"/>
        <w:jc w:val="left"/>
        <w:rPr>
          <w:sz w:val="21"/>
        </w:rPr>
      </w:pPr>
      <w:r>
        <w:rPr>
          <w:spacing w:val="-4"/>
          <w:sz w:val="21"/>
        </w:rPr>
        <w:t>尽快就诊</w:t>
      </w:r>
    </w:p>
    <w:p>
      <w:pPr>
        <w:pStyle w:val="9"/>
        <w:numPr>
          <w:ilvl w:val="1"/>
          <w:numId w:val="2"/>
        </w:numPr>
        <w:tabs>
          <w:tab w:val="left" w:pos="1402"/>
        </w:tabs>
        <w:spacing w:before="0" w:after="0" w:line="265" w:lineRule="exact"/>
        <w:ind w:left="1402" w:right="0" w:hanging="423"/>
        <w:jc w:val="left"/>
        <w:rPr>
          <w:sz w:val="21"/>
        </w:rPr>
      </w:pPr>
      <w:r>
        <w:rPr>
          <w:spacing w:val="-4"/>
          <w:sz w:val="21"/>
        </w:rPr>
        <w:t>医疗服务网络</w:t>
      </w:r>
    </w:p>
    <w:p>
      <w:pPr>
        <w:pStyle w:val="9"/>
        <w:numPr>
          <w:ilvl w:val="1"/>
          <w:numId w:val="3"/>
        </w:numPr>
        <w:tabs>
          <w:tab w:val="left" w:pos="1506"/>
        </w:tabs>
        <w:spacing w:before="71" w:after="0" w:line="265" w:lineRule="exact"/>
        <w:ind w:left="1505" w:right="0" w:hanging="527"/>
        <w:jc w:val="left"/>
        <w:rPr>
          <w:sz w:val="21"/>
        </w:rPr>
      </w:pPr>
      <w:r>
        <w:rPr>
          <w:sz w:val="21"/>
        </w:rPr>
        <w:br w:type="column"/>
      </w:r>
      <w:r>
        <w:rPr>
          <w:spacing w:val="-4"/>
          <w:sz w:val="21"/>
        </w:rPr>
        <w:t>保险金的给付</w:t>
      </w:r>
    </w:p>
    <w:p>
      <w:pPr>
        <w:pStyle w:val="9"/>
        <w:numPr>
          <w:ilvl w:val="1"/>
          <w:numId w:val="3"/>
        </w:numPr>
        <w:tabs>
          <w:tab w:val="left" w:pos="1506"/>
        </w:tabs>
        <w:spacing w:before="0" w:after="0" w:line="260" w:lineRule="exact"/>
        <w:ind w:left="1505" w:right="0" w:hanging="527"/>
        <w:jc w:val="left"/>
        <w:rPr>
          <w:sz w:val="21"/>
        </w:rPr>
      </w:pPr>
      <w:r>
        <w:rPr>
          <w:spacing w:val="-4"/>
          <w:sz w:val="21"/>
        </w:rPr>
        <w:t>诉讼时效</w:t>
      </w:r>
    </w:p>
    <w:p>
      <w:pPr>
        <w:pStyle w:val="3"/>
        <w:numPr>
          <w:ilvl w:val="0"/>
          <w:numId w:val="2"/>
        </w:numPr>
        <w:tabs>
          <w:tab w:val="left" w:pos="981"/>
        </w:tabs>
        <w:spacing w:before="0" w:after="0" w:line="259" w:lineRule="exact"/>
        <w:ind w:left="980" w:right="0" w:hanging="213"/>
        <w:jc w:val="left"/>
      </w:pPr>
      <w:r>
        <w:rPr>
          <w:spacing w:val="-2"/>
        </w:rPr>
        <w:t>保险费交纳</w:t>
      </w:r>
    </w:p>
    <w:p>
      <w:pPr>
        <w:pStyle w:val="9"/>
        <w:numPr>
          <w:ilvl w:val="1"/>
          <w:numId w:val="2"/>
        </w:numPr>
        <w:tabs>
          <w:tab w:val="left" w:pos="1403"/>
        </w:tabs>
        <w:spacing w:before="0" w:after="0" w:line="260" w:lineRule="exact"/>
        <w:ind w:left="1402" w:right="0" w:hanging="424"/>
        <w:jc w:val="left"/>
        <w:rPr>
          <w:sz w:val="21"/>
        </w:rPr>
      </w:pPr>
      <w:r>
        <w:rPr>
          <w:spacing w:val="-4"/>
          <w:sz w:val="21"/>
        </w:rPr>
        <w:t>保险费的交纳</w:t>
      </w:r>
    </w:p>
    <w:p>
      <w:pPr>
        <w:pStyle w:val="9"/>
        <w:numPr>
          <w:ilvl w:val="1"/>
          <w:numId w:val="2"/>
        </w:numPr>
        <w:tabs>
          <w:tab w:val="left" w:pos="1403"/>
        </w:tabs>
        <w:spacing w:before="0" w:after="0" w:line="260" w:lineRule="exact"/>
        <w:ind w:left="1402" w:right="0" w:hanging="424"/>
        <w:jc w:val="left"/>
        <w:rPr>
          <w:sz w:val="21"/>
        </w:rPr>
      </w:pPr>
      <w:r>
        <w:rPr>
          <w:spacing w:val="-4"/>
          <w:sz w:val="21"/>
        </w:rPr>
        <w:t>不保证续保</w:t>
      </w:r>
    </w:p>
    <w:p>
      <w:pPr>
        <w:pStyle w:val="3"/>
        <w:numPr>
          <w:ilvl w:val="0"/>
          <w:numId w:val="2"/>
        </w:numPr>
        <w:tabs>
          <w:tab w:val="left" w:pos="981"/>
        </w:tabs>
        <w:spacing w:before="0" w:after="0" w:line="259" w:lineRule="exact"/>
        <w:ind w:left="980" w:right="0" w:hanging="213"/>
        <w:jc w:val="left"/>
      </w:pPr>
      <w:r>
        <w:rPr>
          <w:spacing w:val="-3"/>
        </w:rPr>
        <w:t>合同解除</w:t>
      </w:r>
    </w:p>
    <w:p>
      <w:pPr>
        <w:pStyle w:val="9"/>
        <w:numPr>
          <w:ilvl w:val="1"/>
          <w:numId w:val="2"/>
        </w:numPr>
        <w:tabs>
          <w:tab w:val="left" w:pos="1403"/>
        </w:tabs>
        <w:spacing w:before="0" w:after="0" w:line="260" w:lineRule="exact"/>
        <w:ind w:left="1402" w:right="0" w:hanging="424"/>
        <w:jc w:val="left"/>
        <w:rPr>
          <w:sz w:val="21"/>
        </w:rPr>
      </w:pPr>
      <w:r>
        <w:rPr>
          <w:spacing w:val="-3"/>
          <w:sz w:val="21"/>
        </w:rPr>
        <w:t>解除合同的手续及风险</w:t>
      </w:r>
    </w:p>
    <w:p>
      <w:pPr>
        <w:pStyle w:val="3"/>
        <w:numPr>
          <w:ilvl w:val="0"/>
          <w:numId w:val="2"/>
        </w:numPr>
        <w:tabs>
          <w:tab w:val="left" w:pos="981"/>
        </w:tabs>
        <w:spacing w:before="0" w:after="0" w:line="260" w:lineRule="exact"/>
        <w:ind w:left="980" w:right="0" w:hanging="213"/>
        <w:jc w:val="left"/>
      </w:pPr>
      <w:r>
        <w:rPr>
          <w:spacing w:val="-3"/>
        </w:rPr>
        <w:t>其他事项</w:t>
      </w:r>
    </w:p>
    <w:p>
      <w:pPr>
        <w:pStyle w:val="9"/>
        <w:numPr>
          <w:ilvl w:val="1"/>
          <w:numId w:val="2"/>
        </w:numPr>
        <w:tabs>
          <w:tab w:val="left" w:pos="1403"/>
        </w:tabs>
        <w:spacing w:before="0" w:after="0" w:line="259" w:lineRule="exact"/>
        <w:ind w:left="1402" w:right="0" w:hanging="424"/>
        <w:jc w:val="left"/>
        <w:rPr>
          <w:sz w:val="21"/>
        </w:rPr>
      </w:pPr>
      <w:r>
        <w:rPr>
          <w:spacing w:val="-3"/>
          <w:sz w:val="21"/>
        </w:rPr>
        <w:t>明确说明与如实告知</w:t>
      </w:r>
    </w:p>
    <w:p>
      <w:pPr>
        <w:pStyle w:val="9"/>
        <w:numPr>
          <w:ilvl w:val="1"/>
          <w:numId w:val="2"/>
        </w:numPr>
        <w:tabs>
          <w:tab w:val="left" w:pos="1403"/>
        </w:tabs>
        <w:spacing w:before="0" w:after="0" w:line="260" w:lineRule="exact"/>
        <w:ind w:left="1402" w:right="0" w:hanging="424"/>
        <w:jc w:val="left"/>
        <w:rPr>
          <w:sz w:val="21"/>
        </w:rPr>
      </w:pPr>
      <w:r>
        <w:rPr>
          <w:spacing w:val="-3"/>
          <w:sz w:val="21"/>
        </w:rPr>
        <w:t>本公司合同解除权的限制</w:t>
      </w:r>
    </w:p>
    <w:p>
      <w:pPr>
        <w:pStyle w:val="9"/>
        <w:numPr>
          <w:ilvl w:val="1"/>
          <w:numId w:val="2"/>
        </w:numPr>
        <w:tabs>
          <w:tab w:val="left" w:pos="1403"/>
        </w:tabs>
        <w:spacing w:before="0" w:after="0" w:line="261" w:lineRule="exact"/>
        <w:ind w:left="1402" w:right="0" w:hanging="424"/>
        <w:jc w:val="left"/>
        <w:rPr>
          <w:sz w:val="21"/>
        </w:rPr>
      </w:pPr>
      <w:r>
        <w:rPr>
          <w:spacing w:val="-4"/>
          <w:sz w:val="21"/>
        </w:rPr>
        <w:t>年龄错误</w:t>
      </w:r>
    </w:p>
    <w:p>
      <w:pPr>
        <w:pStyle w:val="9"/>
        <w:numPr>
          <w:ilvl w:val="1"/>
          <w:numId w:val="2"/>
        </w:numPr>
        <w:tabs>
          <w:tab w:val="left" w:pos="1403"/>
        </w:tabs>
        <w:spacing w:before="0" w:after="0" w:line="259" w:lineRule="exact"/>
        <w:ind w:left="1402" w:right="0" w:hanging="424"/>
        <w:jc w:val="left"/>
        <w:rPr>
          <w:sz w:val="21"/>
        </w:rPr>
      </w:pPr>
      <w:r>
        <w:rPr>
          <w:spacing w:val="-4"/>
          <w:sz w:val="21"/>
        </w:rPr>
        <w:t>被保险人变动</w:t>
      </w:r>
    </w:p>
    <w:p>
      <w:pPr>
        <w:pStyle w:val="9"/>
        <w:numPr>
          <w:ilvl w:val="1"/>
          <w:numId w:val="2"/>
        </w:numPr>
        <w:tabs>
          <w:tab w:val="left" w:pos="1403"/>
        </w:tabs>
        <w:spacing w:before="0" w:after="0" w:line="260" w:lineRule="exact"/>
        <w:ind w:left="1402" w:right="0" w:hanging="424"/>
        <w:jc w:val="left"/>
        <w:rPr>
          <w:sz w:val="21"/>
        </w:rPr>
      </w:pPr>
      <w:r>
        <w:rPr>
          <w:spacing w:val="-4"/>
          <w:sz w:val="21"/>
        </w:rPr>
        <w:t>同意提供医疗信息</w:t>
      </w:r>
    </w:p>
    <w:p>
      <w:pPr>
        <w:pStyle w:val="9"/>
        <w:numPr>
          <w:ilvl w:val="1"/>
          <w:numId w:val="2"/>
        </w:numPr>
        <w:tabs>
          <w:tab w:val="left" w:pos="1403"/>
        </w:tabs>
        <w:spacing w:before="0" w:after="0" w:line="260" w:lineRule="exact"/>
        <w:ind w:left="1402" w:right="0" w:hanging="424"/>
        <w:jc w:val="left"/>
        <w:rPr>
          <w:sz w:val="21"/>
        </w:rPr>
      </w:pPr>
      <w:r>
        <w:rPr>
          <w:spacing w:val="-4"/>
          <w:sz w:val="21"/>
        </w:rPr>
        <w:t>未还款项</w:t>
      </w:r>
    </w:p>
    <w:p>
      <w:pPr>
        <w:pStyle w:val="9"/>
        <w:numPr>
          <w:ilvl w:val="1"/>
          <w:numId w:val="2"/>
        </w:numPr>
        <w:tabs>
          <w:tab w:val="left" w:pos="1403"/>
        </w:tabs>
        <w:spacing w:before="0" w:after="0" w:line="259" w:lineRule="exact"/>
        <w:ind w:left="1402" w:right="0" w:hanging="424"/>
        <w:jc w:val="left"/>
        <w:rPr>
          <w:sz w:val="21"/>
        </w:rPr>
      </w:pPr>
      <w:r>
        <w:rPr>
          <w:spacing w:val="-4"/>
          <w:sz w:val="21"/>
        </w:rPr>
        <w:t>合同内容变更</w:t>
      </w:r>
    </w:p>
    <w:p>
      <w:pPr>
        <w:pStyle w:val="9"/>
        <w:numPr>
          <w:ilvl w:val="1"/>
          <w:numId w:val="2"/>
        </w:numPr>
        <w:tabs>
          <w:tab w:val="left" w:pos="1403"/>
        </w:tabs>
        <w:spacing w:before="0" w:after="0" w:line="260" w:lineRule="exact"/>
        <w:ind w:left="1402" w:right="0" w:hanging="424"/>
        <w:jc w:val="left"/>
        <w:rPr>
          <w:sz w:val="21"/>
        </w:rPr>
      </w:pPr>
      <w:r>
        <w:rPr>
          <w:spacing w:val="-4"/>
          <w:sz w:val="21"/>
        </w:rPr>
        <w:t>联系方式变更</w:t>
      </w:r>
    </w:p>
    <w:p>
      <w:pPr>
        <w:pStyle w:val="9"/>
        <w:numPr>
          <w:ilvl w:val="1"/>
          <w:numId w:val="2"/>
        </w:numPr>
        <w:tabs>
          <w:tab w:val="left" w:pos="1403"/>
        </w:tabs>
        <w:spacing w:before="0" w:after="0" w:line="265" w:lineRule="exact"/>
        <w:ind w:left="1402" w:right="0" w:hanging="424"/>
        <w:jc w:val="left"/>
        <w:rPr>
          <w:sz w:val="21"/>
        </w:rPr>
      </w:pPr>
      <w:r>
        <w:rPr>
          <w:spacing w:val="-4"/>
          <w:sz w:val="21"/>
        </w:rPr>
        <w:t>争议处理</w:t>
      </w:r>
    </w:p>
    <w:p>
      <w:pPr>
        <w:spacing w:after="0" w:line="265" w:lineRule="exact"/>
        <w:jc w:val="left"/>
        <w:rPr>
          <w:sz w:val="21"/>
        </w:rPr>
        <w:sectPr>
          <w:type w:val="continuous"/>
          <w:pgSz w:w="11910" w:h="16840"/>
          <w:pgMar w:top="480" w:right="680" w:bottom="280" w:left="900" w:header="720" w:footer="720" w:gutter="0"/>
          <w:cols w:equalWidth="0" w:num="2">
            <w:col w:w="2703" w:space="1692"/>
            <w:col w:w="5935"/>
          </w:cols>
        </w:sectPr>
      </w:pPr>
    </w:p>
    <w:p>
      <w:pPr>
        <w:spacing w:before="41"/>
        <w:ind w:left="1805" w:right="2026" w:firstLine="0"/>
        <w:jc w:val="center"/>
        <w:rPr>
          <w:b/>
          <w:sz w:val="28"/>
        </w:rPr>
      </w:pPr>
      <w:r>
        <w:rPr>
          <w:b/>
          <w:w w:val="95"/>
          <w:sz w:val="28"/>
        </w:rPr>
        <w:t>复星联合全球通高端医疗保险</w:t>
      </w:r>
      <w:r>
        <w:rPr>
          <w:b/>
          <w:w w:val="95"/>
          <w:sz w:val="32"/>
        </w:rPr>
        <w:t>（2021</w:t>
      </w:r>
      <w:r>
        <w:rPr>
          <w:b/>
          <w:spacing w:val="69"/>
          <w:w w:val="150"/>
          <w:sz w:val="32"/>
        </w:rPr>
        <w:t xml:space="preserve"> </w:t>
      </w:r>
      <w:r>
        <w:rPr>
          <w:b/>
          <w:w w:val="95"/>
          <w:sz w:val="32"/>
        </w:rPr>
        <w:t>版）</w:t>
      </w:r>
      <w:r>
        <w:rPr>
          <w:b/>
          <w:w w:val="95"/>
          <w:sz w:val="28"/>
        </w:rPr>
        <w:t>条</w:t>
      </w:r>
      <w:r>
        <w:rPr>
          <w:b/>
          <w:spacing w:val="-10"/>
          <w:w w:val="95"/>
          <w:sz w:val="28"/>
        </w:rPr>
        <w:t>款</w:t>
      </w:r>
    </w:p>
    <w:p>
      <w:pPr>
        <w:spacing w:before="276" w:line="266" w:lineRule="auto"/>
        <w:ind w:left="180" w:right="475" w:firstLine="422"/>
        <w:jc w:val="left"/>
        <w:rPr>
          <w:i/>
          <w:sz w:val="22"/>
        </w:rPr>
      </w:pPr>
      <w:r>
        <w:rPr>
          <w:i/>
          <w:spacing w:val="-2"/>
          <w:w w:val="95"/>
          <w:sz w:val="22"/>
        </w:rPr>
        <w:t>（本公司在每页底部对一些专业名词做了释义，这些释义为本条款的重要组成部分。同一专业名词在条款中出现多次的，本公司仅在该专业名词第一次出现的地方做了释义，该释义</w:t>
      </w:r>
      <w:r>
        <w:rPr>
          <w:i/>
          <w:spacing w:val="-20"/>
          <w:w w:val="95"/>
          <w:sz w:val="22"/>
        </w:rPr>
        <w:t>适用于全文。</w:t>
      </w:r>
      <w:r>
        <w:rPr>
          <w:i/>
          <w:spacing w:val="-2"/>
          <w:w w:val="95"/>
          <w:sz w:val="22"/>
        </w:rPr>
        <w:t>）</w:t>
      </w:r>
    </w:p>
    <w:p>
      <w:pPr>
        <w:pStyle w:val="4"/>
        <w:spacing w:before="8"/>
        <w:rPr>
          <w:i/>
          <w:sz w:val="15"/>
        </w:rPr>
      </w:pPr>
    </w:p>
    <w:p>
      <w:pPr>
        <w:pStyle w:val="2"/>
        <w:numPr>
          <w:ilvl w:val="0"/>
          <w:numId w:val="4"/>
        </w:numPr>
        <w:tabs>
          <w:tab w:val="left" w:pos="1502"/>
          <w:tab w:val="left" w:pos="1503"/>
        </w:tabs>
        <w:spacing w:before="0" w:after="0" w:line="240" w:lineRule="auto"/>
        <w:ind w:left="1502" w:right="0" w:hanging="1066"/>
        <w:jc w:val="left"/>
      </w:pPr>
      <w:r>
        <w:drawing>
          <wp:anchor distT="0" distB="0" distL="0" distR="0" simplePos="0" relativeHeight="251659264" behindDoc="0" locked="0" layoutInCell="1" allowOverlap="1">
            <wp:simplePos x="0" y="0"/>
            <wp:positionH relativeFrom="page">
              <wp:posOffset>779780</wp:posOffset>
            </wp:positionH>
            <wp:positionV relativeFrom="paragraph">
              <wp:posOffset>358775</wp:posOffset>
            </wp:positionV>
            <wp:extent cx="6177280" cy="12065"/>
            <wp:effectExtent l="0" t="0" r="0" b="0"/>
            <wp:wrapTopAndBottom/>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a:picLocks noChangeAspect="1"/>
                    </pic:cNvPicPr>
                  </pic:nvPicPr>
                  <pic:blipFill>
                    <a:blip r:embed="rId8" cstate="print"/>
                    <a:stretch>
                      <a:fillRect/>
                    </a:stretch>
                  </pic:blipFill>
                  <pic:spPr>
                    <a:xfrm>
                      <a:off x="0" y="0"/>
                      <a:ext cx="6176966" cy="12287"/>
                    </a:xfrm>
                    <a:prstGeom prst="rect">
                      <a:avLst/>
                    </a:prstGeom>
                  </pic:spPr>
                </pic:pic>
              </a:graphicData>
            </a:graphic>
          </wp:anchor>
        </w:drawing>
      </w:r>
      <w:r>
        <w:rPr>
          <w:spacing w:val="-3"/>
          <w:w w:val="95"/>
        </w:rPr>
        <w:t>合同订立</w:t>
      </w:r>
    </w:p>
    <w:p>
      <w:pPr>
        <w:pStyle w:val="9"/>
        <w:numPr>
          <w:ilvl w:val="1"/>
          <w:numId w:val="4"/>
        </w:numPr>
        <w:tabs>
          <w:tab w:val="left" w:pos="1502"/>
          <w:tab w:val="left" w:pos="1503"/>
          <w:tab w:val="left" w:pos="3017"/>
        </w:tabs>
        <w:spacing w:before="25" w:after="0" w:line="278" w:lineRule="auto"/>
        <w:ind w:left="3017" w:right="345" w:hanging="2580"/>
        <w:jc w:val="left"/>
        <w:rPr>
          <w:sz w:val="21"/>
        </w:rPr>
      </w:pPr>
      <w:r>
        <w:rPr>
          <w:b/>
          <w:spacing w:val="-4"/>
          <w:sz w:val="21"/>
        </w:rPr>
        <w:t>合同构成</w:t>
      </w:r>
      <w:r>
        <w:rPr>
          <w:b/>
          <w:sz w:val="21"/>
        </w:rPr>
        <w:tab/>
      </w:r>
      <w:r>
        <w:rPr>
          <w:spacing w:val="-2"/>
          <w:sz w:val="21"/>
        </w:rPr>
        <w:t>本保险条款</w:t>
      </w:r>
      <w:r>
        <w:rPr>
          <w:spacing w:val="-63"/>
          <w:sz w:val="21"/>
        </w:rPr>
        <w:t>、</w:t>
      </w:r>
      <w:r>
        <w:rPr>
          <w:spacing w:val="-2"/>
          <w:sz w:val="21"/>
        </w:rPr>
        <w:t>投保单或其他投保文件</w:t>
      </w:r>
      <w:r>
        <w:rPr>
          <w:spacing w:val="-63"/>
          <w:sz w:val="21"/>
        </w:rPr>
        <w:t>、</w:t>
      </w:r>
      <w:r>
        <w:rPr>
          <w:spacing w:val="-2"/>
          <w:sz w:val="21"/>
        </w:rPr>
        <w:t>保险单或其他保险凭证</w:t>
      </w:r>
      <w:r>
        <w:rPr>
          <w:spacing w:val="-62"/>
          <w:sz w:val="21"/>
        </w:rPr>
        <w:t>、</w:t>
      </w:r>
      <w:r>
        <w:rPr>
          <w:spacing w:val="-2"/>
          <w:sz w:val="21"/>
        </w:rPr>
        <w:t>保障福利表、保险卡、附贴批单和其他约定书，均为投保人与本公司订立的《复星联合全</w:t>
      </w:r>
      <w:r>
        <w:rPr>
          <w:sz w:val="21"/>
        </w:rPr>
        <w:t>球通高端医疗保险（2021</w:t>
      </w:r>
      <w:r>
        <w:rPr>
          <w:spacing w:val="-55"/>
          <w:sz w:val="21"/>
        </w:rPr>
        <w:t xml:space="preserve"> </w:t>
      </w:r>
      <w:r>
        <w:rPr>
          <w:sz w:val="21"/>
        </w:rPr>
        <w:t>版）合同</w:t>
      </w:r>
      <w:r>
        <w:rPr>
          <w:spacing w:val="-130"/>
          <w:sz w:val="21"/>
        </w:rPr>
        <w:t>》</w:t>
      </w:r>
      <w:r>
        <w:rPr>
          <w:sz w:val="21"/>
        </w:rPr>
        <w:t>（以下简称“本合同</w:t>
      </w:r>
      <w:r>
        <w:rPr>
          <w:spacing w:val="-65"/>
          <w:sz w:val="21"/>
        </w:rPr>
        <w:t>”）</w:t>
      </w:r>
      <w:r>
        <w:rPr>
          <w:sz w:val="21"/>
        </w:rPr>
        <w:t>的构成部分。凡</w:t>
      </w:r>
      <w:r>
        <w:rPr>
          <w:spacing w:val="-2"/>
          <w:sz w:val="21"/>
        </w:rPr>
        <w:t>涉及本合同的约定，均应当采用书面形式。</w:t>
      </w:r>
    </w:p>
    <w:p>
      <w:pPr>
        <w:spacing w:after="0" w:line="278" w:lineRule="auto"/>
        <w:jc w:val="left"/>
        <w:rPr>
          <w:sz w:val="21"/>
        </w:rPr>
        <w:sectPr>
          <w:pgSz w:w="11910" w:h="16840"/>
          <w:pgMar w:top="1180" w:right="680" w:bottom="280" w:left="900" w:header="720" w:footer="720" w:gutter="0"/>
          <w:cols w:space="720" w:num="1"/>
        </w:sectPr>
      </w:pPr>
    </w:p>
    <w:p>
      <w:pPr>
        <w:pStyle w:val="3"/>
        <w:numPr>
          <w:ilvl w:val="1"/>
          <w:numId w:val="4"/>
        </w:numPr>
        <w:tabs>
          <w:tab w:val="left" w:pos="1502"/>
          <w:tab w:val="left" w:pos="1503"/>
        </w:tabs>
        <w:spacing w:before="155" w:after="0" w:line="278" w:lineRule="auto"/>
        <w:ind w:left="1502" w:right="0" w:hanging="1066"/>
        <w:jc w:val="left"/>
      </w:pPr>
      <w:r>
        <w:rPr>
          <w:spacing w:val="-2"/>
        </w:rPr>
        <w:t>合同成立与生</w:t>
      </w:r>
      <w:r>
        <w:rPr>
          <w:spacing w:val="-10"/>
        </w:rPr>
        <w:t>效</w:t>
      </w:r>
    </w:p>
    <w:p>
      <w:pPr>
        <w:pStyle w:val="4"/>
        <w:spacing w:before="155"/>
        <w:ind w:left="207"/>
      </w:pPr>
      <w:r>
        <w:br w:type="column"/>
      </w:r>
      <w:r>
        <w:rPr>
          <w:spacing w:val="-3"/>
        </w:rPr>
        <w:t>投保人提出投保申请、本公司同意承保，本合同成立。</w:t>
      </w:r>
    </w:p>
    <w:p>
      <w:pPr>
        <w:pStyle w:val="4"/>
        <w:spacing w:before="10"/>
        <w:rPr>
          <w:sz w:val="14"/>
        </w:rPr>
      </w:pPr>
    </w:p>
    <w:p>
      <w:pPr>
        <w:pStyle w:val="4"/>
        <w:spacing w:line="278" w:lineRule="auto"/>
        <w:ind w:left="207" w:right="448"/>
      </w:pPr>
      <w:r>
        <w:rPr>
          <w:spacing w:val="-11"/>
        </w:rPr>
        <w:t>合同生效日期在本合同中载明。保单年度、保险费的</w:t>
      </w:r>
      <w:r>
        <w:rPr>
          <w:b/>
          <w:spacing w:val="-2"/>
        </w:rPr>
        <w:t>约定交纳日</w:t>
      </w:r>
      <w:r>
        <w:rPr>
          <w:b/>
          <w:spacing w:val="-2"/>
          <w:position w:val="11"/>
          <w:sz w:val="11"/>
        </w:rPr>
        <w:t>1</w:t>
      </w:r>
      <w:r>
        <w:rPr>
          <w:spacing w:val="-2"/>
        </w:rPr>
        <w:t>均以该日期</w:t>
      </w:r>
      <w:r>
        <w:rPr>
          <w:spacing w:val="-4"/>
        </w:rPr>
        <w:t>计算。</w:t>
      </w:r>
    </w:p>
    <w:p>
      <w:pPr>
        <w:spacing w:after="0" w:line="278" w:lineRule="auto"/>
        <w:sectPr>
          <w:type w:val="continuous"/>
          <w:pgSz w:w="11910" w:h="16840"/>
          <w:pgMar w:top="480" w:right="680" w:bottom="280" w:left="900" w:header="720" w:footer="720" w:gutter="0"/>
          <w:cols w:equalWidth="0" w:num="2">
            <w:col w:w="2771" w:space="40"/>
            <w:col w:w="7519"/>
          </w:cols>
        </w:sectPr>
      </w:pPr>
    </w:p>
    <w:p>
      <w:pPr>
        <w:pStyle w:val="4"/>
        <w:spacing w:before="12"/>
        <w:rPr>
          <w:sz w:val="16"/>
        </w:rPr>
      </w:pPr>
    </w:p>
    <w:p>
      <w:pPr>
        <w:pStyle w:val="9"/>
        <w:numPr>
          <w:ilvl w:val="1"/>
          <w:numId w:val="4"/>
        </w:numPr>
        <w:tabs>
          <w:tab w:val="left" w:pos="1502"/>
          <w:tab w:val="left" w:pos="1503"/>
          <w:tab w:val="left" w:pos="3017"/>
        </w:tabs>
        <w:spacing w:before="85" w:after="0" w:line="278" w:lineRule="auto"/>
        <w:ind w:left="3017" w:right="461" w:hanging="2580"/>
        <w:jc w:val="left"/>
        <w:rPr>
          <w:sz w:val="21"/>
        </w:rPr>
      </w:pPr>
      <w:r>
        <w:rPr>
          <w:b/>
          <w:spacing w:val="-4"/>
          <w:sz w:val="21"/>
        </w:rPr>
        <w:t>投保范围</w:t>
      </w:r>
      <w:r>
        <w:rPr>
          <w:b/>
          <w:sz w:val="21"/>
        </w:rPr>
        <w:tab/>
      </w:r>
      <w:r>
        <w:rPr>
          <w:spacing w:val="-2"/>
          <w:sz w:val="21"/>
        </w:rPr>
        <w:t>凡投保时年龄不超过七十</w:t>
      </w:r>
      <w:r>
        <w:rPr>
          <w:b/>
          <w:spacing w:val="-2"/>
          <w:sz w:val="21"/>
        </w:rPr>
        <w:t>周岁</w:t>
      </w:r>
      <w:r>
        <w:rPr>
          <w:b/>
          <w:spacing w:val="-2"/>
          <w:position w:val="11"/>
          <w:sz w:val="11"/>
        </w:rPr>
        <w:t>2</w:t>
      </w:r>
      <w:r>
        <w:rPr>
          <w:spacing w:val="-2"/>
          <w:sz w:val="21"/>
        </w:rPr>
        <w:t>，能</w:t>
      </w:r>
      <w:r>
        <w:rPr>
          <w:b/>
          <w:spacing w:val="-2"/>
          <w:sz w:val="21"/>
        </w:rPr>
        <w:t>正常工作</w:t>
      </w:r>
      <w:r>
        <w:rPr>
          <w:b/>
          <w:spacing w:val="-2"/>
          <w:position w:val="11"/>
          <w:sz w:val="11"/>
        </w:rPr>
        <w:t>3</w:t>
      </w:r>
      <w:r>
        <w:rPr>
          <w:spacing w:val="-2"/>
          <w:sz w:val="21"/>
        </w:rPr>
        <w:t>、劳动或生活的人员，经本公司同意，可作为主被保险人。投保年龄按周岁计算。</w:t>
      </w:r>
    </w:p>
    <w:p>
      <w:pPr>
        <w:pStyle w:val="4"/>
        <w:spacing w:before="156" w:line="278" w:lineRule="auto"/>
        <w:ind w:left="3017" w:right="581"/>
      </w:pPr>
      <w:r>
        <w:rPr>
          <w:spacing w:val="-2"/>
        </w:rPr>
        <w:t>凡投保时年龄不超过七十周岁，能正常工作、劳动或生活的主被保险人的配偶，经本公司同意，可作为附属被保险人。</w:t>
      </w:r>
    </w:p>
    <w:p>
      <w:pPr>
        <w:pStyle w:val="4"/>
        <w:spacing w:before="156" w:line="273" w:lineRule="auto"/>
        <w:ind w:left="3017" w:right="580"/>
        <w:jc w:val="both"/>
      </w:pPr>
      <w:r>
        <w:rPr>
          <w:spacing w:val="-2"/>
        </w:rPr>
        <w:t>凡投保时年龄不超过二十一周岁（若为全日制在校学生，年龄不超过二十四周岁</w:t>
      </w:r>
      <w:r>
        <w:rPr>
          <w:spacing w:val="-106"/>
        </w:rPr>
        <w:t>）</w:t>
      </w:r>
      <w:r>
        <w:rPr>
          <w:spacing w:val="-3"/>
        </w:rPr>
        <w:t>，经济上完全依赖主被保险人的主被保险人的未婚</w:t>
      </w:r>
      <w:r>
        <w:rPr>
          <w:b/>
          <w:spacing w:val="-2"/>
        </w:rPr>
        <w:t>子女</w:t>
      </w:r>
      <w:r>
        <w:rPr>
          <w:b/>
          <w:spacing w:val="-2"/>
          <w:position w:val="11"/>
          <w:sz w:val="11"/>
        </w:rPr>
        <w:t>4</w:t>
      </w:r>
      <w:r>
        <w:rPr>
          <w:spacing w:val="-2"/>
        </w:rPr>
        <w:t>，经本公司同意，也可作为附属被保险人。</w:t>
      </w:r>
    </w:p>
    <w:p>
      <w:pPr>
        <w:pStyle w:val="4"/>
        <w:spacing w:before="162" w:line="278" w:lineRule="auto"/>
        <w:ind w:left="3017" w:right="581"/>
      </w:pPr>
      <w:r>
        <w:rPr>
          <w:spacing w:val="-2"/>
        </w:rPr>
        <w:t>除特别指明外，以下各条中与被保险人相关的表述完全适用于主被保险人和附属被保险人。</w:t>
      </w:r>
    </w:p>
    <w:p>
      <w:pPr>
        <w:pStyle w:val="4"/>
        <w:spacing w:before="156" w:line="278" w:lineRule="auto"/>
        <w:ind w:left="3017" w:right="475"/>
      </w:pPr>
      <w:r>
        <w:rPr>
          <w:spacing w:val="-2"/>
        </w:rPr>
        <w:t>在保险期间内，被保险人应当在中国大陆、中国香港特别行政区、中国澳门特别行政区以及中国台湾地区（</w:t>
      </w:r>
      <w:r>
        <w:rPr>
          <w:spacing w:val="-11"/>
        </w:rPr>
        <w:t>以下简称“大陆及港澳台”</w:t>
      </w:r>
      <w:r>
        <w:t>）</w:t>
      </w:r>
      <w:r>
        <w:rPr>
          <w:spacing w:val="-2"/>
        </w:rPr>
        <w:t>居住合计满三分之二或以上时间；投保时不属此种情形或保险期间内发生变化的，被保险人应当在投保前或发生变化时告知本公司。</w:t>
      </w:r>
    </w:p>
    <w:p>
      <w:pPr>
        <w:pStyle w:val="4"/>
        <w:spacing w:before="4"/>
        <w:rPr>
          <w:sz w:val="24"/>
        </w:rPr>
      </w:pPr>
    </w:p>
    <w:p>
      <w:pPr>
        <w:pStyle w:val="9"/>
        <w:numPr>
          <w:ilvl w:val="1"/>
          <w:numId w:val="4"/>
        </w:numPr>
        <w:tabs>
          <w:tab w:val="left" w:pos="1502"/>
          <w:tab w:val="left" w:pos="1503"/>
          <w:tab w:val="left" w:pos="3017"/>
        </w:tabs>
        <w:spacing w:before="0" w:after="0" w:line="278" w:lineRule="auto"/>
        <w:ind w:left="3017" w:right="581" w:hanging="2580"/>
        <w:jc w:val="left"/>
        <w:rPr>
          <w:sz w:val="21"/>
        </w:rPr>
      </w:pPr>
      <w:r>
        <w:rPr>
          <w:b/>
          <w:spacing w:val="-4"/>
          <w:sz w:val="21"/>
        </w:rPr>
        <w:t>参保方式</w:t>
      </w:r>
      <w:r>
        <w:rPr>
          <w:b/>
          <w:sz w:val="21"/>
        </w:rPr>
        <w:tab/>
      </w:r>
      <w:r>
        <w:rPr>
          <w:spacing w:val="-2"/>
          <w:sz w:val="21"/>
        </w:rPr>
        <w:t>根据随主被保险人投保本保险的附属被保险人的有无及其与主被保险人的身份关系，本保险中被保险人的参保方式分设有单人型、夫妇型、亲子</w:t>
      </w:r>
      <w:r>
        <w:rPr>
          <w:spacing w:val="40"/>
          <w:sz w:val="21"/>
        </w:rPr>
        <w:t xml:space="preserve"> </w:t>
      </w:r>
      <w:r>
        <w:rPr>
          <w:spacing w:val="-2"/>
          <w:sz w:val="21"/>
        </w:rPr>
        <w:t>型、家庭型，具体应当由投保人在投保时为被保险人选择，并载明于本合</w:t>
      </w:r>
      <w:r>
        <w:rPr>
          <w:spacing w:val="-4"/>
          <w:sz w:val="21"/>
        </w:rPr>
        <w:t>同中。</w:t>
      </w:r>
    </w:p>
    <w:p>
      <w:pPr>
        <w:pStyle w:val="4"/>
        <w:spacing w:before="155"/>
        <w:ind w:left="3017"/>
      </w:pPr>
      <w:r>
        <w:rPr>
          <w:spacing w:val="-2"/>
        </w:rPr>
        <w:t>（一）</w:t>
      </w:r>
      <w:r>
        <w:rPr>
          <w:spacing w:val="-3"/>
        </w:rPr>
        <w:t>单人型，无附属被保险人；</w:t>
      </w:r>
    </w:p>
    <w:p>
      <w:pPr>
        <w:pStyle w:val="4"/>
        <w:spacing w:before="8"/>
        <w:rPr>
          <w:sz w:val="15"/>
        </w:rPr>
      </w:pPr>
    </w:p>
    <w:p>
      <w:pPr>
        <w:pStyle w:val="4"/>
        <w:ind w:left="3017"/>
      </w:pPr>
      <w:r>
        <w:rPr>
          <w:spacing w:val="-2"/>
        </w:rPr>
        <w:t>（二）</w:t>
      </w:r>
      <w:r>
        <w:rPr>
          <w:spacing w:val="-3"/>
        </w:rPr>
        <w:t>夫妇型，对应的附属被保险人为主被保险人的配偶；</w:t>
      </w:r>
    </w:p>
    <w:p>
      <w:pPr>
        <w:pStyle w:val="4"/>
        <w:spacing w:before="6"/>
        <w:rPr>
          <w:sz w:val="15"/>
        </w:rPr>
      </w:pPr>
    </w:p>
    <w:p>
      <w:pPr>
        <w:pStyle w:val="4"/>
        <w:ind w:left="3017"/>
      </w:pPr>
      <w:r>
        <w:rPr>
          <w:spacing w:val="-2"/>
        </w:rPr>
        <w:t>（三）</w:t>
      </w:r>
      <w:r>
        <w:rPr>
          <w:spacing w:val="-3"/>
        </w:rPr>
        <w:t>亲子型，对应的附属被保险人为主被保险人的子女；</w:t>
      </w:r>
    </w:p>
    <w:p>
      <w:pPr>
        <w:pStyle w:val="4"/>
        <w:rPr>
          <w:sz w:val="20"/>
        </w:rPr>
      </w:pPr>
    </w:p>
    <w:p>
      <w:pPr>
        <w:pStyle w:val="4"/>
        <w:spacing w:before="12"/>
        <w:rPr>
          <w:sz w:val="11"/>
        </w:rPr>
      </w:pPr>
      <w:r>
        <w:drawing>
          <wp:anchor distT="0" distB="0" distL="0" distR="0" simplePos="0" relativeHeight="251659264" behindDoc="0" locked="0" layoutInCell="1" allowOverlap="1">
            <wp:simplePos x="0" y="0"/>
            <wp:positionH relativeFrom="page">
              <wp:posOffset>647700</wp:posOffset>
            </wp:positionH>
            <wp:positionV relativeFrom="paragraph">
              <wp:posOffset>112395</wp:posOffset>
            </wp:positionV>
            <wp:extent cx="1828800" cy="6350"/>
            <wp:effectExtent l="0" t="0" r="0" b="0"/>
            <wp:wrapTopAndBottom/>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a:picLocks noChangeAspect="1"/>
                    </pic:cNvPicPr>
                  </pic:nvPicPr>
                  <pic:blipFill>
                    <a:blip r:embed="rId9" cstate="print"/>
                    <a:stretch>
                      <a:fillRect/>
                    </a:stretch>
                  </pic:blipFill>
                  <pic:spPr>
                    <a:xfrm>
                      <a:off x="0" y="0"/>
                      <a:ext cx="1828901" cy="6095"/>
                    </a:xfrm>
                    <a:prstGeom prst="rect">
                      <a:avLst/>
                    </a:prstGeom>
                  </pic:spPr>
                </pic:pic>
              </a:graphicData>
            </a:graphic>
          </wp:anchor>
        </w:drawing>
      </w:r>
    </w:p>
    <w:p>
      <w:pPr>
        <w:spacing w:before="91"/>
        <w:ind w:left="117" w:right="0" w:firstLine="0"/>
        <w:jc w:val="left"/>
        <w:rPr>
          <w:rFonts w:ascii="楷体" w:eastAsia="楷体"/>
          <w:sz w:val="18"/>
        </w:rPr>
      </w:pPr>
      <w:r>
        <w:rPr>
          <w:b/>
          <w:w w:val="95"/>
          <w:position w:val="9"/>
          <w:sz w:val="9"/>
        </w:rPr>
        <w:t>1</w:t>
      </w:r>
      <w:r>
        <w:rPr>
          <w:rFonts w:hint="eastAsia" w:ascii="楷体" w:eastAsia="楷体"/>
          <w:b/>
          <w:w w:val="95"/>
          <w:sz w:val="18"/>
        </w:rPr>
        <w:t>约定交纳日</w:t>
      </w:r>
      <w:r>
        <w:rPr>
          <w:rFonts w:ascii="楷体" w:eastAsia="楷体"/>
          <w:w w:val="95"/>
          <w:sz w:val="18"/>
        </w:rPr>
        <w:t>：指本合同生效日在每月、每季或每半年（根据交费方式确定）的对应日。当月无对应的同一日，则以该月</w:t>
      </w:r>
      <w:r>
        <w:rPr>
          <w:rFonts w:ascii="楷体" w:eastAsia="楷体"/>
          <w:spacing w:val="-10"/>
          <w:w w:val="95"/>
          <w:sz w:val="18"/>
        </w:rPr>
        <w:t>最</w:t>
      </w:r>
    </w:p>
    <w:p>
      <w:pPr>
        <w:spacing w:before="2"/>
        <w:ind w:left="120" w:right="0" w:firstLine="0"/>
        <w:jc w:val="left"/>
        <w:rPr>
          <w:rFonts w:ascii="楷体" w:eastAsia="楷体"/>
          <w:sz w:val="18"/>
        </w:rPr>
      </w:pPr>
      <w:r>
        <w:rPr>
          <w:rFonts w:ascii="楷体" w:eastAsia="楷体"/>
          <w:spacing w:val="-2"/>
          <w:sz w:val="18"/>
        </w:rPr>
        <w:t>后一日为对应日。</w:t>
      </w:r>
    </w:p>
    <w:p>
      <w:pPr>
        <w:spacing w:before="2"/>
        <w:ind w:left="117" w:right="0" w:firstLine="0"/>
        <w:jc w:val="left"/>
        <w:rPr>
          <w:rFonts w:ascii="楷体" w:eastAsia="楷体"/>
          <w:sz w:val="18"/>
        </w:rPr>
      </w:pPr>
      <w:r>
        <w:rPr>
          <w:b/>
          <w:w w:val="95"/>
          <w:position w:val="9"/>
          <w:sz w:val="9"/>
        </w:rPr>
        <w:t>2</w:t>
      </w:r>
      <w:r>
        <w:rPr>
          <w:rFonts w:hint="eastAsia" w:ascii="楷体" w:eastAsia="楷体"/>
          <w:b/>
          <w:w w:val="95"/>
          <w:sz w:val="18"/>
        </w:rPr>
        <w:t>周岁</w:t>
      </w:r>
      <w:r>
        <w:rPr>
          <w:rFonts w:ascii="楷体" w:eastAsia="楷体"/>
          <w:w w:val="95"/>
          <w:sz w:val="18"/>
        </w:rPr>
        <w:t>：指按有效身份证件中记载的出生日期计算的实足年龄，自出生之日起为零周岁，每经过一年增加一岁，不足一年</w:t>
      </w:r>
      <w:r>
        <w:rPr>
          <w:rFonts w:ascii="楷体" w:eastAsia="楷体"/>
          <w:spacing w:val="-10"/>
          <w:w w:val="95"/>
          <w:sz w:val="18"/>
        </w:rPr>
        <w:t>的</w:t>
      </w:r>
    </w:p>
    <w:p>
      <w:pPr>
        <w:spacing w:before="5"/>
        <w:ind w:left="120" w:right="0" w:firstLine="0"/>
        <w:jc w:val="left"/>
        <w:rPr>
          <w:rFonts w:ascii="楷体" w:eastAsia="楷体"/>
          <w:sz w:val="18"/>
        </w:rPr>
      </w:pPr>
      <w:r>
        <w:rPr>
          <w:rFonts w:ascii="楷体" w:eastAsia="楷体"/>
          <w:spacing w:val="-4"/>
          <w:sz w:val="18"/>
        </w:rPr>
        <w:t>不计。</w:t>
      </w:r>
    </w:p>
    <w:p>
      <w:pPr>
        <w:spacing w:before="2"/>
        <w:ind w:left="122" w:right="0" w:firstLine="0"/>
        <w:jc w:val="left"/>
        <w:rPr>
          <w:rFonts w:ascii="楷体" w:eastAsia="楷体"/>
          <w:sz w:val="18"/>
        </w:rPr>
      </w:pPr>
      <w:r>
        <w:rPr>
          <w:rFonts w:hint="eastAsia" w:ascii="楷体" w:eastAsia="楷体"/>
          <w:b/>
          <w:w w:val="95"/>
          <w:position w:val="9"/>
          <w:sz w:val="9"/>
        </w:rPr>
        <w:t>3</w:t>
      </w:r>
      <w:r>
        <w:rPr>
          <w:rFonts w:hint="eastAsia" w:ascii="楷体" w:eastAsia="楷体"/>
          <w:b/>
          <w:w w:val="95"/>
          <w:sz w:val="18"/>
        </w:rPr>
        <w:t>正常工作</w:t>
      </w:r>
      <w:r>
        <w:rPr>
          <w:rFonts w:ascii="楷体" w:eastAsia="楷体"/>
          <w:w w:val="95"/>
          <w:sz w:val="18"/>
        </w:rPr>
        <w:t>：指全职，能够以惯常的方式履行其全部日常职责，且每周工作时间不少于二十小时</w:t>
      </w:r>
      <w:r>
        <w:rPr>
          <w:rFonts w:ascii="楷体" w:eastAsia="楷体"/>
          <w:spacing w:val="-10"/>
          <w:w w:val="95"/>
          <w:sz w:val="18"/>
        </w:rPr>
        <w:t>。</w:t>
      </w:r>
    </w:p>
    <w:p>
      <w:pPr>
        <w:spacing w:before="2"/>
        <w:ind w:left="120" w:right="0" w:firstLine="0"/>
        <w:jc w:val="left"/>
        <w:rPr>
          <w:rFonts w:ascii="楷体" w:eastAsia="楷体"/>
          <w:sz w:val="18"/>
        </w:rPr>
      </w:pPr>
      <w:r>
        <w:rPr>
          <w:rFonts w:hint="eastAsia" w:ascii="楷体" w:eastAsia="楷体"/>
          <w:b/>
          <w:w w:val="95"/>
          <w:position w:val="9"/>
          <w:sz w:val="9"/>
        </w:rPr>
        <w:t>4</w:t>
      </w:r>
      <w:r>
        <w:rPr>
          <w:rFonts w:hint="eastAsia" w:ascii="楷体" w:eastAsia="楷体"/>
          <w:b/>
          <w:w w:val="95"/>
          <w:sz w:val="18"/>
        </w:rPr>
        <w:t>子女：</w:t>
      </w:r>
      <w:r>
        <w:rPr>
          <w:rFonts w:ascii="楷体" w:eastAsia="楷体"/>
          <w:w w:val="95"/>
          <w:sz w:val="18"/>
        </w:rPr>
        <w:t>指与主被保险人存在父母－子女关系的婚生或非婚生子女、养子女和抚养关系的继子女</w:t>
      </w:r>
      <w:r>
        <w:rPr>
          <w:rFonts w:ascii="楷体" w:eastAsia="楷体"/>
          <w:spacing w:val="-10"/>
          <w:w w:val="95"/>
          <w:sz w:val="18"/>
        </w:rPr>
        <w:t>。</w:t>
      </w:r>
    </w:p>
    <w:p>
      <w:pPr>
        <w:spacing w:after="0"/>
        <w:jc w:val="left"/>
        <w:rPr>
          <w:rFonts w:ascii="楷体" w:eastAsia="楷体"/>
          <w:sz w:val="18"/>
        </w:rPr>
        <w:sectPr>
          <w:type w:val="continuous"/>
          <w:pgSz w:w="11910" w:h="16840"/>
          <w:pgMar w:top="480" w:right="680" w:bottom="280" w:left="900" w:header="720" w:footer="720" w:gutter="0"/>
          <w:cols w:space="720" w:num="1"/>
        </w:sectPr>
      </w:pPr>
    </w:p>
    <w:p>
      <w:pPr>
        <w:pStyle w:val="4"/>
        <w:spacing w:before="44"/>
        <w:ind w:left="3017"/>
      </w:pPr>
      <w:r>
        <w:rPr>
          <w:spacing w:val="-2"/>
        </w:rPr>
        <w:t>（四）</w:t>
      </w:r>
      <w:r>
        <w:rPr>
          <w:spacing w:val="-3"/>
        </w:rPr>
        <w:t>家庭型，对应的附属被保险人为主被保险人的配偶和子女。</w:t>
      </w:r>
    </w:p>
    <w:p>
      <w:pPr>
        <w:pStyle w:val="4"/>
        <w:spacing w:before="9"/>
        <w:rPr>
          <w:sz w:val="27"/>
        </w:rPr>
      </w:pPr>
    </w:p>
    <w:p>
      <w:pPr>
        <w:pStyle w:val="9"/>
        <w:numPr>
          <w:ilvl w:val="1"/>
          <w:numId w:val="4"/>
        </w:numPr>
        <w:tabs>
          <w:tab w:val="left" w:pos="1503"/>
        </w:tabs>
        <w:spacing w:before="1" w:after="0" w:line="278" w:lineRule="auto"/>
        <w:ind w:left="3017" w:right="789" w:hanging="2580"/>
        <w:jc w:val="both"/>
        <w:rPr>
          <w:sz w:val="21"/>
        </w:rPr>
      </w:pPr>
      <w:r>
        <w:rPr>
          <w:b/>
          <w:sz w:val="21"/>
        </w:rPr>
        <w:t>保险卡</w:t>
      </w:r>
      <w:r>
        <w:rPr>
          <w:b/>
          <w:spacing w:val="749"/>
          <w:sz w:val="21"/>
        </w:rPr>
        <w:t xml:space="preserve"> </w:t>
      </w:r>
      <w:r>
        <w:rPr>
          <w:sz w:val="21"/>
        </w:rPr>
        <w:t>本公司承保后，将为被保险人发放保险卡，该保险卡将载明被保险人姓</w:t>
      </w:r>
      <w:r>
        <w:rPr>
          <w:spacing w:val="-2"/>
          <w:sz w:val="21"/>
        </w:rPr>
        <w:t>名、保险单号码、保险期间、保险计划、赔付比例、次免赔额或年免赔额、医疗服务网络、理赔申请等有关信息。</w:t>
      </w:r>
    </w:p>
    <w:p>
      <w:pPr>
        <w:pStyle w:val="4"/>
        <w:spacing w:before="155" w:line="278" w:lineRule="auto"/>
        <w:ind w:left="3017" w:right="790"/>
      </w:pPr>
      <w:r>
        <w:rPr>
          <w:spacing w:val="-2"/>
        </w:rPr>
        <w:t xml:space="preserve">保险卡，是被保险人在在本公司医疗服务网络内的医疗机构（以下简称 </w:t>
      </w:r>
      <w:r>
        <w:rPr>
          <w:spacing w:val="-15"/>
        </w:rPr>
        <w:t>“网络医疗机构”</w:t>
      </w:r>
      <w:r>
        <w:rPr>
          <w:spacing w:val="-3"/>
        </w:rPr>
        <w:t>）</w:t>
      </w:r>
      <w:r>
        <w:rPr>
          <w:spacing w:val="-2"/>
        </w:rPr>
        <w:t>享受直接付费服务的凭证。</w:t>
      </w:r>
    </w:p>
    <w:p>
      <w:pPr>
        <w:pStyle w:val="4"/>
        <w:spacing w:before="1"/>
        <w:rPr>
          <w:sz w:val="27"/>
        </w:rPr>
      </w:pPr>
    </w:p>
    <w:p>
      <w:pPr>
        <w:pStyle w:val="2"/>
        <w:numPr>
          <w:ilvl w:val="0"/>
          <w:numId w:val="4"/>
        </w:numPr>
        <w:tabs>
          <w:tab w:val="left" w:pos="1502"/>
          <w:tab w:val="left" w:pos="1503"/>
        </w:tabs>
        <w:spacing w:before="1" w:after="0" w:line="240" w:lineRule="auto"/>
        <w:ind w:left="1502" w:right="0" w:hanging="1066"/>
        <w:jc w:val="left"/>
      </w:pPr>
      <w:r>
        <w:rPr>
          <w:w w:val="95"/>
        </w:rPr>
        <w:t>提供的保</w:t>
      </w:r>
      <w:r>
        <w:rPr>
          <w:spacing w:val="-10"/>
          <w:w w:val="95"/>
        </w:rPr>
        <w:t>障</w:t>
      </w:r>
    </w:p>
    <w:p>
      <w:pPr>
        <w:pStyle w:val="4"/>
        <w:spacing w:before="5"/>
        <w:rPr>
          <w:b/>
          <w:sz w:val="14"/>
        </w:rPr>
      </w:pPr>
      <w:r>
        <w:drawing>
          <wp:anchor distT="0" distB="0" distL="0" distR="0" simplePos="0" relativeHeight="251659264" behindDoc="0" locked="0" layoutInCell="1" allowOverlap="1">
            <wp:simplePos x="0" y="0"/>
            <wp:positionH relativeFrom="page">
              <wp:posOffset>779780</wp:posOffset>
            </wp:positionH>
            <wp:positionV relativeFrom="paragraph">
              <wp:posOffset>132715</wp:posOffset>
            </wp:positionV>
            <wp:extent cx="6129020" cy="12065"/>
            <wp:effectExtent l="0" t="0" r="0" b="0"/>
            <wp:wrapTopAndBottom/>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a:picLocks noChangeAspect="1"/>
                    </pic:cNvPicPr>
                  </pic:nvPicPr>
                  <pic:blipFill>
                    <a:blip r:embed="rId10" cstate="print"/>
                    <a:stretch>
                      <a:fillRect/>
                    </a:stretch>
                  </pic:blipFill>
                  <pic:spPr>
                    <a:xfrm>
                      <a:off x="0" y="0"/>
                      <a:ext cx="6129210" cy="12192"/>
                    </a:xfrm>
                    <a:prstGeom prst="rect">
                      <a:avLst/>
                    </a:prstGeom>
                  </pic:spPr>
                </pic:pic>
              </a:graphicData>
            </a:graphic>
          </wp:anchor>
        </w:drawing>
      </w:r>
    </w:p>
    <w:p>
      <w:pPr>
        <w:pStyle w:val="9"/>
        <w:numPr>
          <w:ilvl w:val="1"/>
          <w:numId w:val="4"/>
        </w:numPr>
        <w:tabs>
          <w:tab w:val="left" w:pos="1502"/>
          <w:tab w:val="left" w:pos="1503"/>
          <w:tab w:val="left" w:pos="3017"/>
        </w:tabs>
        <w:spacing w:before="178" w:after="0" w:line="276" w:lineRule="auto"/>
        <w:ind w:left="3017" w:right="465" w:hanging="2580"/>
        <w:jc w:val="left"/>
        <w:rPr>
          <w:sz w:val="21"/>
        </w:rPr>
      </w:pPr>
      <w:r>
        <w:rPr>
          <w:b/>
          <w:spacing w:val="-4"/>
          <w:sz w:val="21"/>
        </w:rPr>
        <w:t>保险计划</w:t>
      </w:r>
      <w:r>
        <w:rPr>
          <w:b/>
          <w:sz w:val="21"/>
        </w:rPr>
        <w:tab/>
      </w:r>
      <w:r>
        <w:rPr>
          <w:spacing w:val="-2"/>
          <w:sz w:val="21"/>
        </w:rPr>
        <w:t>被保险人的保险计划，以及保险计划中涉及的保障地域、保险金额、</w:t>
      </w:r>
      <w:r>
        <w:rPr>
          <w:b/>
          <w:spacing w:val="-2"/>
          <w:sz w:val="21"/>
        </w:rPr>
        <w:t>年免赔额</w:t>
      </w:r>
      <w:r>
        <w:rPr>
          <w:spacing w:val="-2"/>
          <w:position w:val="11"/>
          <w:sz w:val="11"/>
        </w:rPr>
        <w:t>5</w:t>
      </w:r>
      <w:r>
        <w:rPr>
          <w:spacing w:val="-2"/>
          <w:sz w:val="21"/>
        </w:rPr>
        <w:t>、</w:t>
      </w:r>
      <w:r>
        <w:rPr>
          <w:b/>
          <w:spacing w:val="-2"/>
          <w:sz w:val="21"/>
        </w:rPr>
        <w:t>次免赔额</w:t>
      </w:r>
      <w:r>
        <w:rPr>
          <w:spacing w:val="-2"/>
          <w:position w:val="11"/>
          <w:sz w:val="11"/>
        </w:rPr>
        <w:t>6</w:t>
      </w:r>
      <w:r>
        <w:rPr>
          <w:spacing w:val="-2"/>
          <w:sz w:val="21"/>
        </w:rPr>
        <w:t>、医疗机构及赔付比例详见保障福利表。具体由投保人在投保时与本公司约定，并在本合同中载明。</w:t>
      </w:r>
      <w:r>
        <w:rPr>
          <w:color w:val="000000"/>
          <w:spacing w:val="-2"/>
          <w:sz w:val="21"/>
          <w:shd w:val="clear" w:color="auto" w:fill="E4E4E4"/>
        </w:rPr>
        <w:t>保险计划对与每一保险计划对</w:t>
      </w:r>
      <w:r>
        <w:rPr>
          <w:color w:val="000000"/>
          <w:spacing w:val="13125"/>
          <w:sz w:val="21"/>
          <w:shd w:val="clear" w:color="auto" w:fill="E4E4E4"/>
        </w:rPr>
        <w:t xml:space="preserve"> </w:t>
      </w:r>
      <w:r>
        <w:rPr>
          <w:color w:val="000000"/>
          <w:spacing w:val="-2"/>
          <w:sz w:val="21"/>
          <w:shd w:val="clear" w:color="auto" w:fill="E4E4E4"/>
        </w:rPr>
        <w:t>应的保障地域具体约定如下，本公司仅对被保险人保险期间内在相应保障地域内发生的保险责任范围内的费用，按照本合同的约定给付保险金。</w:t>
      </w:r>
    </w:p>
    <w:p>
      <w:pPr>
        <w:pStyle w:val="4"/>
        <w:spacing w:before="1"/>
        <w:rPr>
          <w:sz w:val="19"/>
        </w:rPr>
      </w:pPr>
    </w:p>
    <w:p>
      <w:pPr>
        <w:pStyle w:val="9"/>
        <w:numPr>
          <w:ilvl w:val="1"/>
          <w:numId w:val="4"/>
        </w:numPr>
        <w:tabs>
          <w:tab w:val="left" w:pos="1503"/>
        </w:tabs>
        <w:spacing w:before="72" w:after="0" w:line="278" w:lineRule="auto"/>
        <w:ind w:left="3017" w:right="449" w:hanging="2580"/>
        <w:jc w:val="both"/>
        <w:rPr>
          <w:sz w:val="21"/>
        </w:rPr>
      </w:pPr>
      <w:r>
        <w:rPr>
          <w:b/>
          <w:spacing w:val="91"/>
          <w:sz w:val="21"/>
        </w:rPr>
        <w:t xml:space="preserve">保障地域 </w:t>
      </w:r>
      <w:r>
        <w:rPr>
          <w:sz w:val="21"/>
        </w:rPr>
        <w:t>本保险的保障地域分设有全球保障、国际保障、国际增强保障、大陆及港澳</w:t>
      </w:r>
      <w:r>
        <w:rPr>
          <w:spacing w:val="-4"/>
          <w:sz w:val="21"/>
        </w:rPr>
        <w:t>台保障、大陆及港澳台增强保障、中国大陆保障、中国大陆增强保障，具体</w:t>
      </w:r>
      <w:r>
        <w:rPr>
          <w:spacing w:val="-2"/>
          <w:sz w:val="21"/>
        </w:rPr>
        <w:t>应当由投保人在投保时为每一被保险人选择，并载明于本合同中。</w:t>
      </w:r>
    </w:p>
    <w:p>
      <w:pPr>
        <w:pStyle w:val="4"/>
        <w:spacing w:before="155" w:line="278" w:lineRule="auto"/>
        <w:ind w:left="3017" w:right="581"/>
      </w:pPr>
      <w:r>
        <w:rPr>
          <w:spacing w:val="-2"/>
        </w:rPr>
        <w:t>对于每一保障区域具体约定如下，本公司仅对被保险人保险期间内在相应保障区域内发生的保险责任范围内的费用，按照本合同的约定给付保险</w:t>
      </w:r>
      <w:r>
        <w:rPr>
          <w:spacing w:val="40"/>
        </w:rPr>
        <w:t xml:space="preserve"> </w:t>
      </w:r>
      <w:r>
        <w:rPr>
          <w:spacing w:val="-6"/>
        </w:rPr>
        <w:t>金。</w:t>
      </w:r>
    </w:p>
    <w:p>
      <w:pPr>
        <w:pStyle w:val="4"/>
        <w:spacing w:before="5"/>
        <w:rPr>
          <w:sz w:val="24"/>
        </w:rPr>
      </w:pPr>
    </w:p>
    <w:p>
      <w:pPr>
        <w:pStyle w:val="9"/>
        <w:numPr>
          <w:ilvl w:val="2"/>
          <w:numId w:val="4"/>
        </w:numPr>
        <w:tabs>
          <w:tab w:val="left" w:pos="1502"/>
          <w:tab w:val="left" w:pos="1503"/>
          <w:tab w:val="left" w:pos="3017"/>
        </w:tabs>
        <w:spacing w:before="0" w:after="0" w:line="240" w:lineRule="auto"/>
        <w:ind w:left="1502" w:right="0" w:hanging="855"/>
        <w:jc w:val="left"/>
        <w:rPr>
          <w:sz w:val="21"/>
        </w:rPr>
      </w:pPr>
      <w:r>
        <w:rPr>
          <w:b/>
          <w:sz w:val="21"/>
        </w:rPr>
        <w:t>全球保</w:t>
      </w:r>
      <w:r>
        <w:rPr>
          <w:b/>
          <w:spacing w:val="-10"/>
          <w:sz w:val="21"/>
        </w:rPr>
        <w:t>障</w:t>
      </w:r>
      <w:r>
        <w:rPr>
          <w:b/>
          <w:sz w:val="21"/>
        </w:rPr>
        <w:tab/>
      </w:r>
      <w:r>
        <w:rPr>
          <w:spacing w:val="-2"/>
          <w:sz w:val="21"/>
        </w:rPr>
        <w:t>保障区域为全球任何国家和地区</w:t>
      </w:r>
      <w:r>
        <w:rPr>
          <w:spacing w:val="-10"/>
          <w:sz w:val="21"/>
        </w:rPr>
        <w:t>。</w:t>
      </w:r>
    </w:p>
    <w:p>
      <w:pPr>
        <w:pStyle w:val="4"/>
        <w:spacing w:before="9"/>
        <w:rPr>
          <w:sz w:val="27"/>
        </w:rPr>
      </w:pPr>
    </w:p>
    <w:p>
      <w:pPr>
        <w:pStyle w:val="9"/>
        <w:numPr>
          <w:ilvl w:val="2"/>
          <w:numId w:val="4"/>
        </w:numPr>
        <w:tabs>
          <w:tab w:val="left" w:pos="1502"/>
          <w:tab w:val="left" w:pos="1503"/>
          <w:tab w:val="left" w:pos="3017"/>
        </w:tabs>
        <w:spacing w:before="0" w:after="0" w:line="240" w:lineRule="auto"/>
        <w:ind w:left="1502" w:right="0" w:hanging="855"/>
        <w:jc w:val="left"/>
        <w:rPr>
          <w:sz w:val="21"/>
        </w:rPr>
      </w:pPr>
      <w:r>
        <w:rPr>
          <w:b/>
          <w:sz w:val="21"/>
        </w:rPr>
        <w:t>国际保</w:t>
      </w:r>
      <w:r>
        <w:rPr>
          <w:b/>
          <w:spacing w:val="-10"/>
          <w:sz w:val="21"/>
        </w:rPr>
        <w:t>障</w:t>
      </w:r>
      <w:r>
        <w:rPr>
          <w:b/>
          <w:sz w:val="21"/>
        </w:rPr>
        <w:tab/>
      </w:r>
      <w:r>
        <w:rPr>
          <w:spacing w:val="-2"/>
          <w:sz w:val="21"/>
        </w:rPr>
        <w:t>保障区域为除美国、加拿大外的全球任何国家和地区</w:t>
      </w:r>
      <w:r>
        <w:rPr>
          <w:spacing w:val="-10"/>
          <w:sz w:val="21"/>
        </w:rPr>
        <w:t>。</w:t>
      </w:r>
    </w:p>
    <w:p>
      <w:pPr>
        <w:pStyle w:val="4"/>
        <w:spacing w:before="9"/>
        <w:rPr>
          <w:sz w:val="27"/>
        </w:rPr>
      </w:pPr>
    </w:p>
    <w:p>
      <w:pPr>
        <w:pStyle w:val="9"/>
        <w:numPr>
          <w:ilvl w:val="2"/>
          <w:numId w:val="4"/>
        </w:numPr>
        <w:tabs>
          <w:tab w:val="left" w:pos="1503"/>
        </w:tabs>
        <w:spacing w:before="0" w:after="0" w:line="278" w:lineRule="auto"/>
        <w:ind w:left="3017" w:right="580" w:hanging="2369"/>
        <w:jc w:val="both"/>
        <w:rPr>
          <w:sz w:val="21"/>
        </w:rPr>
      </w:pPr>
      <w:r>
        <w:rPr>
          <w:b/>
          <w:sz w:val="21"/>
        </w:rPr>
        <w:t xml:space="preserve">国际增强保障 </w:t>
      </w:r>
      <w:r>
        <w:rPr>
          <w:sz w:val="21"/>
        </w:rPr>
        <w:t>保障区域同国际保障，且本公司对对应的被保险人在美国和加拿大地区发</w:t>
      </w:r>
      <w:r>
        <w:rPr>
          <w:spacing w:val="-2"/>
          <w:sz w:val="21"/>
        </w:rPr>
        <w:t>生的、与紧急医疗对应的保险责任范围内的费用也提供保险保障。</w:t>
      </w:r>
    </w:p>
    <w:p>
      <w:pPr>
        <w:pStyle w:val="4"/>
        <w:spacing w:before="156" w:line="278" w:lineRule="auto"/>
        <w:ind w:left="3017" w:right="580"/>
        <w:jc w:val="both"/>
      </w:pPr>
      <w:r>
        <w:rPr>
          <w:spacing w:val="-2"/>
        </w:rPr>
        <w:t>对应的被保险人在美国和加拿大地区接受紧急医疗前，须获得本公司的许可，本公司将引导该被保险人至最近且合适的网络医疗机构就医；</w:t>
      </w:r>
      <w:r>
        <w:rPr>
          <w:color w:val="000000"/>
          <w:spacing w:val="-2"/>
          <w:shd w:val="clear" w:color="auto" w:fill="E4E4E4"/>
        </w:rPr>
        <w:t>本公司</w:t>
      </w:r>
      <w:r>
        <w:rPr>
          <w:color w:val="000000"/>
          <w:spacing w:val="40"/>
          <w:shd w:val="clear" w:color="auto" w:fill="E4E4E4"/>
        </w:rPr>
        <w:t xml:space="preserve"> </w:t>
      </w:r>
      <w:r>
        <w:rPr>
          <w:color w:val="000000"/>
          <w:spacing w:val="-2"/>
          <w:shd w:val="clear" w:color="auto" w:fill="E4E4E4"/>
        </w:rPr>
        <w:t>对被保险人未经本公司许可在美国和加拿大地区接受治疗发生的任何费用不承担保险责任，被保险人在接受紧急医疗前根本无法联系本公司的情形不在此限，但该被保险人也须在该紧急情况发生后四十八小时内联系本公</w:t>
      </w:r>
      <w:r>
        <w:rPr>
          <w:color w:val="000000"/>
          <w:spacing w:val="-6"/>
          <w:shd w:val="clear" w:color="auto" w:fill="E4E4E4"/>
        </w:rPr>
        <w:t>司。</w:t>
      </w:r>
    </w:p>
    <w:p>
      <w:pPr>
        <w:pStyle w:val="4"/>
        <w:spacing w:before="4"/>
        <w:rPr>
          <w:sz w:val="24"/>
        </w:rPr>
      </w:pPr>
    </w:p>
    <w:p>
      <w:pPr>
        <w:pStyle w:val="9"/>
        <w:numPr>
          <w:ilvl w:val="2"/>
          <w:numId w:val="4"/>
        </w:numPr>
        <w:tabs>
          <w:tab w:val="left" w:pos="1502"/>
          <w:tab w:val="left" w:pos="1503"/>
        </w:tabs>
        <w:spacing w:before="0" w:after="0" w:line="240" w:lineRule="auto"/>
        <w:ind w:left="1502" w:right="0" w:hanging="855"/>
        <w:jc w:val="left"/>
        <w:rPr>
          <w:sz w:val="21"/>
        </w:rPr>
      </w:pPr>
      <w:r>
        <w:rPr>
          <w:b/>
          <w:spacing w:val="17"/>
          <w:sz w:val="21"/>
        </w:rPr>
        <w:t xml:space="preserve">大陆及港澳台 </w:t>
      </w:r>
      <w:r>
        <w:rPr>
          <w:spacing w:val="-1"/>
          <w:sz w:val="21"/>
        </w:rPr>
        <w:t>保障区域为大陆及港澳台。</w:t>
      </w:r>
    </w:p>
    <w:p>
      <w:pPr>
        <w:pStyle w:val="4"/>
        <w:rPr>
          <w:sz w:val="20"/>
        </w:rPr>
      </w:pPr>
    </w:p>
    <w:p>
      <w:pPr>
        <w:pStyle w:val="4"/>
        <w:rPr>
          <w:sz w:val="25"/>
        </w:rPr>
      </w:pPr>
      <w:r>
        <w:drawing>
          <wp:anchor distT="0" distB="0" distL="0" distR="0" simplePos="0" relativeHeight="251659264" behindDoc="0" locked="0" layoutInCell="1" allowOverlap="1">
            <wp:simplePos x="0" y="0"/>
            <wp:positionH relativeFrom="page">
              <wp:posOffset>685800</wp:posOffset>
            </wp:positionH>
            <wp:positionV relativeFrom="paragraph">
              <wp:posOffset>218440</wp:posOffset>
            </wp:positionV>
            <wp:extent cx="1829435" cy="6350"/>
            <wp:effectExtent l="0" t="0" r="0" b="0"/>
            <wp:wrapTopAndBottom/>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a:picLocks noChangeAspect="1"/>
                    </pic:cNvPicPr>
                  </pic:nvPicPr>
                  <pic:blipFill>
                    <a:blip r:embed="rId11" cstate="print"/>
                    <a:stretch>
                      <a:fillRect/>
                    </a:stretch>
                  </pic:blipFill>
                  <pic:spPr>
                    <a:xfrm>
                      <a:off x="0" y="0"/>
                      <a:ext cx="1829511" cy="6096"/>
                    </a:xfrm>
                    <a:prstGeom prst="rect">
                      <a:avLst/>
                    </a:prstGeom>
                  </pic:spPr>
                </pic:pic>
              </a:graphicData>
            </a:graphic>
          </wp:anchor>
        </w:drawing>
      </w:r>
    </w:p>
    <w:p>
      <w:pPr>
        <w:spacing w:before="91"/>
        <w:ind w:left="180" w:right="0" w:firstLine="0"/>
        <w:jc w:val="left"/>
        <w:rPr>
          <w:rFonts w:ascii="楷体" w:eastAsia="楷体"/>
          <w:sz w:val="18"/>
        </w:rPr>
      </w:pPr>
      <w:r>
        <w:rPr>
          <w:rFonts w:hint="eastAsia" w:ascii="楷体" w:eastAsia="楷体"/>
          <w:b/>
          <w:position w:val="9"/>
          <w:sz w:val="9"/>
        </w:rPr>
        <w:t>5</w:t>
      </w:r>
      <w:r>
        <w:rPr>
          <w:rFonts w:ascii="楷体" w:eastAsia="楷体"/>
          <w:spacing w:val="-1"/>
          <w:sz w:val="18"/>
        </w:rPr>
        <w:t>年免赔额：指每一保险期间每一被保险人发生的保险责任范围内的累计费用中须先由每一被保险人自行负担的金额，本公</w:t>
      </w:r>
    </w:p>
    <w:p>
      <w:pPr>
        <w:spacing w:before="2"/>
        <w:ind w:left="180" w:right="0" w:firstLine="0"/>
        <w:jc w:val="left"/>
        <w:rPr>
          <w:rFonts w:ascii="楷体" w:eastAsia="楷体"/>
          <w:sz w:val="18"/>
        </w:rPr>
      </w:pPr>
      <w:r>
        <w:rPr>
          <w:rFonts w:ascii="楷体" w:eastAsia="楷体"/>
          <w:spacing w:val="-1"/>
          <w:sz w:val="18"/>
        </w:rPr>
        <w:t>司对此不负责给付保险金。</w:t>
      </w:r>
    </w:p>
    <w:p>
      <w:pPr>
        <w:spacing w:before="2"/>
        <w:ind w:left="180" w:right="0" w:firstLine="0"/>
        <w:jc w:val="left"/>
        <w:rPr>
          <w:rFonts w:ascii="楷体" w:eastAsia="楷体"/>
          <w:sz w:val="18"/>
        </w:rPr>
      </w:pPr>
      <w:r>
        <w:rPr>
          <w:rFonts w:hint="eastAsia" w:ascii="楷体" w:eastAsia="楷体"/>
          <w:b/>
          <w:position w:val="9"/>
          <w:sz w:val="9"/>
        </w:rPr>
        <w:t>6</w:t>
      </w:r>
      <w:r>
        <w:rPr>
          <w:rFonts w:ascii="楷体" w:eastAsia="楷体"/>
          <w:spacing w:val="-1"/>
          <w:sz w:val="18"/>
        </w:rPr>
        <w:t>次免赔额：指被保险人每次治疗发生的保险责任范围内的费用中须先由被保险人自行负担的金额，本公司对此不负责给付</w:t>
      </w:r>
    </w:p>
    <w:p>
      <w:pPr>
        <w:spacing w:before="5"/>
        <w:ind w:left="180" w:right="0" w:firstLine="0"/>
        <w:jc w:val="left"/>
        <w:rPr>
          <w:rFonts w:ascii="楷体" w:eastAsia="楷体"/>
          <w:sz w:val="18"/>
        </w:rPr>
      </w:pPr>
      <w:r>
        <w:rPr>
          <w:rFonts w:ascii="楷体" w:eastAsia="楷体"/>
          <w:spacing w:val="-3"/>
          <w:sz w:val="18"/>
        </w:rPr>
        <w:t>保险金。</w:t>
      </w:r>
    </w:p>
    <w:p>
      <w:pPr>
        <w:spacing w:after="0"/>
        <w:jc w:val="left"/>
        <w:rPr>
          <w:rFonts w:ascii="楷体" w:eastAsia="楷体"/>
          <w:sz w:val="18"/>
        </w:rPr>
        <w:sectPr>
          <w:pgSz w:w="11910" w:h="16840"/>
          <w:pgMar w:top="1400" w:right="680" w:bottom="280" w:left="900" w:header="720" w:footer="720" w:gutter="0"/>
          <w:cols w:space="720" w:num="1"/>
        </w:sectPr>
      </w:pPr>
    </w:p>
    <w:p>
      <w:pPr>
        <w:spacing w:before="44"/>
        <w:ind w:left="1502" w:right="0" w:firstLine="0"/>
        <w:jc w:val="left"/>
        <w:rPr>
          <w:b/>
          <w:sz w:val="21"/>
        </w:rPr>
      </w:pPr>
      <w:r>
        <w:rPr>
          <w:b/>
          <w:spacing w:val="-5"/>
          <w:sz w:val="21"/>
        </w:rPr>
        <w:t>保障</w:t>
      </w:r>
    </w:p>
    <w:p>
      <w:pPr>
        <w:pStyle w:val="4"/>
        <w:spacing w:before="2"/>
        <w:rPr>
          <w:b/>
          <w:sz w:val="22"/>
        </w:rPr>
      </w:pPr>
    </w:p>
    <w:p>
      <w:pPr>
        <w:spacing w:after="0"/>
        <w:rPr>
          <w:sz w:val="22"/>
        </w:rPr>
        <w:sectPr>
          <w:pgSz w:w="11910" w:h="16840"/>
          <w:pgMar w:top="1400" w:right="680" w:bottom="280" w:left="900" w:header="720" w:footer="720" w:gutter="0"/>
          <w:cols w:space="720" w:num="1"/>
        </w:sectPr>
      </w:pPr>
    </w:p>
    <w:p>
      <w:pPr>
        <w:pStyle w:val="9"/>
        <w:numPr>
          <w:ilvl w:val="2"/>
          <w:numId w:val="4"/>
        </w:numPr>
        <w:tabs>
          <w:tab w:val="left" w:pos="1502"/>
          <w:tab w:val="left" w:pos="1503"/>
        </w:tabs>
        <w:spacing w:before="72" w:after="0" w:line="240" w:lineRule="auto"/>
        <w:ind w:left="1502" w:right="0" w:hanging="855"/>
        <w:jc w:val="left"/>
        <w:rPr>
          <w:b/>
          <w:sz w:val="21"/>
        </w:rPr>
      </w:pPr>
      <w:r>
        <w:rPr>
          <w:b/>
          <w:spacing w:val="-2"/>
          <w:sz w:val="21"/>
        </w:rPr>
        <w:t>大陆及港澳台</w:t>
      </w:r>
    </w:p>
    <w:p>
      <w:pPr>
        <w:spacing w:before="42"/>
        <w:ind w:left="1502" w:right="0" w:firstLine="0"/>
        <w:jc w:val="left"/>
        <w:rPr>
          <w:b/>
          <w:sz w:val="21"/>
        </w:rPr>
      </w:pPr>
      <w:r>
        <w:rPr>
          <w:b/>
          <w:spacing w:val="-3"/>
          <w:sz w:val="21"/>
        </w:rPr>
        <w:t>增强保障</w:t>
      </w:r>
    </w:p>
    <w:p>
      <w:pPr>
        <w:pStyle w:val="4"/>
        <w:spacing w:before="72" w:line="278" w:lineRule="auto"/>
        <w:ind w:left="207" w:right="580"/>
        <w:jc w:val="both"/>
      </w:pPr>
      <w:r>
        <w:br w:type="column"/>
      </w:r>
      <w:r>
        <w:rPr>
          <w:spacing w:val="-2"/>
        </w:rPr>
        <w:t>保障区域同大陆及港澳台保障，且本公司对对应的被保险人在大陆及港澳台以外地区发生的、与紧急医疗对应的保险责任范围内的费用也提供保险</w:t>
      </w:r>
      <w:r>
        <w:rPr>
          <w:spacing w:val="-4"/>
        </w:rPr>
        <w:t>保障。</w:t>
      </w:r>
    </w:p>
    <w:p>
      <w:pPr>
        <w:pStyle w:val="4"/>
        <w:spacing w:before="155" w:line="278" w:lineRule="auto"/>
        <w:ind w:left="207" w:right="580"/>
        <w:jc w:val="both"/>
      </w:pPr>
      <w:r>
        <w:rPr>
          <w:spacing w:val="-2"/>
        </w:rPr>
        <w:t>对应的被保险人在大陆及港澳台以外地区接受紧急医疗前，须获得本公司的许可，本公司将引导该被保险人至最近且合适的网络医疗机构就医；</w:t>
      </w:r>
      <w:r>
        <w:rPr>
          <w:color w:val="000000"/>
          <w:spacing w:val="-2"/>
          <w:shd w:val="clear" w:color="auto" w:fill="E4E4E4"/>
        </w:rPr>
        <w:t>本</w:t>
      </w:r>
      <w:r>
        <w:rPr>
          <w:color w:val="000000"/>
          <w:spacing w:val="40"/>
          <w:shd w:val="clear" w:color="auto" w:fill="E4E4E4"/>
        </w:rPr>
        <w:t xml:space="preserve"> </w:t>
      </w:r>
      <w:r>
        <w:rPr>
          <w:color w:val="000000"/>
          <w:spacing w:val="-2"/>
          <w:shd w:val="clear" w:color="auto" w:fill="E4E4E4"/>
        </w:rPr>
        <w:t>公司对被保险人未经本公司许可在大陆及港澳台以外地区接受治疗发生的任何费用不承担保险责任，被保险人在接受紧急医疗前根本无法联系本公司的情形不在此限，但该被保险人也须在该紧急情况发生后四十八小时内联系本公司。</w:t>
      </w:r>
    </w:p>
    <w:p>
      <w:pPr>
        <w:spacing w:after="0" w:line="278" w:lineRule="auto"/>
        <w:jc w:val="both"/>
        <w:sectPr>
          <w:type w:val="continuous"/>
          <w:pgSz w:w="11910" w:h="16840"/>
          <w:pgMar w:top="480" w:right="680" w:bottom="280" w:left="900" w:header="720" w:footer="720" w:gutter="0"/>
          <w:cols w:equalWidth="0" w:num="2">
            <w:col w:w="2771" w:space="40"/>
            <w:col w:w="7519"/>
          </w:cols>
        </w:sectPr>
      </w:pPr>
    </w:p>
    <w:p>
      <w:pPr>
        <w:pStyle w:val="4"/>
        <w:spacing w:before="10"/>
        <w:rPr>
          <w:sz w:val="18"/>
        </w:rPr>
      </w:pPr>
    </w:p>
    <w:p>
      <w:pPr>
        <w:pStyle w:val="9"/>
        <w:numPr>
          <w:ilvl w:val="2"/>
          <w:numId w:val="4"/>
        </w:numPr>
        <w:tabs>
          <w:tab w:val="left" w:pos="1502"/>
          <w:tab w:val="left" w:pos="1503"/>
        </w:tabs>
        <w:spacing w:before="72" w:after="0" w:line="240" w:lineRule="auto"/>
        <w:ind w:left="1502" w:right="0" w:hanging="855"/>
        <w:jc w:val="left"/>
        <w:rPr>
          <w:sz w:val="21"/>
        </w:rPr>
      </w:pPr>
      <w:r>
        <w:rPr>
          <w:b/>
          <w:spacing w:val="18"/>
          <w:sz w:val="21"/>
        </w:rPr>
        <w:t xml:space="preserve">中国大陆保障 </w:t>
      </w:r>
      <w:r>
        <w:rPr>
          <w:spacing w:val="-1"/>
          <w:sz w:val="21"/>
        </w:rPr>
        <w:t>保障区域为中国大陆。</w:t>
      </w:r>
    </w:p>
    <w:p>
      <w:pPr>
        <w:pStyle w:val="4"/>
        <w:spacing w:before="1"/>
        <w:rPr>
          <w:sz w:val="22"/>
        </w:rPr>
      </w:pPr>
    </w:p>
    <w:p>
      <w:pPr>
        <w:spacing w:after="0"/>
        <w:rPr>
          <w:sz w:val="22"/>
        </w:rPr>
        <w:sectPr>
          <w:type w:val="continuous"/>
          <w:pgSz w:w="11910" w:h="16840"/>
          <w:pgMar w:top="480" w:right="680" w:bottom="280" w:left="900" w:header="720" w:footer="720" w:gutter="0"/>
          <w:cols w:space="720" w:num="1"/>
        </w:sectPr>
      </w:pPr>
    </w:p>
    <w:p>
      <w:pPr>
        <w:pStyle w:val="3"/>
        <w:numPr>
          <w:ilvl w:val="2"/>
          <w:numId w:val="4"/>
        </w:numPr>
        <w:tabs>
          <w:tab w:val="left" w:pos="1502"/>
          <w:tab w:val="left" w:pos="1503"/>
        </w:tabs>
        <w:spacing w:before="72" w:after="0" w:line="278" w:lineRule="auto"/>
        <w:ind w:left="1502" w:right="0" w:hanging="855"/>
        <w:jc w:val="left"/>
      </w:pPr>
      <w:r>
        <w:rPr>
          <w:spacing w:val="-2"/>
        </w:rPr>
        <w:t>中国大陆增强</w:t>
      </w:r>
      <w:r>
        <w:rPr>
          <w:spacing w:val="-6"/>
        </w:rPr>
        <w:t>保障</w:t>
      </w:r>
    </w:p>
    <w:p>
      <w:pPr>
        <w:pStyle w:val="4"/>
        <w:spacing w:before="72" w:line="278" w:lineRule="auto"/>
        <w:ind w:left="207" w:right="580"/>
      </w:pPr>
      <w:r>
        <w:br w:type="column"/>
      </w:r>
      <w:r>
        <w:rPr>
          <w:spacing w:val="-2"/>
        </w:rPr>
        <w:t>保障区域同中国大陆保障，且本公司对对应的被保险人在中国大陆以外地区发生的、与紧急医疗对应的保险责任范围内的费用也提供保险保障。</w:t>
      </w:r>
    </w:p>
    <w:p>
      <w:pPr>
        <w:pStyle w:val="4"/>
        <w:spacing w:before="155" w:line="278" w:lineRule="auto"/>
        <w:ind w:left="207" w:right="580"/>
        <w:jc w:val="both"/>
      </w:pPr>
      <w:r>
        <w:rPr>
          <w:spacing w:val="-2"/>
        </w:rPr>
        <w:t>对应的被保险人在中国大陆以外地区接受紧急医疗前，须获得本公司的许可，本公司将引导该被保险人至最近且合适的网络医疗机构就医；</w:t>
      </w:r>
      <w:r>
        <w:rPr>
          <w:color w:val="000000"/>
          <w:spacing w:val="-2"/>
          <w:shd w:val="clear" w:color="auto" w:fill="E4E4E4"/>
        </w:rPr>
        <w:t>本公司</w:t>
      </w:r>
      <w:r>
        <w:rPr>
          <w:color w:val="000000"/>
          <w:spacing w:val="40"/>
          <w:shd w:val="clear" w:color="auto" w:fill="E4E4E4"/>
        </w:rPr>
        <w:t xml:space="preserve"> </w:t>
      </w:r>
      <w:r>
        <w:rPr>
          <w:color w:val="000000"/>
          <w:spacing w:val="-2"/>
          <w:shd w:val="clear" w:color="auto" w:fill="E4E4E4"/>
        </w:rPr>
        <w:t>对被保险人未经本公司许可在中国大陆以外地区接受治疗发生的任何费用不承担保险责任，被保险人在接受紧急医疗前根本无法联系本公司的情形不在此限，但该被保险人也须在该紧急情况发生后四十八小时内联系本公</w:t>
      </w:r>
      <w:r>
        <w:rPr>
          <w:color w:val="000000"/>
          <w:spacing w:val="-6"/>
          <w:shd w:val="clear" w:color="auto" w:fill="E4E4E4"/>
        </w:rPr>
        <w:t>司。</w:t>
      </w:r>
    </w:p>
    <w:p>
      <w:pPr>
        <w:spacing w:after="0" w:line="278" w:lineRule="auto"/>
        <w:jc w:val="both"/>
        <w:sectPr>
          <w:type w:val="continuous"/>
          <w:pgSz w:w="11910" w:h="16840"/>
          <w:pgMar w:top="480" w:right="680" w:bottom="280" w:left="900" w:header="720" w:footer="720" w:gutter="0"/>
          <w:cols w:equalWidth="0" w:num="2">
            <w:col w:w="2771" w:space="40"/>
            <w:col w:w="7519"/>
          </w:cols>
        </w:sectPr>
      </w:pPr>
    </w:p>
    <w:p>
      <w:pPr>
        <w:pStyle w:val="4"/>
        <w:spacing w:before="9"/>
        <w:rPr>
          <w:sz w:val="18"/>
        </w:rPr>
      </w:pPr>
    </w:p>
    <w:p>
      <w:pPr>
        <w:pStyle w:val="9"/>
        <w:numPr>
          <w:ilvl w:val="2"/>
          <w:numId w:val="4"/>
        </w:numPr>
        <w:tabs>
          <w:tab w:val="left" w:pos="1502"/>
          <w:tab w:val="left" w:pos="1503"/>
          <w:tab w:val="left" w:pos="3017"/>
        </w:tabs>
        <w:spacing w:before="72" w:after="0" w:line="276" w:lineRule="auto"/>
        <w:ind w:left="3017" w:right="477" w:hanging="2369"/>
        <w:jc w:val="left"/>
        <w:rPr>
          <w:sz w:val="21"/>
        </w:rPr>
      </w:pPr>
      <w:r>
        <w:rPr>
          <w:b/>
          <w:spacing w:val="-4"/>
          <w:sz w:val="21"/>
        </w:rPr>
        <w:t>紧急医疗</w:t>
      </w:r>
      <w:r>
        <w:rPr>
          <w:b/>
          <w:sz w:val="21"/>
        </w:rPr>
        <w:tab/>
      </w:r>
      <w:r>
        <w:rPr>
          <w:spacing w:val="-2"/>
          <w:sz w:val="21"/>
        </w:rPr>
        <w:t>2.2.3,2.2.5,2.2.7所述的“紧急医疗”指：针对突然发生的、为避免严重终身伤害或死亡须立即接受药物或手术治疗的症状，被保险人立即或因</w:t>
      </w:r>
      <w:r>
        <w:rPr>
          <w:b/>
          <w:spacing w:val="-2"/>
          <w:sz w:val="21"/>
        </w:rPr>
        <w:t>不可抗力</w:t>
      </w:r>
      <w:r>
        <w:rPr>
          <w:b/>
          <w:spacing w:val="-2"/>
          <w:position w:val="11"/>
          <w:sz w:val="11"/>
        </w:rPr>
        <w:t>7</w:t>
      </w:r>
      <w:r>
        <w:rPr>
          <w:spacing w:val="-2"/>
          <w:sz w:val="21"/>
        </w:rPr>
        <w:t>因素在症状发作后二十四小时内开始接受的相应医疗。</w:t>
      </w:r>
      <w:r>
        <w:rPr>
          <w:color w:val="000000"/>
          <w:spacing w:val="-2"/>
          <w:sz w:val="21"/>
          <w:shd w:val="clear" w:color="auto" w:fill="E4E4E4"/>
        </w:rPr>
        <w:t>紧急医疗不</w:t>
      </w:r>
      <w:r>
        <w:rPr>
          <w:color w:val="000000"/>
          <w:spacing w:val="13125"/>
          <w:sz w:val="21"/>
          <w:shd w:val="clear" w:color="auto" w:fill="E4E4E4"/>
        </w:rPr>
        <w:t xml:space="preserve"> </w:t>
      </w:r>
      <w:r>
        <w:rPr>
          <w:color w:val="000000"/>
          <w:spacing w:val="-4"/>
          <w:sz w:val="21"/>
          <w:shd w:val="clear" w:color="auto" w:fill="E4E4E4"/>
        </w:rPr>
        <w:t>包括：</w:t>
      </w:r>
    </w:p>
    <w:p>
      <w:pPr>
        <w:pStyle w:val="9"/>
        <w:numPr>
          <w:ilvl w:val="3"/>
          <w:numId w:val="4"/>
        </w:numPr>
        <w:tabs>
          <w:tab w:val="left" w:pos="3650"/>
        </w:tabs>
        <w:spacing w:before="157" w:after="0" w:line="278" w:lineRule="auto"/>
        <w:ind w:left="3017" w:right="581" w:firstLine="420"/>
        <w:jc w:val="left"/>
        <w:rPr>
          <w:sz w:val="19"/>
        </w:rPr>
      </w:pPr>
      <w:r>
        <w:rPr>
          <w:color w:val="000000"/>
          <w:spacing w:val="-2"/>
          <w:sz w:val="21"/>
          <w:shd w:val="clear" w:color="auto" w:fill="E4E4E4"/>
        </w:rPr>
        <w:t>以接受治疗为目的或违背医嘱前往对应保障区域以外的地区期间发生的任何医疗；</w:t>
      </w:r>
    </w:p>
    <w:p>
      <w:pPr>
        <w:pStyle w:val="9"/>
        <w:numPr>
          <w:ilvl w:val="3"/>
          <w:numId w:val="4"/>
        </w:numPr>
        <w:tabs>
          <w:tab w:val="left" w:pos="3650"/>
        </w:tabs>
        <w:spacing w:before="156" w:after="0" w:line="240" w:lineRule="auto"/>
        <w:ind w:left="3650" w:right="0" w:hanging="213"/>
        <w:jc w:val="left"/>
        <w:rPr>
          <w:sz w:val="19"/>
        </w:rPr>
      </w:pPr>
      <w:r>
        <w:rPr>
          <w:color w:val="000000"/>
          <w:spacing w:val="-4"/>
          <w:sz w:val="21"/>
          <w:shd w:val="clear" w:color="auto" w:fill="E4E4E4"/>
        </w:rPr>
        <w:t>常规医疗；</w:t>
      </w:r>
      <w:r>
        <w:rPr>
          <w:color w:val="000000"/>
          <w:spacing w:val="40"/>
          <w:sz w:val="21"/>
          <w:shd w:val="clear" w:color="auto" w:fill="E4E4E4"/>
        </w:rPr>
        <w:t xml:space="preserve"> </w:t>
      </w:r>
    </w:p>
    <w:p>
      <w:pPr>
        <w:pStyle w:val="4"/>
        <w:spacing w:before="11"/>
        <w:rPr>
          <w:sz w:val="9"/>
        </w:rPr>
      </w:pPr>
    </w:p>
    <w:p>
      <w:pPr>
        <w:pStyle w:val="9"/>
        <w:numPr>
          <w:ilvl w:val="3"/>
          <w:numId w:val="4"/>
        </w:numPr>
        <w:tabs>
          <w:tab w:val="left" w:pos="3650"/>
        </w:tabs>
        <w:spacing w:before="72" w:after="0" w:line="278" w:lineRule="auto"/>
        <w:ind w:left="3017" w:right="789" w:firstLine="420"/>
        <w:jc w:val="left"/>
        <w:rPr>
          <w:sz w:val="19"/>
        </w:rPr>
      </w:pPr>
      <w:r>
        <w:rPr>
          <w:color w:val="000000"/>
          <w:spacing w:val="-2"/>
          <w:sz w:val="21"/>
          <w:shd w:val="clear" w:color="auto" w:fill="E4E4E4"/>
        </w:rPr>
        <w:t>可以推迟至被保险人从对应保障区域以外的地区返回后接受的医</w:t>
      </w:r>
      <w:r>
        <w:rPr>
          <w:color w:val="000000"/>
          <w:spacing w:val="-6"/>
          <w:sz w:val="21"/>
          <w:shd w:val="clear" w:color="auto" w:fill="E4E4E4"/>
        </w:rPr>
        <w:t>疗；</w:t>
      </w:r>
      <w:r>
        <w:rPr>
          <w:color w:val="000000"/>
          <w:spacing w:val="40"/>
          <w:sz w:val="21"/>
          <w:shd w:val="clear" w:color="auto" w:fill="E4E4E4"/>
        </w:rPr>
        <w:t xml:space="preserve"> </w:t>
      </w:r>
    </w:p>
    <w:p>
      <w:pPr>
        <w:pStyle w:val="9"/>
        <w:numPr>
          <w:ilvl w:val="3"/>
          <w:numId w:val="4"/>
        </w:numPr>
        <w:tabs>
          <w:tab w:val="left" w:pos="3650"/>
        </w:tabs>
        <w:spacing w:before="156" w:after="0" w:line="240" w:lineRule="auto"/>
        <w:ind w:left="3650" w:right="402" w:hanging="3650"/>
        <w:jc w:val="left"/>
        <w:rPr>
          <w:sz w:val="19"/>
        </w:rPr>
      </w:pPr>
      <w:r>
        <w:rPr>
          <w:color w:val="000000"/>
          <w:spacing w:val="-3"/>
          <w:sz w:val="21"/>
          <w:shd w:val="clear" w:color="auto" w:fill="E4E4E4"/>
        </w:rPr>
        <w:t>被保险人事先计划好的医疗；</w:t>
      </w:r>
      <w:r>
        <w:rPr>
          <w:color w:val="000000"/>
          <w:spacing w:val="40"/>
          <w:sz w:val="21"/>
          <w:shd w:val="clear" w:color="auto" w:fill="E4E4E4"/>
        </w:rPr>
        <w:t xml:space="preserve"> </w:t>
      </w:r>
    </w:p>
    <w:p>
      <w:pPr>
        <w:pStyle w:val="4"/>
        <w:spacing w:before="12"/>
        <w:rPr>
          <w:sz w:val="9"/>
        </w:rPr>
      </w:pPr>
    </w:p>
    <w:p>
      <w:pPr>
        <w:pStyle w:val="9"/>
        <w:numPr>
          <w:ilvl w:val="3"/>
          <w:numId w:val="4"/>
        </w:numPr>
        <w:tabs>
          <w:tab w:val="left" w:pos="3650"/>
        </w:tabs>
        <w:spacing w:before="72" w:after="0" w:line="240" w:lineRule="auto"/>
        <w:ind w:left="3650" w:right="0" w:hanging="213"/>
        <w:jc w:val="left"/>
        <w:rPr>
          <w:sz w:val="19"/>
        </w:rPr>
      </w:pPr>
      <w:r>
        <w:rPr>
          <w:color w:val="000000"/>
          <w:spacing w:val="-3"/>
          <w:sz w:val="21"/>
          <w:shd w:val="clear" w:color="auto" w:fill="E4E4E4"/>
        </w:rPr>
        <w:t>因被保险人已知或应该知道的情形而发生的医疗；</w:t>
      </w:r>
    </w:p>
    <w:p>
      <w:pPr>
        <w:pStyle w:val="4"/>
        <w:spacing w:before="12"/>
        <w:rPr>
          <w:sz w:val="9"/>
        </w:rPr>
      </w:pPr>
    </w:p>
    <w:p>
      <w:pPr>
        <w:pStyle w:val="9"/>
        <w:numPr>
          <w:ilvl w:val="3"/>
          <w:numId w:val="4"/>
        </w:numPr>
        <w:tabs>
          <w:tab w:val="left" w:pos="3650"/>
        </w:tabs>
        <w:spacing w:before="72" w:after="0" w:line="240" w:lineRule="auto"/>
        <w:ind w:left="3650" w:right="0" w:hanging="213"/>
        <w:jc w:val="left"/>
        <w:rPr>
          <w:sz w:val="19"/>
        </w:rPr>
      </w:pPr>
      <w:r>
        <w:rPr>
          <w:color w:val="000000"/>
          <w:spacing w:val="-3"/>
          <w:sz w:val="21"/>
          <w:shd w:val="clear" w:color="auto" w:fill="E4E4E4"/>
        </w:rPr>
        <w:t>妊娠、分娩及相关病症医疗。</w:t>
      </w:r>
    </w:p>
    <w:p>
      <w:pPr>
        <w:pStyle w:val="4"/>
        <w:spacing w:before="9"/>
        <w:rPr>
          <w:sz w:val="27"/>
        </w:rPr>
      </w:pPr>
    </w:p>
    <w:p>
      <w:pPr>
        <w:pStyle w:val="9"/>
        <w:numPr>
          <w:ilvl w:val="1"/>
          <w:numId w:val="4"/>
        </w:numPr>
        <w:tabs>
          <w:tab w:val="left" w:pos="1502"/>
          <w:tab w:val="left" w:pos="1503"/>
          <w:tab w:val="left" w:pos="3017"/>
        </w:tabs>
        <w:spacing w:before="0" w:after="0" w:line="278" w:lineRule="auto"/>
        <w:ind w:left="3017" w:right="449" w:hanging="2580"/>
        <w:jc w:val="left"/>
        <w:rPr>
          <w:sz w:val="21"/>
        </w:rPr>
      </w:pPr>
      <w:r>
        <w:rPr>
          <w:b/>
          <w:spacing w:val="-4"/>
          <w:sz w:val="21"/>
        </w:rPr>
        <w:t>保险期间</w:t>
      </w:r>
      <w:r>
        <w:rPr>
          <w:b/>
          <w:sz w:val="21"/>
        </w:rPr>
        <w:tab/>
      </w:r>
      <w:r>
        <w:rPr>
          <w:spacing w:val="-4"/>
          <w:sz w:val="21"/>
        </w:rPr>
        <w:t>除另有约定外，本合同的保险期间最长为一年；自本合同生效之日零时起至</w:t>
      </w:r>
      <w:r>
        <w:rPr>
          <w:spacing w:val="-2"/>
          <w:sz w:val="21"/>
        </w:rPr>
        <w:t>约定的终止日的二十四时止，具体由投保人与本公司约定并在本合同中载</w:t>
      </w:r>
    </w:p>
    <w:p>
      <w:pPr>
        <w:pStyle w:val="4"/>
        <w:rPr>
          <w:sz w:val="20"/>
        </w:rPr>
      </w:pPr>
    </w:p>
    <w:p>
      <w:pPr>
        <w:pStyle w:val="4"/>
        <w:spacing w:before="12"/>
        <w:rPr>
          <w:sz w:val="16"/>
        </w:rPr>
      </w:pPr>
      <w:r>
        <w:drawing>
          <wp:anchor distT="0" distB="0" distL="0" distR="0" simplePos="0" relativeHeight="251659264" behindDoc="0" locked="0" layoutInCell="1" allowOverlap="1">
            <wp:simplePos x="0" y="0"/>
            <wp:positionH relativeFrom="page">
              <wp:posOffset>685800</wp:posOffset>
            </wp:positionH>
            <wp:positionV relativeFrom="paragraph">
              <wp:posOffset>153035</wp:posOffset>
            </wp:positionV>
            <wp:extent cx="1829435" cy="6350"/>
            <wp:effectExtent l="0" t="0" r="0" b="0"/>
            <wp:wrapTopAndBottom/>
            <wp:docPr id="13"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4.png"/>
                    <pic:cNvPicPr>
                      <a:picLocks noChangeAspect="1"/>
                    </pic:cNvPicPr>
                  </pic:nvPicPr>
                  <pic:blipFill>
                    <a:blip r:embed="rId9" cstate="print"/>
                    <a:stretch>
                      <a:fillRect/>
                    </a:stretch>
                  </pic:blipFill>
                  <pic:spPr>
                    <a:xfrm>
                      <a:off x="0" y="0"/>
                      <a:ext cx="1829511" cy="6096"/>
                    </a:xfrm>
                    <a:prstGeom prst="rect">
                      <a:avLst/>
                    </a:prstGeom>
                  </pic:spPr>
                </pic:pic>
              </a:graphicData>
            </a:graphic>
          </wp:anchor>
        </w:drawing>
      </w:r>
    </w:p>
    <w:p>
      <w:pPr>
        <w:spacing w:before="91"/>
        <w:ind w:left="180" w:right="0" w:firstLine="0"/>
        <w:jc w:val="left"/>
        <w:rPr>
          <w:rFonts w:ascii="楷体" w:eastAsia="楷体"/>
          <w:sz w:val="18"/>
        </w:rPr>
      </w:pPr>
      <w:r>
        <w:rPr>
          <w:rFonts w:hint="eastAsia" w:ascii="楷体" w:eastAsia="楷体"/>
          <w:b/>
          <w:w w:val="95"/>
          <w:position w:val="9"/>
          <w:sz w:val="9"/>
        </w:rPr>
        <w:t>7</w:t>
      </w:r>
      <w:r>
        <w:rPr>
          <w:rFonts w:hint="eastAsia" w:ascii="楷体" w:eastAsia="楷体"/>
          <w:b/>
          <w:w w:val="95"/>
          <w:sz w:val="18"/>
        </w:rPr>
        <w:t>不可抗力：</w:t>
      </w:r>
      <w:r>
        <w:rPr>
          <w:rFonts w:ascii="楷体" w:eastAsia="楷体"/>
          <w:w w:val="95"/>
          <w:sz w:val="18"/>
        </w:rPr>
        <w:t>指不能预见、不能避免并不能克服的客观情况</w:t>
      </w:r>
      <w:r>
        <w:rPr>
          <w:rFonts w:ascii="楷体" w:eastAsia="楷体"/>
          <w:spacing w:val="-10"/>
          <w:w w:val="95"/>
          <w:sz w:val="18"/>
        </w:rPr>
        <w:t>。</w:t>
      </w:r>
    </w:p>
    <w:p>
      <w:pPr>
        <w:spacing w:after="0"/>
        <w:jc w:val="left"/>
        <w:rPr>
          <w:rFonts w:ascii="楷体" w:eastAsia="楷体"/>
          <w:sz w:val="18"/>
        </w:rPr>
        <w:sectPr>
          <w:type w:val="continuous"/>
          <w:pgSz w:w="11910" w:h="16840"/>
          <w:pgMar w:top="480" w:right="680" w:bottom="280" w:left="900" w:header="720" w:footer="720" w:gutter="0"/>
          <w:cols w:space="720" w:num="1"/>
        </w:sectPr>
      </w:pPr>
    </w:p>
    <w:p>
      <w:pPr>
        <w:pStyle w:val="4"/>
        <w:spacing w:before="44"/>
        <w:ind w:left="3017"/>
      </w:pPr>
      <w:r>
        <w:rPr>
          <w:spacing w:val="-5"/>
        </w:rPr>
        <w:t>明。</w:t>
      </w:r>
    </w:p>
    <w:p>
      <w:pPr>
        <w:pStyle w:val="4"/>
        <w:spacing w:before="7"/>
        <w:rPr>
          <w:sz w:val="15"/>
        </w:rPr>
      </w:pPr>
    </w:p>
    <w:p>
      <w:pPr>
        <w:pStyle w:val="4"/>
        <w:spacing w:line="278" w:lineRule="auto"/>
        <w:ind w:left="3017" w:right="449"/>
      </w:pPr>
      <w:r>
        <w:rPr>
          <w:spacing w:val="-4"/>
        </w:rPr>
        <w:t>被保险人的保险期间，自本合同载明的该被保险人责任起始日的零时起，至</w:t>
      </w:r>
      <w:r>
        <w:rPr>
          <w:spacing w:val="-2"/>
        </w:rPr>
        <w:t>本合同载明的该被保险人责任终止日的二十四时止。</w:t>
      </w:r>
    </w:p>
    <w:p>
      <w:pPr>
        <w:pStyle w:val="4"/>
        <w:rPr>
          <w:sz w:val="29"/>
        </w:rPr>
      </w:pPr>
    </w:p>
    <w:p>
      <w:pPr>
        <w:pStyle w:val="9"/>
        <w:numPr>
          <w:ilvl w:val="1"/>
          <w:numId w:val="4"/>
        </w:numPr>
        <w:tabs>
          <w:tab w:val="left" w:pos="1502"/>
          <w:tab w:val="left" w:pos="1503"/>
          <w:tab w:val="left" w:pos="3017"/>
        </w:tabs>
        <w:spacing w:before="0" w:after="0" w:line="240" w:lineRule="auto"/>
        <w:ind w:left="1502" w:right="0" w:hanging="1066"/>
        <w:jc w:val="left"/>
        <w:rPr>
          <w:sz w:val="21"/>
        </w:rPr>
      </w:pPr>
      <w:r>
        <w:rPr>
          <w:b/>
          <w:sz w:val="21"/>
        </w:rPr>
        <w:t>等待</w:t>
      </w:r>
      <w:r>
        <w:rPr>
          <w:b/>
          <w:spacing w:val="-10"/>
          <w:sz w:val="21"/>
        </w:rPr>
        <w:t>期</w:t>
      </w:r>
      <w:r>
        <w:rPr>
          <w:b/>
          <w:sz w:val="21"/>
        </w:rPr>
        <w:tab/>
      </w:r>
      <w:r>
        <w:rPr>
          <w:spacing w:val="-2"/>
          <w:sz w:val="21"/>
        </w:rPr>
        <w:t>除另有约定外，本合同的等待期为零天</w:t>
      </w:r>
      <w:r>
        <w:rPr>
          <w:spacing w:val="-10"/>
          <w:sz w:val="21"/>
        </w:rPr>
        <w:t>。</w:t>
      </w:r>
    </w:p>
    <w:p>
      <w:pPr>
        <w:pStyle w:val="4"/>
        <w:rPr>
          <w:sz w:val="20"/>
        </w:rPr>
      </w:pPr>
    </w:p>
    <w:p>
      <w:pPr>
        <w:pStyle w:val="9"/>
        <w:numPr>
          <w:ilvl w:val="1"/>
          <w:numId w:val="4"/>
        </w:numPr>
        <w:tabs>
          <w:tab w:val="left" w:pos="1502"/>
          <w:tab w:val="left" w:pos="1503"/>
          <w:tab w:val="left" w:pos="3017"/>
        </w:tabs>
        <w:spacing w:before="157" w:after="0" w:line="278" w:lineRule="auto"/>
        <w:ind w:left="3017" w:right="449" w:hanging="2580"/>
        <w:jc w:val="left"/>
        <w:rPr>
          <w:sz w:val="21"/>
        </w:rPr>
      </w:pPr>
      <w:r>
        <w:rPr>
          <w:b/>
          <w:spacing w:val="-4"/>
          <w:sz w:val="21"/>
        </w:rPr>
        <w:t>免赔额</w:t>
      </w:r>
      <w:r>
        <w:rPr>
          <w:b/>
          <w:sz w:val="21"/>
        </w:rPr>
        <w:tab/>
      </w:r>
      <w:r>
        <w:rPr>
          <w:spacing w:val="-4"/>
          <w:sz w:val="21"/>
        </w:rPr>
        <w:t>免赔额分设有次免赔额、年免赔额。免赔额由投保人投保时为被保险人具体</w:t>
      </w:r>
      <w:r>
        <w:rPr>
          <w:spacing w:val="-2"/>
          <w:sz w:val="21"/>
        </w:rPr>
        <w:t>选择，并载明于本合同中。</w:t>
      </w:r>
    </w:p>
    <w:p>
      <w:pPr>
        <w:pStyle w:val="4"/>
        <w:spacing w:before="156"/>
        <w:ind w:left="3017"/>
      </w:pPr>
      <w:r>
        <w:rPr>
          <w:spacing w:val="-3"/>
        </w:rPr>
        <w:t>以下情况可抵扣免赔额：</w:t>
      </w:r>
    </w:p>
    <w:p>
      <w:pPr>
        <w:pStyle w:val="4"/>
        <w:spacing w:before="9"/>
        <w:rPr>
          <w:sz w:val="14"/>
        </w:rPr>
      </w:pPr>
    </w:p>
    <w:p>
      <w:pPr>
        <w:pStyle w:val="9"/>
        <w:numPr>
          <w:ilvl w:val="0"/>
          <w:numId w:val="5"/>
        </w:numPr>
        <w:tabs>
          <w:tab w:val="left" w:pos="3230"/>
        </w:tabs>
        <w:spacing w:before="0" w:after="0" w:line="278" w:lineRule="auto"/>
        <w:ind w:left="3017" w:right="523" w:firstLine="0"/>
        <w:jc w:val="left"/>
        <w:rPr>
          <w:sz w:val="21"/>
        </w:rPr>
      </w:pPr>
      <w:r>
        <w:rPr>
          <w:spacing w:val="-2"/>
          <w:sz w:val="21"/>
        </w:rPr>
        <w:t>被保险人通过</w:t>
      </w:r>
      <w:r>
        <w:rPr>
          <w:b/>
          <w:spacing w:val="-2"/>
          <w:sz w:val="21"/>
        </w:rPr>
        <w:t>基本医疗保险</w:t>
      </w:r>
      <w:r>
        <w:rPr>
          <w:b/>
          <w:spacing w:val="-2"/>
          <w:position w:val="11"/>
          <w:sz w:val="11"/>
        </w:rPr>
        <w:t>8</w:t>
      </w:r>
      <w:r>
        <w:rPr>
          <w:spacing w:val="-2"/>
          <w:sz w:val="21"/>
        </w:rPr>
        <w:t>个人账户或以基本医疗保险身份就医时通过现金</w:t>
      </w:r>
      <w:r>
        <w:rPr>
          <w:rFonts w:ascii="Verdana" w:eastAsia="Verdana"/>
          <w:spacing w:val="-2"/>
          <w:sz w:val="21"/>
        </w:rPr>
        <w:t>/</w:t>
      </w:r>
      <w:r>
        <w:rPr>
          <w:spacing w:val="-2"/>
          <w:sz w:val="21"/>
        </w:rPr>
        <w:t>银行卡支付的费用，可抵扣本保险的免赔额。</w:t>
      </w:r>
    </w:p>
    <w:p>
      <w:pPr>
        <w:pStyle w:val="9"/>
        <w:numPr>
          <w:ilvl w:val="0"/>
          <w:numId w:val="5"/>
        </w:numPr>
        <w:tabs>
          <w:tab w:val="left" w:pos="3230"/>
        </w:tabs>
        <w:spacing w:before="155" w:after="0" w:line="278" w:lineRule="auto"/>
        <w:ind w:left="3017" w:right="583" w:firstLine="0"/>
        <w:jc w:val="left"/>
        <w:rPr>
          <w:sz w:val="21"/>
        </w:rPr>
      </w:pPr>
      <w:r>
        <w:rPr>
          <w:spacing w:val="-2"/>
          <w:sz w:val="21"/>
        </w:rPr>
        <w:t>被保险人通过基本医疗保险统筹基金支付、基本医疗保险附加基金支付和其他第三方支付的费用，可抵扣本保险的免赔额。</w:t>
      </w:r>
    </w:p>
    <w:p>
      <w:pPr>
        <w:pStyle w:val="9"/>
        <w:numPr>
          <w:ilvl w:val="0"/>
          <w:numId w:val="5"/>
        </w:numPr>
        <w:tabs>
          <w:tab w:val="left" w:pos="3230"/>
        </w:tabs>
        <w:spacing w:before="156" w:after="0" w:line="278" w:lineRule="auto"/>
        <w:ind w:left="3017" w:right="449" w:firstLine="0"/>
        <w:jc w:val="left"/>
        <w:rPr>
          <w:sz w:val="21"/>
        </w:rPr>
      </w:pPr>
      <w:r>
        <w:rPr>
          <w:spacing w:val="-6"/>
          <w:sz w:val="21"/>
        </w:rPr>
        <w:t>本保险合同责任范围内但已由其他商业保险赔付的费用，可抵扣本保险的</w:t>
      </w:r>
      <w:r>
        <w:rPr>
          <w:spacing w:val="-4"/>
          <w:sz w:val="21"/>
        </w:rPr>
        <w:t>免赔额。</w:t>
      </w:r>
    </w:p>
    <w:p>
      <w:pPr>
        <w:pStyle w:val="4"/>
        <w:spacing w:before="4"/>
        <w:rPr>
          <w:sz w:val="24"/>
        </w:rPr>
      </w:pPr>
    </w:p>
    <w:p>
      <w:pPr>
        <w:pStyle w:val="9"/>
        <w:numPr>
          <w:ilvl w:val="1"/>
          <w:numId w:val="4"/>
        </w:numPr>
        <w:tabs>
          <w:tab w:val="left" w:pos="1502"/>
          <w:tab w:val="left" w:pos="1503"/>
          <w:tab w:val="left" w:pos="3017"/>
        </w:tabs>
        <w:spacing w:before="0" w:after="0" w:line="278" w:lineRule="auto"/>
        <w:ind w:left="3017" w:right="448" w:hanging="2580"/>
        <w:jc w:val="left"/>
        <w:rPr>
          <w:sz w:val="21"/>
        </w:rPr>
      </w:pPr>
      <w:r>
        <w:rPr>
          <w:b/>
          <w:spacing w:val="-4"/>
          <w:sz w:val="21"/>
        </w:rPr>
        <w:t>赔付比例</w:t>
      </w:r>
      <w:r>
        <w:rPr>
          <w:b/>
          <w:sz w:val="21"/>
        </w:rPr>
        <w:tab/>
      </w:r>
      <w:r>
        <w:rPr>
          <w:spacing w:val="-4"/>
          <w:sz w:val="21"/>
        </w:rPr>
        <w:t>赔付比例具体由投保人在投保时为被保险人选择，并载明于本合同中，具体</w:t>
      </w:r>
      <w:r>
        <w:rPr>
          <w:spacing w:val="-2"/>
          <w:sz w:val="21"/>
        </w:rPr>
        <w:t>比例以本合同中约定并载明的为准。</w:t>
      </w:r>
    </w:p>
    <w:p>
      <w:pPr>
        <w:pStyle w:val="4"/>
        <w:spacing w:before="7"/>
        <w:rPr>
          <w:sz w:val="23"/>
        </w:rPr>
      </w:pPr>
    </w:p>
    <w:p>
      <w:pPr>
        <w:pStyle w:val="9"/>
        <w:numPr>
          <w:ilvl w:val="1"/>
          <w:numId w:val="4"/>
        </w:numPr>
        <w:tabs>
          <w:tab w:val="left" w:pos="1502"/>
          <w:tab w:val="left" w:pos="1503"/>
          <w:tab w:val="left" w:pos="3017"/>
        </w:tabs>
        <w:spacing w:before="0" w:after="0" w:line="276" w:lineRule="auto"/>
        <w:ind w:left="3017" w:right="343" w:hanging="2580"/>
        <w:jc w:val="left"/>
        <w:rPr>
          <w:sz w:val="21"/>
        </w:rPr>
      </w:pPr>
      <w:r>
        <w:rPr>
          <w:b/>
          <w:spacing w:val="-4"/>
          <w:sz w:val="21"/>
        </w:rPr>
        <w:t>保险责任</w:t>
      </w:r>
      <w:r>
        <w:rPr>
          <w:b/>
          <w:sz w:val="21"/>
        </w:rPr>
        <w:tab/>
      </w:r>
      <w:r>
        <w:rPr>
          <w:spacing w:val="-2"/>
          <w:sz w:val="21"/>
        </w:rPr>
        <w:t>保险责任包括一般疾</w:t>
      </w:r>
      <w:r>
        <w:rPr>
          <w:spacing w:val="-60"/>
          <w:sz w:val="21"/>
        </w:rPr>
        <w:t>病</w:t>
      </w:r>
      <w:r>
        <w:rPr>
          <w:spacing w:val="-2"/>
          <w:sz w:val="21"/>
        </w:rPr>
        <w:t>（伤害</w:t>
      </w:r>
      <w:r>
        <w:rPr>
          <w:spacing w:val="-63"/>
          <w:sz w:val="21"/>
        </w:rPr>
        <w:t>）</w:t>
      </w:r>
      <w:r>
        <w:rPr>
          <w:spacing w:val="-2"/>
          <w:sz w:val="21"/>
        </w:rPr>
        <w:t>和一般项目</w:t>
      </w:r>
      <w:r>
        <w:rPr>
          <w:b/>
          <w:spacing w:val="-2"/>
          <w:sz w:val="21"/>
        </w:rPr>
        <w:t>门诊</w:t>
      </w:r>
      <w:r>
        <w:rPr>
          <w:spacing w:val="-2"/>
          <w:position w:val="11"/>
          <w:sz w:val="11"/>
        </w:rPr>
        <w:t>9</w:t>
      </w:r>
      <w:r>
        <w:rPr>
          <w:spacing w:val="-2"/>
          <w:sz w:val="21"/>
        </w:rPr>
        <w:t>医疗责任</w:t>
      </w:r>
      <w:r>
        <w:rPr>
          <w:spacing w:val="-60"/>
          <w:sz w:val="21"/>
        </w:rPr>
        <w:t>、</w:t>
      </w:r>
      <w:r>
        <w:rPr>
          <w:spacing w:val="-2"/>
          <w:sz w:val="21"/>
        </w:rPr>
        <w:t>一般疾</w:t>
      </w:r>
      <w:r>
        <w:rPr>
          <w:spacing w:val="-60"/>
          <w:sz w:val="21"/>
        </w:rPr>
        <w:t>病</w:t>
      </w:r>
      <w:r>
        <w:rPr>
          <w:spacing w:val="-2"/>
          <w:sz w:val="21"/>
        </w:rPr>
        <w:t>（伤害）和一般项目</w:t>
      </w:r>
      <w:r>
        <w:rPr>
          <w:b/>
          <w:spacing w:val="-2"/>
          <w:sz w:val="21"/>
        </w:rPr>
        <w:t>住院</w:t>
      </w:r>
      <w:r>
        <w:rPr>
          <w:b/>
          <w:spacing w:val="-2"/>
          <w:position w:val="11"/>
          <w:sz w:val="11"/>
        </w:rPr>
        <w:t>10</w:t>
      </w:r>
      <w:r>
        <w:rPr>
          <w:spacing w:val="-2"/>
          <w:sz w:val="21"/>
        </w:rPr>
        <w:t>医疗责任、住院无理赔日额补贴医疗责任、特殊疾病和特殊项目医疗责任、生育和新生婴儿医疗责任、医疗及身故援助责任、健康检查责任、儿童保健与免疫责任、牙科责任，其中一般疾病（伤害）和一般项目住院医疗责任为必选责任，其余为可选责任，供投保人在投保时为被保险人具体选择并载明于本合同中。对被保险人发生的、与上述责任对应的保险责任范围内的费用，本公司分别按保险计划中对应的给付限额、免赔额、赔付比例给付医疗保险金。</w:t>
      </w:r>
    </w:p>
    <w:p>
      <w:pPr>
        <w:pStyle w:val="4"/>
        <w:spacing w:before="167" w:line="278" w:lineRule="auto"/>
        <w:ind w:left="3017" w:right="372"/>
      </w:pPr>
      <w:r>
        <w:rPr>
          <w:spacing w:val="-2"/>
        </w:rPr>
        <w:t>每一被保险人发生的与除一般疾病（伤害）和一般项目门诊医疗责任、一般疾病（伤害）和一般项目住院医疗责任外的其他保险责任对应的医疗费用，纳入相应保险责任的赔付范围，不纳入一般疾病（伤害）和一般项目门诊医疗责任、一般疾病（伤害）和一般项目住院医疗责任的赔付范围。</w:t>
      </w:r>
    </w:p>
    <w:p>
      <w:pPr>
        <w:pStyle w:val="4"/>
        <w:spacing w:before="10"/>
        <w:rPr>
          <w:sz w:val="18"/>
        </w:rPr>
      </w:pPr>
    </w:p>
    <w:p>
      <w:pPr>
        <w:spacing w:after="0"/>
        <w:rPr>
          <w:sz w:val="18"/>
        </w:rPr>
        <w:sectPr>
          <w:pgSz w:w="11910" w:h="16840"/>
          <w:pgMar w:top="1400" w:right="680" w:bottom="280" w:left="900" w:header="720" w:footer="720" w:gutter="0"/>
          <w:cols w:space="720" w:num="1"/>
        </w:sectPr>
      </w:pPr>
    </w:p>
    <w:p>
      <w:pPr>
        <w:pStyle w:val="3"/>
        <w:numPr>
          <w:ilvl w:val="2"/>
          <w:numId w:val="4"/>
        </w:numPr>
        <w:tabs>
          <w:tab w:val="left" w:pos="854"/>
          <w:tab w:val="left" w:pos="855"/>
        </w:tabs>
        <w:spacing w:before="71" w:after="0" w:line="240" w:lineRule="auto"/>
        <w:ind w:left="854" w:right="0" w:hanging="855"/>
        <w:jc w:val="right"/>
      </w:pPr>
      <w:r>
        <w:t>一般疾病（</w:t>
      </w:r>
      <w:r>
        <w:rPr>
          <w:spacing w:val="-10"/>
        </w:rPr>
        <w:t>伤</w:t>
      </w:r>
    </w:p>
    <w:p>
      <w:pPr>
        <w:spacing w:before="43"/>
        <w:ind w:left="0" w:right="0" w:firstLine="0"/>
        <w:jc w:val="right"/>
        <w:rPr>
          <w:b/>
          <w:sz w:val="21"/>
        </w:rPr>
      </w:pPr>
      <w:r>
        <w:rPr>
          <w:b/>
          <w:sz w:val="21"/>
        </w:rPr>
        <w:t>害）</w:t>
      </w:r>
      <w:r>
        <w:rPr>
          <w:b/>
          <w:spacing w:val="-3"/>
          <w:sz w:val="21"/>
        </w:rPr>
        <w:t>和一般项</w:t>
      </w:r>
    </w:p>
    <w:p>
      <w:pPr>
        <w:pStyle w:val="4"/>
        <w:spacing w:before="71"/>
        <w:ind w:left="207"/>
        <w:rPr>
          <w:b/>
        </w:rPr>
      </w:pPr>
      <w:r>
        <w:br w:type="column"/>
      </w:r>
      <w:r>
        <w:rPr>
          <w:spacing w:val="-11"/>
        </w:rPr>
        <w:t>保险期间内，被保险人在与其保险计划相对应的保障地域内因遭受</w:t>
      </w:r>
      <w:r>
        <w:rPr>
          <w:b/>
          <w:spacing w:val="-4"/>
        </w:rPr>
        <w:t>意外伤害</w:t>
      </w:r>
    </w:p>
    <w:p>
      <w:pPr>
        <w:spacing w:before="33"/>
        <w:ind w:left="207" w:right="0" w:firstLine="0"/>
        <w:jc w:val="left"/>
        <w:rPr>
          <w:sz w:val="21"/>
        </w:rPr>
      </w:pPr>
      <w:r>
        <w:rPr>
          <w:w w:val="95"/>
          <w:position w:val="11"/>
          <w:sz w:val="11"/>
        </w:rPr>
        <w:t>11</w:t>
      </w:r>
      <w:r>
        <w:rPr>
          <w:w w:val="95"/>
          <w:sz w:val="21"/>
        </w:rPr>
        <w:t>或患疾病接受医师开具处方的、</w:t>
      </w:r>
      <w:r>
        <w:rPr>
          <w:b/>
          <w:w w:val="95"/>
          <w:sz w:val="21"/>
        </w:rPr>
        <w:t>医学必需</w:t>
      </w:r>
      <w:r>
        <w:rPr>
          <w:b/>
          <w:w w:val="95"/>
          <w:position w:val="11"/>
          <w:sz w:val="11"/>
        </w:rPr>
        <w:t>12</w:t>
      </w:r>
      <w:r>
        <w:rPr>
          <w:w w:val="95"/>
          <w:sz w:val="21"/>
        </w:rPr>
        <w:t>的一般疾病（伤害）</w:t>
      </w:r>
      <w:r>
        <w:rPr>
          <w:spacing w:val="-2"/>
          <w:w w:val="95"/>
          <w:sz w:val="21"/>
        </w:rPr>
        <w:t>和一般项目</w:t>
      </w:r>
    </w:p>
    <w:p>
      <w:pPr>
        <w:spacing w:after="0"/>
        <w:jc w:val="left"/>
        <w:rPr>
          <w:sz w:val="21"/>
        </w:rPr>
        <w:sectPr>
          <w:type w:val="continuous"/>
          <w:pgSz w:w="11910" w:h="16840"/>
          <w:pgMar w:top="480" w:right="680" w:bottom="280" w:left="900" w:header="720" w:footer="720" w:gutter="0"/>
          <w:cols w:equalWidth="0" w:num="2">
            <w:col w:w="2771" w:space="40"/>
            <w:col w:w="7519"/>
          </w:cols>
        </w:sectPr>
      </w:pPr>
    </w:p>
    <w:p>
      <w:pPr>
        <w:pStyle w:val="4"/>
        <w:spacing w:before="4"/>
        <w:rPr>
          <w:sz w:val="27"/>
        </w:rPr>
      </w:pPr>
    </w:p>
    <w:p>
      <w:pPr>
        <w:pStyle w:val="4"/>
        <w:spacing w:line="20" w:lineRule="exact"/>
        <w:ind w:left="180"/>
        <w:rPr>
          <w:sz w:val="2"/>
        </w:rPr>
      </w:pPr>
      <w:r>
        <w:rPr>
          <w:sz w:val="2"/>
        </w:rPr>
        <w:drawing>
          <wp:inline distT="0" distB="0" distL="0" distR="0">
            <wp:extent cx="1829435" cy="5715"/>
            <wp:effectExtent l="0" t="0" r="0" b="0"/>
            <wp:docPr id="15"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4.png"/>
                    <pic:cNvPicPr>
                      <a:picLocks noChangeAspect="1"/>
                    </pic:cNvPicPr>
                  </pic:nvPicPr>
                  <pic:blipFill>
                    <a:blip r:embed="rId9" cstate="print"/>
                    <a:stretch>
                      <a:fillRect/>
                    </a:stretch>
                  </pic:blipFill>
                  <pic:spPr>
                    <a:xfrm>
                      <a:off x="0" y="0"/>
                      <a:ext cx="1829511" cy="6095"/>
                    </a:xfrm>
                    <a:prstGeom prst="rect">
                      <a:avLst/>
                    </a:prstGeom>
                  </pic:spPr>
                </pic:pic>
              </a:graphicData>
            </a:graphic>
          </wp:inline>
        </w:drawing>
      </w:r>
    </w:p>
    <w:p>
      <w:pPr>
        <w:spacing w:before="80"/>
        <w:ind w:left="180" w:right="0" w:firstLine="0"/>
        <w:jc w:val="left"/>
        <w:rPr>
          <w:rFonts w:ascii="楷体" w:eastAsia="楷体"/>
          <w:sz w:val="18"/>
        </w:rPr>
      </w:pPr>
      <w:r>
        <w:rPr>
          <w:rFonts w:hint="eastAsia" w:ascii="楷体" w:eastAsia="楷体"/>
          <w:b/>
          <w:w w:val="95"/>
          <w:position w:val="9"/>
          <w:sz w:val="9"/>
        </w:rPr>
        <w:t>8</w:t>
      </w:r>
      <w:r>
        <w:rPr>
          <w:rFonts w:hint="eastAsia" w:ascii="楷体" w:eastAsia="楷体"/>
          <w:b/>
          <w:w w:val="95"/>
          <w:sz w:val="18"/>
        </w:rPr>
        <w:t>基本医疗保险：</w:t>
      </w:r>
      <w:r>
        <w:rPr>
          <w:rFonts w:ascii="楷体" w:eastAsia="楷体"/>
          <w:w w:val="95"/>
          <w:sz w:val="18"/>
        </w:rPr>
        <w:t>基本医疗保险包括城镇职工基本医疗保险、城镇居民基本医疗保险、新型农村合作医疗</w:t>
      </w:r>
      <w:r>
        <w:rPr>
          <w:rFonts w:ascii="楷体" w:eastAsia="楷体"/>
          <w:spacing w:val="-10"/>
          <w:w w:val="95"/>
          <w:sz w:val="18"/>
        </w:rPr>
        <w:t>。</w:t>
      </w:r>
    </w:p>
    <w:p>
      <w:pPr>
        <w:spacing w:before="3"/>
        <w:ind w:left="180" w:right="0" w:firstLine="0"/>
        <w:jc w:val="left"/>
        <w:rPr>
          <w:rFonts w:ascii="楷体" w:eastAsia="楷体"/>
          <w:sz w:val="18"/>
        </w:rPr>
      </w:pPr>
      <w:r>
        <w:rPr>
          <w:rFonts w:hint="eastAsia" w:ascii="楷体" w:eastAsia="楷体"/>
          <w:b/>
          <w:w w:val="95"/>
          <w:position w:val="9"/>
          <w:sz w:val="9"/>
        </w:rPr>
        <w:t>9</w:t>
      </w:r>
      <w:r>
        <w:rPr>
          <w:rFonts w:hint="eastAsia" w:ascii="楷体" w:eastAsia="楷体"/>
          <w:b/>
          <w:w w:val="95"/>
          <w:sz w:val="18"/>
        </w:rPr>
        <w:t>门诊：</w:t>
      </w:r>
      <w:r>
        <w:rPr>
          <w:rFonts w:ascii="楷体" w:eastAsia="楷体"/>
          <w:w w:val="95"/>
          <w:sz w:val="18"/>
        </w:rPr>
        <w:t>指以除占用病床方式外的其他方式在医疗机构接受的治疗</w:t>
      </w:r>
      <w:r>
        <w:rPr>
          <w:rFonts w:ascii="楷体" w:eastAsia="楷体"/>
          <w:spacing w:val="-10"/>
          <w:w w:val="95"/>
          <w:sz w:val="18"/>
        </w:rPr>
        <w:t>。</w:t>
      </w:r>
    </w:p>
    <w:p>
      <w:pPr>
        <w:spacing w:before="2"/>
        <w:ind w:left="180" w:right="0" w:firstLine="0"/>
        <w:jc w:val="left"/>
        <w:rPr>
          <w:rFonts w:ascii="楷体" w:eastAsia="楷体"/>
          <w:sz w:val="18"/>
        </w:rPr>
      </w:pPr>
      <w:r>
        <w:rPr>
          <w:rFonts w:hint="eastAsia" w:ascii="楷体" w:eastAsia="楷体"/>
          <w:b/>
          <w:w w:val="95"/>
          <w:position w:val="9"/>
          <w:sz w:val="9"/>
        </w:rPr>
        <w:t>10</w:t>
      </w:r>
      <w:r>
        <w:rPr>
          <w:rFonts w:hint="eastAsia" w:ascii="楷体" w:eastAsia="楷体"/>
          <w:b/>
          <w:w w:val="95"/>
          <w:sz w:val="18"/>
        </w:rPr>
        <w:t>住院：</w:t>
      </w:r>
      <w:r>
        <w:rPr>
          <w:rFonts w:ascii="楷体" w:eastAsia="楷体"/>
          <w:w w:val="95"/>
          <w:sz w:val="18"/>
        </w:rPr>
        <w:t>指被保险人完全出于接受医学必需的治疗目的彻夜以占用医疗机构病床的方式接受的医疗</w:t>
      </w:r>
      <w:r>
        <w:rPr>
          <w:rFonts w:ascii="楷体" w:eastAsia="楷体"/>
          <w:spacing w:val="-10"/>
          <w:w w:val="95"/>
          <w:sz w:val="18"/>
        </w:rPr>
        <w:t>。</w:t>
      </w:r>
    </w:p>
    <w:p>
      <w:pPr>
        <w:spacing w:before="4"/>
        <w:ind w:left="180" w:right="0" w:firstLine="0"/>
        <w:jc w:val="left"/>
        <w:rPr>
          <w:rFonts w:ascii="楷体" w:eastAsia="楷体"/>
          <w:sz w:val="18"/>
        </w:rPr>
      </w:pPr>
      <w:r>
        <w:rPr>
          <w:rFonts w:hint="eastAsia" w:ascii="楷体" w:eastAsia="楷体"/>
          <w:b/>
          <w:w w:val="95"/>
          <w:position w:val="9"/>
          <w:sz w:val="9"/>
        </w:rPr>
        <w:t>11</w:t>
      </w:r>
      <w:r>
        <w:rPr>
          <w:rFonts w:hint="eastAsia" w:ascii="楷体" w:eastAsia="楷体"/>
          <w:b/>
          <w:w w:val="95"/>
          <w:sz w:val="18"/>
        </w:rPr>
        <w:t>意外伤害：</w:t>
      </w:r>
      <w:r>
        <w:rPr>
          <w:rFonts w:ascii="楷体" w:eastAsia="楷体"/>
          <w:w w:val="95"/>
          <w:sz w:val="18"/>
        </w:rPr>
        <w:t>指遭受外来的、突发的、非本意的、非疾病的使身体受到的伤害</w:t>
      </w:r>
      <w:r>
        <w:rPr>
          <w:rFonts w:ascii="楷体" w:eastAsia="楷体"/>
          <w:spacing w:val="-10"/>
          <w:w w:val="95"/>
          <w:sz w:val="18"/>
        </w:rPr>
        <w:t>。</w:t>
      </w:r>
    </w:p>
    <w:p>
      <w:pPr>
        <w:spacing w:before="3"/>
        <w:ind w:left="180" w:right="0" w:firstLine="0"/>
        <w:jc w:val="left"/>
        <w:rPr>
          <w:rFonts w:ascii="楷体" w:eastAsia="楷体"/>
          <w:sz w:val="18"/>
        </w:rPr>
      </w:pPr>
      <w:r>
        <w:rPr>
          <w:rFonts w:hint="eastAsia" w:ascii="楷体" w:eastAsia="楷体"/>
          <w:b/>
          <w:w w:val="95"/>
          <w:position w:val="9"/>
          <w:sz w:val="9"/>
        </w:rPr>
        <w:t>12</w:t>
      </w:r>
      <w:r>
        <w:rPr>
          <w:rFonts w:hint="eastAsia" w:ascii="楷体" w:eastAsia="楷体"/>
          <w:b/>
          <w:w w:val="95"/>
          <w:sz w:val="18"/>
        </w:rPr>
        <w:t>医学必需：</w:t>
      </w:r>
      <w:r>
        <w:rPr>
          <w:rFonts w:ascii="楷体" w:eastAsia="楷体"/>
          <w:w w:val="95"/>
          <w:sz w:val="18"/>
        </w:rPr>
        <w:t>指被保险人接受、使用或服用的治疗、服务、器械或药品符合以下条件：（一）医师处方要求且对治疗被保险</w:t>
      </w:r>
      <w:r>
        <w:rPr>
          <w:rFonts w:ascii="楷体" w:eastAsia="楷体"/>
          <w:spacing w:val="-10"/>
          <w:w w:val="95"/>
          <w:sz w:val="18"/>
        </w:rPr>
        <w:t>人</w:t>
      </w:r>
    </w:p>
    <w:p>
      <w:pPr>
        <w:spacing w:before="2" w:line="242" w:lineRule="auto"/>
        <w:ind w:left="180" w:right="420" w:firstLine="0"/>
        <w:jc w:val="left"/>
        <w:rPr>
          <w:rFonts w:hint="eastAsia" w:ascii="楷体" w:eastAsia="楷体"/>
          <w:b/>
          <w:sz w:val="18"/>
        </w:rPr>
      </w:pPr>
      <w:r>
        <w:rPr>
          <w:rFonts w:ascii="楷体" w:eastAsia="楷体"/>
          <w:spacing w:val="-9"/>
          <w:sz w:val="18"/>
        </w:rPr>
        <w:t>疾病或伤害合适且必需。</w:t>
      </w:r>
      <w:r>
        <w:rPr>
          <w:rFonts w:ascii="楷体" w:eastAsia="楷体"/>
          <w:sz w:val="18"/>
        </w:rPr>
        <w:t>（二</w:t>
      </w:r>
      <w:r>
        <w:rPr>
          <w:rFonts w:ascii="楷体" w:eastAsia="楷体"/>
          <w:spacing w:val="2"/>
          <w:sz w:val="18"/>
        </w:rPr>
        <w:t>）</w:t>
      </w:r>
      <w:r>
        <w:rPr>
          <w:rFonts w:ascii="楷体" w:eastAsia="楷体"/>
          <w:spacing w:val="-4"/>
          <w:sz w:val="18"/>
        </w:rPr>
        <w:t>与接受治疗当地普遍接受的医疗专业实践标准一致。</w:t>
      </w:r>
      <w:r>
        <w:rPr>
          <w:rFonts w:ascii="楷体" w:eastAsia="楷体"/>
          <w:sz w:val="18"/>
        </w:rPr>
        <w:t>（三）</w:t>
      </w:r>
      <w:r>
        <w:rPr>
          <w:rFonts w:ascii="楷体" w:eastAsia="楷体"/>
          <w:spacing w:val="-1"/>
          <w:sz w:val="18"/>
        </w:rPr>
        <w:t>非为了个人舒适或为了被保险人父</w:t>
      </w:r>
      <w:r>
        <w:rPr>
          <w:rFonts w:ascii="楷体" w:eastAsia="楷体"/>
          <w:spacing w:val="-5"/>
          <w:sz w:val="18"/>
        </w:rPr>
        <w:t>母、家庭、医师或其他医疗提供方的方便。</w:t>
      </w:r>
      <w:r>
        <w:rPr>
          <w:rFonts w:ascii="楷体" w:eastAsia="楷体"/>
          <w:sz w:val="18"/>
        </w:rPr>
        <w:t>（四）最恰当、合适水平；住院接受治疗时，无法以门诊的方式对相应疾病和症状提供安全的医疗，且当前病症处于</w:t>
      </w:r>
      <w:r>
        <w:rPr>
          <w:rFonts w:hint="eastAsia" w:ascii="楷体" w:eastAsia="楷体"/>
          <w:b/>
          <w:spacing w:val="2"/>
          <w:w w:val="99"/>
          <w:sz w:val="18"/>
        </w:rPr>
        <w:t>急性</w:t>
      </w:r>
      <w:r>
        <w:rPr>
          <w:rFonts w:ascii="楷体" w:eastAsia="楷体"/>
          <w:sz w:val="18"/>
        </w:rPr>
        <w:t>（</w:t>
      </w:r>
      <w:r>
        <w:rPr>
          <w:rFonts w:ascii="楷体" w:eastAsia="楷体"/>
          <w:spacing w:val="-1"/>
          <w:sz w:val="18"/>
        </w:rPr>
        <w:t>指疾病病程短、病情相对严重，特别是严重急性病或外伤，需要短期治疗</w:t>
      </w:r>
      <w:r>
        <w:rPr>
          <w:rFonts w:ascii="楷体" w:eastAsia="楷体"/>
          <w:sz w:val="18"/>
        </w:rPr>
        <w:t>）或</w:t>
      </w:r>
      <w:r>
        <w:rPr>
          <w:rFonts w:hint="eastAsia" w:ascii="楷体" w:eastAsia="楷体"/>
          <w:b/>
          <w:spacing w:val="-16"/>
          <w:w w:val="99"/>
          <w:sz w:val="18"/>
        </w:rPr>
        <w:t>亚</w:t>
      </w:r>
    </w:p>
    <w:p>
      <w:pPr>
        <w:spacing w:after="0" w:line="242" w:lineRule="auto"/>
        <w:jc w:val="left"/>
        <w:rPr>
          <w:rFonts w:hint="eastAsia" w:ascii="楷体" w:eastAsia="楷体"/>
          <w:sz w:val="18"/>
        </w:rPr>
        <w:sectPr>
          <w:type w:val="continuous"/>
          <w:pgSz w:w="11910" w:h="16840"/>
          <w:pgMar w:top="480" w:right="680" w:bottom="280" w:left="900" w:header="720" w:footer="720" w:gutter="0"/>
          <w:cols w:space="720" w:num="1"/>
        </w:sectPr>
      </w:pPr>
    </w:p>
    <w:p>
      <w:pPr>
        <w:pStyle w:val="4"/>
        <w:tabs>
          <w:tab w:val="left" w:pos="3017"/>
        </w:tabs>
        <w:spacing w:before="44" w:line="278" w:lineRule="auto"/>
        <w:ind w:left="3017" w:right="451" w:hanging="1515"/>
      </w:pPr>
      <w:r>
        <w:rPr>
          <w:b/>
          <w:spacing w:val="-2"/>
        </w:rPr>
        <w:t>目门诊医疗</w:t>
      </w:r>
      <w:r>
        <w:rPr>
          <w:b/>
        </w:rPr>
        <w:tab/>
      </w:r>
      <w:r>
        <w:rPr>
          <w:spacing w:val="-4"/>
        </w:rPr>
        <w:t>门诊医疗，由此发生的符合通常惯例水平的以下类型费用，本公司承担一般</w:t>
      </w:r>
      <w:r>
        <w:rPr>
          <w:spacing w:val="-2"/>
        </w:rPr>
        <w:t>疾病（伤害）和一般项目门诊医疗费用责任：</w:t>
      </w:r>
    </w:p>
    <w:p>
      <w:pPr>
        <w:pStyle w:val="4"/>
        <w:spacing w:before="146" w:line="278" w:lineRule="auto"/>
        <w:ind w:left="3017" w:right="449"/>
      </w:pPr>
      <w:r>
        <w:rPr>
          <w:spacing w:val="-2"/>
        </w:rPr>
        <w:t>（一）</w:t>
      </w:r>
      <w:r>
        <w:rPr>
          <w:b/>
          <w:spacing w:val="-2"/>
        </w:rPr>
        <w:t>医师</w:t>
      </w:r>
      <w:r>
        <w:rPr>
          <w:b/>
          <w:spacing w:val="-2"/>
          <w:position w:val="11"/>
          <w:sz w:val="11"/>
        </w:rPr>
        <w:t>13</w:t>
      </w:r>
      <w:r>
        <w:rPr>
          <w:spacing w:val="-2"/>
        </w:rPr>
        <w:t>诊疗费、挂号费、会诊费（包括院内会诊、院际会诊、多学科联合会诊/MDT、远程/互联网会诊</w:t>
      </w:r>
      <w:r>
        <w:rPr>
          <w:spacing w:val="-106"/>
        </w:rPr>
        <w:t>）</w:t>
      </w:r>
      <w:r>
        <w:rPr>
          <w:spacing w:val="-2"/>
        </w:rPr>
        <w:t>。</w:t>
      </w:r>
    </w:p>
    <w:p>
      <w:pPr>
        <w:pStyle w:val="4"/>
        <w:spacing w:before="156" w:line="278" w:lineRule="auto"/>
        <w:ind w:left="3017" w:right="449"/>
      </w:pPr>
      <w:r>
        <w:rPr>
          <w:spacing w:val="-4"/>
        </w:rPr>
        <w:t>（二）检查费。包括但不限于超声波检查、超声波心动描记术、计算机断层</w:t>
      </w:r>
      <w:r>
        <w:rPr>
          <w:spacing w:val="-2"/>
        </w:rPr>
        <w:t>扫描、正电子发射计算机断层扫描、核磁共振检查。</w:t>
      </w:r>
    </w:p>
    <w:p>
      <w:pPr>
        <w:pStyle w:val="4"/>
        <w:spacing w:before="156"/>
        <w:ind w:left="3017"/>
      </w:pPr>
      <w:r>
        <w:rPr>
          <w:spacing w:val="-2"/>
        </w:rPr>
        <w:t>（三）</w:t>
      </w:r>
      <w:r>
        <w:rPr>
          <w:spacing w:val="-4"/>
        </w:rPr>
        <w:t>化验费。</w:t>
      </w:r>
    </w:p>
    <w:p>
      <w:pPr>
        <w:pStyle w:val="4"/>
        <w:spacing w:before="6"/>
        <w:rPr>
          <w:sz w:val="15"/>
        </w:rPr>
      </w:pPr>
    </w:p>
    <w:p>
      <w:pPr>
        <w:pStyle w:val="4"/>
        <w:spacing w:before="1"/>
        <w:ind w:left="3017"/>
      </w:pPr>
      <w:r>
        <w:rPr>
          <w:spacing w:val="-2"/>
        </w:rPr>
        <w:t>（四）</w:t>
      </w:r>
      <w:r>
        <w:rPr>
          <w:spacing w:val="-3"/>
        </w:rPr>
        <w:t>手术室和恢复室费。</w:t>
      </w:r>
    </w:p>
    <w:p>
      <w:pPr>
        <w:pStyle w:val="4"/>
        <w:spacing w:before="6"/>
        <w:rPr>
          <w:sz w:val="15"/>
        </w:rPr>
      </w:pPr>
    </w:p>
    <w:p>
      <w:pPr>
        <w:pStyle w:val="4"/>
        <w:ind w:left="3017"/>
      </w:pPr>
      <w:r>
        <w:rPr>
          <w:spacing w:val="-2"/>
        </w:rPr>
        <w:t>（五）</w:t>
      </w:r>
      <w:r>
        <w:rPr>
          <w:spacing w:val="-4"/>
        </w:rPr>
        <w:t>急诊室费。</w:t>
      </w:r>
    </w:p>
    <w:p>
      <w:pPr>
        <w:pStyle w:val="4"/>
        <w:spacing w:before="7"/>
        <w:rPr>
          <w:sz w:val="15"/>
        </w:rPr>
      </w:pPr>
    </w:p>
    <w:p>
      <w:pPr>
        <w:pStyle w:val="4"/>
        <w:ind w:left="3017"/>
      </w:pPr>
      <w:r>
        <w:rPr>
          <w:spacing w:val="-2"/>
        </w:rPr>
        <w:t>（六）</w:t>
      </w:r>
      <w:r>
        <w:rPr>
          <w:spacing w:val="-3"/>
        </w:rPr>
        <w:t>手术医师费和麻醉师费。</w:t>
      </w:r>
    </w:p>
    <w:p>
      <w:pPr>
        <w:pStyle w:val="4"/>
        <w:spacing w:before="10"/>
        <w:rPr>
          <w:sz w:val="14"/>
        </w:rPr>
      </w:pPr>
    </w:p>
    <w:p>
      <w:pPr>
        <w:spacing w:before="0" w:line="271" w:lineRule="auto"/>
        <w:ind w:left="3017" w:right="362" w:firstLine="0"/>
        <w:jc w:val="left"/>
        <w:rPr>
          <w:sz w:val="21"/>
        </w:rPr>
      </w:pPr>
      <w:r>
        <w:rPr>
          <w:spacing w:val="-2"/>
          <w:sz w:val="21"/>
        </w:rPr>
        <w:t>（七）核素内照射疗法、</w:t>
      </w:r>
      <w:r>
        <w:rPr>
          <w:b/>
          <w:spacing w:val="-2"/>
          <w:sz w:val="21"/>
        </w:rPr>
        <w:t>放射疗法</w:t>
      </w:r>
      <w:r>
        <w:rPr>
          <w:b/>
          <w:spacing w:val="-2"/>
          <w:position w:val="11"/>
          <w:sz w:val="11"/>
        </w:rPr>
        <w:t>14</w:t>
      </w:r>
      <w:r>
        <w:rPr>
          <w:spacing w:val="-2"/>
          <w:sz w:val="21"/>
        </w:rPr>
        <w:t>、高端放射治疗（包括螺旋断层放射治疗系统Tomo</w:t>
      </w:r>
      <w:r>
        <w:rPr>
          <w:spacing w:val="-96"/>
          <w:sz w:val="21"/>
        </w:rPr>
        <w:t>、</w:t>
      </w:r>
      <w:r>
        <w:rPr>
          <w:spacing w:val="-2"/>
          <w:sz w:val="21"/>
        </w:rPr>
        <w:t>Edge</w:t>
      </w:r>
      <w:r>
        <w:rPr>
          <w:spacing w:val="-18"/>
          <w:sz w:val="21"/>
        </w:rPr>
        <w:t>直线加速器、</w:t>
      </w:r>
      <w:r>
        <w:rPr>
          <w:spacing w:val="-2"/>
          <w:sz w:val="21"/>
        </w:rPr>
        <w:t>X线立体定向放射治疗系统Cyberknife</w:t>
      </w:r>
      <w:r>
        <w:rPr>
          <w:spacing w:val="-96"/>
          <w:sz w:val="21"/>
        </w:rPr>
        <w:t>、</w:t>
      </w:r>
      <w:r>
        <w:rPr>
          <w:spacing w:val="-2"/>
          <w:sz w:val="21"/>
        </w:rPr>
        <w:t>Versa HD直线加速器、质子放射治疗系统、重离子放射治疗系统等</w:t>
      </w:r>
      <w:r>
        <w:rPr>
          <w:spacing w:val="-108"/>
          <w:sz w:val="21"/>
        </w:rPr>
        <w:t>）</w:t>
      </w:r>
      <w:r>
        <w:rPr>
          <w:spacing w:val="-2"/>
          <w:sz w:val="21"/>
        </w:rPr>
        <w:t>、</w:t>
      </w:r>
      <w:r>
        <w:rPr>
          <w:b/>
          <w:spacing w:val="-2"/>
          <w:sz w:val="21"/>
        </w:rPr>
        <w:t>化学疗法</w:t>
      </w:r>
      <w:r>
        <w:rPr>
          <w:b/>
          <w:spacing w:val="-2"/>
          <w:position w:val="11"/>
          <w:sz w:val="11"/>
        </w:rPr>
        <w:t>15</w:t>
      </w:r>
      <w:r>
        <w:rPr>
          <w:spacing w:val="-2"/>
          <w:sz w:val="21"/>
        </w:rPr>
        <w:t>、</w:t>
      </w:r>
      <w:r>
        <w:rPr>
          <w:b/>
          <w:spacing w:val="-2"/>
          <w:sz w:val="21"/>
        </w:rPr>
        <w:t>肿瘤免疫疗法</w:t>
      </w:r>
      <w:r>
        <w:rPr>
          <w:b/>
          <w:spacing w:val="-2"/>
          <w:position w:val="11"/>
          <w:sz w:val="11"/>
        </w:rPr>
        <w:t>16</w:t>
      </w:r>
      <w:r>
        <w:rPr>
          <w:spacing w:val="-2"/>
          <w:sz w:val="21"/>
        </w:rPr>
        <w:t>、</w:t>
      </w:r>
      <w:r>
        <w:rPr>
          <w:b/>
          <w:spacing w:val="-2"/>
          <w:sz w:val="21"/>
        </w:rPr>
        <w:t>肿瘤内分泌疗法</w:t>
      </w:r>
      <w:r>
        <w:rPr>
          <w:b/>
          <w:spacing w:val="-2"/>
          <w:position w:val="11"/>
          <w:sz w:val="11"/>
        </w:rPr>
        <w:t>17</w:t>
      </w:r>
      <w:r>
        <w:rPr>
          <w:spacing w:val="-2"/>
          <w:sz w:val="21"/>
        </w:rPr>
        <w:t>、</w:t>
      </w:r>
      <w:r>
        <w:rPr>
          <w:b/>
          <w:spacing w:val="-2"/>
          <w:sz w:val="21"/>
        </w:rPr>
        <w:t>肿瘤靶向疗法</w:t>
      </w:r>
      <w:r>
        <w:rPr>
          <w:b/>
          <w:spacing w:val="-2"/>
          <w:position w:val="11"/>
          <w:sz w:val="11"/>
        </w:rPr>
        <w:t>18</w:t>
      </w:r>
      <w:r>
        <w:rPr>
          <w:spacing w:val="-2"/>
          <w:sz w:val="21"/>
        </w:rPr>
        <w:t>等的治疗费用。</w:t>
      </w:r>
    </w:p>
    <w:p>
      <w:pPr>
        <w:spacing w:before="158"/>
        <w:ind w:left="3017" w:right="0" w:firstLine="0"/>
        <w:jc w:val="left"/>
        <w:rPr>
          <w:sz w:val="21"/>
        </w:rPr>
      </w:pPr>
      <w:r>
        <w:rPr>
          <w:w w:val="95"/>
          <w:sz w:val="21"/>
        </w:rPr>
        <w:t>（八）由具有相应医疗资质的专业医师实施的</w:t>
      </w:r>
      <w:r>
        <w:rPr>
          <w:b/>
          <w:w w:val="95"/>
          <w:sz w:val="21"/>
        </w:rPr>
        <w:t>顺势疗法</w:t>
      </w:r>
      <w:r>
        <w:rPr>
          <w:b/>
          <w:w w:val="95"/>
          <w:position w:val="11"/>
          <w:sz w:val="11"/>
        </w:rPr>
        <w:t>19</w:t>
      </w:r>
      <w:r>
        <w:rPr>
          <w:w w:val="95"/>
          <w:sz w:val="21"/>
        </w:rPr>
        <w:t>费</w:t>
      </w:r>
      <w:r>
        <w:rPr>
          <w:spacing w:val="-10"/>
          <w:w w:val="95"/>
          <w:sz w:val="21"/>
        </w:rPr>
        <w:t>。</w:t>
      </w:r>
    </w:p>
    <w:p>
      <w:pPr>
        <w:spacing w:before="189"/>
        <w:ind w:left="3017" w:right="0" w:firstLine="0"/>
        <w:jc w:val="left"/>
        <w:rPr>
          <w:sz w:val="21"/>
        </w:rPr>
      </w:pPr>
      <w:r>
        <w:rPr>
          <w:w w:val="95"/>
          <w:sz w:val="21"/>
        </w:rPr>
        <w:t>（九）</w:t>
      </w:r>
      <w:r>
        <w:rPr>
          <w:b/>
          <w:w w:val="95"/>
          <w:sz w:val="21"/>
        </w:rPr>
        <w:t>牙科意外伤害医疗</w:t>
      </w:r>
      <w:r>
        <w:rPr>
          <w:b/>
          <w:w w:val="95"/>
          <w:position w:val="11"/>
          <w:sz w:val="11"/>
        </w:rPr>
        <w:t>20</w:t>
      </w:r>
      <w:r>
        <w:rPr>
          <w:w w:val="95"/>
          <w:sz w:val="21"/>
        </w:rPr>
        <w:t>费。本公司就发生在本保险期间的牙科意</w:t>
      </w:r>
      <w:r>
        <w:rPr>
          <w:spacing w:val="-4"/>
          <w:w w:val="95"/>
          <w:sz w:val="21"/>
        </w:rPr>
        <w:t>外伤害</w:t>
      </w:r>
    </w:p>
    <w:p>
      <w:pPr>
        <w:pStyle w:val="4"/>
        <w:spacing w:before="43" w:line="278" w:lineRule="auto"/>
        <w:ind w:left="3017" w:right="449"/>
        <w:jc w:val="both"/>
      </w:pPr>
      <w:r>
        <w:rPr>
          <w:color w:val="000000"/>
          <w:spacing w:val="-4"/>
          <w:shd w:val="clear" w:color="auto" w:fill="E4E4E4"/>
        </w:rPr>
        <w:t>（由咀嚼食物或者咀嚼其他外物引起的牙齿伤害的治疗费、咨询费、检查费</w:t>
      </w:r>
      <w:r>
        <w:rPr>
          <w:color w:val="000000"/>
          <w:spacing w:val="-2"/>
          <w:shd w:val="clear" w:color="auto" w:fill="E4E4E4"/>
        </w:rPr>
        <w:t>除外</w:t>
      </w:r>
      <w:r>
        <w:rPr>
          <w:color w:val="000000"/>
          <w:spacing w:val="-103"/>
          <w:shd w:val="clear" w:color="auto" w:fill="E4E4E4"/>
        </w:rPr>
        <w:t>）</w:t>
      </w:r>
      <w:r>
        <w:rPr>
          <w:color w:val="000000"/>
          <w:spacing w:val="-2"/>
        </w:rPr>
        <w:t>，对于该牙科意外伤害延续至续保期间的医疗费用，仍然适用于本保 险期间的年度上限。</w:t>
      </w:r>
    </w:p>
    <w:p>
      <w:pPr>
        <w:pStyle w:val="4"/>
        <w:rPr>
          <w:sz w:val="20"/>
        </w:rPr>
      </w:pPr>
    </w:p>
    <w:p>
      <w:pPr>
        <w:pStyle w:val="4"/>
        <w:rPr>
          <w:sz w:val="20"/>
        </w:rPr>
      </w:pPr>
    </w:p>
    <w:p>
      <w:pPr>
        <w:pStyle w:val="4"/>
        <w:spacing w:before="4"/>
        <w:rPr>
          <w:sz w:val="24"/>
        </w:rPr>
      </w:pPr>
      <w:r>
        <w:drawing>
          <wp:anchor distT="0" distB="0" distL="0" distR="0" simplePos="0" relativeHeight="251659264" behindDoc="0" locked="0" layoutInCell="1" allowOverlap="1">
            <wp:simplePos x="0" y="0"/>
            <wp:positionH relativeFrom="page">
              <wp:posOffset>685800</wp:posOffset>
            </wp:positionH>
            <wp:positionV relativeFrom="paragraph">
              <wp:posOffset>213360</wp:posOffset>
            </wp:positionV>
            <wp:extent cx="1829435" cy="6350"/>
            <wp:effectExtent l="0" t="0" r="0" b="0"/>
            <wp:wrapTopAndBottom/>
            <wp:docPr id="1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4.png"/>
                    <pic:cNvPicPr>
                      <a:picLocks noChangeAspect="1"/>
                    </pic:cNvPicPr>
                  </pic:nvPicPr>
                  <pic:blipFill>
                    <a:blip r:embed="rId9" cstate="print"/>
                    <a:stretch>
                      <a:fillRect/>
                    </a:stretch>
                  </pic:blipFill>
                  <pic:spPr>
                    <a:xfrm>
                      <a:off x="0" y="0"/>
                      <a:ext cx="1829396" cy="6096"/>
                    </a:xfrm>
                    <a:prstGeom prst="rect">
                      <a:avLst/>
                    </a:prstGeom>
                  </pic:spPr>
                </pic:pic>
              </a:graphicData>
            </a:graphic>
          </wp:anchor>
        </w:drawing>
      </w:r>
    </w:p>
    <w:p>
      <w:pPr>
        <w:spacing w:before="91" w:line="242" w:lineRule="auto"/>
        <w:ind w:left="180" w:right="421" w:firstLine="0"/>
        <w:jc w:val="left"/>
        <w:rPr>
          <w:rFonts w:ascii="楷体" w:eastAsia="楷体"/>
          <w:sz w:val="18"/>
        </w:rPr>
      </w:pPr>
      <w:r>
        <w:rPr>
          <w:rFonts w:hint="eastAsia" w:ascii="楷体" w:eastAsia="楷体"/>
          <w:b/>
          <w:spacing w:val="-2"/>
          <w:sz w:val="18"/>
        </w:rPr>
        <w:t>急性</w:t>
      </w:r>
      <w:r>
        <w:rPr>
          <w:rFonts w:ascii="楷体" w:eastAsia="楷体"/>
          <w:spacing w:val="-2"/>
          <w:sz w:val="18"/>
        </w:rPr>
        <w:t>（指病情具有急性病一些特征，处于急性和慢性之间）状态需要持续接受治疗、专业护理或康复治疗。主要出于接受慢性病治疗、长期看护、</w:t>
      </w:r>
      <w:r>
        <w:rPr>
          <w:rFonts w:hint="eastAsia" w:ascii="楷体" w:eastAsia="楷体"/>
          <w:b/>
          <w:spacing w:val="-2"/>
          <w:sz w:val="18"/>
        </w:rPr>
        <w:t>喘息照护</w:t>
      </w:r>
      <w:r>
        <w:rPr>
          <w:rFonts w:ascii="楷体" w:eastAsia="楷体"/>
          <w:spacing w:val="-2"/>
          <w:sz w:val="18"/>
        </w:rPr>
        <w:t>（指出于减轻患慢性或终末期疾病病人护理提供者负担目的，病人住院接受的照料和护</w:t>
      </w:r>
    </w:p>
    <w:p>
      <w:pPr>
        <w:spacing w:before="0" w:line="242" w:lineRule="auto"/>
        <w:ind w:left="180" w:right="422" w:firstLine="0"/>
        <w:jc w:val="left"/>
        <w:rPr>
          <w:rFonts w:ascii="楷体" w:hAnsi="楷体" w:eastAsia="楷体"/>
          <w:sz w:val="18"/>
        </w:rPr>
      </w:pPr>
      <w:r>
        <w:rPr>
          <w:rFonts w:ascii="楷体" w:hAnsi="楷体" w:eastAsia="楷体"/>
          <w:sz w:val="18"/>
        </w:rPr>
        <w:t>理</w:t>
      </w:r>
      <w:r>
        <w:rPr>
          <w:rFonts w:ascii="楷体" w:hAnsi="楷体" w:eastAsia="楷体"/>
          <w:spacing w:val="-92"/>
          <w:sz w:val="18"/>
        </w:rPr>
        <w:t>）</w:t>
      </w:r>
      <w:r>
        <w:rPr>
          <w:rFonts w:ascii="楷体" w:hAnsi="楷体" w:eastAsia="楷体"/>
          <w:sz w:val="18"/>
        </w:rPr>
        <w:t>、</w:t>
      </w:r>
      <w:r>
        <w:rPr>
          <w:rFonts w:hint="eastAsia" w:ascii="楷体" w:hAnsi="楷体" w:eastAsia="楷体"/>
          <w:b/>
          <w:spacing w:val="1"/>
          <w:w w:val="99"/>
          <w:sz w:val="18"/>
        </w:rPr>
        <w:t>慢性病</w:t>
      </w:r>
      <w:r>
        <w:rPr>
          <w:rFonts w:ascii="楷体" w:hAnsi="楷体" w:eastAsia="楷体"/>
          <w:sz w:val="18"/>
        </w:rPr>
        <w:t>维持、协助从事</w:t>
      </w:r>
      <w:r>
        <w:rPr>
          <w:rFonts w:hint="eastAsia" w:ascii="楷体" w:hAnsi="楷体" w:eastAsia="楷体"/>
          <w:b/>
          <w:w w:val="99"/>
          <w:sz w:val="18"/>
        </w:rPr>
        <w:t>日常生活活动</w:t>
      </w:r>
      <w:r>
        <w:rPr>
          <w:rFonts w:ascii="楷体" w:hAnsi="楷体" w:eastAsia="楷体"/>
          <w:sz w:val="18"/>
        </w:rPr>
        <w:t>目的而住院的，不属医学必需。其中“慢性病”指满足下列条件之一的的伤害、</w:t>
      </w:r>
      <w:r>
        <w:rPr>
          <w:rFonts w:ascii="楷体" w:hAnsi="楷体" w:eastAsia="楷体"/>
          <w:spacing w:val="-16"/>
          <w:sz w:val="18"/>
        </w:rPr>
        <w:t>疾病或症状：</w:t>
      </w:r>
      <w:r>
        <w:rPr>
          <w:rFonts w:ascii="楷体" w:hAnsi="楷体" w:eastAsia="楷体"/>
          <w:sz w:val="18"/>
        </w:rPr>
        <w:t>（</w:t>
      </w:r>
      <w:r>
        <w:rPr>
          <w:rFonts w:ascii="楷体" w:hAnsi="楷体" w:eastAsia="楷体"/>
          <w:spacing w:val="1"/>
          <w:sz w:val="18"/>
        </w:rPr>
        <w:t>1</w:t>
      </w:r>
      <w:r>
        <w:rPr>
          <w:rFonts w:ascii="楷体" w:hAnsi="楷体" w:eastAsia="楷体"/>
          <w:sz w:val="18"/>
        </w:rPr>
        <w:t>）</w:t>
      </w:r>
      <w:r>
        <w:rPr>
          <w:rFonts w:ascii="楷体" w:hAnsi="楷体" w:eastAsia="楷体"/>
          <w:spacing w:val="-6"/>
          <w:sz w:val="18"/>
        </w:rPr>
        <w:t>持续接受三个月以上的医学必需的治疗；</w:t>
      </w:r>
      <w:r>
        <w:rPr>
          <w:rFonts w:ascii="楷体" w:hAnsi="楷体" w:eastAsia="楷体"/>
          <w:spacing w:val="3"/>
          <w:sz w:val="18"/>
        </w:rPr>
        <w:t>（</w:t>
      </w:r>
      <w:r>
        <w:rPr>
          <w:rFonts w:ascii="楷体" w:hAnsi="楷体" w:eastAsia="楷体"/>
          <w:spacing w:val="1"/>
          <w:sz w:val="18"/>
        </w:rPr>
        <w:t>2</w:t>
      </w:r>
      <w:r>
        <w:rPr>
          <w:rFonts w:ascii="楷体" w:hAnsi="楷体" w:eastAsia="楷体"/>
          <w:sz w:val="18"/>
        </w:rPr>
        <w:t>）</w:t>
      </w:r>
      <w:r>
        <w:rPr>
          <w:rFonts w:ascii="楷体" w:hAnsi="楷体" w:eastAsia="楷体"/>
          <w:spacing w:val="-1"/>
          <w:sz w:val="18"/>
        </w:rPr>
        <w:t>预期病程长久且无可合理预计的康复日期，可能复发、需要连续或定期护理。其中“日常生活活动”指与个人生活自理基本行为相关的活动，包括但不限于行走、个人卫生、睡眠、如</w:t>
      </w:r>
      <w:r>
        <w:rPr>
          <w:rFonts w:ascii="楷体" w:hAnsi="楷体" w:eastAsia="楷体"/>
          <w:spacing w:val="-6"/>
          <w:sz w:val="18"/>
        </w:rPr>
        <w:t>厕(控制大小便的能力)、穿衣、做饭、进食、上下床。</w:t>
      </w:r>
      <w:r>
        <w:rPr>
          <w:rFonts w:ascii="楷体" w:hAnsi="楷体" w:eastAsia="楷体"/>
          <w:sz w:val="18"/>
        </w:rPr>
        <w:t>（五</w:t>
      </w:r>
      <w:r>
        <w:rPr>
          <w:rFonts w:ascii="楷体" w:hAnsi="楷体" w:eastAsia="楷体"/>
          <w:spacing w:val="2"/>
          <w:sz w:val="18"/>
        </w:rPr>
        <w:t>）</w:t>
      </w:r>
      <w:r>
        <w:rPr>
          <w:rFonts w:ascii="楷体" w:hAnsi="楷体" w:eastAsia="楷体"/>
          <w:spacing w:val="-5"/>
          <w:sz w:val="18"/>
        </w:rPr>
        <w:t>非病人学术教育或职业培训的一部分或与之相关。</w:t>
      </w:r>
      <w:r>
        <w:rPr>
          <w:rFonts w:ascii="楷体" w:hAnsi="楷体" w:eastAsia="楷体"/>
          <w:sz w:val="18"/>
        </w:rPr>
        <w:t>（六）</w:t>
      </w:r>
      <w:r>
        <w:rPr>
          <w:rFonts w:ascii="楷体" w:hAnsi="楷体" w:eastAsia="楷体"/>
          <w:spacing w:val="-4"/>
          <w:sz w:val="18"/>
        </w:rPr>
        <w:t>非试验</w:t>
      </w:r>
      <w:r>
        <w:rPr>
          <w:rFonts w:ascii="楷体" w:hAnsi="楷体" w:eastAsia="楷体"/>
          <w:sz w:val="18"/>
        </w:rPr>
        <w:t>性或研究性。</w:t>
      </w:r>
    </w:p>
    <w:p>
      <w:pPr>
        <w:spacing w:before="1"/>
        <w:ind w:left="180" w:right="0" w:firstLine="0"/>
        <w:jc w:val="left"/>
        <w:rPr>
          <w:rFonts w:ascii="楷体" w:eastAsia="楷体"/>
          <w:sz w:val="18"/>
        </w:rPr>
      </w:pPr>
      <w:r>
        <w:rPr>
          <w:rFonts w:hint="eastAsia" w:ascii="楷体" w:eastAsia="楷体"/>
          <w:b/>
          <w:w w:val="95"/>
          <w:position w:val="9"/>
          <w:sz w:val="9"/>
        </w:rPr>
        <w:t>13</w:t>
      </w:r>
      <w:r>
        <w:rPr>
          <w:rFonts w:hint="eastAsia" w:ascii="楷体" w:eastAsia="楷体"/>
          <w:b/>
          <w:w w:val="95"/>
          <w:sz w:val="18"/>
        </w:rPr>
        <w:t>医师：</w:t>
      </w:r>
      <w:r>
        <w:rPr>
          <w:rFonts w:ascii="楷体" w:eastAsia="楷体"/>
          <w:w w:val="95"/>
          <w:sz w:val="18"/>
        </w:rPr>
        <w:t>指具有医疗职业资格的任何人，包括内科医师、全科医师、专业医师、医学顾问以及其他任何在相应准许和训练</w:t>
      </w:r>
      <w:r>
        <w:rPr>
          <w:rFonts w:ascii="楷体" w:eastAsia="楷体"/>
          <w:spacing w:val="-10"/>
          <w:w w:val="95"/>
          <w:sz w:val="18"/>
        </w:rPr>
        <w:t>范</w:t>
      </w:r>
    </w:p>
    <w:p>
      <w:pPr>
        <w:spacing w:before="5"/>
        <w:ind w:left="180" w:right="0" w:firstLine="0"/>
        <w:jc w:val="left"/>
        <w:rPr>
          <w:rFonts w:ascii="楷体" w:eastAsia="楷体"/>
          <w:sz w:val="18"/>
        </w:rPr>
      </w:pPr>
      <w:r>
        <w:rPr>
          <w:rFonts w:ascii="楷体" w:eastAsia="楷体"/>
          <w:spacing w:val="-1"/>
          <w:sz w:val="18"/>
        </w:rPr>
        <w:t>围内从事医疗服务的人员，但不包括实习人员、在训人员。</w:t>
      </w:r>
    </w:p>
    <w:p>
      <w:pPr>
        <w:spacing w:before="2"/>
        <w:ind w:left="180" w:right="0" w:firstLine="0"/>
        <w:jc w:val="left"/>
        <w:rPr>
          <w:rFonts w:ascii="楷体" w:eastAsia="楷体"/>
          <w:sz w:val="18"/>
        </w:rPr>
      </w:pPr>
      <w:r>
        <w:rPr>
          <w:rFonts w:hint="eastAsia" w:ascii="楷体" w:eastAsia="楷体"/>
          <w:b/>
          <w:w w:val="95"/>
          <w:position w:val="9"/>
          <w:sz w:val="9"/>
        </w:rPr>
        <w:t>14</w:t>
      </w:r>
      <w:r>
        <w:rPr>
          <w:rFonts w:hint="eastAsia" w:ascii="楷体" w:eastAsia="楷体"/>
          <w:b/>
          <w:w w:val="95"/>
          <w:sz w:val="18"/>
        </w:rPr>
        <w:t>放射疗法：</w:t>
      </w:r>
      <w:r>
        <w:rPr>
          <w:rFonts w:ascii="楷体" w:eastAsia="楷体"/>
          <w:w w:val="95"/>
          <w:sz w:val="18"/>
        </w:rPr>
        <w:t>指针对恶性肿瘤的放射疗法。放疗是使用各种不同能量的射线照射肿瘤组织，以抑制和杀灭癌细胞为目的而</w:t>
      </w:r>
      <w:r>
        <w:rPr>
          <w:rFonts w:ascii="楷体" w:eastAsia="楷体"/>
          <w:spacing w:val="-10"/>
          <w:w w:val="95"/>
          <w:sz w:val="18"/>
        </w:rPr>
        <w:t>进</w:t>
      </w:r>
    </w:p>
    <w:p>
      <w:pPr>
        <w:spacing w:before="2"/>
        <w:ind w:left="180" w:right="0" w:firstLine="0"/>
        <w:jc w:val="left"/>
        <w:rPr>
          <w:rFonts w:ascii="楷体" w:eastAsia="楷体"/>
          <w:sz w:val="18"/>
        </w:rPr>
      </w:pPr>
      <w:r>
        <w:rPr>
          <w:rFonts w:ascii="楷体" w:eastAsia="楷体"/>
          <w:spacing w:val="-1"/>
          <w:sz w:val="18"/>
        </w:rPr>
        <w:t>行的治疗。本合同所指的放疗为被保险人根据医嘱，在医院的专门科室进行的放疗。</w:t>
      </w:r>
    </w:p>
    <w:p>
      <w:pPr>
        <w:spacing w:before="5"/>
        <w:ind w:left="180" w:right="0" w:firstLine="0"/>
        <w:jc w:val="left"/>
        <w:rPr>
          <w:rFonts w:ascii="楷体" w:eastAsia="楷体"/>
          <w:sz w:val="18"/>
        </w:rPr>
      </w:pPr>
      <w:r>
        <w:rPr>
          <w:rFonts w:hint="eastAsia" w:ascii="楷体" w:eastAsia="楷体"/>
          <w:b/>
          <w:w w:val="95"/>
          <w:position w:val="9"/>
          <w:sz w:val="9"/>
        </w:rPr>
        <w:t>15</w:t>
      </w:r>
      <w:r>
        <w:rPr>
          <w:rFonts w:hint="eastAsia" w:ascii="楷体" w:eastAsia="楷体"/>
          <w:b/>
          <w:w w:val="95"/>
          <w:sz w:val="18"/>
        </w:rPr>
        <w:t>化学疗法：</w:t>
      </w:r>
      <w:r>
        <w:rPr>
          <w:rFonts w:ascii="楷体" w:eastAsia="楷体"/>
          <w:w w:val="95"/>
          <w:sz w:val="18"/>
        </w:rPr>
        <w:t>指针对于恶性肿瘤的化学疗法。化疗是使用医学界公认的化疗药物以杀死癌细胞、抑制癌细胞生长繁殖为目</w:t>
      </w:r>
      <w:r>
        <w:rPr>
          <w:rFonts w:ascii="楷体" w:eastAsia="楷体"/>
          <w:spacing w:val="-10"/>
          <w:w w:val="95"/>
          <w:sz w:val="18"/>
        </w:rPr>
        <w:t>的</w:t>
      </w:r>
    </w:p>
    <w:p>
      <w:pPr>
        <w:spacing w:before="2" w:line="223" w:lineRule="exact"/>
        <w:ind w:left="180" w:right="0" w:firstLine="0"/>
        <w:jc w:val="left"/>
        <w:rPr>
          <w:rFonts w:ascii="楷体" w:eastAsia="楷体"/>
          <w:sz w:val="18"/>
        </w:rPr>
      </w:pPr>
      <w:r>
        <w:rPr>
          <w:rFonts w:ascii="楷体" w:eastAsia="楷体"/>
          <w:spacing w:val="-1"/>
          <w:sz w:val="18"/>
        </w:rPr>
        <w:t>而进行的治疗。本合同所指的化疗为被保险人根据医嘱，在医院进行的化疗。</w:t>
      </w:r>
    </w:p>
    <w:p>
      <w:pPr>
        <w:spacing w:before="0" w:line="261" w:lineRule="exact"/>
        <w:ind w:left="180" w:right="0" w:firstLine="0"/>
        <w:jc w:val="left"/>
        <w:rPr>
          <w:rFonts w:ascii="楷体" w:eastAsia="楷体"/>
          <w:sz w:val="18"/>
        </w:rPr>
      </w:pPr>
      <w:r>
        <w:rPr>
          <w:rFonts w:hint="eastAsia" w:ascii="楷体" w:eastAsia="楷体"/>
          <w:b/>
          <w:w w:val="95"/>
          <w:position w:val="9"/>
          <w:sz w:val="9"/>
        </w:rPr>
        <w:t>16</w:t>
      </w:r>
      <w:r>
        <w:rPr>
          <w:rFonts w:hint="eastAsia" w:ascii="楷体" w:eastAsia="楷体"/>
          <w:b/>
          <w:w w:val="95"/>
          <w:sz w:val="18"/>
        </w:rPr>
        <w:t>肿瘤免疫疗法</w:t>
      </w:r>
      <w:r>
        <w:rPr>
          <w:rFonts w:hint="eastAsia" w:ascii="楷体" w:eastAsia="楷体"/>
          <w:b/>
          <w:w w:val="95"/>
          <w:sz w:val="21"/>
        </w:rPr>
        <w:t>：</w:t>
      </w:r>
      <w:r>
        <w:rPr>
          <w:rFonts w:ascii="楷体" w:eastAsia="楷体"/>
          <w:w w:val="95"/>
          <w:sz w:val="18"/>
        </w:rPr>
        <w:t>指应用免疫学原理和方法，使用肿瘤免疫治疗药物提高肿瘤细胞的免疫原性和对效应细胞杀伤的敏感性</w:t>
      </w:r>
      <w:r>
        <w:rPr>
          <w:rFonts w:ascii="楷体" w:eastAsia="楷体"/>
          <w:spacing w:val="-5"/>
          <w:w w:val="95"/>
          <w:sz w:val="18"/>
        </w:rPr>
        <w:t>，激</w:t>
      </w:r>
    </w:p>
    <w:p>
      <w:pPr>
        <w:spacing w:before="2" w:line="249" w:lineRule="auto"/>
        <w:ind w:left="180" w:right="394" w:firstLine="0"/>
        <w:jc w:val="left"/>
        <w:rPr>
          <w:rFonts w:ascii="楷体" w:eastAsia="楷体"/>
          <w:sz w:val="18"/>
        </w:rPr>
      </w:pPr>
      <w:r>
        <w:rPr>
          <w:rFonts w:ascii="楷体" w:eastAsia="楷体"/>
          <w:spacing w:val="-2"/>
          <w:sz w:val="18"/>
        </w:rPr>
        <w:t>发和增强机体抗肿瘤免疫应答。本合同所指的肿瘤免疫治疗药物需符合法律、法规要求并经所在国家或地区的药品监督管理部门批准用于临床治疗。</w:t>
      </w:r>
    </w:p>
    <w:p>
      <w:pPr>
        <w:spacing w:before="0" w:line="239" w:lineRule="exact"/>
        <w:ind w:left="180" w:right="0" w:firstLine="0"/>
        <w:jc w:val="left"/>
        <w:rPr>
          <w:rFonts w:ascii="楷体" w:eastAsia="楷体"/>
          <w:sz w:val="18"/>
        </w:rPr>
      </w:pPr>
      <w:r>
        <w:rPr>
          <w:rFonts w:hint="eastAsia" w:ascii="楷体" w:eastAsia="楷体"/>
          <w:b/>
          <w:w w:val="95"/>
          <w:position w:val="9"/>
          <w:sz w:val="9"/>
        </w:rPr>
        <w:t>17</w:t>
      </w:r>
      <w:r>
        <w:rPr>
          <w:rFonts w:hint="eastAsia" w:ascii="楷体" w:eastAsia="楷体"/>
          <w:b/>
          <w:w w:val="95"/>
          <w:sz w:val="18"/>
        </w:rPr>
        <w:t>肿瘤内分泌疗法</w:t>
      </w:r>
      <w:r>
        <w:rPr>
          <w:rFonts w:hint="eastAsia" w:ascii="楷体" w:eastAsia="楷体"/>
          <w:b/>
          <w:w w:val="95"/>
          <w:sz w:val="21"/>
        </w:rPr>
        <w:t>：</w:t>
      </w:r>
      <w:r>
        <w:rPr>
          <w:rFonts w:ascii="楷体" w:eastAsia="楷体"/>
          <w:w w:val="95"/>
          <w:sz w:val="18"/>
        </w:rPr>
        <w:t>指针对于恶性肿瘤的内分泌疗法，用药物抑制激素生成和激素反应，杀死癌细胞或抑制癌细胞的生长</w:t>
      </w:r>
      <w:r>
        <w:rPr>
          <w:rFonts w:ascii="楷体" w:eastAsia="楷体"/>
          <w:spacing w:val="-5"/>
          <w:w w:val="95"/>
          <w:sz w:val="18"/>
        </w:rPr>
        <w:t>。本</w:t>
      </w:r>
    </w:p>
    <w:p>
      <w:pPr>
        <w:spacing w:before="1" w:line="220" w:lineRule="exact"/>
        <w:ind w:left="180" w:right="0" w:firstLine="0"/>
        <w:jc w:val="left"/>
        <w:rPr>
          <w:rFonts w:ascii="楷体" w:eastAsia="楷体"/>
          <w:sz w:val="18"/>
        </w:rPr>
      </w:pPr>
      <w:r>
        <w:rPr>
          <w:rFonts w:ascii="楷体" w:eastAsia="楷体"/>
          <w:spacing w:val="-1"/>
          <w:sz w:val="18"/>
        </w:rPr>
        <w:t>合同所指的内分泌治疗药物需符合法律、法规要求并经所在国家或地区的药品监督管理部门批准用于临床治疗。</w:t>
      </w:r>
    </w:p>
    <w:p>
      <w:pPr>
        <w:spacing w:before="0" w:line="259" w:lineRule="exact"/>
        <w:ind w:left="180" w:right="0" w:firstLine="0"/>
        <w:jc w:val="left"/>
        <w:rPr>
          <w:rFonts w:ascii="楷体" w:eastAsia="楷体"/>
          <w:sz w:val="18"/>
        </w:rPr>
      </w:pPr>
      <w:r>
        <w:rPr>
          <w:rFonts w:hint="eastAsia" w:ascii="楷体" w:eastAsia="楷体"/>
          <w:b/>
          <w:w w:val="95"/>
          <w:position w:val="9"/>
          <w:sz w:val="9"/>
        </w:rPr>
        <w:t>18</w:t>
      </w:r>
      <w:r>
        <w:rPr>
          <w:rFonts w:hint="eastAsia" w:ascii="楷体" w:eastAsia="楷体"/>
          <w:b/>
          <w:w w:val="95"/>
          <w:sz w:val="18"/>
        </w:rPr>
        <w:t>肿瘤靶向疗法</w:t>
      </w:r>
      <w:r>
        <w:rPr>
          <w:rFonts w:hint="eastAsia" w:ascii="楷体" w:eastAsia="楷体"/>
          <w:b/>
          <w:w w:val="95"/>
          <w:sz w:val="21"/>
        </w:rPr>
        <w:t>：</w:t>
      </w:r>
      <w:r>
        <w:rPr>
          <w:rFonts w:ascii="楷体" w:eastAsia="楷体"/>
          <w:w w:val="95"/>
          <w:sz w:val="18"/>
        </w:rPr>
        <w:t>指在细胞分子水平上，针对已经明确的致癌点来设计相应的靶向治疗药物，利用具有一定特异性的载体</w:t>
      </w:r>
      <w:r>
        <w:rPr>
          <w:rFonts w:ascii="楷体" w:eastAsia="楷体"/>
          <w:spacing w:val="-5"/>
          <w:w w:val="95"/>
          <w:sz w:val="18"/>
        </w:rPr>
        <w:t>，将</w:t>
      </w:r>
    </w:p>
    <w:p>
      <w:pPr>
        <w:spacing w:before="0" w:line="249" w:lineRule="auto"/>
        <w:ind w:left="180" w:right="398" w:firstLine="0"/>
        <w:jc w:val="left"/>
        <w:rPr>
          <w:rFonts w:ascii="楷体" w:eastAsia="楷体"/>
          <w:sz w:val="18"/>
        </w:rPr>
      </w:pPr>
      <w:r>
        <w:rPr>
          <w:rFonts w:ascii="楷体" w:eastAsia="楷体"/>
          <w:spacing w:val="-2"/>
          <w:sz w:val="18"/>
        </w:rPr>
        <w:t>药物或其他杀伤肿瘤细胞的活性物质选择性地运送到肿瘤部位攻击癌细胞的疗法。本合同所指的靶向治疗药物需符合法律、法规要求并经所在国家或地区的药品监督管理部门批准用于临床治疗。</w:t>
      </w:r>
    </w:p>
    <w:p>
      <w:pPr>
        <w:spacing w:before="0" w:line="219" w:lineRule="exact"/>
        <w:ind w:left="180" w:right="0" w:firstLine="0"/>
        <w:jc w:val="left"/>
        <w:rPr>
          <w:rFonts w:ascii="楷体" w:eastAsia="楷体"/>
          <w:sz w:val="18"/>
        </w:rPr>
      </w:pPr>
      <w:r>
        <w:rPr>
          <w:rFonts w:hint="eastAsia" w:ascii="楷体" w:eastAsia="楷体"/>
          <w:b/>
          <w:w w:val="95"/>
          <w:position w:val="9"/>
          <w:sz w:val="9"/>
        </w:rPr>
        <w:t>19</w:t>
      </w:r>
      <w:r>
        <w:rPr>
          <w:rFonts w:hint="eastAsia" w:ascii="楷体" w:eastAsia="楷体"/>
          <w:b/>
          <w:w w:val="95"/>
          <w:sz w:val="18"/>
        </w:rPr>
        <w:t>顺势疗法：</w:t>
      </w:r>
      <w:r>
        <w:rPr>
          <w:rFonts w:ascii="楷体" w:eastAsia="楷体"/>
          <w:w w:val="95"/>
          <w:sz w:val="18"/>
        </w:rPr>
        <w:t>一种通过小剂量药物治疗以使病人症状渐渐接近常人的治疗方法，比如通过给予小剂量的放松剂治疗腹泻</w:t>
      </w:r>
      <w:r>
        <w:rPr>
          <w:rFonts w:ascii="楷体" w:eastAsia="楷体"/>
          <w:spacing w:val="-10"/>
          <w:w w:val="95"/>
          <w:sz w:val="18"/>
        </w:rPr>
        <w:t>。</w:t>
      </w:r>
    </w:p>
    <w:p>
      <w:pPr>
        <w:spacing w:before="3"/>
        <w:ind w:left="180" w:right="0" w:firstLine="0"/>
        <w:jc w:val="left"/>
        <w:rPr>
          <w:rFonts w:ascii="楷体" w:eastAsia="楷体"/>
          <w:sz w:val="18"/>
        </w:rPr>
      </w:pPr>
      <w:r>
        <w:rPr>
          <w:rFonts w:hint="eastAsia" w:ascii="楷体" w:eastAsia="楷体"/>
          <w:b/>
          <w:w w:val="95"/>
          <w:position w:val="9"/>
          <w:sz w:val="9"/>
        </w:rPr>
        <w:t>20</w:t>
      </w:r>
      <w:r>
        <w:rPr>
          <w:rFonts w:hint="eastAsia" w:ascii="楷体" w:eastAsia="楷体"/>
          <w:b/>
          <w:w w:val="95"/>
          <w:sz w:val="18"/>
        </w:rPr>
        <w:t>牙科意外伤害医疗：</w:t>
      </w:r>
      <w:r>
        <w:rPr>
          <w:rFonts w:ascii="楷体" w:eastAsia="楷体"/>
          <w:w w:val="95"/>
          <w:sz w:val="18"/>
        </w:rPr>
        <w:t>指对被保险人原本完整无损、未经过任何医疗的牙齿因遭受意外伤害而受损或缺失而接受的紧急</w:t>
      </w:r>
      <w:r>
        <w:rPr>
          <w:rFonts w:ascii="楷体" w:eastAsia="楷体"/>
          <w:spacing w:val="-10"/>
          <w:w w:val="95"/>
          <w:sz w:val="18"/>
        </w:rPr>
        <w:t>治</w:t>
      </w:r>
    </w:p>
    <w:p>
      <w:pPr>
        <w:spacing w:before="4"/>
        <w:ind w:left="180" w:right="0" w:firstLine="0"/>
        <w:jc w:val="left"/>
        <w:rPr>
          <w:rFonts w:ascii="楷体" w:eastAsia="楷体"/>
          <w:sz w:val="18"/>
        </w:rPr>
      </w:pPr>
      <w:r>
        <w:rPr>
          <w:rFonts w:ascii="楷体" w:eastAsia="楷体"/>
          <w:spacing w:val="-1"/>
          <w:sz w:val="18"/>
        </w:rPr>
        <w:t>疗、修复和置换。被保险人必须在自意外伤害发生日起三十日内接受首次治疗。</w:t>
      </w:r>
    </w:p>
    <w:p>
      <w:pPr>
        <w:spacing w:after="0"/>
        <w:jc w:val="left"/>
        <w:rPr>
          <w:rFonts w:ascii="楷体" w:eastAsia="楷体"/>
          <w:sz w:val="18"/>
        </w:rPr>
        <w:sectPr>
          <w:pgSz w:w="11910" w:h="16840"/>
          <w:pgMar w:top="1400" w:right="680" w:bottom="280" w:left="900" w:header="720" w:footer="720" w:gutter="0"/>
          <w:cols w:space="720" w:num="1"/>
        </w:sectPr>
      </w:pPr>
    </w:p>
    <w:p>
      <w:pPr>
        <w:spacing w:before="74"/>
        <w:ind w:left="3017" w:right="0" w:firstLine="0"/>
        <w:jc w:val="left"/>
        <w:rPr>
          <w:sz w:val="21"/>
        </w:rPr>
      </w:pPr>
      <w:r>
        <w:rPr>
          <w:w w:val="95"/>
          <w:sz w:val="21"/>
        </w:rPr>
        <w:t>（十）理疗费：</w:t>
      </w:r>
      <w:r>
        <w:rPr>
          <w:b/>
          <w:w w:val="95"/>
          <w:sz w:val="21"/>
        </w:rPr>
        <w:t>物理治疗</w:t>
      </w:r>
      <w:r>
        <w:rPr>
          <w:b/>
          <w:w w:val="95"/>
          <w:position w:val="11"/>
          <w:sz w:val="11"/>
        </w:rPr>
        <w:t>21</w:t>
      </w:r>
      <w:r>
        <w:rPr>
          <w:w w:val="95"/>
          <w:sz w:val="21"/>
        </w:rPr>
        <w:t>、脊椎矫正、</w:t>
      </w:r>
      <w:r>
        <w:rPr>
          <w:b/>
          <w:w w:val="95"/>
          <w:sz w:val="21"/>
        </w:rPr>
        <w:t>职业疗法</w:t>
      </w:r>
      <w:r>
        <w:rPr>
          <w:w w:val="95"/>
          <w:position w:val="11"/>
          <w:sz w:val="11"/>
        </w:rPr>
        <w:t>22</w:t>
      </w:r>
      <w:r>
        <w:rPr>
          <w:w w:val="95"/>
          <w:sz w:val="21"/>
        </w:rPr>
        <w:t>、语音</w:t>
      </w:r>
      <w:r>
        <w:rPr>
          <w:spacing w:val="-3"/>
          <w:w w:val="95"/>
          <w:sz w:val="21"/>
        </w:rPr>
        <w:t>治疗费。</w:t>
      </w:r>
    </w:p>
    <w:p>
      <w:pPr>
        <w:pStyle w:val="4"/>
        <w:spacing w:before="7"/>
        <w:rPr>
          <w:sz w:val="15"/>
        </w:rPr>
      </w:pPr>
    </w:p>
    <w:p>
      <w:pPr>
        <w:pStyle w:val="4"/>
        <w:spacing w:line="278" w:lineRule="auto"/>
        <w:ind w:left="3017" w:right="449"/>
        <w:jc w:val="both"/>
      </w:pPr>
      <w:r>
        <w:rPr>
          <w:spacing w:val="-4"/>
        </w:rPr>
        <w:t>由具有相应医疗资质的专业医师实施的物理治疗、脊椎矫正、职业疗法、语音治疗（包括为治疗吞咽障碍由语言治疗师实施的电子喉镜检查）费，属保险责任范围内的医疗费用。这些治疗须为被保险人医师书面治疗计划（包含</w:t>
      </w:r>
      <w:r>
        <w:rPr>
          <w:spacing w:val="-2"/>
        </w:rPr>
        <w:t>短期和长期目标，并提交本公司评估）一部分，且满足下列全部条件：</w:t>
      </w:r>
    </w:p>
    <w:p>
      <w:pPr>
        <w:pStyle w:val="9"/>
        <w:numPr>
          <w:ilvl w:val="3"/>
          <w:numId w:val="4"/>
        </w:numPr>
        <w:tabs>
          <w:tab w:val="left" w:pos="3230"/>
        </w:tabs>
        <w:spacing w:before="156" w:after="0" w:line="240" w:lineRule="auto"/>
        <w:ind w:left="3229" w:right="0" w:hanging="213"/>
        <w:jc w:val="left"/>
        <w:rPr>
          <w:sz w:val="19"/>
        </w:rPr>
      </w:pPr>
      <w:r>
        <w:rPr>
          <w:spacing w:val="-3"/>
          <w:sz w:val="21"/>
        </w:rPr>
        <w:t>在合理的、经医生诊断预测的时间内症状会明显好转；</w:t>
      </w:r>
    </w:p>
    <w:p>
      <w:pPr>
        <w:pStyle w:val="4"/>
        <w:spacing w:before="6"/>
        <w:rPr>
          <w:sz w:val="15"/>
        </w:rPr>
      </w:pPr>
    </w:p>
    <w:p>
      <w:pPr>
        <w:pStyle w:val="9"/>
        <w:numPr>
          <w:ilvl w:val="3"/>
          <w:numId w:val="4"/>
        </w:numPr>
        <w:tabs>
          <w:tab w:val="left" w:pos="3336"/>
        </w:tabs>
        <w:spacing w:before="1" w:after="0" w:line="278" w:lineRule="auto"/>
        <w:ind w:left="3017" w:right="449" w:firstLine="0"/>
        <w:jc w:val="left"/>
        <w:rPr>
          <w:sz w:val="19"/>
        </w:rPr>
      </w:pPr>
      <w:r>
        <w:rPr>
          <w:spacing w:val="-2"/>
          <w:sz w:val="21"/>
        </w:rPr>
        <w:t>因疗法复杂或因被保险人病症所致，使得只有注册物理治疗师或职业疗师才能安全、有效实施的治疗。</w:t>
      </w:r>
    </w:p>
    <w:p>
      <w:pPr>
        <w:pStyle w:val="4"/>
        <w:spacing w:before="155" w:line="278" w:lineRule="auto"/>
        <w:ind w:left="3017" w:right="460"/>
      </w:pPr>
      <w:r>
        <w:rPr>
          <w:spacing w:val="-2"/>
        </w:rPr>
        <w:t>每次门诊纳入保险责任范围内的费用上限以本合同约定并载明的限额或次</w:t>
      </w:r>
      <w:r>
        <w:rPr>
          <w:spacing w:val="-4"/>
        </w:rPr>
        <w:t>数为准。</w:t>
      </w:r>
    </w:p>
    <w:p>
      <w:pPr>
        <w:pStyle w:val="4"/>
        <w:spacing w:before="147" w:line="278" w:lineRule="auto"/>
        <w:ind w:left="3017" w:right="448"/>
      </w:pPr>
      <w:r>
        <w:rPr>
          <w:spacing w:val="-2"/>
        </w:rPr>
        <w:t>（十一）中医治疗费：由注册中医医师处方开具的</w:t>
      </w:r>
      <w:r>
        <w:rPr>
          <w:b/>
          <w:spacing w:val="-2"/>
        </w:rPr>
        <w:t>中草药</w:t>
      </w:r>
      <w:r>
        <w:rPr>
          <w:b/>
          <w:spacing w:val="-2"/>
          <w:position w:val="11"/>
          <w:sz w:val="11"/>
        </w:rPr>
        <w:t>23</w:t>
      </w:r>
      <w:r>
        <w:rPr>
          <w:spacing w:val="-2"/>
        </w:rPr>
        <w:t>费、挂号费、诊察费及针灸治疗费等相关治疗费用。</w:t>
      </w:r>
    </w:p>
    <w:p>
      <w:pPr>
        <w:pStyle w:val="4"/>
        <w:spacing w:before="145" w:line="278" w:lineRule="auto"/>
        <w:ind w:left="3017" w:right="448"/>
        <w:jc w:val="both"/>
      </w:pPr>
      <w:r>
        <w:rPr>
          <w:spacing w:val="-2"/>
        </w:rPr>
        <w:t>（十二）门诊</w:t>
      </w:r>
      <w:r>
        <w:rPr>
          <w:b/>
          <w:spacing w:val="-2"/>
        </w:rPr>
        <w:t>处方药</w:t>
      </w:r>
      <w:r>
        <w:rPr>
          <w:b/>
          <w:spacing w:val="-2"/>
          <w:position w:val="11"/>
          <w:sz w:val="11"/>
        </w:rPr>
        <w:t>24</w:t>
      </w:r>
      <w:r>
        <w:rPr>
          <w:spacing w:val="-2"/>
        </w:rPr>
        <w:t>费：由医师处方开具的门诊处方药费用，但对在美国</w:t>
      </w:r>
      <w:r>
        <w:rPr>
          <w:spacing w:val="-9"/>
        </w:rPr>
        <w:t>发生的门诊处方药费用，每次门诊可纳入保险责任范围内的门诊处方药用量</w:t>
      </w:r>
      <w:r>
        <w:rPr>
          <w:w w:val="95"/>
        </w:rPr>
        <w:t>以 180 日用量为上限；对在美国以外地区发生门诊处方药费用，以 90 日用</w:t>
      </w:r>
      <w:r>
        <w:rPr>
          <w:spacing w:val="-2"/>
        </w:rPr>
        <w:t>量为上限。</w:t>
      </w:r>
      <w:r>
        <w:rPr>
          <w:color w:val="000000"/>
          <w:spacing w:val="-2"/>
          <w:shd w:val="clear" w:color="auto" w:fill="E4E4E4"/>
        </w:rPr>
        <w:t>超过限量部分的门诊处方药费用不属保险责任范围内的费用。</w:t>
      </w:r>
    </w:p>
    <w:p>
      <w:pPr>
        <w:spacing w:before="146" w:line="273" w:lineRule="auto"/>
        <w:ind w:left="3017" w:right="455" w:firstLine="0"/>
        <w:jc w:val="left"/>
        <w:rPr>
          <w:sz w:val="21"/>
        </w:rPr>
      </w:pPr>
      <w:r>
        <w:rPr>
          <w:spacing w:val="-2"/>
          <w:sz w:val="21"/>
        </w:rPr>
        <w:t>本合同承担给付责任的药品应在</w:t>
      </w:r>
      <w:r>
        <w:rPr>
          <w:b/>
          <w:spacing w:val="-2"/>
          <w:sz w:val="21"/>
        </w:rPr>
        <w:t>本公司指定或认可的医疗机构</w:t>
      </w:r>
      <w:r>
        <w:rPr>
          <w:b/>
          <w:spacing w:val="-2"/>
          <w:position w:val="11"/>
          <w:sz w:val="11"/>
        </w:rPr>
        <w:t>25</w:t>
      </w:r>
      <w:r>
        <w:rPr>
          <w:spacing w:val="-2"/>
          <w:sz w:val="21"/>
        </w:rPr>
        <w:t>购买，如本公司指定或认可的医疗机构无法提供该药品（需提供院方书面盖章证明材料</w:t>
      </w:r>
      <w:r>
        <w:rPr>
          <w:spacing w:val="-106"/>
          <w:sz w:val="21"/>
        </w:rPr>
        <w:t>）</w:t>
      </w:r>
      <w:r>
        <w:rPr>
          <w:spacing w:val="-3"/>
          <w:sz w:val="21"/>
        </w:rPr>
        <w:t>，被保险人可在</w:t>
      </w:r>
      <w:r>
        <w:rPr>
          <w:b/>
          <w:spacing w:val="-2"/>
          <w:sz w:val="21"/>
        </w:rPr>
        <w:t>本公司指定或认可的药店</w:t>
      </w:r>
      <w:r>
        <w:rPr>
          <w:b/>
          <w:spacing w:val="-2"/>
          <w:position w:val="11"/>
          <w:sz w:val="11"/>
        </w:rPr>
        <w:t>26</w:t>
      </w:r>
      <w:r>
        <w:rPr>
          <w:spacing w:val="-2"/>
          <w:sz w:val="21"/>
        </w:rPr>
        <w:t>购买该药品。</w:t>
      </w:r>
    </w:p>
    <w:p>
      <w:pPr>
        <w:spacing w:after="0" w:line="273" w:lineRule="auto"/>
        <w:jc w:val="left"/>
        <w:rPr>
          <w:sz w:val="21"/>
        </w:rPr>
        <w:sectPr>
          <w:pgSz w:w="11910" w:h="16840"/>
          <w:pgMar w:top="1360" w:right="680" w:bottom="280" w:left="900" w:header="720" w:footer="720" w:gutter="0"/>
          <w:cols w:space="720" w:num="1"/>
        </w:sectPr>
      </w:pPr>
    </w:p>
    <w:p>
      <w:pPr>
        <w:pStyle w:val="3"/>
        <w:numPr>
          <w:ilvl w:val="2"/>
          <w:numId w:val="4"/>
        </w:numPr>
        <w:tabs>
          <w:tab w:val="left" w:pos="1502"/>
          <w:tab w:val="left" w:pos="1503"/>
        </w:tabs>
        <w:spacing w:before="162" w:after="0" w:line="240" w:lineRule="auto"/>
        <w:ind w:left="1502" w:right="0" w:hanging="855"/>
        <w:jc w:val="left"/>
      </w:pPr>
      <w:r>
        <w:t>一般疾病（</w:t>
      </w:r>
      <w:r>
        <w:rPr>
          <w:spacing w:val="-10"/>
        </w:rPr>
        <w:t>伤</w:t>
      </w:r>
    </w:p>
    <w:p>
      <w:pPr>
        <w:spacing w:before="43" w:line="278" w:lineRule="auto"/>
        <w:ind w:left="1502" w:right="0" w:firstLine="0"/>
        <w:jc w:val="left"/>
        <w:rPr>
          <w:b/>
          <w:sz w:val="21"/>
        </w:rPr>
      </w:pPr>
      <w:r>
        <w:rPr>
          <w:b/>
          <w:spacing w:val="-2"/>
          <w:sz w:val="21"/>
        </w:rPr>
        <w:t>害）和一般项目住院医疗</w:t>
      </w:r>
    </w:p>
    <w:p>
      <w:pPr>
        <w:pStyle w:val="4"/>
        <w:spacing w:before="162" w:line="273" w:lineRule="auto"/>
        <w:ind w:left="207" w:right="450"/>
        <w:jc w:val="both"/>
      </w:pPr>
      <w:r>
        <w:br w:type="column"/>
      </w:r>
      <w:r>
        <w:rPr>
          <w:spacing w:val="-2"/>
        </w:rPr>
        <w:t>保险期间内,被保险人在与其保险计划相对应的保障地域内因遭受意外伤害</w:t>
      </w:r>
      <w:r>
        <w:rPr>
          <w:spacing w:val="-4"/>
        </w:rPr>
        <w:t>或患疾病接受医师开具处方的、医学必需的一般疾病（伤害）和一般项目住</w:t>
      </w:r>
      <w:r>
        <w:rPr>
          <w:w w:val="95"/>
        </w:rPr>
        <w:t>院治疗（</w:t>
      </w:r>
      <w:r>
        <w:rPr>
          <w:b/>
          <w:w w:val="95"/>
        </w:rPr>
        <w:t>日间手术</w:t>
      </w:r>
      <w:r>
        <w:rPr>
          <w:b/>
          <w:w w:val="95"/>
          <w:position w:val="11"/>
          <w:sz w:val="11"/>
        </w:rPr>
        <w:t>27</w:t>
      </w:r>
      <w:r>
        <w:rPr>
          <w:w w:val="95"/>
        </w:rPr>
        <w:t>视同住院治疗，下同</w:t>
      </w:r>
      <w:r>
        <w:rPr>
          <w:spacing w:val="-69"/>
          <w:w w:val="95"/>
        </w:rPr>
        <w:t>）</w:t>
      </w:r>
      <w:r>
        <w:rPr>
          <w:spacing w:val="-24"/>
          <w:w w:val="95"/>
        </w:rPr>
        <w:t>，由此</w:t>
      </w:r>
      <w:r>
        <w:rPr>
          <w:w w:val="95"/>
        </w:rPr>
        <w:t>发生的符</w:t>
      </w:r>
      <w:r>
        <w:rPr>
          <w:spacing w:val="-2"/>
          <w:w w:val="95"/>
        </w:rPr>
        <w:t>合通常惯例水平的</w:t>
      </w:r>
    </w:p>
    <w:p>
      <w:pPr>
        <w:spacing w:after="0" w:line="273" w:lineRule="auto"/>
        <w:jc w:val="both"/>
        <w:sectPr>
          <w:type w:val="continuous"/>
          <w:pgSz w:w="11910" w:h="16840"/>
          <w:pgMar w:top="480" w:right="680" w:bottom="280" w:left="900" w:header="720" w:footer="720" w:gutter="0"/>
          <w:cols w:equalWidth="0" w:num="2">
            <w:col w:w="2771" w:space="40"/>
            <w:col w:w="7519"/>
          </w:cols>
        </w:sectPr>
      </w:pPr>
    </w:p>
    <w:p>
      <w:pPr>
        <w:pStyle w:val="4"/>
        <w:spacing w:before="8"/>
        <w:rPr>
          <w:sz w:val="27"/>
        </w:rPr>
      </w:pPr>
    </w:p>
    <w:p>
      <w:pPr>
        <w:pStyle w:val="4"/>
        <w:spacing w:line="20" w:lineRule="exact"/>
        <w:ind w:left="180"/>
        <w:rPr>
          <w:sz w:val="2"/>
        </w:rPr>
      </w:pPr>
      <w:r>
        <w:rPr>
          <w:sz w:val="2"/>
        </w:rPr>
        <w:drawing>
          <wp:inline distT="0" distB="0" distL="0" distR="0">
            <wp:extent cx="1828800" cy="5715"/>
            <wp:effectExtent l="0" t="0" r="0" b="0"/>
            <wp:docPr id="19"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4.png"/>
                    <pic:cNvPicPr>
                      <a:picLocks noChangeAspect="1"/>
                    </pic:cNvPicPr>
                  </pic:nvPicPr>
                  <pic:blipFill>
                    <a:blip r:embed="rId9" cstate="print"/>
                    <a:stretch>
                      <a:fillRect/>
                    </a:stretch>
                  </pic:blipFill>
                  <pic:spPr>
                    <a:xfrm>
                      <a:off x="0" y="0"/>
                      <a:ext cx="1829396" cy="6096"/>
                    </a:xfrm>
                    <a:prstGeom prst="rect">
                      <a:avLst/>
                    </a:prstGeom>
                  </pic:spPr>
                </pic:pic>
              </a:graphicData>
            </a:graphic>
          </wp:inline>
        </w:drawing>
      </w:r>
    </w:p>
    <w:p>
      <w:pPr>
        <w:spacing w:before="81"/>
        <w:ind w:left="180" w:right="0" w:firstLine="0"/>
        <w:jc w:val="left"/>
        <w:rPr>
          <w:rFonts w:ascii="楷体" w:eastAsia="楷体"/>
          <w:sz w:val="18"/>
        </w:rPr>
      </w:pPr>
      <w:r>
        <w:rPr>
          <w:rFonts w:hint="eastAsia" w:ascii="楷体" w:eastAsia="楷体"/>
          <w:b/>
          <w:w w:val="95"/>
          <w:position w:val="9"/>
          <w:sz w:val="9"/>
        </w:rPr>
        <w:t>21</w:t>
      </w:r>
      <w:r>
        <w:rPr>
          <w:rFonts w:hint="eastAsia" w:ascii="楷体" w:eastAsia="楷体"/>
          <w:b/>
          <w:w w:val="95"/>
          <w:sz w:val="18"/>
        </w:rPr>
        <w:t>物理治疗：</w:t>
      </w:r>
      <w:r>
        <w:rPr>
          <w:rFonts w:ascii="楷体" w:eastAsia="楷体"/>
          <w:w w:val="95"/>
          <w:sz w:val="18"/>
        </w:rPr>
        <w:t>指由具有相应资质的专业医生实施的、应用人工物理因子（如光、电、磁、声、温热、寒冷等）来治疗疾病</w:t>
      </w:r>
      <w:r>
        <w:rPr>
          <w:rFonts w:ascii="楷体" w:eastAsia="楷体"/>
          <w:spacing w:val="-10"/>
          <w:w w:val="95"/>
          <w:sz w:val="18"/>
        </w:rPr>
        <w:t>，</w:t>
      </w:r>
    </w:p>
    <w:p>
      <w:pPr>
        <w:spacing w:before="2" w:line="242" w:lineRule="auto"/>
        <w:ind w:left="180" w:right="424" w:firstLine="0"/>
        <w:jc w:val="left"/>
        <w:rPr>
          <w:rFonts w:ascii="楷体" w:eastAsia="楷体"/>
          <w:sz w:val="18"/>
        </w:rPr>
      </w:pPr>
      <w:r>
        <w:rPr>
          <w:rFonts w:ascii="楷体" w:eastAsia="楷体"/>
          <w:spacing w:val="-2"/>
          <w:sz w:val="18"/>
        </w:rPr>
        <w:t>包括电疗、光疗、磁疗、热疗、冷疗、水疗，以及超声波疗法；但不包括泥疗、蜡敷治疗、气泡浴与药物浸浴治疗。具有相应资质的专业医生必须开具处方和书面的治疗计划，并在合理的、可预测的时间内使得症状明显好转。</w:t>
      </w:r>
    </w:p>
    <w:p>
      <w:pPr>
        <w:spacing w:before="2"/>
        <w:ind w:left="180" w:right="0" w:firstLine="0"/>
        <w:jc w:val="left"/>
        <w:rPr>
          <w:rFonts w:ascii="楷体" w:eastAsia="楷体"/>
          <w:sz w:val="18"/>
        </w:rPr>
      </w:pPr>
      <w:r>
        <w:rPr>
          <w:rFonts w:hint="eastAsia" w:ascii="楷体" w:eastAsia="楷体"/>
          <w:b/>
          <w:w w:val="95"/>
          <w:position w:val="9"/>
          <w:sz w:val="9"/>
        </w:rPr>
        <w:t>22</w:t>
      </w:r>
      <w:r>
        <w:rPr>
          <w:rFonts w:hint="eastAsia" w:ascii="楷体" w:eastAsia="楷体"/>
          <w:b/>
          <w:w w:val="95"/>
          <w:sz w:val="18"/>
        </w:rPr>
        <w:t>职业疗法：</w:t>
      </w:r>
      <w:r>
        <w:rPr>
          <w:rFonts w:ascii="楷体" w:eastAsia="楷体"/>
          <w:w w:val="95"/>
          <w:sz w:val="18"/>
        </w:rPr>
        <w:t>指对因疾病或损伤而使职业能力（如职业需要的语言、运动等能力）受损的被保险人，使用特定的职业能力</w:t>
      </w:r>
      <w:r>
        <w:rPr>
          <w:rFonts w:ascii="楷体" w:eastAsia="楷体"/>
          <w:spacing w:val="-10"/>
          <w:w w:val="95"/>
          <w:sz w:val="18"/>
        </w:rPr>
        <w:t>康</w:t>
      </w:r>
    </w:p>
    <w:p>
      <w:pPr>
        <w:spacing w:before="2"/>
        <w:ind w:left="180" w:right="0" w:firstLine="0"/>
        <w:jc w:val="left"/>
        <w:rPr>
          <w:rFonts w:ascii="楷体" w:eastAsia="楷体"/>
          <w:sz w:val="18"/>
        </w:rPr>
      </w:pPr>
      <w:r>
        <w:rPr>
          <w:rFonts w:ascii="楷体" w:eastAsia="楷体"/>
          <w:spacing w:val="-1"/>
          <w:sz w:val="18"/>
        </w:rPr>
        <w:t>复手段对其能力受损进行的治疗。</w:t>
      </w:r>
    </w:p>
    <w:p>
      <w:pPr>
        <w:spacing w:before="2"/>
        <w:ind w:left="180" w:right="0" w:firstLine="0"/>
        <w:jc w:val="left"/>
        <w:rPr>
          <w:rFonts w:ascii="楷体" w:eastAsia="楷体"/>
          <w:sz w:val="18"/>
        </w:rPr>
      </w:pPr>
      <w:r>
        <w:rPr>
          <w:rFonts w:hint="eastAsia" w:ascii="楷体" w:eastAsia="楷体"/>
          <w:b/>
          <w:w w:val="95"/>
          <w:position w:val="9"/>
          <w:sz w:val="9"/>
        </w:rPr>
        <w:t>23</w:t>
      </w:r>
      <w:r>
        <w:rPr>
          <w:rFonts w:hint="eastAsia" w:ascii="楷体" w:eastAsia="楷体"/>
          <w:b/>
          <w:w w:val="95"/>
          <w:sz w:val="18"/>
        </w:rPr>
        <w:t>中草药：</w:t>
      </w:r>
      <w:r>
        <w:rPr>
          <w:rFonts w:ascii="楷体" w:eastAsia="楷体"/>
          <w:w w:val="95"/>
          <w:sz w:val="18"/>
        </w:rPr>
        <w:t>中医理论指导下应用的天然药物及其制品，包括中药材和中药饮片。不含主要起营养滋补作用的药品，包括但</w:t>
      </w:r>
      <w:r>
        <w:rPr>
          <w:rFonts w:ascii="楷体" w:eastAsia="楷体"/>
          <w:spacing w:val="-10"/>
          <w:w w:val="95"/>
          <w:sz w:val="18"/>
        </w:rPr>
        <w:t>不</w:t>
      </w:r>
    </w:p>
    <w:p>
      <w:pPr>
        <w:spacing w:before="2" w:line="242" w:lineRule="auto"/>
        <w:ind w:left="180" w:right="691" w:firstLine="0"/>
        <w:jc w:val="both"/>
        <w:rPr>
          <w:rFonts w:ascii="楷体" w:eastAsia="楷体"/>
          <w:sz w:val="18"/>
        </w:rPr>
      </w:pPr>
      <w:r>
        <w:rPr>
          <w:rFonts w:ascii="楷体" w:eastAsia="楷体"/>
          <w:spacing w:val="-2"/>
          <w:sz w:val="18"/>
        </w:rPr>
        <w:t>限于：（一）单味或复方情形下的中药饮片及药材：鹿茸、猴枣、狗宝、海马、海龙、玛瑙、玳瑁、冬虫夏草、马宝、牛黄、珊瑚、麝香、羚羊角尖粉、犀角、燕窝、人参（生晒参除外），以及各种可以药用的动物脏器（鸡内金除外）和胎、</w:t>
      </w:r>
      <w:r>
        <w:rPr>
          <w:rFonts w:ascii="楷体" w:eastAsia="楷体"/>
          <w:spacing w:val="-14"/>
          <w:sz w:val="18"/>
        </w:rPr>
        <w:t>鞭、尾、筋、骨。</w:t>
      </w:r>
      <w:r>
        <w:rPr>
          <w:rFonts w:ascii="楷体" w:eastAsia="楷体"/>
          <w:spacing w:val="-2"/>
          <w:sz w:val="18"/>
        </w:rPr>
        <w:t xml:space="preserve">（二）单味使用情形下的中药饮片及药材：阿胶、阿胶珠、鹿角胶、鳖甲胶、三七、龟角胶、龟鹿二仙胶、龟板胶、藏红花、生晒参、羚羊角粉。 </w:t>
      </w:r>
      <w:r>
        <w:rPr>
          <w:rFonts w:ascii="楷体" w:eastAsia="楷体"/>
          <w:sz w:val="18"/>
        </w:rPr>
        <w:t>（三）以上所列药品包括生药及炮制后的饮片及药材、中药贴敷贴、中药熏</w:t>
      </w:r>
      <w:r>
        <w:rPr>
          <w:rFonts w:ascii="楷体" w:eastAsia="楷体"/>
          <w:spacing w:val="-6"/>
          <w:sz w:val="18"/>
        </w:rPr>
        <w:t>蒸。</w:t>
      </w:r>
    </w:p>
    <w:p>
      <w:pPr>
        <w:spacing w:before="4"/>
        <w:ind w:left="180" w:right="0" w:firstLine="0"/>
        <w:jc w:val="left"/>
        <w:rPr>
          <w:rFonts w:ascii="楷体" w:eastAsia="楷体"/>
          <w:sz w:val="18"/>
        </w:rPr>
      </w:pPr>
      <w:r>
        <w:rPr>
          <w:rFonts w:ascii="楷体" w:eastAsia="楷体"/>
          <w:w w:val="95"/>
          <w:position w:val="9"/>
          <w:sz w:val="9"/>
        </w:rPr>
        <w:t>24</w:t>
      </w:r>
      <w:r>
        <w:rPr>
          <w:rFonts w:hint="eastAsia" w:ascii="楷体" w:eastAsia="楷体"/>
          <w:b/>
          <w:w w:val="95"/>
          <w:sz w:val="18"/>
        </w:rPr>
        <w:t>处方药：</w:t>
      </w:r>
      <w:r>
        <w:rPr>
          <w:rFonts w:ascii="楷体" w:eastAsia="楷体"/>
          <w:w w:val="95"/>
          <w:sz w:val="18"/>
        </w:rPr>
        <w:t>指医师处方开具的药物</w:t>
      </w:r>
      <w:r>
        <w:rPr>
          <w:rFonts w:ascii="楷体" w:eastAsia="楷体"/>
          <w:spacing w:val="-10"/>
          <w:w w:val="95"/>
          <w:sz w:val="18"/>
        </w:rPr>
        <w:t>。</w:t>
      </w:r>
    </w:p>
    <w:p>
      <w:pPr>
        <w:spacing w:before="3"/>
        <w:ind w:left="180" w:right="0" w:firstLine="0"/>
        <w:jc w:val="left"/>
        <w:rPr>
          <w:rFonts w:ascii="楷体" w:eastAsia="楷体"/>
          <w:sz w:val="18"/>
        </w:rPr>
      </w:pPr>
      <w:r>
        <w:rPr>
          <w:rFonts w:ascii="楷体" w:eastAsia="楷体"/>
          <w:w w:val="95"/>
          <w:position w:val="9"/>
          <w:sz w:val="9"/>
        </w:rPr>
        <w:t>25</w:t>
      </w:r>
      <w:r>
        <w:rPr>
          <w:rFonts w:hint="eastAsia" w:ascii="楷体" w:eastAsia="楷体"/>
          <w:b/>
          <w:w w:val="95"/>
          <w:sz w:val="18"/>
        </w:rPr>
        <w:t>本公司指定或认可的医疗机构：</w:t>
      </w:r>
      <w:r>
        <w:rPr>
          <w:rFonts w:ascii="楷体" w:eastAsia="楷体"/>
          <w:w w:val="95"/>
          <w:sz w:val="18"/>
        </w:rPr>
        <w:t>包括本公司指定医疗机构（可登陆本公司官网或致电查询相关信息），以及符合下列所</w:t>
      </w:r>
      <w:r>
        <w:rPr>
          <w:rFonts w:ascii="楷体" w:eastAsia="楷体"/>
          <w:spacing w:val="-5"/>
          <w:w w:val="95"/>
          <w:sz w:val="18"/>
        </w:rPr>
        <w:t>有条</w:t>
      </w:r>
    </w:p>
    <w:p>
      <w:pPr>
        <w:spacing w:before="2" w:line="242" w:lineRule="auto"/>
        <w:ind w:left="180" w:right="394" w:firstLine="0"/>
        <w:jc w:val="both"/>
        <w:rPr>
          <w:rFonts w:ascii="楷体" w:eastAsia="楷体"/>
          <w:sz w:val="18"/>
        </w:rPr>
      </w:pPr>
      <w:r>
        <w:rPr>
          <w:rFonts w:ascii="楷体" w:eastAsia="楷体"/>
          <w:spacing w:val="-18"/>
          <w:sz w:val="18"/>
        </w:rPr>
        <w:t>件的机构：</w:t>
      </w:r>
      <w:r>
        <w:rPr>
          <w:rFonts w:ascii="楷体" w:eastAsia="楷体"/>
          <w:sz w:val="18"/>
        </w:rPr>
        <w:t>（</w:t>
      </w:r>
      <w:r>
        <w:rPr>
          <w:rFonts w:ascii="楷体" w:eastAsia="楷体"/>
          <w:spacing w:val="1"/>
          <w:sz w:val="18"/>
        </w:rPr>
        <w:t>1</w:t>
      </w:r>
      <w:r>
        <w:rPr>
          <w:rFonts w:ascii="楷体" w:eastAsia="楷体"/>
          <w:sz w:val="18"/>
        </w:rPr>
        <w:t>）除另有约定外，位于境内，拥有合法经营执照，当地基本医疗保险管理机构最新公布的二级以上（</w:t>
      </w:r>
      <w:r>
        <w:rPr>
          <w:rFonts w:ascii="楷体" w:eastAsia="楷体"/>
          <w:spacing w:val="1"/>
          <w:sz w:val="18"/>
        </w:rPr>
        <w:t>含二级</w:t>
      </w:r>
      <w:r>
        <w:rPr>
          <w:rFonts w:ascii="楷体" w:eastAsia="楷体"/>
          <w:spacing w:val="-12"/>
          <w:sz w:val="18"/>
        </w:rPr>
        <w:t>）</w:t>
      </w:r>
      <w:r>
        <w:rPr>
          <w:rFonts w:ascii="楷体" w:eastAsia="楷体"/>
          <w:spacing w:val="-15"/>
          <w:sz w:val="18"/>
        </w:rPr>
        <w:t>的定点医院；</w:t>
      </w:r>
      <w:r>
        <w:rPr>
          <w:rFonts w:ascii="楷体" w:eastAsia="楷体"/>
          <w:sz w:val="18"/>
        </w:rPr>
        <w:t>（</w:t>
      </w:r>
      <w:r>
        <w:rPr>
          <w:rFonts w:ascii="楷体" w:eastAsia="楷体"/>
          <w:spacing w:val="1"/>
          <w:sz w:val="18"/>
        </w:rPr>
        <w:t>2</w:t>
      </w:r>
      <w:r>
        <w:rPr>
          <w:rFonts w:ascii="楷体" w:eastAsia="楷体"/>
          <w:sz w:val="18"/>
        </w:rPr>
        <w:t>）</w:t>
      </w:r>
      <w:r>
        <w:rPr>
          <w:rFonts w:ascii="楷体" w:eastAsia="楷体"/>
          <w:spacing w:val="-4"/>
          <w:sz w:val="18"/>
        </w:rPr>
        <w:t>设立的主要目的为向受伤者和患病者提供留院治疗和护理服务；</w:t>
      </w:r>
      <w:r>
        <w:rPr>
          <w:rFonts w:ascii="楷体" w:eastAsia="楷体"/>
          <w:spacing w:val="2"/>
          <w:sz w:val="18"/>
        </w:rPr>
        <w:t>（</w:t>
      </w:r>
      <w:r>
        <w:rPr>
          <w:rFonts w:ascii="楷体" w:eastAsia="楷体"/>
          <w:spacing w:val="1"/>
          <w:sz w:val="18"/>
        </w:rPr>
        <w:t>3</w:t>
      </w:r>
      <w:r>
        <w:rPr>
          <w:rFonts w:ascii="楷体" w:eastAsia="楷体"/>
          <w:sz w:val="18"/>
        </w:rPr>
        <w:t>）</w:t>
      </w:r>
      <w:r>
        <w:rPr>
          <w:rFonts w:ascii="楷体" w:eastAsia="楷体"/>
          <w:spacing w:val="-1"/>
          <w:sz w:val="18"/>
        </w:rPr>
        <w:t>有合格的医生和护士提供全日二十四</w:t>
      </w:r>
      <w:r>
        <w:rPr>
          <w:rFonts w:ascii="楷体" w:eastAsia="楷体"/>
          <w:spacing w:val="-9"/>
          <w:sz w:val="18"/>
        </w:rPr>
        <w:t>小时的医疗和护理服务；</w:t>
      </w:r>
      <w:r>
        <w:rPr>
          <w:rFonts w:ascii="楷体" w:eastAsia="楷体"/>
          <w:sz w:val="18"/>
        </w:rPr>
        <w:t>（</w:t>
      </w:r>
      <w:r>
        <w:rPr>
          <w:rFonts w:ascii="楷体" w:eastAsia="楷体"/>
          <w:spacing w:val="1"/>
          <w:sz w:val="18"/>
        </w:rPr>
        <w:t>4</w:t>
      </w:r>
      <w:r>
        <w:rPr>
          <w:rFonts w:ascii="楷体" w:eastAsia="楷体"/>
          <w:spacing w:val="2"/>
          <w:sz w:val="18"/>
        </w:rPr>
        <w:t>）</w:t>
      </w:r>
      <w:r>
        <w:rPr>
          <w:rFonts w:ascii="楷体" w:eastAsia="楷体"/>
          <w:spacing w:val="-3"/>
          <w:sz w:val="18"/>
        </w:rPr>
        <w:t>非主要作为康复医院、诊所、护理、疗养、戒酒、戒毒或类似的医疗机构；</w:t>
      </w:r>
      <w:r>
        <w:rPr>
          <w:rFonts w:ascii="楷体" w:eastAsia="楷体"/>
          <w:spacing w:val="3"/>
          <w:sz w:val="18"/>
        </w:rPr>
        <w:t>（</w:t>
      </w:r>
      <w:r>
        <w:rPr>
          <w:rFonts w:ascii="楷体" w:eastAsia="楷体"/>
          <w:spacing w:val="1"/>
          <w:sz w:val="18"/>
        </w:rPr>
        <w:t>5</w:t>
      </w:r>
      <w:r>
        <w:rPr>
          <w:rFonts w:ascii="楷体" w:eastAsia="楷体"/>
          <w:sz w:val="18"/>
        </w:rPr>
        <w:t>）</w:t>
      </w:r>
      <w:r>
        <w:rPr>
          <w:rFonts w:ascii="楷体" w:eastAsia="楷体"/>
          <w:color w:val="000000"/>
          <w:spacing w:val="-3"/>
          <w:sz w:val="18"/>
          <w:shd w:val="clear" w:color="auto" w:fill="E4E4E4"/>
        </w:rPr>
        <w:t>以上机构中的</w:t>
      </w:r>
      <w:r>
        <w:rPr>
          <w:rFonts w:ascii="楷体" w:eastAsia="楷体"/>
          <w:color w:val="000000"/>
          <w:sz w:val="18"/>
          <w:shd w:val="clear" w:color="auto" w:fill="E4E4E4"/>
        </w:rPr>
        <w:t xml:space="preserve">                                                                                                                                                                                                                      </w:t>
      </w:r>
      <w:r>
        <w:rPr>
          <w:rFonts w:ascii="楷体" w:eastAsia="楷体"/>
          <w:color w:val="000000"/>
          <w:spacing w:val="-3"/>
          <w:sz w:val="18"/>
          <w:shd w:val="clear" w:color="auto" w:fill="E4E4E4"/>
        </w:rPr>
        <w:t>特需门诊或病房</w:t>
      </w:r>
      <w:r>
        <w:rPr>
          <w:rFonts w:ascii="楷体" w:eastAsia="楷体"/>
          <w:color w:val="000000"/>
          <w:sz w:val="18"/>
          <w:shd w:val="clear" w:color="auto" w:fill="E4E4E4"/>
        </w:rPr>
        <w:t>（</w:t>
      </w:r>
      <w:r>
        <w:rPr>
          <w:rFonts w:ascii="楷体" w:eastAsia="楷体"/>
          <w:color w:val="000000"/>
          <w:spacing w:val="-7"/>
          <w:sz w:val="18"/>
          <w:shd w:val="clear" w:color="auto" w:fill="E4E4E4"/>
        </w:rPr>
        <w:t>包含特需医疗、外宾医疗、干部病房、联合病房、国际医疗中心、</w:t>
      </w:r>
      <w:r>
        <w:rPr>
          <w:rFonts w:ascii="楷体" w:eastAsia="楷体"/>
          <w:color w:val="000000"/>
          <w:spacing w:val="1"/>
          <w:sz w:val="18"/>
          <w:shd w:val="clear" w:color="auto" w:fill="E4E4E4"/>
        </w:rPr>
        <w:t>VI</w:t>
      </w:r>
      <w:r>
        <w:rPr>
          <w:rFonts w:ascii="楷体" w:eastAsia="楷体"/>
          <w:color w:val="000000"/>
          <w:sz w:val="18"/>
          <w:shd w:val="clear" w:color="auto" w:fill="E4E4E4"/>
        </w:rPr>
        <w:t>P</w:t>
      </w:r>
      <w:r>
        <w:rPr>
          <w:rFonts w:ascii="楷体" w:eastAsia="楷体"/>
          <w:color w:val="000000"/>
          <w:spacing w:val="-10"/>
          <w:sz w:val="18"/>
          <w:shd w:val="clear" w:color="auto" w:fill="E4E4E4"/>
        </w:rPr>
        <w:t xml:space="preserve"> 部、联合医院</w:t>
      </w:r>
      <w:r>
        <w:rPr>
          <w:rFonts w:ascii="楷体" w:eastAsia="楷体"/>
          <w:color w:val="000000"/>
          <w:spacing w:val="-15"/>
          <w:sz w:val="18"/>
          <w:shd w:val="clear" w:color="auto" w:fill="E4E4E4"/>
        </w:rPr>
        <w:t>）</w:t>
      </w:r>
      <w:r>
        <w:rPr>
          <w:rFonts w:ascii="楷体" w:eastAsia="楷体"/>
          <w:color w:val="000000"/>
          <w:sz w:val="18"/>
          <w:shd w:val="clear" w:color="auto" w:fill="E4E4E4"/>
        </w:rPr>
        <w:t>是否开放视具体保险计划而定。</w:t>
      </w:r>
    </w:p>
    <w:p>
      <w:pPr>
        <w:spacing w:before="5" w:line="242" w:lineRule="auto"/>
        <w:ind w:left="180" w:right="395" w:firstLine="0"/>
        <w:jc w:val="both"/>
        <w:rPr>
          <w:rFonts w:ascii="楷体" w:eastAsia="楷体"/>
          <w:sz w:val="18"/>
        </w:rPr>
      </w:pPr>
      <w:r>
        <w:rPr>
          <w:rFonts w:ascii="Times New Roman" w:eastAsia="Times New Roman"/>
          <w:spacing w:val="-4"/>
          <w:sz w:val="18"/>
          <w:vertAlign w:val="superscript"/>
        </w:rPr>
        <w:t>26</w:t>
      </w:r>
      <w:r>
        <w:rPr>
          <w:rFonts w:ascii="Times New Roman" w:eastAsia="Times New Roman"/>
          <w:spacing w:val="-4"/>
          <w:sz w:val="18"/>
          <w:vertAlign w:val="baseline"/>
        </w:rPr>
        <w:t xml:space="preserve"> </w:t>
      </w:r>
      <w:r>
        <w:rPr>
          <w:rFonts w:hint="eastAsia" w:ascii="楷体" w:eastAsia="楷体"/>
          <w:b/>
          <w:spacing w:val="-4"/>
          <w:sz w:val="18"/>
          <w:vertAlign w:val="baseline"/>
        </w:rPr>
        <w:t>本公司认可的药店：</w:t>
      </w:r>
      <w:r>
        <w:rPr>
          <w:rFonts w:ascii="楷体" w:eastAsia="楷体"/>
          <w:spacing w:val="-4"/>
          <w:sz w:val="18"/>
          <w:vertAlign w:val="baseline"/>
        </w:rPr>
        <w:t>本公司认可的药店必须同时满足以下条件：（1）取得国家药品经营许可证、GSP 认证；（2）具有完善的冷链药品送达能力；（3）该药店内具有医师、执业药师等专业人员提供服务；（4）当地医保定点零售药房或大病保险特药</w:t>
      </w:r>
      <w:r>
        <w:rPr>
          <w:rFonts w:ascii="楷体" w:eastAsia="楷体"/>
          <w:spacing w:val="-2"/>
          <w:sz w:val="18"/>
          <w:vertAlign w:val="baseline"/>
        </w:rPr>
        <w:t>定点零售药店。</w:t>
      </w:r>
    </w:p>
    <w:p>
      <w:pPr>
        <w:spacing w:before="0" w:line="244" w:lineRule="auto"/>
        <w:ind w:left="180" w:right="548" w:firstLine="0"/>
        <w:jc w:val="both"/>
        <w:rPr>
          <w:rFonts w:ascii="楷体" w:eastAsia="楷体"/>
          <w:sz w:val="18"/>
        </w:rPr>
      </w:pPr>
      <w:r>
        <w:rPr>
          <w:rFonts w:hint="eastAsia" w:ascii="楷体" w:eastAsia="楷体"/>
          <w:b/>
          <w:w w:val="95"/>
          <w:position w:val="9"/>
          <w:sz w:val="9"/>
        </w:rPr>
        <w:t>27</w:t>
      </w:r>
      <w:r>
        <w:rPr>
          <w:rFonts w:hint="eastAsia" w:ascii="楷体" w:eastAsia="楷体"/>
          <w:b/>
          <w:w w:val="95"/>
          <w:sz w:val="18"/>
        </w:rPr>
        <w:t>日间手术：</w:t>
      </w:r>
      <w:r>
        <w:rPr>
          <w:rFonts w:ascii="楷体" w:eastAsia="楷体"/>
          <w:w w:val="95"/>
          <w:sz w:val="18"/>
        </w:rPr>
        <w:t>患者按照诊疗计划在</w:t>
      </w:r>
      <w:r>
        <w:rPr>
          <w:rFonts w:ascii="楷体" w:eastAsia="楷体"/>
          <w:spacing w:val="29"/>
          <w:sz w:val="18"/>
        </w:rPr>
        <w:t xml:space="preserve"> </w:t>
      </w:r>
      <w:r>
        <w:rPr>
          <w:rFonts w:ascii="楷体" w:eastAsia="楷体"/>
          <w:w w:val="95"/>
          <w:sz w:val="18"/>
        </w:rPr>
        <w:t>1</w:t>
      </w:r>
      <w:r>
        <w:rPr>
          <w:rFonts w:ascii="楷体" w:eastAsia="楷体"/>
          <w:spacing w:val="32"/>
          <w:sz w:val="18"/>
        </w:rPr>
        <w:t xml:space="preserve"> </w:t>
      </w:r>
      <w:r>
        <w:rPr>
          <w:rFonts w:ascii="楷体" w:eastAsia="楷体"/>
          <w:w w:val="95"/>
          <w:sz w:val="18"/>
        </w:rPr>
        <w:t>日（24</w:t>
      </w:r>
      <w:r>
        <w:rPr>
          <w:rFonts w:ascii="楷体" w:eastAsia="楷体"/>
          <w:spacing w:val="32"/>
          <w:sz w:val="18"/>
        </w:rPr>
        <w:t xml:space="preserve"> </w:t>
      </w:r>
      <w:r>
        <w:rPr>
          <w:rFonts w:ascii="楷体" w:eastAsia="楷体"/>
          <w:w w:val="95"/>
          <w:sz w:val="18"/>
        </w:rPr>
        <w:t>小时）内入、出院完成的手术或操作（不包括门诊手术），因病情需要延期住院</w:t>
      </w:r>
      <w:r>
        <w:rPr>
          <w:rFonts w:ascii="楷体" w:eastAsia="楷体"/>
          <w:spacing w:val="-2"/>
          <w:sz w:val="18"/>
        </w:rPr>
        <w:t xml:space="preserve">的特殊病例，住院时间不超过 </w:t>
      </w:r>
      <w:r>
        <w:rPr>
          <w:rFonts w:ascii="楷体" w:eastAsia="楷体"/>
          <w:sz w:val="18"/>
        </w:rPr>
        <w:t>48</w:t>
      </w:r>
      <w:r>
        <w:rPr>
          <w:rFonts w:ascii="楷体" w:eastAsia="楷体"/>
          <w:spacing w:val="-6"/>
          <w:sz w:val="18"/>
        </w:rPr>
        <w:t xml:space="preserve"> 小时。</w:t>
      </w:r>
    </w:p>
    <w:p>
      <w:pPr>
        <w:spacing w:after="0" w:line="244" w:lineRule="auto"/>
        <w:jc w:val="both"/>
        <w:rPr>
          <w:rFonts w:ascii="楷体" w:eastAsia="楷体"/>
          <w:sz w:val="18"/>
        </w:rPr>
        <w:sectPr>
          <w:type w:val="continuous"/>
          <w:pgSz w:w="11910" w:h="16840"/>
          <w:pgMar w:top="480" w:right="680" w:bottom="280" w:left="900" w:header="720" w:footer="720" w:gutter="0"/>
          <w:cols w:space="720" w:num="1"/>
        </w:sectPr>
      </w:pPr>
    </w:p>
    <w:p>
      <w:pPr>
        <w:pStyle w:val="4"/>
        <w:spacing w:before="44"/>
        <w:ind w:left="3017"/>
      </w:pPr>
      <w:r>
        <w:rPr>
          <w:spacing w:val="-14"/>
        </w:rPr>
        <w:t>以下类型费用，本公司承担一般疾病</w:t>
      </w:r>
      <w:r>
        <w:rPr>
          <w:spacing w:val="-2"/>
        </w:rPr>
        <w:t>（伤害</w:t>
      </w:r>
      <w:r>
        <w:rPr>
          <w:spacing w:val="-60"/>
        </w:rPr>
        <w:t>）</w:t>
      </w:r>
      <w:r>
        <w:rPr>
          <w:spacing w:val="-3"/>
        </w:rPr>
        <w:t>和一般项目住院医疗费用责任：</w:t>
      </w:r>
    </w:p>
    <w:p>
      <w:pPr>
        <w:pStyle w:val="4"/>
        <w:spacing w:before="7"/>
        <w:rPr>
          <w:sz w:val="15"/>
        </w:rPr>
      </w:pPr>
    </w:p>
    <w:p>
      <w:pPr>
        <w:pStyle w:val="4"/>
        <w:spacing w:line="268" w:lineRule="auto"/>
        <w:ind w:left="3017" w:right="343"/>
      </w:pPr>
      <w:r>
        <w:rPr>
          <w:spacing w:val="-6"/>
        </w:rPr>
        <w:t>（一）双人病房（在中国大陆接受住院治疗的，可为标准单人病房）床位费，</w:t>
      </w:r>
      <w:r>
        <w:rPr>
          <w:spacing w:val="-2"/>
        </w:rPr>
        <w:t>急诊室费，重症监护病房费，</w:t>
      </w:r>
      <w:r>
        <w:rPr>
          <w:b/>
          <w:spacing w:val="-2"/>
        </w:rPr>
        <w:t>医院</w:t>
      </w:r>
      <w:r>
        <w:rPr>
          <w:b/>
          <w:spacing w:val="-2"/>
          <w:position w:val="11"/>
          <w:sz w:val="11"/>
        </w:rPr>
        <w:t>28</w:t>
      </w:r>
      <w:r>
        <w:rPr>
          <w:spacing w:val="-2"/>
        </w:rPr>
        <w:t>提供并出具发票的膳食和营养配餐费。</w:t>
      </w:r>
    </w:p>
    <w:p>
      <w:pPr>
        <w:pStyle w:val="4"/>
        <w:spacing w:before="168" w:line="278" w:lineRule="auto"/>
        <w:ind w:left="3017" w:right="449"/>
        <w:jc w:val="both"/>
      </w:pPr>
      <w:r>
        <w:rPr>
          <w:w w:val="100"/>
        </w:rPr>
        <w:t>（</w:t>
      </w:r>
      <w:r>
        <w:rPr>
          <w:spacing w:val="-3"/>
          <w:w w:val="100"/>
        </w:rPr>
        <w:t>二</w:t>
      </w:r>
      <w:r>
        <w:rPr>
          <w:spacing w:val="-39"/>
          <w:w w:val="100"/>
        </w:rPr>
        <w:t>）</w:t>
      </w:r>
      <w:r>
        <w:rPr>
          <w:spacing w:val="-8"/>
          <w:w w:val="100"/>
        </w:rPr>
        <w:t>陪床费：未满十八周岁附属被保险人住院期间其一父亲或母亲陪同住</w:t>
      </w:r>
      <w:r>
        <w:rPr>
          <w:spacing w:val="1"/>
          <w:w w:val="100"/>
        </w:rPr>
        <w:t>院加床费，女性被保险人住院期间其出生未满十六周的新生婴儿住院加床费。</w:t>
      </w:r>
    </w:p>
    <w:p>
      <w:pPr>
        <w:pStyle w:val="4"/>
        <w:spacing w:before="155"/>
        <w:ind w:left="3017"/>
      </w:pPr>
      <w:r>
        <w:rPr>
          <w:spacing w:val="-2"/>
        </w:rPr>
        <w:t>（三）</w:t>
      </w:r>
      <w:r>
        <w:rPr>
          <w:spacing w:val="-3"/>
        </w:rPr>
        <w:t>手术室和恢复室费，手术敷料费。</w:t>
      </w:r>
    </w:p>
    <w:p>
      <w:pPr>
        <w:pStyle w:val="4"/>
        <w:spacing w:before="7"/>
        <w:rPr>
          <w:sz w:val="15"/>
        </w:rPr>
      </w:pPr>
    </w:p>
    <w:p>
      <w:pPr>
        <w:pStyle w:val="4"/>
        <w:ind w:left="3017"/>
      </w:pPr>
      <w:r>
        <w:rPr>
          <w:spacing w:val="-8"/>
        </w:rPr>
        <w:t>（四）</w:t>
      </w:r>
      <w:r>
        <w:rPr>
          <w:spacing w:val="-9"/>
        </w:rPr>
        <w:t>输血、血浆、血浆扩容药物以及所有相关化验、操作设备和服务费用。</w:t>
      </w:r>
    </w:p>
    <w:p>
      <w:pPr>
        <w:pStyle w:val="4"/>
        <w:spacing w:before="7"/>
        <w:rPr>
          <w:sz w:val="15"/>
        </w:rPr>
      </w:pPr>
    </w:p>
    <w:p>
      <w:pPr>
        <w:pStyle w:val="4"/>
        <w:ind w:left="3017"/>
      </w:pPr>
      <w:r>
        <w:rPr>
          <w:spacing w:val="-2"/>
        </w:rPr>
        <w:t>（五）</w:t>
      </w:r>
      <w:r>
        <w:rPr>
          <w:spacing w:val="-5"/>
        </w:rPr>
        <w:t>药品费。</w:t>
      </w:r>
    </w:p>
    <w:p>
      <w:pPr>
        <w:pStyle w:val="4"/>
        <w:spacing w:before="6"/>
        <w:rPr>
          <w:sz w:val="15"/>
        </w:rPr>
      </w:pPr>
    </w:p>
    <w:p>
      <w:pPr>
        <w:pStyle w:val="4"/>
        <w:spacing w:line="278" w:lineRule="auto"/>
        <w:ind w:left="3017" w:right="343"/>
      </w:pPr>
      <w:r>
        <w:rPr>
          <w:spacing w:val="-5"/>
        </w:rPr>
        <w:t>本合同承担给付责任的药品应在本公司指定或认可的医疗机构购买，如本公</w:t>
      </w:r>
      <w:r>
        <w:rPr>
          <w:spacing w:val="-7"/>
        </w:rPr>
        <w:t>司指定或认可的医疗机构无法提供该药品</w:t>
      </w:r>
      <w:r>
        <w:rPr>
          <w:spacing w:val="-2"/>
        </w:rPr>
        <w:t>（需提供院方书面盖章证明材料</w:t>
      </w:r>
      <w:r>
        <w:rPr>
          <w:spacing w:val="-106"/>
        </w:rPr>
        <w:t>）</w:t>
      </w:r>
      <w:r>
        <w:t>，</w:t>
      </w:r>
      <w:r>
        <w:rPr>
          <w:spacing w:val="-2"/>
        </w:rPr>
        <w:t>被保险人可在本公司指定或认可的药店购买该药品。</w:t>
      </w:r>
    </w:p>
    <w:p>
      <w:pPr>
        <w:pStyle w:val="4"/>
        <w:spacing w:before="157"/>
        <w:ind w:left="3017"/>
      </w:pPr>
      <w:r>
        <w:rPr>
          <w:spacing w:val="-2"/>
        </w:rPr>
        <w:t>（六）</w:t>
      </w:r>
      <w:r>
        <w:rPr>
          <w:spacing w:val="-4"/>
        </w:rPr>
        <w:t>医师诊疗费。</w:t>
      </w:r>
    </w:p>
    <w:p>
      <w:pPr>
        <w:pStyle w:val="4"/>
        <w:spacing w:before="6"/>
        <w:rPr>
          <w:sz w:val="15"/>
        </w:rPr>
      </w:pPr>
    </w:p>
    <w:p>
      <w:pPr>
        <w:pStyle w:val="4"/>
        <w:ind w:left="3017"/>
      </w:pPr>
      <w:r>
        <w:rPr>
          <w:spacing w:val="-2"/>
        </w:rPr>
        <w:t>（七）</w:t>
      </w:r>
      <w:r>
        <w:rPr>
          <w:spacing w:val="-3"/>
        </w:rPr>
        <w:t>手术医师费和麻醉师费。</w:t>
      </w:r>
    </w:p>
    <w:p>
      <w:pPr>
        <w:pStyle w:val="4"/>
        <w:spacing w:before="7"/>
        <w:rPr>
          <w:sz w:val="15"/>
        </w:rPr>
      </w:pPr>
    </w:p>
    <w:p>
      <w:pPr>
        <w:pStyle w:val="4"/>
        <w:ind w:left="3017"/>
      </w:pPr>
      <w:r>
        <w:rPr>
          <w:spacing w:val="-2"/>
        </w:rPr>
        <w:t>（八）</w:t>
      </w:r>
      <w:r>
        <w:rPr>
          <w:spacing w:val="-5"/>
        </w:rPr>
        <w:t>护理费。</w:t>
      </w:r>
    </w:p>
    <w:p>
      <w:pPr>
        <w:pStyle w:val="4"/>
        <w:spacing w:before="7"/>
        <w:rPr>
          <w:sz w:val="15"/>
        </w:rPr>
      </w:pPr>
    </w:p>
    <w:p>
      <w:pPr>
        <w:pStyle w:val="4"/>
        <w:ind w:left="3017"/>
      </w:pPr>
      <w:r>
        <w:rPr>
          <w:spacing w:val="-2"/>
        </w:rPr>
        <w:t>（九）</w:t>
      </w:r>
      <w:r>
        <w:rPr>
          <w:spacing w:val="-5"/>
        </w:rPr>
        <w:t>吸氧费。</w:t>
      </w:r>
    </w:p>
    <w:p>
      <w:pPr>
        <w:pStyle w:val="4"/>
        <w:spacing w:before="7"/>
        <w:rPr>
          <w:sz w:val="15"/>
        </w:rPr>
      </w:pPr>
    </w:p>
    <w:p>
      <w:pPr>
        <w:pStyle w:val="4"/>
        <w:ind w:left="3017"/>
      </w:pPr>
      <w:r>
        <w:rPr>
          <w:spacing w:val="-2"/>
        </w:rPr>
        <w:t>（十）</w:t>
      </w:r>
      <w:r>
        <w:rPr>
          <w:spacing w:val="-5"/>
        </w:rPr>
        <w:t>化验费。</w:t>
      </w:r>
    </w:p>
    <w:p>
      <w:pPr>
        <w:pStyle w:val="4"/>
        <w:spacing w:before="6"/>
        <w:rPr>
          <w:sz w:val="15"/>
        </w:rPr>
      </w:pPr>
    </w:p>
    <w:p>
      <w:pPr>
        <w:pStyle w:val="4"/>
        <w:spacing w:line="278" w:lineRule="auto"/>
        <w:ind w:left="3017" w:right="343"/>
      </w:pPr>
      <w:r>
        <w:rPr>
          <w:spacing w:val="-4"/>
        </w:rPr>
        <w:t>（十一）检查费。包括但不限于X光检查、超声波检查、超声波心动描记术、</w:t>
      </w:r>
      <w:r>
        <w:rPr>
          <w:spacing w:val="-2"/>
        </w:rPr>
        <w:t>计算机断层扫描、正电子发射计算机断层扫描、核磁共振检查费。</w:t>
      </w:r>
    </w:p>
    <w:p>
      <w:pPr>
        <w:pStyle w:val="4"/>
        <w:spacing w:before="157"/>
        <w:ind w:left="3017"/>
      </w:pPr>
      <w:r>
        <w:rPr>
          <w:spacing w:val="-2"/>
        </w:rPr>
        <w:t>（十二）</w:t>
      </w:r>
      <w:r>
        <w:rPr>
          <w:spacing w:val="-3"/>
        </w:rPr>
        <w:t>移植费：被保险人作为受体接受器官、骨髓、干细胞移植费。</w:t>
      </w:r>
    </w:p>
    <w:p>
      <w:pPr>
        <w:pStyle w:val="4"/>
        <w:spacing w:before="6"/>
        <w:rPr>
          <w:sz w:val="15"/>
        </w:rPr>
      </w:pPr>
    </w:p>
    <w:p>
      <w:pPr>
        <w:pStyle w:val="4"/>
        <w:ind w:left="3017"/>
      </w:pPr>
      <w:r>
        <w:rPr>
          <w:spacing w:val="-2"/>
        </w:rPr>
        <w:t>（十三）</w:t>
      </w:r>
      <w:r>
        <w:rPr>
          <w:spacing w:val="-3"/>
        </w:rPr>
        <w:t>特定门诊医疗费用，包含：</w:t>
      </w:r>
    </w:p>
    <w:p>
      <w:pPr>
        <w:pStyle w:val="4"/>
        <w:spacing w:before="7"/>
        <w:rPr>
          <w:sz w:val="15"/>
        </w:rPr>
      </w:pPr>
    </w:p>
    <w:p>
      <w:pPr>
        <w:pStyle w:val="9"/>
        <w:numPr>
          <w:ilvl w:val="3"/>
          <w:numId w:val="4"/>
        </w:numPr>
        <w:tabs>
          <w:tab w:val="left" w:pos="3230"/>
        </w:tabs>
        <w:spacing w:before="0" w:after="0" w:line="240" w:lineRule="auto"/>
        <w:ind w:left="3229" w:right="0" w:hanging="213"/>
        <w:jc w:val="left"/>
        <w:rPr>
          <w:sz w:val="19"/>
        </w:rPr>
      </w:pPr>
      <w:r>
        <w:rPr>
          <w:spacing w:val="-4"/>
          <w:sz w:val="21"/>
        </w:rPr>
        <w:t>门诊肾透析费；</w:t>
      </w:r>
    </w:p>
    <w:p>
      <w:pPr>
        <w:pStyle w:val="4"/>
        <w:spacing w:before="10"/>
        <w:rPr>
          <w:sz w:val="14"/>
        </w:rPr>
      </w:pPr>
    </w:p>
    <w:p>
      <w:pPr>
        <w:pStyle w:val="9"/>
        <w:numPr>
          <w:ilvl w:val="3"/>
          <w:numId w:val="4"/>
        </w:numPr>
        <w:tabs>
          <w:tab w:val="left" w:pos="3230"/>
        </w:tabs>
        <w:spacing w:before="0" w:after="0" w:line="278" w:lineRule="auto"/>
        <w:ind w:left="3017" w:right="343" w:firstLine="0"/>
        <w:jc w:val="left"/>
        <w:rPr>
          <w:sz w:val="19"/>
        </w:rPr>
      </w:pPr>
      <w:r>
        <w:rPr>
          <w:b/>
          <w:w w:val="100"/>
          <w:sz w:val="21"/>
        </w:rPr>
        <w:t>恶性肿瘤</w:t>
      </w:r>
      <w:r>
        <w:rPr>
          <w:b/>
          <w:w w:val="99"/>
          <w:sz w:val="21"/>
        </w:rPr>
        <w:t>-</w:t>
      </w:r>
      <w:r>
        <w:rPr>
          <w:b/>
          <w:w w:val="100"/>
          <w:sz w:val="21"/>
        </w:rPr>
        <w:t>重度</w:t>
      </w:r>
      <w:r>
        <w:rPr>
          <w:w w:val="100"/>
          <w:position w:val="11"/>
          <w:sz w:val="11"/>
        </w:rPr>
        <w:t>29</w:t>
      </w:r>
      <w:r>
        <w:rPr>
          <w:spacing w:val="-3"/>
          <w:w w:val="100"/>
          <w:sz w:val="21"/>
        </w:rPr>
        <w:t>门诊治疗费，含核素内照射疗法、化学疗法、放射疗法、高端放射治疗（包括螺旋断层放射治疗系统</w:t>
      </w:r>
      <w:r>
        <w:rPr>
          <w:w w:val="100"/>
          <w:sz w:val="21"/>
        </w:rPr>
        <w:t>T</w:t>
      </w:r>
      <w:r>
        <w:rPr>
          <w:spacing w:val="-3"/>
          <w:w w:val="100"/>
          <w:sz w:val="21"/>
        </w:rPr>
        <w:t>o</w:t>
      </w:r>
      <w:r>
        <w:rPr>
          <w:w w:val="100"/>
          <w:sz w:val="21"/>
        </w:rPr>
        <w:t>m</w:t>
      </w:r>
      <w:r>
        <w:rPr>
          <w:spacing w:val="-1"/>
          <w:w w:val="100"/>
          <w:sz w:val="21"/>
        </w:rPr>
        <w:t>o</w:t>
      </w:r>
      <w:r>
        <w:rPr>
          <w:w w:val="100"/>
          <w:sz w:val="21"/>
        </w:rPr>
        <w:t>、</w:t>
      </w:r>
      <w:r>
        <w:rPr>
          <w:spacing w:val="-3"/>
          <w:w w:val="100"/>
          <w:sz w:val="21"/>
        </w:rPr>
        <w:t>E</w:t>
      </w:r>
      <w:r>
        <w:rPr>
          <w:w w:val="100"/>
          <w:sz w:val="21"/>
        </w:rPr>
        <w:t>dg</w:t>
      </w:r>
      <w:r>
        <w:rPr>
          <w:spacing w:val="-1"/>
          <w:w w:val="100"/>
          <w:sz w:val="21"/>
        </w:rPr>
        <w:t>e</w:t>
      </w:r>
      <w:r>
        <w:rPr>
          <w:w w:val="100"/>
          <w:sz w:val="21"/>
        </w:rPr>
        <w:t>直线加速器、X线立</w:t>
      </w:r>
      <w:r>
        <w:rPr>
          <w:spacing w:val="-3"/>
          <w:w w:val="100"/>
          <w:sz w:val="21"/>
        </w:rPr>
        <w:t>体定向放射治疗系统</w:t>
      </w:r>
      <w:r>
        <w:rPr>
          <w:w w:val="100"/>
          <w:sz w:val="21"/>
        </w:rPr>
        <w:t>Cyb</w:t>
      </w:r>
      <w:r>
        <w:rPr>
          <w:spacing w:val="-3"/>
          <w:w w:val="100"/>
          <w:sz w:val="21"/>
        </w:rPr>
        <w:t>er</w:t>
      </w:r>
      <w:r>
        <w:rPr>
          <w:w w:val="100"/>
          <w:sz w:val="21"/>
        </w:rPr>
        <w:t>knif</w:t>
      </w:r>
      <w:r>
        <w:rPr>
          <w:spacing w:val="-3"/>
          <w:w w:val="100"/>
          <w:sz w:val="21"/>
        </w:rPr>
        <w:t>e</w:t>
      </w:r>
      <w:r>
        <w:rPr>
          <w:spacing w:val="-77"/>
          <w:w w:val="100"/>
          <w:sz w:val="21"/>
        </w:rPr>
        <w:t>、</w:t>
      </w:r>
      <w:r>
        <w:rPr>
          <w:spacing w:val="-3"/>
          <w:w w:val="100"/>
          <w:sz w:val="21"/>
        </w:rPr>
        <w:t>V</w:t>
      </w:r>
      <w:r>
        <w:rPr>
          <w:w w:val="100"/>
          <w:sz w:val="21"/>
        </w:rPr>
        <w:t>ersa</w:t>
      </w:r>
      <w:r>
        <w:rPr>
          <w:spacing w:val="-29"/>
          <w:sz w:val="21"/>
        </w:rPr>
        <w:t xml:space="preserve"> </w:t>
      </w:r>
      <w:r>
        <w:rPr>
          <w:w w:val="100"/>
          <w:sz w:val="21"/>
        </w:rPr>
        <w:t>H</w:t>
      </w:r>
      <w:r>
        <w:rPr>
          <w:spacing w:val="-3"/>
          <w:w w:val="100"/>
          <w:sz w:val="21"/>
        </w:rPr>
        <w:t>D</w:t>
      </w:r>
      <w:r>
        <w:rPr>
          <w:spacing w:val="-11"/>
          <w:w w:val="100"/>
          <w:sz w:val="21"/>
        </w:rPr>
        <w:t>直线加速器、质子放射治疗系统、</w:t>
      </w:r>
      <w:r>
        <w:rPr>
          <w:spacing w:val="-6"/>
          <w:w w:val="100"/>
          <w:sz w:val="21"/>
        </w:rPr>
        <w:t>重离子放射治疗系统等</w:t>
      </w:r>
      <w:r>
        <w:rPr>
          <w:spacing w:val="-108"/>
          <w:w w:val="100"/>
          <w:sz w:val="21"/>
        </w:rPr>
        <w:t>）</w:t>
      </w:r>
      <w:r>
        <w:rPr>
          <w:spacing w:val="-11"/>
          <w:w w:val="100"/>
          <w:sz w:val="21"/>
        </w:rPr>
        <w:t>、肿瘤免疫疗法、</w:t>
      </w:r>
      <w:r>
        <w:rPr>
          <w:spacing w:val="-60"/>
          <w:sz w:val="21"/>
        </w:rPr>
        <w:t xml:space="preserve"> </w:t>
      </w:r>
      <w:r>
        <w:rPr>
          <w:spacing w:val="-10"/>
          <w:w w:val="100"/>
          <w:sz w:val="21"/>
        </w:rPr>
        <w:t>肿瘤内分泌疗法、肿瘤靶向疗法；</w:t>
      </w:r>
    </w:p>
    <w:p>
      <w:pPr>
        <w:pStyle w:val="9"/>
        <w:numPr>
          <w:ilvl w:val="3"/>
          <w:numId w:val="4"/>
        </w:numPr>
        <w:tabs>
          <w:tab w:val="left" w:pos="3230"/>
        </w:tabs>
        <w:spacing w:before="155" w:after="0" w:line="240" w:lineRule="auto"/>
        <w:ind w:left="3229" w:right="0" w:hanging="213"/>
        <w:jc w:val="left"/>
        <w:rPr>
          <w:sz w:val="19"/>
        </w:rPr>
      </w:pPr>
      <w:r>
        <w:rPr>
          <w:spacing w:val="-3"/>
          <w:sz w:val="21"/>
        </w:rPr>
        <w:t>器官移植后的门诊抗排异治疗费；</w:t>
      </w:r>
    </w:p>
    <w:p>
      <w:pPr>
        <w:pStyle w:val="4"/>
        <w:spacing w:before="10"/>
        <w:rPr>
          <w:sz w:val="14"/>
        </w:rPr>
      </w:pPr>
    </w:p>
    <w:p>
      <w:pPr>
        <w:pStyle w:val="9"/>
        <w:numPr>
          <w:ilvl w:val="3"/>
          <w:numId w:val="4"/>
        </w:numPr>
        <w:tabs>
          <w:tab w:val="left" w:pos="3230"/>
        </w:tabs>
        <w:spacing w:before="0" w:after="0" w:line="240" w:lineRule="auto"/>
        <w:ind w:left="3229" w:right="0" w:hanging="213"/>
        <w:jc w:val="left"/>
        <w:rPr>
          <w:sz w:val="19"/>
        </w:rPr>
      </w:pPr>
      <w:r>
        <w:rPr>
          <w:b/>
          <w:spacing w:val="-2"/>
          <w:sz w:val="21"/>
        </w:rPr>
        <w:t>特定疾病</w:t>
      </w:r>
      <w:r>
        <w:rPr>
          <w:spacing w:val="-2"/>
          <w:position w:val="11"/>
          <w:sz w:val="11"/>
        </w:rPr>
        <w:t>30</w:t>
      </w:r>
      <w:r>
        <w:rPr>
          <w:spacing w:val="-4"/>
          <w:sz w:val="21"/>
        </w:rPr>
        <w:t>门诊治疗费用；</w:t>
      </w:r>
    </w:p>
    <w:p>
      <w:pPr>
        <w:pStyle w:val="4"/>
        <w:spacing w:before="7"/>
        <w:rPr>
          <w:sz w:val="15"/>
        </w:rPr>
      </w:pPr>
    </w:p>
    <w:p>
      <w:pPr>
        <w:pStyle w:val="9"/>
        <w:numPr>
          <w:ilvl w:val="3"/>
          <w:numId w:val="4"/>
        </w:numPr>
        <w:tabs>
          <w:tab w:val="left" w:pos="3230"/>
        </w:tabs>
        <w:spacing w:before="0" w:after="0" w:line="240" w:lineRule="auto"/>
        <w:ind w:left="3229" w:right="0" w:hanging="213"/>
        <w:jc w:val="left"/>
        <w:rPr>
          <w:sz w:val="19"/>
        </w:rPr>
      </w:pPr>
      <w:r>
        <w:rPr>
          <w:spacing w:val="-3"/>
          <w:sz w:val="21"/>
        </w:rPr>
        <w:t>门诊手术医疗费用；</w:t>
      </w:r>
    </w:p>
    <w:p>
      <w:pPr>
        <w:pStyle w:val="4"/>
        <w:spacing w:before="7"/>
        <w:rPr>
          <w:sz w:val="15"/>
        </w:rPr>
      </w:pPr>
    </w:p>
    <w:p>
      <w:pPr>
        <w:pStyle w:val="9"/>
        <w:numPr>
          <w:ilvl w:val="3"/>
          <w:numId w:val="4"/>
        </w:numPr>
        <w:tabs>
          <w:tab w:val="left" w:pos="3230"/>
        </w:tabs>
        <w:spacing w:before="0" w:after="0" w:line="240" w:lineRule="auto"/>
        <w:ind w:left="3229" w:right="0" w:hanging="213"/>
        <w:jc w:val="left"/>
        <w:rPr>
          <w:sz w:val="19"/>
        </w:rPr>
      </w:pPr>
      <w:r>
        <w:rPr>
          <w:spacing w:val="-8"/>
          <w:sz w:val="21"/>
        </w:rPr>
        <w:t>住院前后门急诊医疗费用，含住院前</w:t>
      </w:r>
      <w:r>
        <w:rPr>
          <w:spacing w:val="-2"/>
          <w:sz w:val="21"/>
        </w:rPr>
        <w:t>30</w:t>
      </w:r>
      <w:r>
        <w:rPr>
          <w:spacing w:val="-73"/>
          <w:sz w:val="21"/>
        </w:rPr>
        <w:t>日</w:t>
      </w:r>
      <w:r>
        <w:rPr>
          <w:spacing w:val="-2"/>
          <w:sz w:val="21"/>
        </w:rPr>
        <w:t>（含住院当日</w:t>
      </w:r>
      <w:r>
        <w:rPr>
          <w:spacing w:val="-75"/>
          <w:sz w:val="21"/>
        </w:rPr>
        <w:t>）</w:t>
      </w:r>
      <w:r>
        <w:rPr>
          <w:spacing w:val="-2"/>
          <w:sz w:val="21"/>
        </w:rPr>
        <w:t>和出院后30</w:t>
      </w:r>
      <w:r>
        <w:rPr>
          <w:spacing w:val="-75"/>
          <w:sz w:val="21"/>
        </w:rPr>
        <w:t>日</w:t>
      </w:r>
      <w:r>
        <w:rPr>
          <w:spacing w:val="-2"/>
          <w:sz w:val="21"/>
        </w:rPr>
        <w:t>（</w:t>
      </w:r>
      <w:r>
        <w:rPr>
          <w:spacing w:val="-10"/>
          <w:sz w:val="21"/>
        </w:rPr>
        <w:t>含</w:t>
      </w:r>
    </w:p>
    <w:p>
      <w:pPr>
        <w:pStyle w:val="4"/>
        <w:spacing w:before="2"/>
        <w:rPr>
          <w:sz w:val="16"/>
        </w:rPr>
      </w:pPr>
      <w:r>
        <w:drawing>
          <wp:anchor distT="0" distB="0" distL="0" distR="0" simplePos="0" relativeHeight="251659264" behindDoc="0" locked="0" layoutInCell="1" allowOverlap="1">
            <wp:simplePos x="0" y="0"/>
            <wp:positionH relativeFrom="page">
              <wp:posOffset>685800</wp:posOffset>
            </wp:positionH>
            <wp:positionV relativeFrom="paragraph">
              <wp:posOffset>146685</wp:posOffset>
            </wp:positionV>
            <wp:extent cx="1829435" cy="6350"/>
            <wp:effectExtent l="0" t="0" r="0" b="0"/>
            <wp:wrapTopAndBottom/>
            <wp:docPr id="2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6.png"/>
                    <pic:cNvPicPr>
                      <a:picLocks noChangeAspect="1"/>
                    </pic:cNvPicPr>
                  </pic:nvPicPr>
                  <pic:blipFill>
                    <a:blip r:embed="rId11" cstate="print"/>
                    <a:stretch>
                      <a:fillRect/>
                    </a:stretch>
                  </pic:blipFill>
                  <pic:spPr>
                    <a:xfrm>
                      <a:off x="0" y="0"/>
                      <a:ext cx="1829511" cy="6095"/>
                    </a:xfrm>
                    <a:prstGeom prst="rect">
                      <a:avLst/>
                    </a:prstGeom>
                  </pic:spPr>
                </pic:pic>
              </a:graphicData>
            </a:graphic>
          </wp:anchor>
        </w:drawing>
      </w:r>
    </w:p>
    <w:p>
      <w:pPr>
        <w:spacing w:before="91"/>
        <w:ind w:left="180" w:right="0" w:firstLine="0"/>
        <w:jc w:val="left"/>
        <w:rPr>
          <w:rFonts w:ascii="楷体" w:eastAsia="楷体"/>
          <w:sz w:val="18"/>
        </w:rPr>
      </w:pPr>
      <w:r>
        <w:rPr>
          <w:rFonts w:hint="eastAsia" w:ascii="楷体" w:eastAsia="楷体"/>
          <w:b/>
          <w:w w:val="95"/>
          <w:position w:val="9"/>
          <w:sz w:val="9"/>
        </w:rPr>
        <w:t>28</w:t>
      </w:r>
      <w:r>
        <w:rPr>
          <w:rFonts w:hint="eastAsia" w:ascii="楷体" w:eastAsia="楷体"/>
          <w:b/>
          <w:w w:val="95"/>
          <w:sz w:val="18"/>
        </w:rPr>
        <w:t>医院：</w:t>
      </w:r>
      <w:r>
        <w:rPr>
          <w:rFonts w:ascii="楷体" w:eastAsia="楷体"/>
          <w:w w:val="95"/>
          <w:sz w:val="18"/>
        </w:rPr>
        <w:t>指被接受医疗服务所在地国家当地法律或政府认可的、可收治急症病人的医疗机构。该医疗机构应有常住执业医</w:t>
      </w:r>
      <w:r>
        <w:rPr>
          <w:rFonts w:ascii="楷体" w:eastAsia="楷体"/>
          <w:spacing w:val="-10"/>
          <w:w w:val="95"/>
          <w:sz w:val="18"/>
        </w:rPr>
        <w:t>师</w:t>
      </w:r>
    </w:p>
    <w:p>
      <w:pPr>
        <w:spacing w:before="2" w:line="242" w:lineRule="auto"/>
        <w:ind w:left="180" w:right="604" w:firstLine="0"/>
        <w:jc w:val="left"/>
        <w:rPr>
          <w:rFonts w:ascii="楷体" w:eastAsia="楷体"/>
          <w:sz w:val="18"/>
        </w:rPr>
      </w:pPr>
      <w:r>
        <w:rPr>
          <w:rFonts w:ascii="楷体" w:eastAsia="楷体"/>
          <w:spacing w:val="-2"/>
          <w:sz w:val="18"/>
        </w:rPr>
        <w:t>管理或提供医疗服务，并在专业护士指导下每日二十四小时连续提供护理服务。医院不包括护理机构、疗养机构、康复机构、养老院、家居服务机构、酒精或药物滥用看护机构、以及其他类似目的的机构。</w:t>
      </w:r>
    </w:p>
    <w:p>
      <w:pPr>
        <w:spacing w:before="0" w:line="230" w:lineRule="exact"/>
        <w:ind w:left="180" w:right="0" w:firstLine="0"/>
        <w:jc w:val="left"/>
        <w:rPr>
          <w:rFonts w:ascii="楷体" w:eastAsia="楷体"/>
          <w:sz w:val="18"/>
        </w:rPr>
      </w:pPr>
      <w:r>
        <w:rPr>
          <w:rFonts w:hint="eastAsia" w:ascii="楷体" w:eastAsia="楷体"/>
          <w:b/>
          <w:w w:val="95"/>
          <w:position w:val="9"/>
          <w:sz w:val="9"/>
        </w:rPr>
        <w:t>29</w:t>
      </w:r>
      <w:r>
        <w:rPr>
          <w:rFonts w:hint="eastAsia" w:ascii="楷体" w:eastAsia="楷体"/>
          <w:b/>
          <w:w w:val="95"/>
          <w:sz w:val="18"/>
        </w:rPr>
        <w:t>恶性肿瘤-重度：</w:t>
      </w:r>
      <w:r>
        <w:rPr>
          <w:rFonts w:ascii="楷体" w:eastAsia="楷体"/>
          <w:w w:val="95"/>
          <w:sz w:val="18"/>
        </w:rPr>
        <w:t>指符合本合同附表一所列的疾病定义的疾病</w:t>
      </w:r>
      <w:r>
        <w:rPr>
          <w:rFonts w:ascii="楷体" w:eastAsia="楷体"/>
          <w:spacing w:val="-10"/>
          <w:w w:val="95"/>
          <w:sz w:val="18"/>
        </w:rPr>
        <w:t>。</w:t>
      </w:r>
    </w:p>
    <w:p>
      <w:pPr>
        <w:spacing w:before="5"/>
        <w:ind w:left="180" w:right="0" w:firstLine="0"/>
        <w:jc w:val="left"/>
        <w:rPr>
          <w:rFonts w:ascii="楷体" w:eastAsia="楷体"/>
          <w:sz w:val="18"/>
        </w:rPr>
      </w:pPr>
      <w:r>
        <w:rPr>
          <w:rFonts w:hint="eastAsia" w:ascii="楷体" w:eastAsia="楷体"/>
          <w:b/>
          <w:position w:val="9"/>
          <w:sz w:val="9"/>
        </w:rPr>
        <w:t>30</w:t>
      </w:r>
      <w:r>
        <w:rPr>
          <w:rFonts w:hint="eastAsia" w:ascii="楷体" w:eastAsia="楷体"/>
          <w:b/>
          <w:spacing w:val="-5"/>
          <w:position w:val="9"/>
          <w:sz w:val="9"/>
        </w:rPr>
        <w:t xml:space="preserve"> </w:t>
      </w:r>
      <w:r>
        <w:rPr>
          <w:rFonts w:hint="eastAsia" w:ascii="楷体" w:eastAsia="楷体"/>
          <w:b/>
          <w:sz w:val="18"/>
        </w:rPr>
        <w:t>特定疾病：</w:t>
      </w:r>
      <w:r>
        <w:rPr>
          <w:rFonts w:ascii="楷体" w:eastAsia="楷体"/>
          <w:spacing w:val="-1"/>
          <w:sz w:val="18"/>
        </w:rPr>
        <w:t>指符合本合同附表二所列的任何一种疾病定义所述条件的疾病。</w:t>
      </w:r>
    </w:p>
    <w:p>
      <w:pPr>
        <w:spacing w:after="0"/>
        <w:jc w:val="left"/>
        <w:rPr>
          <w:rFonts w:ascii="楷体" w:eastAsia="楷体"/>
          <w:sz w:val="18"/>
        </w:rPr>
        <w:sectPr>
          <w:pgSz w:w="11910" w:h="16840"/>
          <w:pgMar w:top="1400" w:right="680" w:bottom="280" w:left="900" w:header="720" w:footer="720" w:gutter="0"/>
          <w:cols w:space="720" w:num="1"/>
        </w:sectPr>
      </w:pPr>
    </w:p>
    <w:p>
      <w:pPr>
        <w:pStyle w:val="4"/>
        <w:spacing w:before="44" w:line="278" w:lineRule="auto"/>
        <w:ind w:left="3017" w:right="449"/>
      </w:pPr>
      <w:r>
        <w:rPr>
          <w:spacing w:val="-4"/>
        </w:rPr>
        <w:t>出院当日）内，因与该次住院相同原因而接受门急诊治疗的，对由此发生的</w:t>
      </w:r>
      <w:r>
        <w:rPr>
          <w:spacing w:val="-2"/>
        </w:rPr>
        <w:t>医学必需的合理医疗费用。</w:t>
      </w:r>
    </w:p>
    <w:p>
      <w:pPr>
        <w:pStyle w:val="4"/>
        <w:spacing w:before="156" w:line="278" w:lineRule="auto"/>
        <w:ind w:left="3017" w:right="449"/>
      </w:pPr>
      <w:r>
        <w:rPr>
          <w:color w:val="000000"/>
          <w:spacing w:val="-2"/>
          <w:shd w:val="clear" w:color="auto" w:fill="E4E4E4"/>
        </w:rPr>
        <w:t>该项保险责任与“2.7.1</w:t>
      </w:r>
      <w:r>
        <w:rPr>
          <w:color w:val="000000"/>
          <w:spacing w:val="-7"/>
          <w:shd w:val="clear" w:color="auto" w:fill="E4E4E4"/>
        </w:rPr>
        <w:t xml:space="preserve"> 一般疾病</w:t>
      </w:r>
      <w:r>
        <w:rPr>
          <w:color w:val="000000"/>
          <w:spacing w:val="-2"/>
          <w:shd w:val="clear" w:color="auto" w:fill="E4E4E4"/>
        </w:rPr>
        <w:t>（伤害）和一般项目门诊医疗”不重复赔</w:t>
      </w:r>
      <w:r>
        <w:rPr>
          <w:color w:val="000000"/>
          <w:spacing w:val="-6"/>
          <w:shd w:val="clear" w:color="auto" w:fill="E4E4E4"/>
        </w:rPr>
        <w:t>付。</w:t>
      </w:r>
    </w:p>
    <w:p>
      <w:pPr>
        <w:pStyle w:val="4"/>
        <w:spacing w:before="156"/>
        <w:ind w:left="3017"/>
      </w:pPr>
      <w:r>
        <w:rPr>
          <w:spacing w:val="-2"/>
        </w:rPr>
        <w:t>（十四）</w:t>
      </w:r>
      <w:r>
        <w:rPr>
          <w:spacing w:val="-3"/>
        </w:rPr>
        <w:t>由医师或注册呼吸治疗师实施的呼吸治疗费。</w:t>
      </w:r>
    </w:p>
    <w:p>
      <w:pPr>
        <w:pStyle w:val="4"/>
        <w:spacing w:before="7"/>
        <w:rPr>
          <w:sz w:val="15"/>
        </w:rPr>
      </w:pPr>
    </w:p>
    <w:p>
      <w:pPr>
        <w:pStyle w:val="4"/>
        <w:spacing w:line="278" w:lineRule="auto"/>
        <w:ind w:left="3017" w:right="449"/>
        <w:jc w:val="both"/>
      </w:pPr>
      <w:r>
        <w:rPr>
          <w:spacing w:val="-4"/>
        </w:rPr>
        <w:t>（十五）物理治疗、职业疗法费：由医师或具有相应医疗资质的专业医师实施的物理治疗、职业疗法费，这些治疗须为该被保险人医师书面治疗计划一</w:t>
      </w:r>
      <w:r>
        <w:rPr>
          <w:spacing w:val="-2"/>
        </w:rPr>
        <w:t>部分，且满足下列全部条件：</w:t>
      </w:r>
    </w:p>
    <w:p>
      <w:pPr>
        <w:pStyle w:val="9"/>
        <w:numPr>
          <w:ilvl w:val="0"/>
          <w:numId w:val="6"/>
        </w:numPr>
        <w:tabs>
          <w:tab w:val="left" w:pos="3230"/>
        </w:tabs>
        <w:spacing w:before="155" w:after="0" w:line="240" w:lineRule="auto"/>
        <w:ind w:left="3229" w:right="0" w:hanging="213"/>
        <w:jc w:val="left"/>
        <w:rPr>
          <w:sz w:val="21"/>
        </w:rPr>
      </w:pPr>
      <w:r>
        <w:rPr>
          <w:spacing w:val="-3"/>
          <w:sz w:val="21"/>
        </w:rPr>
        <w:t>在合理的、可预测的时间内症状会明显好转；</w:t>
      </w:r>
    </w:p>
    <w:p>
      <w:pPr>
        <w:pStyle w:val="4"/>
        <w:spacing w:before="7"/>
        <w:rPr>
          <w:sz w:val="15"/>
        </w:rPr>
      </w:pPr>
    </w:p>
    <w:p>
      <w:pPr>
        <w:pStyle w:val="9"/>
        <w:numPr>
          <w:ilvl w:val="0"/>
          <w:numId w:val="6"/>
        </w:numPr>
        <w:tabs>
          <w:tab w:val="left" w:pos="3230"/>
        </w:tabs>
        <w:spacing w:before="0" w:after="0" w:line="278" w:lineRule="auto"/>
        <w:ind w:left="3017" w:right="448" w:firstLine="0"/>
        <w:jc w:val="left"/>
        <w:rPr>
          <w:sz w:val="21"/>
        </w:rPr>
      </w:pPr>
      <w:r>
        <w:rPr>
          <w:spacing w:val="-7"/>
          <w:sz w:val="21"/>
        </w:rPr>
        <w:t>疗法复杂或被保险人病症使得只有医师、注册物理治疗师或职业疗师才能</w:t>
      </w:r>
      <w:r>
        <w:rPr>
          <w:spacing w:val="-2"/>
          <w:sz w:val="21"/>
        </w:rPr>
        <w:t>安全、有效实施。</w:t>
      </w:r>
    </w:p>
    <w:p>
      <w:pPr>
        <w:pStyle w:val="4"/>
        <w:spacing w:before="157"/>
        <w:ind w:left="3017"/>
      </w:pPr>
      <w:r>
        <w:rPr>
          <w:spacing w:val="-2"/>
        </w:rPr>
        <w:t>（十六）</w:t>
      </w:r>
      <w:r>
        <w:rPr>
          <w:spacing w:val="-3"/>
        </w:rPr>
        <w:t>为治疗吞咽障碍由语言治疗师实施的电子喉镜检查费。</w:t>
      </w:r>
    </w:p>
    <w:p>
      <w:pPr>
        <w:pStyle w:val="4"/>
        <w:spacing w:before="9"/>
        <w:rPr>
          <w:sz w:val="14"/>
        </w:rPr>
      </w:pPr>
    </w:p>
    <w:p>
      <w:pPr>
        <w:spacing w:before="0" w:line="278" w:lineRule="auto"/>
        <w:ind w:left="3017" w:right="448" w:firstLine="0"/>
        <w:jc w:val="left"/>
        <w:rPr>
          <w:sz w:val="21"/>
        </w:rPr>
      </w:pPr>
      <w:r>
        <w:rPr>
          <w:spacing w:val="-2"/>
          <w:sz w:val="21"/>
        </w:rPr>
        <w:t>（十七</w:t>
      </w:r>
      <w:r>
        <w:rPr>
          <w:spacing w:val="-97"/>
          <w:sz w:val="21"/>
        </w:rPr>
        <w:t>）</w:t>
      </w:r>
      <w:r>
        <w:rPr>
          <w:spacing w:val="-2"/>
          <w:sz w:val="21"/>
        </w:rPr>
        <w:t>入住经本公司许可的机构接受的</w:t>
      </w:r>
      <w:r>
        <w:rPr>
          <w:b/>
          <w:spacing w:val="-2"/>
          <w:sz w:val="21"/>
        </w:rPr>
        <w:t>康复治疗</w:t>
      </w:r>
      <w:r>
        <w:rPr>
          <w:b/>
          <w:spacing w:val="-2"/>
          <w:position w:val="11"/>
          <w:sz w:val="11"/>
        </w:rPr>
        <w:t>31</w:t>
      </w:r>
      <w:r>
        <w:rPr>
          <w:spacing w:val="-2"/>
          <w:sz w:val="21"/>
        </w:rPr>
        <w:t>和由</w:t>
      </w:r>
      <w:r>
        <w:rPr>
          <w:b/>
          <w:spacing w:val="-2"/>
          <w:sz w:val="21"/>
        </w:rPr>
        <w:t>专业护士</w:t>
      </w:r>
      <w:r>
        <w:rPr>
          <w:b/>
          <w:spacing w:val="-2"/>
          <w:position w:val="11"/>
          <w:sz w:val="11"/>
        </w:rPr>
        <w:t>32</w:t>
      </w:r>
      <w:r>
        <w:rPr>
          <w:spacing w:val="-2"/>
          <w:sz w:val="21"/>
        </w:rPr>
        <w:t>实施的专业护理费用。</w:t>
      </w:r>
    </w:p>
    <w:p>
      <w:pPr>
        <w:pStyle w:val="4"/>
        <w:spacing w:before="156"/>
        <w:ind w:left="3017"/>
      </w:pPr>
      <w:r>
        <w:rPr>
          <w:spacing w:val="-4"/>
        </w:rPr>
        <w:t>（十八）</w:t>
      </w:r>
      <w:r>
        <w:rPr>
          <w:spacing w:val="-5"/>
        </w:rPr>
        <w:t>因使用手术机器人技术额外收取的费用，包括手术导航定位机器人</w:t>
      </w:r>
    </w:p>
    <w:p>
      <w:pPr>
        <w:pStyle w:val="4"/>
        <w:spacing w:before="43" w:line="278" w:lineRule="auto"/>
        <w:ind w:left="3017" w:right="448"/>
      </w:pPr>
      <w:r>
        <w:t>（</w:t>
      </w:r>
      <w:r>
        <w:rPr>
          <w:spacing w:val="-3"/>
        </w:rPr>
        <w:t xml:space="preserve">如神经外科脊柱外科 </w:t>
      </w:r>
      <w:r>
        <w:t>ROSA</w:t>
      </w:r>
      <w:r>
        <w:rPr>
          <w:spacing w:val="-6"/>
        </w:rPr>
        <w:t xml:space="preserve"> 机器人，</w:t>
      </w:r>
      <w:r>
        <w:t>Mako</w:t>
      </w:r>
      <w:r>
        <w:rPr>
          <w:spacing w:val="-6"/>
        </w:rPr>
        <w:t xml:space="preserve"> 骨科机器人等</w:t>
      </w:r>
      <w:r>
        <w:rPr>
          <w:spacing w:val="-106"/>
        </w:rPr>
        <w:t>）</w:t>
      </w:r>
      <w:r>
        <w:t>、手术操作机器</w:t>
      </w:r>
      <w:r>
        <w:rPr>
          <w:spacing w:val="-2"/>
        </w:rPr>
        <w:t>人（如达芬奇手术机器人等</w:t>
      </w:r>
      <w:r>
        <w:rPr>
          <w:spacing w:val="-106"/>
        </w:rPr>
        <w:t>）</w:t>
      </w:r>
      <w:r>
        <w:rPr>
          <w:spacing w:val="-3"/>
        </w:rPr>
        <w:t>，含手术机器人专用医用耗材费。</w:t>
      </w:r>
    </w:p>
    <w:p>
      <w:pPr>
        <w:pStyle w:val="4"/>
        <w:spacing w:before="9"/>
        <w:rPr>
          <w:sz w:val="18"/>
        </w:rPr>
      </w:pPr>
    </w:p>
    <w:p>
      <w:pPr>
        <w:spacing w:after="0"/>
        <w:rPr>
          <w:sz w:val="18"/>
        </w:rPr>
        <w:sectPr>
          <w:pgSz w:w="11910" w:h="16840"/>
          <w:pgMar w:top="1400" w:right="680" w:bottom="280" w:left="900" w:header="720" w:footer="720" w:gutter="0"/>
          <w:cols w:space="720" w:num="1"/>
        </w:sectPr>
      </w:pPr>
    </w:p>
    <w:p>
      <w:pPr>
        <w:pStyle w:val="3"/>
        <w:numPr>
          <w:ilvl w:val="2"/>
          <w:numId w:val="4"/>
        </w:numPr>
        <w:tabs>
          <w:tab w:val="left" w:pos="1502"/>
          <w:tab w:val="left" w:pos="1503"/>
        </w:tabs>
        <w:spacing w:before="72" w:after="0" w:line="240" w:lineRule="auto"/>
        <w:ind w:left="1502" w:right="0" w:hanging="855"/>
        <w:jc w:val="left"/>
      </w:pPr>
      <w:r>
        <w:rPr>
          <w:spacing w:val="-2"/>
        </w:rPr>
        <w:t>住院无理赔日</w:t>
      </w:r>
    </w:p>
    <w:p>
      <w:pPr>
        <w:spacing w:before="43"/>
        <w:ind w:left="1502" w:right="0" w:firstLine="0"/>
        <w:jc w:val="left"/>
        <w:rPr>
          <w:b/>
          <w:sz w:val="21"/>
        </w:rPr>
      </w:pPr>
      <w:r>
        <w:rPr>
          <w:b/>
          <w:spacing w:val="-2"/>
          <w:sz w:val="21"/>
        </w:rPr>
        <w:t>额补贴医疗</w:t>
      </w:r>
    </w:p>
    <w:p>
      <w:pPr>
        <w:pStyle w:val="4"/>
        <w:spacing w:before="72" w:line="278" w:lineRule="auto"/>
        <w:ind w:left="207" w:right="448"/>
        <w:jc w:val="both"/>
      </w:pPr>
      <w:r>
        <w:br w:type="column"/>
      </w:r>
      <w:r>
        <w:rPr>
          <w:spacing w:val="-11"/>
        </w:rPr>
        <w:t>保险期间内，每一被保险人在与其保险计划相对应的保障地域内因遭受意外</w:t>
      </w:r>
      <w:r>
        <w:rPr>
          <w:spacing w:val="-5"/>
        </w:rPr>
        <w:t>伤害或患疾病进行住院治疗而发生的本合同约定责任范围内的医疗费用，如</w:t>
      </w:r>
      <w:r>
        <w:rPr>
          <w:spacing w:val="-4"/>
        </w:rPr>
        <w:t>被保险人已通过其他途径（包括基本医疗保险机构、工作单位及商业保险机构等）取得全部补偿的，我们仅在本合同约定的范围内按被保险人实际住院</w:t>
      </w:r>
      <w:r>
        <w:rPr>
          <w:spacing w:val="-7"/>
        </w:rPr>
        <w:t>日数乘以住院补贴日额给付住院日额补贴，</w:t>
      </w:r>
      <w:r>
        <w:rPr>
          <w:color w:val="000000"/>
          <w:spacing w:val="-2"/>
          <w:shd w:val="clear" w:color="auto" w:fill="E4E4E4"/>
        </w:rPr>
        <w:t>且给付日数每一保单年度不超过</w:t>
      </w:r>
      <w:r>
        <w:rPr>
          <w:color w:val="000000"/>
          <w:spacing w:val="-2"/>
        </w:rPr>
        <w:t xml:space="preserve"> </w:t>
      </w:r>
      <w:r>
        <w:rPr>
          <w:color w:val="000000"/>
          <w:spacing w:val="-4"/>
          <w:shd w:val="clear" w:color="auto" w:fill="E4E4E4"/>
        </w:rPr>
        <w:t>30天</w:t>
      </w:r>
      <w:r>
        <w:rPr>
          <w:color w:val="000000"/>
          <w:spacing w:val="-4"/>
        </w:rPr>
        <w:t>。</w:t>
      </w:r>
    </w:p>
    <w:p>
      <w:pPr>
        <w:spacing w:after="0" w:line="278" w:lineRule="auto"/>
        <w:jc w:val="both"/>
        <w:sectPr>
          <w:type w:val="continuous"/>
          <w:pgSz w:w="11910" w:h="16840"/>
          <w:pgMar w:top="480" w:right="680" w:bottom="280" w:left="900" w:header="720" w:footer="720" w:gutter="0"/>
          <w:cols w:equalWidth="0" w:num="2">
            <w:col w:w="2771" w:space="40"/>
            <w:col w:w="7519"/>
          </w:cols>
        </w:sectPr>
      </w:pPr>
    </w:p>
    <w:p>
      <w:pPr>
        <w:pStyle w:val="4"/>
        <w:spacing w:before="156" w:line="278" w:lineRule="auto"/>
        <w:ind w:left="3017" w:right="449"/>
      </w:pPr>
      <w:r>
        <w:rPr>
          <w:color w:val="000000"/>
          <w:spacing w:val="-6"/>
          <w:shd w:val="clear" w:color="auto" w:fill="E4E4E4"/>
        </w:rPr>
        <w:t>就每一保单年度内发生的同一住院医疗保险事故，已申请本合同的住院医疗</w:t>
      </w:r>
      <w:r>
        <w:rPr>
          <w:color w:val="000000"/>
          <w:spacing w:val="80"/>
          <w:w w:val="150"/>
          <w:shd w:val="clear" w:color="auto" w:fill="E4E4E4"/>
        </w:rPr>
        <w:t xml:space="preserve">                                     </w:t>
      </w:r>
      <w:r>
        <w:rPr>
          <w:color w:val="000000"/>
          <w:spacing w:val="-2"/>
          <w:shd w:val="clear" w:color="auto" w:fill="E4E4E4"/>
        </w:rPr>
        <w:t>保险金的，不能再申请住院无理赔日额补贴。</w:t>
      </w:r>
    </w:p>
    <w:p>
      <w:pPr>
        <w:pStyle w:val="4"/>
        <w:spacing w:before="11"/>
        <w:rPr>
          <w:sz w:val="11"/>
        </w:rPr>
      </w:pPr>
    </w:p>
    <w:tbl>
      <w:tblPr>
        <w:tblStyle w:val="6"/>
        <w:tblW w:w="0" w:type="auto"/>
        <w:tblInd w:w="302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5675"/>
        <w:gridCol w:w="117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0" w:hRule="atLeast"/>
        </w:trPr>
        <w:tc>
          <w:tcPr>
            <w:tcW w:w="6853" w:type="dxa"/>
            <w:gridSpan w:val="2"/>
            <w:tcBorders>
              <w:bottom w:val="single" w:color="FFFFFF" w:sz="18" w:space="0"/>
            </w:tcBorders>
            <w:shd w:val="clear" w:color="auto" w:fill="E4E4E4"/>
          </w:tcPr>
          <w:p>
            <w:pPr>
              <w:pStyle w:val="10"/>
              <w:spacing w:before="3" w:line="247" w:lineRule="exact"/>
              <w:ind w:right="-15"/>
              <w:rPr>
                <w:sz w:val="21"/>
              </w:rPr>
            </w:pPr>
            <w:r>
              <w:rPr>
                <w:spacing w:val="-6"/>
                <w:sz w:val="21"/>
              </w:rPr>
              <w:t>若受益人在获得住院无理赔日额补贴后申请住院医疗保险金，我们将在应给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6" w:hRule="atLeast"/>
        </w:trPr>
        <w:tc>
          <w:tcPr>
            <w:tcW w:w="6853" w:type="dxa"/>
            <w:gridSpan w:val="2"/>
            <w:tcBorders>
              <w:top w:val="single" w:color="FFFFFF" w:sz="18" w:space="0"/>
              <w:bottom w:val="single" w:color="FFFFFF" w:sz="18" w:space="0"/>
            </w:tcBorders>
            <w:shd w:val="clear" w:color="auto" w:fill="E4E4E4"/>
          </w:tcPr>
          <w:p>
            <w:pPr>
              <w:pStyle w:val="10"/>
              <w:spacing w:before="0" w:line="247" w:lineRule="exact"/>
              <w:ind w:right="-15"/>
              <w:rPr>
                <w:sz w:val="21"/>
              </w:rPr>
            </w:pPr>
            <w:r>
              <w:rPr>
                <w:spacing w:val="-6"/>
                <w:sz w:val="21"/>
              </w:rPr>
              <w:t>付金额中扣除已给付的住院无理赔日额补贴后给付住院医疗保险金。若应给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7" w:hRule="atLeast"/>
        </w:trPr>
        <w:tc>
          <w:tcPr>
            <w:tcW w:w="6853" w:type="dxa"/>
            <w:gridSpan w:val="2"/>
            <w:tcBorders>
              <w:top w:val="single" w:color="FFFFFF" w:sz="18" w:space="0"/>
              <w:bottom w:val="single" w:color="FFFFFF" w:sz="18" w:space="0"/>
            </w:tcBorders>
            <w:shd w:val="clear" w:color="auto" w:fill="E4E4E4"/>
          </w:tcPr>
          <w:p>
            <w:pPr>
              <w:pStyle w:val="10"/>
              <w:spacing w:before="0" w:line="247" w:lineRule="exact"/>
              <w:ind w:right="-15"/>
              <w:rPr>
                <w:sz w:val="21"/>
              </w:rPr>
            </w:pPr>
            <w:r>
              <w:rPr>
                <w:spacing w:val="-6"/>
                <w:sz w:val="21"/>
              </w:rPr>
              <w:t>付的住院医疗保险金不够扣除已给付的住院无理赔日额补贴，则不再给付住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0" w:hRule="atLeast"/>
        </w:trPr>
        <w:tc>
          <w:tcPr>
            <w:tcW w:w="5675" w:type="dxa"/>
            <w:tcBorders>
              <w:top w:val="single" w:color="FFFFFF" w:sz="18" w:space="0"/>
            </w:tcBorders>
            <w:shd w:val="clear" w:color="auto" w:fill="E4E4E4"/>
          </w:tcPr>
          <w:p>
            <w:pPr>
              <w:pStyle w:val="10"/>
              <w:spacing w:before="0" w:line="250" w:lineRule="exact"/>
              <w:ind w:right="-15"/>
              <w:rPr>
                <w:sz w:val="21"/>
              </w:rPr>
            </w:pPr>
            <w:r>
              <w:rPr>
                <w:spacing w:val="-3"/>
                <w:sz w:val="21"/>
              </w:rPr>
              <w:t>院医疗保险金，但不影响下一次住院医疗事故的保险金申请。</w:t>
            </w:r>
          </w:p>
        </w:tc>
        <w:tc>
          <w:tcPr>
            <w:tcW w:w="1178" w:type="dxa"/>
            <w:tcBorders>
              <w:top w:val="single" w:color="FFFFFF" w:sz="18" w:space="0"/>
            </w:tcBorders>
          </w:tcPr>
          <w:p>
            <w:pPr>
              <w:pStyle w:val="10"/>
              <w:spacing w:before="0"/>
              <w:rPr>
                <w:rFonts w:ascii="Times New Roman"/>
                <w:sz w:val="20"/>
              </w:rPr>
            </w:pPr>
          </w:p>
        </w:tc>
      </w:tr>
    </w:tbl>
    <w:p>
      <w:pPr>
        <w:pStyle w:val="4"/>
        <w:spacing w:before="2"/>
        <w:rPr>
          <w:sz w:val="22"/>
        </w:rPr>
      </w:pPr>
    </w:p>
    <w:p>
      <w:pPr>
        <w:spacing w:after="0"/>
        <w:rPr>
          <w:sz w:val="22"/>
        </w:rPr>
        <w:sectPr>
          <w:type w:val="continuous"/>
          <w:pgSz w:w="11910" w:h="16840"/>
          <w:pgMar w:top="480" w:right="680" w:bottom="280" w:left="900" w:header="720" w:footer="720" w:gutter="0"/>
          <w:cols w:space="720" w:num="1"/>
        </w:sectPr>
      </w:pPr>
    </w:p>
    <w:p>
      <w:pPr>
        <w:pStyle w:val="3"/>
        <w:numPr>
          <w:ilvl w:val="2"/>
          <w:numId w:val="4"/>
        </w:numPr>
        <w:tabs>
          <w:tab w:val="left" w:pos="1502"/>
          <w:tab w:val="left" w:pos="1503"/>
        </w:tabs>
        <w:spacing w:before="71" w:after="0" w:line="240" w:lineRule="auto"/>
        <w:ind w:left="1502" w:right="0" w:hanging="855"/>
        <w:jc w:val="left"/>
      </w:pPr>
      <w:r>
        <w:rPr>
          <w:spacing w:val="-2"/>
        </w:rPr>
        <w:t>特殊疾病和特</w:t>
      </w:r>
    </w:p>
    <w:p>
      <w:pPr>
        <w:spacing w:before="44"/>
        <w:ind w:left="1502" w:right="0" w:firstLine="0"/>
        <w:jc w:val="left"/>
        <w:rPr>
          <w:b/>
          <w:sz w:val="21"/>
        </w:rPr>
      </w:pPr>
      <w:r>
        <w:rPr>
          <w:b/>
          <w:spacing w:val="-2"/>
          <w:sz w:val="21"/>
        </w:rPr>
        <w:t>殊项目医疗</w:t>
      </w:r>
    </w:p>
    <w:p>
      <w:pPr>
        <w:pStyle w:val="4"/>
        <w:spacing w:before="71" w:line="278" w:lineRule="auto"/>
        <w:ind w:left="207" w:right="372"/>
      </w:pPr>
      <w:r>
        <w:br w:type="column"/>
      </w:r>
      <w:r>
        <w:rPr>
          <w:spacing w:val="-2"/>
        </w:rPr>
        <w:t>保险期间内,被保险人在与其保险计划相对应的保障地域内因遭受意外伤害或患疾病接受医师开具处方的、医学必需的下列特殊疾病和特殊项目医疗，由此发生的、符合通常惯例水平的费用，本公司承担特殊疾病和特殊项目医疗费用责任：</w:t>
      </w:r>
    </w:p>
    <w:p>
      <w:pPr>
        <w:spacing w:after="0" w:line="278" w:lineRule="auto"/>
        <w:sectPr>
          <w:type w:val="continuous"/>
          <w:pgSz w:w="11910" w:h="16840"/>
          <w:pgMar w:top="480" w:right="680" w:bottom="280" w:left="900" w:header="720" w:footer="720" w:gutter="0"/>
          <w:cols w:equalWidth="0" w:num="2">
            <w:col w:w="2771" w:space="40"/>
            <w:col w:w="7519"/>
          </w:cols>
        </w:sectPr>
      </w:pPr>
    </w:p>
    <w:p>
      <w:pPr>
        <w:pStyle w:val="4"/>
        <w:rPr>
          <w:sz w:val="20"/>
        </w:rPr>
      </w:pPr>
    </w:p>
    <w:p>
      <w:pPr>
        <w:pStyle w:val="4"/>
        <w:rPr>
          <w:sz w:val="20"/>
        </w:rPr>
      </w:pPr>
    </w:p>
    <w:p>
      <w:pPr>
        <w:pStyle w:val="4"/>
        <w:spacing w:before="1"/>
        <w:rPr>
          <w:sz w:val="11"/>
        </w:rPr>
      </w:pPr>
    </w:p>
    <w:p>
      <w:pPr>
        <w:pStyle w:val="4"/>
        <w:spacing w:line="20" w:lineRule="exact"/>
        <w:ind w:left="180"/>
        <w:rPr>
          <w:sz w:val="2"/>
        </w:rPr>
      </w:pPr>
      <w:r>
        <w:rPr>
          <w:sz w:val="2"/>
        </w:rPr>
        <w:drawing>
          <wp:inline distT="0" distB="0" distL="0" distR="0">
            <wp:extent cx="1829435" cy="5715"/>
            <wp:effectExtent l="0" t="0" r="0" b="0"/>
            <wp:docPr id="23"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6.png"/>
                    <pic:cNvPicPr>
                      <a:picLocks noChangeAspect="1"/>
                    </pic:cNvPicPr>
                  </pic:nvPicPr>
                  <pic:blipFill>
                    <a:blip r:embed="rId11" cstate="print"/>
                    <a:stretch>
                      <a:fillRect/>
                    </a:stretch>
                  </pic:blipFill>
                  <pic:spPr>
                    <a:xfrm>
                      <a:off x="0" y="0"/>
                      <a:ext cx="1829511" cy="6096"/>
                    </a:xfrm>
                    <a:prstGeom prst="rect">
                      <a:avLst/>
                    </a:prstGeom>
                  </pic:spPr>
                </pic:pic>
              </a:graphicData>
            </a:graphic>
          </wp:inline>
        </w:drawing>
      </w:r>
    </w:p>
    <w:p>
      <w:pPr>
        <w:spacing w:before="80"/>
        <w:ind w:left="180" w:right="0" w:firstLine="0"/>
        <w:jc w:val="left"/>
        <w:rPr>
          <w:rFonts w:ascii="楷体" w:eastAsia="楷体"/>
          <w:sz w:val="18"/>
        </w:rPr>
      </w:pPr>
      <w:r>
        <w:rPr>
          <w:rFonts w:hint="eastAsia" w:ascii="楷体" w:eastAsia="楷体"/>
          <w:b/>
          <w:w w:val="95"/>
          <w:position w:val="9"/>
          <w:sz w:val="9"/>
        </w:rPr>
        <w:t>31</w:t>
      </w:r>
      <w:r>
        <w:rPr>
          <w:rFonts w:hint="eastAsia" w:ascii="楷体" w:eastAsia="楷体"/>
          <w:b/>
          <w:w w:val="95"/>
          <w:sz w:val="18"/>
        </w:rPr>
        <w:t>康复治疗：</w:t>
      </w:r>
      <w:r>
        <w:rPr>
          <w:rFonts w:ascii="楷体" w:eastAsia="楷体"/>
          <w:w w:val="95"/>
          <w:sz w:val="18"/>
        </w:rPr>
        <w:t>指在既定的疗程内通过设计的维持项目改善病人身体状况，以免恶化并协助康复。被保险人住院接受康复治</w:t>
      </w:r>
      <w:r>
        <w:rPr>
          <w:rFonts w:ascii="楷体" w:eastAsia="楷体"/>
          <w:spacing w:val="-10"/>
          <w:w w:val="95"/>
          <w:sz w:val="18"/>
        </w:rPr>
        <w:t>疗</w:t>
      </w:r>
    </w:p>
    <w:p>
      <w:pPr>
        <w:spacing w:before="3"/>
        <w:ind w:left="180" w:right="0" w:firstLine="0"/>
        <w:jc w:val="left"/>
        <w:rPr>
          <w:rFonts w:ascii="楷体" w:eastAsia="楷体"/>
          <w:sz w:val="18"/>
        </w:rPr>
      </w:pPr>
      <w:r>
        <w:rPr>
          <w:rFonts w:ascii="楷体" w:eastAsia="楷体"/>
          <w:spacing w:val="-1"/>
          <w:sz w:val="18"/>
        </w:rPr>
        <w:t>的，本公司仅对处于急性或亚急性阶段的病人住院承担保险责任，且应经过本公司许可。</w:t>
      </w:r>
    </w:p>
    <w:p>
      <w:pPr>
        <w:spacing w:before="4"/>
        <w:ind w:left="180" w:right="0" w:firstLine="0"/>
        <w:jc w:val="left"/>
        <w:rPr>
          <w:rFonts w:ascii="楷体" w:eastAsia="楷体"/>
          <w:sz w:val="18"/>
        </w:rPr>
      </w:pPr>
      <w:r>
        <w:rPr>
          <w:rFonts w:hint="eastAsia" w:ascii="楷体" w:eastAsia="楷体"/>
          <w:b/>
          <w:w w:val="95"/>
          <w:position w:val="9"/>
          <w:sz w:val="9"/>
        </w:rPr>
        <w:t>32</w:t>
      </w:r>
      <w:r>
        <w:rPr>
          <w:rFonts w:hint="eastAsia" w:ascii="楷体" w:eastAsia="楷体"/>
          <w:b/>
          <w:w w:val="95"/>
          <w:sz w:val="18"/>
        </w:rPr>
        <w:t>专业护士：</w:t>
      </w:r>
      <w:r>
        <w:rPr>
          <w:rFonts w:ascii="楷体" w:eastAsia="楷体"/>
          <w:w w:val="95"/>
          <w:sz w:val="18"/>
        </w:rPr>
        <w:t>指国家护士注册机构护士登记名册中登记在案的护士</w:t>
      </w:r>
      <w:r>
        <w:rPr>
          <w:rFonts w:ascii="楷体" w:eastAsia="楷体"/>
          <w:spacing w:val="-10"/>
          <w:w w:val="95"/>
          <w:sz w:val="18"/>
        </w:rPr>
        <w:t>。</w:t>
      </w:r>
    </w:p>
    <w:p>
      <w:pPr>
        <w:spacing w:after="0"/>
        <w:jc w:val="left"/>
        <w:rPr>
          <w:rFonts w:ascii="楷体" w:eastAsia="楷体"/>
          <w:sz w:val="18"/>
        </w:rPr>
        <w:sectPr>
          <w:type w:val="continuous"/>
          <w:pgSz w:w="11910" w:h="16840"/>
          <w:pgMar w:top="480" w:right="680" w:bottom="280" w:left="900" w:header="720" w:footer="720" w:gutter="0"/>
          <w:cols w:space="720" w:num="1"/>
        </w:sectPr>
      </w:pPr>
    </w:p>
    <w:p>
      <w:pPr>
        <w:pStyle w:val="4"/>
        <w:spacing w:before="44"/>
        <w:ind w:left="3017"/>
      </w:pPr>
      <w:r>
        <w:rPr>
          <w:spacing w:val="-2"/>
        </w:rPr>
        <w:t>（一）</w:t>
      </w:r>
      <w:r>
        <w:rPr>
          <w:spacing w:val="-4"/>
        </w:rPr>
        <w:t>特殊检查费</w:t>
      </w:r>
    </w:p>
    <w:p>
      <w:pPr>
        <w:pStyle w:val="4"/>
        <w:spacing w:before="7"/>
        <w:rPr>
          <w:sz w:val="15"/>
        </w:rPr>
      </w:pPr>
    </w:p>
    <w:p>
      <w:pPr>
        <w:pStyle w:val="4"/>
        <w:spacing w:line="278" w:lineRule="auto"/>
        <w:ind w:left="3017" w:right="374"/>
      </w:pPr>
      <w:r>
        <w:rPr>
          <w:spacing w:val="1"/>
          <w:w w:val="100"/>
        </w:rPr>
        <w:t>包括女性主被保险人或作为配偶的女性附属被保险人每一保险期间每人一</w:t>
      </w:r>
      <w:r>
        <w:rPr>
          <w:spacing w:val="-2"/>
          <w:w w:val="100"/>
        </w:rPr>
        <w:t>次常规乳房</w:t>
      </w:r>
      <w:r>
        <w:rPr>
          <w:w w:val="100"/>
        </w:rPr>
        <w:t>X</w:t>
      </w:r>
      <w:r>
        <w:rPr>
          <w:spacing w:val="-3"/>
          <w:w w:val="100"/>
        </w:rPr>
        <w:t>线照片或乳房</w:t>
      </w:r>
      <w:r>
        <w:rPr>
          <w:w w:val="100"/>
        </w:rPr>
        <w:t>B</w:t>
      </w:r>
      <w:r>
        <w:rPr>
          <w:spacing w:val="-3"/>
          <w:w w:val="100"/>
        </w:rPr>
        <w:t>超，每人一次子宫颈抹片或液基薄层细胞检测。</w:t>
      </w:r>
      <w:r>
        <w:rPr>
          <w:spacing w:val="1"/>
          <w:w w:val="100"/>
        </w:rPr>
        <w:t>男性主被保险人或作为配偶的男性附属被保险人每一保险期间每人一次前</w:t>
      </w:r>
      <w:r>
        <w:rPr>
          <w:spacing w:val="-3"/>
          <w:w w:val="100"/>
        </w:rPr>
        <w:t>列腺特异抗原检查费、医师向被保险人推荐的家族疾病筛查费。</w:t>
      </w:r>
    </w:p>
    <w:p>
      <w:pPr>
        <w:pStyle w:val="4"/>
        <w:spacing w:before="156"/>
        <w:ind w:left="3017"/>
      </w:pPr>
      <w:r>
        <w:rPr>
          <w:spacing w:val="-2"/>
        </w:rPr>
        <w:t>（二）</w:t>
      </w:r>
      <w:r>
        <w:rPr>
          <w:spacing w:val="-3"/>
        </w:rPr>
        <w:t>专业护士家庭护理费</w:t>
      </w:r>
    </w:p>
    <w:p>
      <w:pPr>
        <w:pStyle w:val="4"/>
        <w:spacing w:before="6"/>
        <w:rPr>
          <w:sz w:val="15"/>
        </w:rPr>
      </w:pPr>
    </w:p>
    <w:p>
      <w:pPr>
        <w:pStyle w:val="4"/>
        <w:spacing w:before="1" w:line="278" w:lineRule="auto"/>
        <w:ind w:left="3017" w:right="449"/>
      </w:pPr>
      <w:r>
        <w:rPr>
          <w:spacing w:val="-5"/>
        </w:rPr>
        <w:t>指曾住院接受治疗的被保险人出院后随即在其家中接受医师要求的、医学必</w:t>
      </w:r>
      <w:r>
        <w:rPr>
          <w:spacing w:val="-2"/>
        </w:rPr>
        <w:t>需的专业护士护理费用（不包括保险期间届满后发生的家庭护理费用</w:t>
      </w:r>
      <w:r>
        <w:rPr>
          <w:spacing w:val="-108"/>
        </w:rPr>
        <w:t>）</w:t>
      </w:r>
      <w:r>
        <w:rPr>
          <w:spacing w:val="-2"/>
        </w:rPr>
        <w:t>。</w:t>
      </w:r>
    </w:p>
    <w:p>
      <w:pPr>
        <w:pStyle w:val="4"/>
        <w:spacing w:before="155"/>
        <w:ind w:left="3017"/>
      </w:pPr>
      <w:r>
        <w:rPr>
          <w:spacing w:val="-3"/>
        </w:rPr>
        <w:t>专业护士家庭护理属医学必需，须满足以下全部条件：</w:t>
      </w:r>
    </w:p>
    <w:p>
      <w:pPr>
        <w:pStyle w:val="4"/>
        <w:spacing w:before="7"/>
        <w:rPr>
          <w:sz w:val="15"/>
        </w:rPr>
      </w:pPr>
    </w:p>
    <w:p>
      <w:pPr>
        <w:pStyle w:val="9"/>
        <w:numPr>
          <w:ilvl w:val="3"/>
          <w:numId w:val="4"/>
        </w:numPr>
        <w:tabs>
          <w:tab w:val="left" w:pos="3230"/>
        </w:tabs>
        <w:spacing w:before="0" w:after="0" w:line="240" w:lineRule="auto"/>
        <w:ind w:left="3229" w:right="0" w:hanging="213"/>
        <w:jc w:val="left"/>
        <w:rPr>
          <w:sz w:val="19"/>
        </w:rPr>
      </w:pPr>
      <w:r>
        <w:rPr>
          <w:spacing w:val="-3"/>
          <w:sz w:val="21"/>
        </w:rPr>
        <w:t>被保险人对专业护士护理确有需要，非出于方便家庭成员目的；</w:t>
      </w:r>
    </w:p>
    <w:p>
      <w:pPr>
        <w:pStyle w:val="4"/>
        <w:spacing w:before="7"/>
        <w:rPr>
          <w:sz w:val="15"/>
        </w:rPr>
      </w:pPr>
    </w:p>
    <w:p>
      <w:pPr>
        <w:pStyle w:val="9"/>
        <w:numPr>
          <w:ilvl w:val="3"/>
          <w:numId w:val="4"/>
        </w:numPr>
        <w:tabs>
          <w:tab w:val="left" w:pos="3230"/>
        </w:tabs>
        <w:spacing w:before="0" w:after="0" w:line="278" w:lineRule="auto"/>
        <w:ind w:left="3017" w:right="448" w:firstLine="0"/>
        <w:jc w:val="both"/>
        <w:rPr>
          <w:sz w:val="19"/>
        </w:rPr>
      </w:pPr>
      <w:r>
        <w:rPr>
          <w:spacing w:val="-4"/>
          <w:sz w:val="21"/>
        </w:rPr>
        <w:t>每日专业护士护理时间不超过十二小时，但下列情形不在此限：住院治疗的被保险人被运送回家当日；被保险人病情急重，须接受十二小时以上专业</w:t>
      </w:r>
      <w:r>
        <w:rPr>
          <w:spacing w:val="-8"/>
          <w:sz w:val="21"/>
        </w:rPr>
        <w:t>护士护理以免入院接受治疗；根据医疗实践和标准被保险人需要在专业护理</w:t>
      </w:r>
      <w:r>
        <w:rPr>
          <w:spacing w:val="-2"/>
          <w:sz w:val="21"/>
        </w:rPr>
        <w:t>机构接受护理，但专业护理机构没有空余床位。</w:t>
      </w:r>
    </w:p>
    <w:p>
      <w:pPr>
        <w:pStyle w:val="4"/>
        <w:rPr>
          <w:sz w:val="10"/>
        </w:rPr>
      </w:pPr>
      <w:r>
        <w:drawing>
          <wp:anchor distT="0" distB="0" distL="0" distR="0" simplePos="0" relativeHeight="251667456" behindDoc="1" locked="0" layoutInCell="1" allowOverlap="1">
            <wp:simplePos x="0" y="0"/>
            <wp:positionH relativeFrom="page">
              <wp:posOffset>2487295</wp:posOffset>
            </wp:positionH>
            <wp:positionV relativeFrom="paragraph">
              <wp:posOffset>294640</wp:posOffset>
            </wp:positionV>
            <wp:extent cx="4137025" cy="173990"/>
            <wp:effectExtent l="0" t="0" r="0" b="0"/>
            <wp:wrapNone/>
            <wp:docPr id="25"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7.png"/>
                    <pic:cNvPicPr>
                      <a:picLocks noChangeAspect="1"/>
                    </pic:cNvPicPr>
                  </pic:nvPicPr>
                  <pic:blipFill>
                    <a:blip r:embed="rId12" cstate="print"/>
                    <a:stretch>
                      <a:fillRect/>
                    </a:stretch>
                  </pic:blipFill>
                  <pic:spPr>
                    <a:xfrm>
                      <a:off x="0" y="0"/>
                      <a:ext cx="4137025" cy="173736"/>
                    </a:xfrm>
                    <a:prstGeom prst="rect">
                      <a:avLst/>
                    </a:prstGeom>
                  </pic:spPr>
                </pic:pic>
              </a:graphicData>
            </a:graphic>
          </wp:anchor>
        </w:drawing>
      </w:r>
      <w:r>
        <w:pict>
          <v:shape id="docshape3" o:spid="_x0000_s1028" o:spt="202" type="#_x0000_t202" style="position:absolute;left:0pt;margin-left:195.85pt;margin-top:23.2pt;height:13.7pt;width:325.75pt;mso-position-horizontal-relative:page;z-index:-251649024;mso-width-relative:page;mso-height-relative:page;" filled="f" stroked="f" coordsize="21600,21600">
            <v:path/>
            <v:fill on="f" focussize="0,0"/>
            <v:stroke on="f" joinstyle="miter"/>
            <v:imagedata o:title=""/>
            <o:lock v:ext="edit"/>
            <v:textbox inset="0mm,0mm,0mm,0mm">
              <w:txbxContent>
                <w:p>
                  <w:pPr>
                    <w:pStyle w:val="4"/>
                    <w:spacing w:before="3"/>
                    <w:ind w:right="-15"/>
                  </w:pPr>
                  <w:r>
                    <w:rPr>
                      <w:spacing w:val="-3"/>
                    </w:rPr>
                    <w:t>家接受的专业护士护理，不属医学必需，本公司对此不承担保险责任。</w:t>
                  </w:r>
                </w:p>
              </w:txbxContent>
            </v:textbox>
          </v:shape>
        </w:pict>
      </w:r>
      <w:r>
        <w:pict>
          <v:shape id="docshape4" o:spid="_x0000_s1029" o:spt="202" type="#_x0000_t202" style="position:absolute;left:0pt;margin-left:195.85pt;margin-top:7.6pt;height:13.7pt;width:342.7pt;mso-position-horizontal-relative:page;mso-wrap-distance-bottom:0pt;mso-wrap-distance-top:0pt;z-index:-251642880;mso-width-relative:page;mso-height-relative:page;" fillcolor="#E4E4E4" filled="t" stroked="f" coordsize="21600,21600">
            <v:path/>
            <v:fill on="t" focussize="0,0"/>
            <v:stroke on="f" joinstyle="miter"/>
            <v:imagedata o:title=""/>
            <o:lock v:ext="edit"/>
            <v:textbox inset="0mm,0mm,0mm,0mm">
              <w:txbxContent>
                <w:p>
                  <w:pPr>
                    <w:pStyle w:val="4"/>
                    <w:spacing w:before="3"/>
                    <w:rPr>
                      <w:color w:val="000000"/>
                    </w:rPr>
                  </w:pPr>
                  <w:r>
                    <w:rPr>
                      <w:color w:val="000000"/>
                      <w:spacing w:val="-1"/>
                    </w:rPr>
                    <w:t>接受鼻饲或胃造口管进食供养的被保险人无其他对专业护士护理需要而在</w:t>
                  </w:r>
                </w:p>
              </w:txbxContent>
            </v:textbox>
            <w10:wrap type="topAndBottom"/>
          </v:shape>
        </w:pict>
      </w:r>
    </w:p>
    <w:p>
      <w:pPr>
        <w:pStyle w:val="4"/>
        <w:spacing w:before="11"/>
        <w:rPr>
          <w:sz w:val="9"/>
        </w:rPr>
      </w:pPr>
    </w:p>
    <w:p>
      <w:pPr>
        <w:pStyle w:val="4"/>
        <w:spacing w:before="71"/>
        <w:ind w:left="3017"/>
      </w:pPr>
      <w:r>
        <w:rPr>
          <w:spacing w:val="-2"/>
        </w:rPr>
        <w:t>（三）</w:t>
      </w:r>
      <w:r>
        <w:rPr>
          <w:spacing w:val="-4"/>
        </w:rPr>
        <w:t>专业护理费</w:t>
      </w:r>
    </w:p>
    <w:p>
      <w:pPr>
        <w:pStyle w:val="4"/>
        <w:spacing w:before="7"/>
        <w:rPr>
          <w:sz w:val="15"/>
        </w:rPr>
      </w:pPr>
    </w:p>
    <w:p>
      <w:pPr>
        <w:pStyle w:val="4"/>
        <w:spacing w:line="278" w:lineRule="auto"/>
        <w:ind w:left="3017" w:right="449"/>
      </w:pPr>
      <w:r>
        <w:rPr>
          <w:spacing w:val="-4"/>
        </w:rPr>
        <w:t>指为在一定程度上治疗或减缓病症，医师处方要求的、仅专业护士才能提供</w:t>
      </w:r>
      <w:r>
        <w:rPr>
          <w:spacing w:val="-2"/>
        </w:rPr>
        <w:t>的、每日至少持续四个小时的护理费。</w:t>
      </w:r>
    </w:p>
    <w:p>
      <w:pPr>
        <w:pStyle w:val="4"/>
        <w:spacing w:before="156"/>
        <w:ind w:left="3017"/>
      </w:pPr>
      <w:r>
        <w:rPr>
          <w:spacing w:val="-2"/>
        </w:rPr>
        <w:t>（四）</w:t>
      </w:r>
      <w:r>
        <w:rPr>
          <w:spacing w:val="-3"/>
        </w:rPr>
        <w:t>耐用医疗设备购买或租赁费</w:t>
      </w:r>
    </w:p>
    <w:p>
      <w:pPr>
        <w:pStyle w:val="4"/>
        <w:spacing w:before="7"/>
        <w:rPr>
          <w:sz w:val="15"/>
        </w:rPr>
      </w:pPr>
    </w:p>
    <w:p>
      <w:pPr>
        <w:pStyle w:val="4"/>
        <w:spacing w:line="278" w:lineRule="auto"/>
        <w:ind w:left="3017" w:right="448"/>
        <w:jc w:val="both"/>
      </w:pPr>
      <w:r>
        <w:rPr>
          <w:spacing w:val="-4"/>
        </w:rPr>
        <w:t>指医师处方要求的、满足基本医疗需要的康复设备、矫形支具以及其他耐用</w:t>
      </w:r>
      <w:r>
        <w:rPr>
          <w:spacing w:val="-2"/>
        </w:rPr>
        <w:t>医疗设备购买或租赁费（以相应符合通常惯例水平的购买价格为上限</w:t>
      </w:r>
      <w:r>
        <w:rPr>
          <w:spacing w:val="-104"/>
        </w:rPr>
        <w:t>）</w:t>
      </w:r>
      <w:r>
        <w:rPr>
          <w:spacing w:val="-3"/>
        </w:rPr>
        <w:t>，以</w:t>
      </w:r>
      <w:r>
        <w:rPr>
          <w:spacing w:val="-4"/>
        </w:rPr>
        <w:t>及随后修理、更换费，属保险责任范围内的费用。对于患癌症接受属保险责</w:t>
      </w:r>
      <w:r>
        <w:rPr>
          <w:spacing w:val="-8"/>
        </w:rPr>
        <w:t>任范围的乳房切除术的被保险人，两义乳及可放入义乳的胸衣费用也属保险</w:t>
      </w:r>
      <w:r>
        <w:rPr>
          <w:spacing w:val="-2"/>
        </w:rPr>
        <w:t>责任范围内的费用。</w:t>
      </w:r>
    </w:p>
    <w:p>
      <w:pPr>
        <w:pStyle w:val="4"/>
        <w:spacing w:before="156"/>
        <w:ind w:left="3017"/>
      </w:pPr>
      <w:r>
        <w:rPr>
          <w:spacing w:val="-3"/>
        </w:rPr>
        <w:t>康复设备和矫形支具包括但不限于腿、臂、背和颈支具，人造腿、臂、眼。</w:t>
      </w:r>
    </w:p>
    <w:p>
      <w:pPr>
        <w:pStyle w:val="4"/>
        <w:spacing w:before="11"/>
        <w:rPr>
          <w:sz w:val="9"/>
        </w:rPr>
      </w:pPr>
    </w:p>
    <w:p>
      <w:pPr>
        <w:pStyle w:val="4"/>
        <w:spacing w:before="72" w:line="278" w:lineRule="auto"/>
        <w:ind w:left="3017" w:right="449"/>
        <w:jc w:val="both"/>
      </w:pPr>
      <w:r>
        <w:rPr>
          <w:color w:val="000000"/>
          <w:spacing w:val="-4"/>
          <w:shd w:val="clear" w:color="auto" w:fill="E4E4E4"/>
        </w:rPr>
        <w:t>耐用医疗设备不包括自动轮椅或自动床、舒适设备（如电话托臂和床上多用</w:t>
      </w:r>
      <w:r>
        <w:rPr>
          <w:color w:val="000000"/>
          <w:spacing w:val="40"/>
          <w:shd w:val="clear" w:color="auto" w:fill="E4E4E4"/>
        </w:rPr>
        <w:t xml:space="preserve"> </w:t>
      </w:r>
      <w:r>
        <w:rPr>
          <w:color w:val="000000"/>
          <w:spacing w:val="-2"/>
          <w:shd w:val="clear" w:color="auto" w:fill="E4E4E4"/>
        </w:rPr>
        <w:t>桌</w:t>
      </w:r>
      <w:r>
        <w:rPr>
          <w:color w:val="000000"/>
          <w:spacing w:val="-104"/>
          <w:shd w:val="clear" w:color="auto" w:fill="E4E4E4"/>
        </w:rPr>
        <w:t>）</w:t>
      </w:r>
      <w:r>
        <w:rPr>
          <w:color w:val="000000"/>
          <w:spacing w:val="-2"/>
          <w:shd w:val="clear" w:color="auto" w:fill="E4E4E4"/>
        </w:rPr>
        <w:t>、空气质量或温度调控设备（如空调、湿度调节器、除湿器和空气净化</w:t>
      </w:r>
      <w:r>
        <w:rPr>
          <w:color w:val="000000"/>
          <w:spacing w:val="-6"/>
          <w:shd w:val="clear" w:color="auto" w:fill="E4E4E4"/>
        </w:rPr>
        <w:t>器</w:t>
      </w:r>
      <w:r>
        <w:rPr>
          <w:color w:val="000000"/>
          <w:spacing w:val="-106"/>
          <w:shd w:val="clear" w:color="auto" w:fill="E4E4E4"/>
        </w:rPr>
        <w:t>）</w:t>
      </w:r>
      <w:r>
        <w:rPr>
          <w:color w:val="000000"/>
          <w:spacing w:val="-6"/>
          <w:shd w:val="clear" w:color="auto" w:fill="E4E4E4"/>
        </w:rPr>
        <w:t>、健身脚踏车、太阳能或加热灯、加热垫、坐浴盆、盥洗凳、浴缸凳、桑</w:t>
      </w:r>
      <w:r>
        <w:rPr>
          <w:color w:val="000000"/>
          <w:spacing w:val="-2"/>
          <w:shd w:val="clear" w:color="auto" w:fill="E4E4E4"/>
        </w:rPr>
        <w:t>拿浴、升降机、涡流按摩浴、健身器材及其他类似设备。</w:t>
      </w:r>
    </w:p>
    <w:p>
      <w:pPr>
        <w:pStyle w:val="4"/>
        <w:spacing w:before="156"/>
        <w:ind w:left="3017"/>
      </w:pPr>
      <w:r>
        <w:rPr>
          <w:spacing w:val="-2"/>
        </w:rPr>
        <w:t>（五）</w:t>
      </w:r>
      <w:r>
        <w:rPr>
          <w:spacing w:val="-4"/>
        </w:rPr>
        <w:t>临终关怀费</w:t>
      </w:r>
    </w:p>
    <w:p>
      <w:pPr>
        <w:pStyle w:val="4"/>
        <w:spacing w:before="7"/>
        <w:rPr>
          <w:sz w:val="15"/>
        </w:rPr>
      </w:pPr>
    </w:p>
    <w:p>
      <w:pPr>
        <w:pStyle w:val="4"/>
        <w:spacing w:line="273" w:lineRule="auto"/>
        <w:ind w:left="3017" w:right="449"/>
        <w:jc w:val="both"/>
      </w:pPr>
      <w:r>
        <w:rPr>
          <w:spacing w:val="1"/>
          <w:w w:val="100"/>
        </w:rPr>
        <w:t>指曾发生本合同保险事故的被保险人因与该事故相应的病症或相关的病症</w:t>
      </w:r>
      <w:r>
        <w:rPr>
          <w:spacing w:val="-1"/>
          <w:w w:val="100"/>
        </w:rPr>
        <w:t>而现被诊断患终末期疾病且存活期二百四十日以下</w:t>
      </w:r>
      <w:r>
        <w:rPr>
          <w:w w:val="100"/>
        </w:rPr>
        <w:t>（含</w:t>
      </w:r>
      <w:r>
        <w:rPr>
          <w:spacing w:val="-104"/>
          <w:w w:val="100"/>
        </w:rPr>
        <w:t>）</w:t>
      </w:r>
      <w:r>
        <w:rPr>
          <w:spacing w:val="-5"/>
          <w:w w:val="100"/>
        </w:rPr>
        <w:t>，经本公司许可，</w:t>
      </w:r>
      <w:r>
        <w:rPr>
          <w:spacing w:val="-3"/>
          <w:w w:val="100"/>
        </w:rPr>
        <w:t>该被保险人接受具有相应资质的</w:t>
      </w:r>
      <w:r>
        <w:rPr>
          <w:b/>
          <w:w w:val="100"/>
        </w:rPr>
        <w:t>临终关怀机构</w:t>
      </w:r>
      <w:r>
        <w:rPr>
          <w:b/>
          <w:spacing w:val="2"/>
          <w:w w:val="99"/>
          <w:position w:val="11"/>
          <w:sz w:val="11"/>
        </w:rPr>
        <w:t>33</w:t>
      </w:r>
      <w:r>
        <w:rPr>
          <w:spacing w:val="-5"/>
          <w:w w:val="100"/>
        </w:rPr>
        <w:t>提供的、由专业人员和志愿</w:t>
      </w:r>
    </w:p>
    <w:p>
      <w:pPr>
        <w:pStyle w:val="4"/>
        <w:spacing w:before="1"/>
        <w:rPr>
          <w:sz w:val="13"/>
        </w:rPr>
      </w:pPr>
      <w:r>
        <w:drawing>
          <wp:anchor distT="0" distB="0" distL="0" distR="0" simplePos="0" relativeHeight="251659264" behindDoc="0" locked="0" layoutInCell="1" allowOverlap="1">
            <wp:simplePos x="0" y="0"/>
            <wp:positionH relativeFrom="page">
              <wp:posOffset>685800</wp:posOffset>
            </wp:positionH>
            <wp:positionV relativeFrom="paragraph">
              <wp:posOffset>121920</wp:posOffset>
            </wp:positionV>
            <wp:extent cx="1829435" cy="6350"/>
            <wp:effectExtent l="0" t="0" r="0" b="0"/>
            <wp:wrapTopAndBottom/>
            <wp:docPr id="27"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6.png"/>
                    <pic:cNvPicPr>
                      <a:picLocks noChangeAspect="1"/>
                    </pic:cNvPicPr>
                  </pic:nvPicPr>
                  <pic:blipFill>
                    <a:blip r:embed="rId11" cstate="print"/>
                    <a:stretch>
                      <a:fillRect/>
                    </a:stretch>
                  </pic:blipFill>
                  <pic:spPr>
                    <a:xfrm>
                      <a:off x="0" y="0"/>
                      <a:ext cx="1829511" cy="6096"/>
                    </a:xfrm>
                    <a:prstGeom prst="rect">
                      <a:avLst/>
                    </a:prstGeom>
                  </pic:spPr>
                </pic:pic>
              </a:graphicData>
            </a:graphic>
          </wp:anchor>
        </w:drawing>
      </w:r>
    </w:p>
    <w:p>
      <w:pPr>
        <w:spacing w:before="91"/>
        <w:ind w:left="180" w:right="0" w:firstLine="0"/>
        <w:jc w:val="left"/>
        <w:rPr>
          <w:rFonts w:ascii="楷体" w:eastAsia="楷体"/>
          <w:sz w:val="18"/>
        </w:rPr>
      </w:pPr>
      <w:r>
        <w:rPr>
          <w:rFonts w:hint="eastAsia" w:ascii="楷体" w:eastAsia="楷体"/>
          <w:b/>
          <w:w w:val="95"/>
          <w:position w:val="9"/>
          <w:sz w:val="9"/>
        </w:rPr>
        <w:t>33</w:t>
      </w:r>
      <w:r>
        <w:rPr>
          <w:rFonts w:hint="eastAsia" w:ascii="楷体" w:eastAsia="楷体"/>
          <w:b/>
          <w:w w:val="95"/>
          <w:sz w:val="18"/>
        </w:rPr>
        <w:t>临终关怀机构：</w:t>
      </w:r>
      <w:r>
        <w:rPr>
          <w:rFonts w:ascii="楷体" w:eastAsia="楷体"/>
          <w:w w:val="95"/>
          <w:sz w:val="18"/>
        </w:rPr>
        <w:t>指对终末期病人提供集成家庭或住院医护服务的机构，该机构应满足下列全部条件：（一）取得了政府</w:t>
      </w:r>
      <w:r>
        <w:rPr>
          <w:rFonts w:ascii="楷体" w:eastAsia="楷体"/>
          <w:spacing w:val="-5"/>
          <w:w w:val="95"/>
          <w:sz w:val="18"/>
        </w:rPr>
        <w:t>相关</w:t>
      </w:r>
    </w:p>
    <w:p>
      <w:pPr>
        <w:spacing w:before="2" w:line="244" w:lineRule="auto"/>
        <w:ind w:left="180" w:right="422" w:firstLine="0"/>
        <w:jc w:val="left"/>
        <w:rPr>
          <w:rFonts w:ascii="楷体" w:eastAsia="楷体"/>
          <w:sz w:val="18"/>
        </w:rPr>
      </w:pPr>
      <w:r>
        <w:rPr>
          <w:rFonts w:ascii="楷体" w:eastAsia="楷体"/>
          <w:spacing w:val="-8"/>
          <w:sz w:val="18"/>
        </w:rPr>
        <w:t>部门的许可；（二）二十四小时提供服务；（三）有医师直接管理和监控；（四）有注册护士指挥、协调护理服务；（五）被许</w:t>
      </w:r>
      <w:r>
        <w:rPr>
          <w:rFonts w:ascii="楷体" w:eastAsia="楷体"/>
          <w:spacing w:val="-4"/>
          <w:sz w:val="18"/>
        </w:rPr>
        <w:t>可从事社会服务指导和协调；（六）主要目的为提供临终关怀服务；（七）有全职管理人员；（八）保存了所提供服务的全部</w:t>
      </w:r>
    </w:p>
    <w:p>
      <w:pPr>
        <w:spacing w:after="0" w:line="244" w:lineRule="auto"/>
        <w:jc w:val="left"/>
        <w:rPr>
          <w:rFonts w:ascii="楷体" w:eastAsia="楷体"/>
          <w:sz w:val="18"/>
        </w:rPr>
        <w:sectPr>
          <w:pgSz w:w="11910" w:h="16840"/>
          <w:pgMar w:top="1400" w:right="680" w:bottom="280" w:left="900" w:header="720" w:footer="720" w:gutter="0"/>
          <w:cols w:space="720" w:num="1"/>
        </w:sectPr>
      </w:pPr>
    </w:p>
    <w:p>
      <w:pPr>
        <w:pStyle w:val="4"/>
        <w:spacing w:before="44" w:line="278" w:lineRule="auto"/>
        <w:ind w:left="3017" w:right="449"/>
        <w:jc w:val="both"/>
      </w:pPr>
      <w:r>
        <w:rPr>
          <w:spacing w:val="-6"/>
        </w:rPr>
        <w:t>者组成的跨学科队伍在医学指导下实施的姑息性、支持性医护设施而发生的</w:t>
      </w:r>
      <w:r>
        <w:rPr>
          <w:spacing w:val="-2"/>
        </w:rPr>
        <w:t>费用（</w:t>
      </w:r>
      <w:r>
        <w:rPr>
          <w:color w:val="000000"/>
          <w:spacing w:val="-2"/>
          <w:shd w:val="clear" w:color="auto" w:fill="E4E4E4"/>
        </w:rPr>
        <w:t>不包括保险期间届满后发生的临终关怀费用</w:t>
      </w:r>
      <w:r>
        <w:rPr>
          <w:color w:val="000000"/>
          <w:spacing w:val="-106"/>
        </w:rPr>
        <w:t>）</w:t>
      </w:r>
      <w:r>
        <w:rPr>
          <w:color w:val="000000"/>
          <w:spacing w:val="-2"/>
        </w:rPr>
        <w:t>。</w:t>
      </w:r>
      <w:r>
        <w:rPr>
          <w:color w:val="000000"/>
          <w:spacing w:val="-2"/>
          <w:shd w:val="clear" w:color="auto" w:fill="E4E4E4"/>
        </w:rPr>
        <w:t>被保险人入住临终关</w:t>
      </w:r>
      <w:r>
        <w:rPr>
          <w:color w:val="000000"/>
          <w:spacing w:val="40"/>
          <w:shd w:val="clear" w:color="auto" w:fill="E4E4E4"/>
        </w:rPr>
        <w:t xml:space="preserve"> </w:t>
      </w:r>
      <w:r>
        <w:rPr>
          <w:color w:val="000000"/>
          <w:spacing w:val="-2"/>
          <w:shd w:val="clear" w:color="auto" w:fill="E4E4E4"/>
        </w:rPr>
        <w:t>怀机构接受临终关怀的，须基于病情和家庭必要。</w:t>
      </w:r>
    </w:p>
    <w:p>
      <w:pPr>
        <w:pStyle w:val="4"/>
        <w:spacing w:before="156"/>
        <w:ind w:left="3017"/>
      </w:pPr>
      <w:r>
        <w:rPr>
          <w:spacing w:val="-2"/>
        </w:rPr>
        <w:t>（六）</w:t>
      </w:r>
      <w:r>
        <w:rPr>
          <w:spacing w:val="-3"/>
        </w:rPr>
        <w:t>精神和心理障碍治疗费</w:t>
      </w:r>
    </w:p>
    <w:p>
      <w:pPr>
        <w:pStyle w:val="4"/>
        <w:spacing w:before="7"/>
        <w:rPr>
          <w:sz w:val="15"/>
        </w:rPr>
      </w:pPr>
    </w:p>
    <w:p>
      <w:pPr>
        <w:pStyle w:val="4"/>
        <w:spacing w:line="273" w:lineRule="auto"/>
        <w:ind w:left="3017" w:right="343"/>
      </w:pPr>
      <w:r>
        <w:rPr>
          <w:spacing w:val="1"/>
          <w:w w:val="100"/>
        </w:rPr>
        <w:t>指经医师诊断和要求被保险人在医学认可的精神心理专科医疗机构或设有</w:t>
      </w:r>
      <w:r>
        <w:rPr>
          <w:spacing w:val="-10"/>
          <w:w w:val="100"/>
        </w:rPr>
        <w:t>精神心理科室的医疗机构，为治疗精神和心理障碍接受由具有相应专业资格</w:t>
      </w:r>
      <w:r>
        <w:rPr>
          <w:spacing w:val="-9"/>
          <w:w w:val="100"/>
        </w:rPr>
        <w:t>的医师或心理学家实施的住院或门诊医疗和咨询费用。精神和心理障碍包括</w:t>
      </w:r>
      <w:r>
        <w:rPr>
          <w:spacing w:val="-6"/>
          <w:w w:val="100"/>
        </w:rPr>
        <w:t>但不限于神经性贪食症、神经性厌食症、</w:t>
      </w:r>
      <w:r>
        <w:rPr>
          <w:b/>
          <w:w w:val="100"/>
        </w:rPr>
        <w:t>悲伤辅导和悲伤治疗</w:t>
      </w:r>
      <w:r>
        <w:rPr>
          <w:b/>
          <w:spacing w:val="2"/>
          <w:w w:val="99"/>
          <w:position w:val="11"/>
          <w:sz w:val="11"/>
        </w:rPr>
        <w:t>34</w:t>
      </w:r>
      <w:r>
        <w:rPr>
          <w:w w:val="100"/>
        </w:rPr>
        <w:t>、</w:t>
      </w:r>
      <w:r>
        <w:rPr>
          <w:b/>
          <w:spacing w:val="-3"/>
          <w:w w:val="100"/>
        </w:rPr>
        <w:t>注意力缺陷症</w:t>
      </w:r>
      <w:r>
        <w:rPr>
          <w:b/>
          <w:spacing w:val="2"/>
          <w:w w:val="99"/>
          <w:position w:val="11"/>
          <w:sz w:val="11"/>
        </w:rPr>
        <w:t>35</w:t>
      </w:r>
      <w:r>
        <w:rPr>
          <w:spacing w:val="-70"/>
          <w:w w:val="100"/>
        </w:rPr>
        <w:t>、</w:t>
      </w:r>
      <w:r>
        <w:rPr>
          <w:b/>
          <w:spacing w:val="-1"/>
          <w:w w:val="100"/>
        </w:rPr>
        <w:t>注意缺陷多动障碍</w:t>
      </w:r>
      <w:r>
        <w:rPr>
          <w:b/>
          <w:spacing w:val="2"/>
          <w:w w:val="99"/>
          <w:position w:val="11"/>
          <w:sz w:val="11"/>
        </w:rPr>
        <w:t>36</w:t>
      </w:r>
      <w:r>
        <w:rPr>
          <w:spacing w:val="-70"/>
          <w:w w:val="100"/>
        </w:rPr>
        <w:t>，</w:t>
      </w:r>
      <w:r>
        <w:rPr>
          <w:color w:val="000000"/>
          <w:spacing w:val="-8"/>
          <w:w w:val="100"/>
          <w:shd w:val="clear" w:color="auto" w:fill="E4E4E4"/>
        </w:rPr>
        <w:t>但不包括酒精和药物滥用戒断治疗、智商测试、</w:t>
      </w:r>
      <w:r>
        <w:rPr>
          <w:color w:val="000000"/>
          <w:spacing w:val="-5"/>
          <w:w w:val="100"/>
          <w:shd w:val="clear" w:color="auto" w:fill="E4E4E4"/>
        </w:rPr>
        <w:t>教育测试、婚姻和家庭心理咨询。</w:t>
      </w:r>
    </w:p>
    <w:p>
      <w:pPr>
        <w:pStyle w:val="4"/>
        <w:spacing w:before="168"/>
        <w:ind w:left="3017"/>
      </w:pPr>
      <w:r>
        <w:rPr>
          <w:spacing w:val="-2"/>
        </w:rPr>
        <w:t>（七）</w:t>
      </w:r>
      <w:r>
        <w:rPr>
          <w:spacing w:val="-4"/>
        </w:rPr>
        <w:t>睡眠检查和治疗费</w:t>
      </w:r>
    </w:p>
    <w:p>
      <w:pPr>
        <w:pStyle w:val="4"/>
        <w:spacing w:before="7"/>
        <w:rPr>
          <w:sz w:val="15"/>
        </w:rPr>
      </w:pPr>
    </w:p>
    <w:p>
      <w:pPr>
        <w:pStyle w:val="4"/>
        <w:spacing w:line="278" w:lineRule="auto"/>
        <w:ind w:left="3017" w:right="460"/>
      </w:pPr>
      <w:r>
        <w:rPr>
          <w:spacing w:val="-2"/>
        </w:rPr>
        <w:t>指本公司许可的、对疑为发作性睡眠或阻塞性呼吸暂停症状的检查和治疗</w:t>
      </w:r>
      <w:r>
        <w:rPr>
          <w:spacing w:val="-6"/>
        </w:rPr>
        <w:t>费。</w:t>
      </w:r>
    </w:p>
    <w:p>
      <w:pPr>
        <w:pStyle w:val="4"/>
        <w:spacing w:before="156"/>
        <w:ind w:left="3017"/>
      </w:pPr>
      <w:r>
        <w:rPr>
          <w:spacing w:val="-2"/>
        </w:rPr>
        <w:t>（八）</w:t>
      </w:r>
      <w:r>
        <w:rPr>
          <w:spacing w:val="-4"/>
        </w:rPr>
        <w:t>矫形改造手术费</w:t>
      </w:r>
    </w:p>
    <w:p>
      <w:pPr>
        <w:pStyle w:val="4"/>
        <w:spacing w:before="6"/>
        <w:rPr>
          <w:sz w:val="15"/>
        </w:rPr>
      </w:pPr>
    </w:p>
    <w:p>
      <w:pPr>
        <w:pStyle w:val="4"/>
        <w:spacing w:line="278" w:lineRule="auto"/>
        <w:ind w:left="3017" w:right="460"/>
      </w:pPr>
      <w:r>
        <w:rPr>
          <w:spacing w:val="-2"/>
        </w:rPr>
        <w:t>指旨在恢复相应意外伤害或疾病发生前肢体自然的功能或外观的矫形改造</w:t>
      </w:r>
      <w:r>
        <w:rPr>
          <w:spacing w:val="-4"/>
        </w:rPr>
        <w:t>手术费。</w:t>
      </w:r>
    </w:p>
    <w:p>
      <w:pPr>
        <w:pStyle w:val="4"/>
        <w:spacing w:before="156"/>
        <w:ind w:left="3017"/>
      </w:pPr>
      <w:r>
        <w:rPr>
          <w:spacing w:val="-2"/>
        </w:rPr>
        <w:t>（九）</w:t>
      </w:r>
      <w:r>
        <w:rPr>
          <w:spacing w:val="-3"/>
        </w:rPr>
        <w:t>先天性疾病和症状治疗费</w:t>
      </w:r>
    </w:p>
    <w:p>
      <w:pPr>
        <w:pStyle w:val="4"/>
        <w:spacing w:before="10"/>
        <w:rPr>
          <w:sz w:val="14"/>
        </w:rPr>
      </w:pPr>
    </w:p>
    <w:p>
      <w:pPr>
        <w:spacing w:before="0"/>
        <w:ind w:left="3017" w:right="0" w:firstLine="0"/>
        <w:jc w:val="left"/>
        <w:rPr>
          <w:sz w:val="21"/>
        </w:rPr>
      </w:pPr>
      <w:r>
        <w:rPr>
          <w:w w:val="95"/>
          <w:sz w:val="21"/>
        </w:rPr>
        <w:t>指对</w:t>
      </w:r>
      <w:r>
        <w:rPr>
          <w:b/>
          <w:w w:val="95"/>
          <w:sz w:val="21"/>
        </w:rPr>
        <w:t>先天性疾病和症状</w:t>
      </w:r>
      <w:r>
        <w:rPr>
          <w:b/>
          <w:w w:val="95"/>
          <w:position w:val="11"/>
          <w:sz w:val="11"/>
        </w:rPr>
        <w:t>37</w:t>
      </w:r>
      <w:r>
        <w:rPr>
          <w:w w:val="95"/>
          <w:sz w:val="21"/>
        </w:rPr>
        <w:t>的检查和治疗费</w:t>
      </w:r>
      <w:r>
        <w:rPr>
          <w:spacing w:val="-10"/>
          <w:w w:val="95"/>
          <w:sz w:val="21"/>
        </w:rPr>
        <w:t>。</w:t>
      </w:r>
    </w:p>
    <w:p>
      <w:pPr>
        <w:pStyle w:val="4"/>
        <w:spacing w:before="6"/>
        <w:rPr>
          <w:sz w:val="15"/>
        </w:rPr>
      </w:pPr>
    </w:p>
    <w:p>
      <w:pPr>
        <w:pStyle w:val="4"/>
        <w:spacing w:line="273" w:lineRule="auto"/>
        <w:ind w:left="3017" w:right="448"/>
        <w:jc w:val="both"/>
      </w:pPr>
      <w:r>
        <w:rPr>
          <w:spacing w:val="-4"/>
        </w:rPr>
        <w:t>对精神和心理障碍、睡眠检查和治疗、先天性疾病和症状保障，根据投保人</w:t>
      </w:r>
      <w:r>
        <w:rPr>
          <w:spacing w:val="-2"/>
        </w:rPr>
        <w:t>和被保险人具体情况，本公司可对其适用等待期或</w:t>
      </w:r>
      <w:r>
        <w:rPr>
          <w:b/>
          <w:spacing w:val="-2"/>
        </w:rPr>
        <w:t>既往症</w:t>
      </w:r>
      <w:r>
        <w:rPr>
          <w:b/>
          <w:spacing w:val="-2"/>
          <w:position w:val="11"/>
          <w:sz w:val="11"/>
        </w:rPr>
        <w:t>38</w:t>
      </w:r>
      <w:r>
        <w:rPr>
          <w:spacing w:val="-2"/>
        </w:rPr>
        <w:t>限制条款，并载明于本合同中。</w:t>
      </w:r>
    </w:p>
    <w:p>
      <w:pPr>
        <w:pStyle w:val="4"/>
        <w:spacing w:before="5"/>
        <w:rPr>
          <w:sz w:val="17"/>
        </w:rPr>
      </w:pPr>
    </w:p>
    <w:p>
      <w:pPr>
        <w:spacing w:after="0"/>
        <w:rPr>
          <w:sz w:val="17"/>
        </w:rPr>
        <w:sectPr>
          <w:pgSz w:w="11910" w:h="16840"/>
          <w:pgMar w:top="1400" w:right="680" w:bottom="280" w:left="900" w:header="720" w:footer="720" w:gutter="0"/>
          <w:cols w:space="720" w:num="1"/>
        </w:sectPr>
      </w:pPr>
    </w:p>
    <w:p>
      <w:pPr>
        <w:pStyle w:val="3"/>
        <w:numPr>
          <w:ilvl w:val="2"/>
          <w:numId w:val="4"/>
        </w:numPr>
        <w:tabs>
          <w:tab w:val="left" w:pos="1502"/>
          <w:tab w:val="left" w:pos="1503"/>
        </w:tabs>
        <w:spacing w:before="96" w:after="0" w:line="240" w:lineRule="auto"/>
        <w:ind w:left="1502" w:right="0" w:hanging="855"/>
        <w:jc w:val="left"/>
      </w:pPr>
      <w:r>
        <w:rPr>
          <w:spacing w:val="-2"/>
        </w:rPr>
        <w:t>生育和新生婴</w:t>
      </w:r>
    </w:p>
    <w:p>
      <w:pPr>
        <w:spacing w:before="43"/>
        <w:ind w:left="1502" w:right="0" w:firstLine="0"/>
        <w:jc w:val="left"/>
        <w:rPr>
          <w:b/>
          <w:sz w:val="21"/>
        </w:rPr>
      </w:pPr>
      <w:r>
        <w:rPr>
          <w:b/>
          <w:spacing w:val="-4"/>
          <w:sz w:val="21"/>
        </w:rPr>
        <w:t>儿医疗</w:t>
      </w:r>
    </w:p>
    <w:p>
      <w:pPr>
        <w:pStyle w:val="4"/>
        <w:spacing w:before="86" w:line="278" w:lineRule="auto"/>
        <w:ind w:left="207" w:right="451"/>
        <w:jc w:val="both"/>
      </w:pPr>
      <w:r>
        <w:br w:type="column"/>
      </w:r>
      <w:r>
        <w:rPr>
          <w:spacing w:val="-2"/>
        </w:rPr>
        <w:t>被保险人在与被保险人保险计划相对应的保障地域内的医院或</w:t>
      </w:r>
      <w:r>
        <w:rPr>
          <w:b/>
          <w:spacing w:val="-2"/>
        </w:rPr>
        <w:t>生育中心</w:t>
      </w:r>
      <w:r>
        <w:rPr>
          <w:b/>
          <w:spacing w:val="-2"/>
          <w:position w:val="11"/>
          <w:sz w:val="11"/>
        </w:rPr>
        <w:t>39</w:t>
      </w:r>
      <w:r>
        <w:rPr>
          <w:spacing w:val="-2"/>
        </w:rPr>
        <w:t>发</w:t>
      </w:r>
      <w:r>
        <w:rPr>
          <w:spacing w:val="-4"/>
        </w:rPr>
        <w:t>生的、符合通常惯例水平的下列（一）至（三）项费用，本公司承担生育和</w:t>
      </w:r>
      <w:r>
        <w:rPr>
          <w:spacing w:val="-2"/>
        </w:rPr>
        <w:t>新生婴儿医疗费用责任：</w:t>
      </w:r>
    </w:p>
    <w:p>
      <w:pPr>
        <w:pStyle w:val="4"/>
        <w:spacing w:before="156"/>
        <w:ind w:left="207"/>
      </w:pPr>
      <w:r>
        <w:rPr>
          <w:spacing w:val="-2"/>
        </w:rPr>
        <w:t>（一）</w:t>
      </w:r>
      <w:r>
        <w:rPr>
          <w:spacing w:val="-5"/>
        </w:rPr>
        <w:t>生育费</w:t>
      </w:r>
    </w:p>
    <w:p>
      <w:pPr>
        <w:pStyle w:val="4"/>
        <w:spacing w:before="6"/>
        <w:rPr>
          <w:sz w:val="15"/>
        </w:rPr>
      </w:pPr>
    </w:p>
    <w:p>
      <w:pPr>
        <w:pStyle w:val="4"/>
        <w:spacing w:line="278" w:lineRule="auto"/>
        <w:ind w:left="207" w:right="449"/>
      </w:pPr>
      <w:r>
        <w:rPr>
          <w:spacing w:val="-5"/>
        </w:rPr>
        <w:t>女性主被保险人或作为配偶的女性附属被保险人产前检查费、妊娠期内医师处方开具的维生素和钙剂费、超声波检查费、早产费、顺产费、医学必需剖</w:t>
      </w:r>
    </w:p>
    <w:p>
      <w:pPr>
        <w:spacing w:after="0" w:line="278" w:lineRule="auto"/>
        <w:sectPr>
          <w:type w:val="continuous"/>
          <w:pgSz w:w="11910" w:h="16840"/>
          <w:pgMar w:top="480" w:right="680" w:bottom="280" w:left="900" w:header="720" w:footer="720" w:gutter="0"/>
          <w:cols w:equalWidth="0" w:num="2">
            <w:col w:w="2771" w:space="40"/>
            <w:col w:w="7519"/>
          </w:cols>
        </w:sectPr>
      </w:pPr>
    </w:p>
    <w:p>
      <w:pPr>
        <w:pStyle w:val="4"/>
        <w:spacing w:before="1"/>
        <w:rPr>
          <w:sz w:val="27"/>
        </w:rPr>
      </w:pPr>
    </w:p>
    <w:p>
      <w:pPr>
        <w:pStyle w:val="4"/>
        <w:spacing w:line="20" w:lineRule="exact"/>
        <w:ind w:left="180"/>
        <w:rPr>
          <w:sz w:val="2"/>
        </w:rPr>
      </w:pPr>
      <w:r>
        <w:rPr>
          <w:sz w:val="2"/>
        </w:rPr>
        <w:drawing>
          <wp:inline distT="0" distB="0" distL="0" distR="0">
            <wp:extent cx="1828800" cy="5715"/>
            <wp:effectExtent l="0" t="0" r="0" b="0"/>
            <wp:docPr id="29"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4.png"/>
                    <pic:cNvPicPr>
                      <a:picLocks noChangeAspect="1"/>
                    </pic:cNvPicPr>
                  </pic:nvPicPr>
                  <pic:blipFill>
                    <a:blip r:embed="rId9" cstate="print"/>
                    <a:stretch>
                      <a:fillRect/>
                    </a:stretch>
                  </pic:blipFill>
                  <pic:spPr>
                    <a:xfrm>
                      <a:off x="0" y="0"/>
                      <a:ext cx="1829282" cy="6095"/>
                    </a:xfrm>
                    <a:prstGeom prst="rect">
                      <a:avLst/>
                    </a:prstGeom>
                  </pic:spPr>
                </pic:pic>
              </a:graphicData>
            </a:graphic>
          </wp:inline>
        </w:drawing>
      </w:r>
    </w:p>
    <w:p>
      <w:pPr>
        <w:spacing w:before="81"/>
        <w:ind w:left="180" w:right="0" w:firstLine="0"/>
        <w:jc w:val="left"/>
        <w:rPr>
          <w:rFonts w:ascii="楷体" w:eastAsia="楷体"/>
          <w:sz w:val="18"/>
        </w:rPr>
      </w:pPr>
      <w:r>
        <w:rPr>
          <w:rFonts w:ascii="楷体" w:eastAsia="楷体"/>
          <w:spacing w:val="-2"/>
          <w:sz w:val="18"/>
        </w:rPr>
        <w:t>书面记录。</w:t>
      </w:r>
    </w:p>
    <w:p>
      <w:pPr>
        <w:spacing w:before="4"/>
        <w:ind w:left="180" w:right="0" w:firstLine="0"/>
        <w:jc w:val="left"/>
        <w:rPr>
          <w:rFonts w:ascii="楷体" w:eastAsia="楷体"/>
          <w:sz w:val="18"/>
        </w:rPr>
      </w:pPr>
      <w:r>
        <w:rPr>
          <w:rFonts w:hint="eastAsia" w:ascii="楷体" w:eastAsia="楷体"/>
          <w:b/>
          <w:w w:val="95"/>
          <w:position w:val="9"/>
          <w:sz w:val="9"/>
        </w:rPr>
        <w:t>34</w:t>
      </w:r>
      <w:r>
        <w:rPr>
          <w:rFonts w:hint="eastAsia" w:ascii="楷体" w:eastAsia="楷体"/>
          <w:b/>
          <w:w w:val="95"/>
          <w:sz w:val="18"/>
        </w:rPr>
        <w:t>悲伤辅导和悲伤治疗：</w:t>
      </w:r>
      <w:r>
        <w:rPr>
          <w:rFonts w:ascii="楷体" w:eastAsia="楷体"/>
          <w:w w:val="95"/>
          <w:sz w:val="18"/>
        </w:rPr>
        <w:t>指由具有相应资格的咨询师、精神科医师、心理医师、牧师针对家人逝世或终末期病人的治疗</w:t>
      </w:r>
      <w:r>
        <w:rPr>
          <w:rFonts w:ascii="楷体" w:eastAsia="楷体"/>
          <w:spacing w:val="-10"/>
          <w:w w:val="95"/>
          <w:sz w:val="18"/>
        </w:rPr>
        <w:t>。</w:t>
      </w:r>
    </w:p>
    <w:p>
      <w:pPr>
        <w:spacing w:before="2"/>
        <w:ind w:left="180" w:right="0" w:firstLine="0"/>
        <w:jc w:val="left"/>
        <w:rPr>
          <w:rFonts w:ascii="楷体" w:eastAsia="楷体"/>
          <w:sz w:val="18"/>
        </w:rPr>
      </w:pPr>
      <w:r>
        <w:rPr>
          <w:rFonts w:ascii="楷体" w:eastAsia="楷体"/>
          <w:w w:val="95"/>
          <w:position w:val="9"/>
          <w:sz w:val="9"/>
        </w:rPr>
        <w:t>35</w:t>
      </w:r>
      <w:r>
        <w:rPr>
          <w:rFonts w:hint="eastAsia" w:ascii="楷体" w:eastAsia="楷体"/>
          <w:b/>
          <w:w w:val="95"/>
          <w:sz w:val="18"/>
        </w:rPr>
        <w:t>注意力缺陷症：</w:t>
      </w:r>
      <w:r>
        <w:rPr>
          <w:rFonts w:ascii="楷体" w:eastAsia="楷体"/>
          <w:w w:val="95"/>
          <w:sz w:val="18"/>
        </w:rPr>
        <w:t>是一种生物学方面改变所致的病理状态，症状表现为：注意力涣散、活动过多、冲动任性等</w:t>
      </w:r>
      <w:r>
        <w:rPr>
          <w:rFonts w:ascii="楷体" w:eastAsia="楷体"/>
          <w:spacing w:val="-10"/>
          <w:w w:val="95"/>
          <w:sz w:val="18"/>
        </w:rPr>
        <w:t>。</w:t>
      </w:r>
    </w:p>
    <w:p>
      <w:pPr>
        <w:spacing w:before="3"/>
        <w:ind w:left="180" w:right="0" w:firstLine="0"/>
        <w:jc w:val="left"/>
        <w:rPr>
          <w:rFonts w:ascii="楷体" w:eastAsia="楷体"/>
          <w:sz w:val="18"/>
        </w:rPr>
      </w:pPr>
      <w:r>
        <w:rPr>
          <w:rFonts w:ascii="楷体" w:eastAsia="楷体"/>
          <w:w w:val="95"/>
          <w:position w:val="9"/>
          <w:sz w:val="9"/>
        </w:rPr>
        <w:t>36</w:t>
      </w:r>
      <w:r>
        <w:rPr>
          <w:rFonts w:hint="eastAsia" w:ascii="楷体" w:eastAsia="楷体"/>
          <w:b/>
          <w:w w:val="95"/>
          <w:sz w:val="18"/>
        </w:rPr>
        <w:t>注意缺陷多动障碍：</w:t>
      </w:r>
      <w:r>
        <w:rPr>
          <w:rFonts w:ascii="楷体" w:eastAsia="楷体"/>
          <w:w w:val="95"/>
          <w:sz w:val="18"/>
        </w:rPr>
        <w:t>一种常见的儿童精神障碍，主要表现为超出了儿童年龄和发育正常范围的注意力集中困难、活动</w:t>
      </w:r>
      <w:r>
        <w:rPr>
          <w:rFonts w:ascii="楷体" w:eastAsia="楷体"/>
          <w:spacing w:val="-10"/>
          <w:w w:val="95"/>
          <w:sz w:val="18"/>
        </w:rPr>
        <w:t>过</w:t>
      </w:r>
    </w:p>
    <w:p>
      <w:pPr>
        <w:spacing w:before="2"/>
        <w:ind w:left="180" w:right="0" w:firstLine="0"/>
        <w:jc w:val="left"/>
        <w:rPr>
          <w:rFonts w:ascii="楷体" w:eastAsia="楷体"/>
          <w:sz w:val="18"/>
        </w:rPr>
      </w:pPr>
      <w:r>
        <w:rPr>
          <w:rFonts w:ascii="楷体" w:eastAsia="楷体"/>
          <w:spacing w:val="-1"/>
          <w:sz w:val="18"/>
        </w:rPr>
        <w:t>多、冲动任性等症状。</w:t>
      </w:r>
    </w:p>
    <w:p>
      <w:pPr>
        <w:spacing w:before="5"/>
        <w:ind w:left="180" w:right="0" w:firstLine="0"/>
        <w:jc w:val="left"/>
        <w:rPr>
          <w:rFonts w:ascii="楷体" w:eastAsia="楷体"/>
          <w:sz w:val="18"/>
        </w:rPr>
      </w:pPr>
      <w:r>
        <w:rPr>
          <w:rFonts w:hint="eastAsia" w:ascii="楷体" w:eastAsia="楷体"/>
          <w:b/>
          <w:w w:val="95"/>
          <w:position w:val="9"/>
          <w:sz w:val="9"/>
        </w:rPr>
        <w:t>37</w:t>
      </w:r>
      <w:r>
        <w:rPr>
          <w:rFonts w:hint="eastAsia" w:ascii="楷体" w:eastAsia="楷体"/>
          <w:b/>
          <w:w w:val="95"/>
          <w:sz w:val="18"/>
        </w:rPr>
        <w:t>先天性疾病和症状：</w:t>
      </w:r>
      <w:r>
        <w:rPr>
          <w:rFonts w:ascii="楷体" w:eastAsia="楷体"/>
          <w:w w:val="95"/>
          <w:sz w:val="18"/>
        </w:rPr>
        <w:t>指由于基因因素、先天性新陈代谢异常或其他因素导致的、出生时即存在的遗传性疾病和症状、出</w:t>
      </w:r>
      <w:r>
        <w:rPr>
          <w:rFonts w:ascii="楷体" w:eastAsia="楷体"/>
          <w:spacing w:val="-10"/>
          <w:w w:val="95"/>
          <w:sz w:val="18"/>
        </w:rPr>
        <w:t>生</w:t>
      </w:r>
    </w:p>
    <w:p>
      <w:pPr>
        <w:spacing w:before="2"/>
        <w:ind w:left="180" w:right="0" w:firstLine="0"/>
        <w:jc w:val="left"/>
        <w:rPr>
          <w:rFonts w:ascii="楷体" w:eastAsia="楷体"/>
          <w:sz w:val="18"/>
        </w:rPr>
      </w:pPr>
      <w:r>
        <w:rPr>
          <w:rFonts w:ascii="楷体" w:eastAsia="楷体"/>
          <w:spacing w:val="-1"/>
          <w:sz w:val="18"/>
        </w:rPr>
        <w:t>缺陷、身体残疾、智障等发育不完全正常的疾病和症状，这些疾病和症状可能在出生时显现或在出生后逐步显现。</w:t>
      </w:r>
    </w:p>
    <w:p>
      <w:pPr>
        <w:spacing w:before="2"/>
        <w:ind w:left="180" w:right="0" w:firstLine="0"/>
        <w:jc w:val="left"/>
        <w:rPr>
          <w:rFonts w:ascii="楷体" w:eastAsia="楷体"/>
          <w:sz w:val="18"/>
        </w:rPr>
      </w:pPr>
      <w:r>
        <w:rPr>
          <w:rFonts w:hint="eastAsia" w:ascii="楷体" w:eastAsia="楷体"/>
          <w:b/>
          <w:w w:val="95"/>
          <w:position w:val="9"/>
          <w:sz w:val="9"/>
        </w:rPr>
        <w:t>38</w:t>
      </w:r>
      <w:r>
        <w:rPr>
          <w:rFonts w:hint="eastAsia" w:ascii="楷体" w:eastAsia="楷体"/>
          <w:b/>
          <w:w w:val="95"/>
          <w:sz w:val="18"/>
        </w:rPr>
        <w:t>既往症：</w:t>
      </w:r>
      <w:r>
        <w:rPr>
          <w:rFonts w:ascii="楷体" w:eastAsia="楷体"/>
          <w:w w:val="95"/>
          <w:sz w:val="18"/>
        </w:rPr>
        <w:t>指在本公司对其保险责任生效前被保险人已就此接受诊断、医学咨询或治疗，或服用药物，或显现症状的疾病</w:t>
      </w:r>
      <w:r>
        <w:rPr>
          <w:rFonts w:ascii="楷体" w:eastAsia="楷体"/>
          <w:spacing w:val="-10"/>
          <w:w w:val="95"/>
          <w:sz w:val="18"/>
        </w:rPr>
        <w:t>或</w:t>
      </w:r>
    </w:p>
    <w:p>
      <w:pPr>
        <w:spacing w:before="5"/>
        <w:ind w:left="180" w:right="0" w:firstLine="0"/>
        <w:jc w:val="left"/>
        <w:rPr>
          <w:rFonts w:ascii="楷体" w:eastAsia="楷体"/>
          <w:sz w:val="18"/>
        </w:rPr>
      </w:pPr>
      <w:r>
        <w:rPr>
          <w:rFonts w:ascii="楷体" w:eastAsia="楷体"/>
          <w:spacing w:val="-4"/>
          <w:sz w:val="18"/>
        </w:rPr>
        <w:t>损伤。</w:t>
      </w:r>
    </w:p>
    <w:p>
      <w:pPr>
        <w:spacing w:before="2"/>
        <w:ind w:left="180" w:right="0" w:firstLine="0"/>
        <w:jc w:val="left"/>
        <w:rPr>
          <w:rFonts w:ascii="楷体" w:eastAsia="楷体"/>
          <w:sz w:val="18"/>
        </w:rPr>
      </w:pPr>
      <w:r>
        <w:rPr>
          <w:rFonts w:hint="eastAsia" w:ascii="楷体" w:eastAsia="楷体"/>
          <w:b/>
          <w:w w:val="95"/>
          <w:position w:val="9"/>
          <w:sz w:val="9"/>
        </w:rPr>
        <w:t>39</w:t>
      </w:r>
      <w:r>
        <w:rPr>
          <w:rFonts w:hint="eastAsia" w:ascii="楷体" w:eastAsia="楷体"/>
          <w:b/>
          <w:w w:val="95"/>
          <w:sz w:val="18"/>
        </w:rPr>
        <w:t>生育中心：</w:t>
      </w:r>
      <w:r>
        <w:rPr>
          <w:rFonts w:ascii="楷体" w:eastAsia="楷体"/>
          <w:w w:val="95"/>
          <w:sz w:val="18"/>
        </w:rPr>
        <w:t>指主要目的为供怀孕期末期孕妇生产婴儿，并同时满足下列条件的合法机构：（一）根据当地相关法律许可</w:t>
      </w:r>
      <w:r>
        <w:rPr>
          <w:rFonts w:ascii="楷体" w:eastAsia="楷体"/>
          <w:spacing w:val="-10"/>
          <w:w w:val="95"/>
          <w:sz w:val="18"/>
        </w:rPr>
        <w:t>成</w:t>
      </w:r>
    </w:p>
    <w:p>
      <w:pPr>
        <w:spacing w:before="2" w:line="242" w:lineRule="auto"/>
        <w:ind w:left="180" w:right="424" w:firstLine="0"/>
        <w:jc w:val="left"/>
        <w:rPr>
          <w:rFonts w:ascii="楷体" w:eastAsia="楷体"/>
          <w:sz w:val="18"/>
        </w:rPr>
      </w:pPr>
      <w:r>
        <w:rPr>
          <w:rFonts w:ascii="楷体" w:eastAsia="楷体"/>
          <w:spacing w:val="-2"/>
          <w:sz w:val="18"/>
        </w:rPr>
        <w:t>立；（二）配备了全部必要的诊断和化验设备，有经过培训的人员和设备处理孕妇和新生儿可能发生的紧急情况，二十四小时在医师或注册护士监控下营运，并保存有所有书面记录。该机构应与至少一家医院有书面协议以在发生分娩并发症时立即转运病人入院，并通常在分娩后四十八小时内为孕妇办理转离手续。</w:t>
      </w:r>
    </w:p>
    <w:p>
      <w:pPr>
        <w:spacing w:after="0" w:line="242" w:lineRule="auto"/>
        <w:jc w:val="left"/>
        <w:rPr>
          <w:rFonts w:ascii="楷体" w:eastAsia="楷体"/>
          <w:sz w:val="18"/>
        </w:rPr>
        <w:sectPr>
          <w:type w:val="continuous"/>
          <w:pgSz w:w="11910" w:h="16840"/>
          <w:pgMar w:top="480" w:right="680" w:bottom="280" w:left="900" w:header="720" w:footer="720" w:gutter="0"/>
          <w:cols w:space="720" w:num="1"/>
        </w:sectPr>
      </w:pPr>
    </w:p>
    <w:p>
      <w:pPr>
        <w:pStyle w:val="4"/>
        <w:spacing w:before="44"/>
        <w:ind w:left="3017"/>
      </w:pPr>
      <w:r>
        <w:rPr>
          <w:spacing w:val="-3"/>
        </w:rPr>
        <w:t>腹产费、麻醉费、产后复查费、医学必需的流产费。</w:t>
      </w:r>
    </w:p>
    <w:p>
      <w:pPr>
        <w:pStyle w:val="4"/>
        <w:spacing w:before="10"/>
        <w:rPr>
          <w:sz w:val="14"/>
        </w:rPr>
      </w:pPr>
    </w:p>
    <w:p>
      <w:pPr>
        <w:spacing w:before="0"/>
        <w:ind w:left="3017" w:right="0" w:firstLine="0"/>
        <w:jc w:val="left"/>
        <w:rPr>
          <w:sz w:val="21"/>
        </w:rPr>
      </w:pPr>
      <w:r>
        <w:rPr>
          <w:w w:val="95"/>
          <w:sz w:val="21"/>
        </w:rPr>
        <w:t>（二）</w:t>
      </w:r>
      <w:r>
        <w:rPr>
          <w:b/>
          <w:w w:val="95"/>
          <w:sz w:val="21"/>
        </w:rPr>
        <w:t>妊娠并发症</w:t>
      </w:r>
      <w:r>
        <w:rPr>
          <w:b/>
          <w:w w:val="95"/>
          <w:position w:val="11"/>
          <w:sz w:val="11"/>
        </w:rPr>
        <w:t>40</w:t>
      </w:r>
      <w:r>
        <w:rPr>
          <w:spacing w:val="-4"/>
          <w:w w:val="95"/>
          <w:sz w:val="21"/>
        </w:rPr>
        <w:t>治疗费</w:t>
      </w:r>
    </w:p>
    <w:p>
      <w:pPr>
        <w:pStyle w:val="4"/>
        <w:spacing w:before="7"/>
        <w:rPr>
          <w:sz w:val="15"/>
        </w:rPr>
      </w:pPr>
    </w:p>
    <w:p>
      <w:pPr>
        <w:pStyle w:val="4"/>
        <w:spacing w:line="278" w:lineRule="auto"/>
        <w:ind w:left="3017" w:right="449"/>
        <w:jc w:val="both"/>
      </w:pPr>
      <w:r>
        <w:t>女性主被保险人或作为配偶的女性附属被保险人因发生妊娠并发症接受医</w:t>
      </w:r>
      <w:r>
        <w:rPr>
          <w:spacing w:val="-4"/>
        </w:rPr>
        <w:t>师开具处方的、医学必需的治疗而发生的治疗费。</w:t>
      </w:r>
      <w:r>
        <w:rPr>
          <w:color w:val="000000"/>
          <w:spacing w:val="-4"/>
          <w:shd w:val="clear" w:color="auto" w:fill="E4E4E4"/>
        </w:rPr>
        <w:t>因妊娠并发症所导致的流</w:t>
      </w:r>
      <w:r>
        <w:rPr>
          <w:color w:val="000000"/>
          <w:spacing w:val="40"/>
          <w:shd w:val="clear" w:color="auto" w:fill="E4E4E4"/>
        </w:rPr>
        <w:t xml:space="preserve"> </w:t>
      </w:r>
      <w:r>
        <w:rPr>
          <w:color w:val="000000"/>
          <w:spacing w:val="-2"/>
          <w:shd w:val="clear" w:color="auto" w:fill="E4E4E4"/>
        </w:rPr>
        <w:t>产、引产或其他分娩方式及其相关治疗费用，不在本项保险责任范围内。</w:t>
      </w:r>
    </w:p>
    <w:p>
      <w:pPr>
        <w:pStyle w:val="4"/>
        <w:spacing w:before="155"/>
        <w:ind w:left="3017"/>
      </w:pPr>
      <w:r>
        <w:rPr>
          <w:spacing w:val="-2"/>
        </w:rPr>
        <w:t>（三）</w:t>
      </w:r>
      <w:r>
        <w:rPr>
          <w:spacing w:val="-4"/>
        </w:rPr>
        <w:t>新生婴儿护理费</w:t>
      </w:r>
    </w:p>
    <w:p>
      <w:pPr>
        <w:pStyle w:val="4"/>
        <w:spacing w:before="7"/>
        <w:rPr>
          <w:sz w:val="15"/>
        </w:rPr>
      </w:pPr>
    </w:p>
    <w:p>
      <w:pPr>
        <w:pStyle w:val="4"/>
        <w:spacing w:line="278" w:lineRule="auto"/>
        <w:ind w:left="3017" w:right="449"/>
      </w:pPr>
      <w:r>
        <w:rPr>
          <w:spacing w:val="-4"/>
        </w:rPr>
        <w:t>被保险人（不含作为子女的附属被保险人情形）保险期间内出生的婴儿出生</w:t>
      </w:r>
      <w:r>
        <w:rPr>
          <w:spacing w:val="-2"/>
        </w:rPr>
        <w:t>后十四日内发生的专业护理、治疗及免疫费用。</w:t>
      </w:r>
    </w:p>
    <w:p>
      <w:pPr>
        <w:pStyle w:val="4"/>
        <w:spacing w:before="10"/>
        <w:rPr>
          <w:sz w:val="18"/>
        </w:rPr>
      </w:pPr>
    </w:p>
    <w:p>
      <w:pPr>
        <w:spacing w:after="0"/>
        <w:rPr>
          <w:sz w:val="18"/>
        </w:rPr>
        <w:sectPr>
          <w:pgSz w:w="11910" w:h="16840"/>
          <w:pgMar w:top="1400" w:right="680" w:bottom="280" w:left="900" w:header="720" w:footer="720" w:gutter="0"/>
          <w:cols w:space="720" w:num="1"/>
        </w:sectPr>
      </w:pPr>
    </w:p>
    <w:p>
      <w:pPr>
        <w:pStyle w:val="3"/>
        <w:numPr>
          <w:ilvl w:val="2"/>
          <w:numId w:val="4"/>
        </w:numPr>
        <w:tabs>
          <w:tab w:val="left" w:pos="1502"/>
          <w:tab w:val="left" w:pos="1503"/>
        </w:tabs>
        <w:spacing w:before="71" w:after="0" w:line="240" w:lineRule="auto"/>
        <w:ind w:left="1502" w:right="0" w:hanging="855"/>
        <w:jc w:val="left"/>
      </w:pPr>
      <w:r>
        <w:rPr>
          <w:spacing w:val="-2"/>
        </w:rPr>
        <w:t>医疗及身故援</w:t>
      </w:r>
    </w:p>
    <w:p>
      <w:pPr>
        <w:spacing w:before="43"/>
        <w:ind w:left="1502" w:right="0" w:firstLine="0"/>
        <w:jc w:val="left"/>
        <w:rPr>
          <w:b/>
          <w:sz w:val="21"/>
        </w:rPr>
      </w:pPr>
      <w:r>
        <w:rPr>
          <w:b/>
          <w:w w:val="100"/>
          <w:sz w:val="21"/>
        </w:rPr>
        <w:t>助</w:t>
      </w:r>
    </w:p>
    <w:p>
      <w:pPr>
        <w:pStyle w:val="4"/>
        <w:spacing w:before="71"/>
        <w:ind w:left="207"/>
      </w:pPr>
      <w:r>
        <w:br w:type="column"/>
      </w:r>
      <w:r>
        <w:rPr>
          <w:spacing w:val="-2"/>
        </w:rPr>
        <w:t>（一）</w:t>
      </w:r>
      <w:r>
        <w:rPr>
          <w:spacing w:val="-4"/>
        </w:rPr>
        <w:t>紧急医疗运送费用</w:t>
      </w:r>
    </w:p>
    <w:p>
      <w:pPr>
        <w:pStyle w:val="4"/>
        <w:spacing w:before="8"/>
        <w:rPr>
          <w:sz w:val="15"/>
        </w:rPr>
      </w:pPr>
    </w:p>
    <w:p>
      <w:pPr>
        <w:pStyle w:val="4"/>
        <w:spacing w:line="278" w:lineRule="auto"/>
        <w:ind w:left="207" w:right="449"/>
      </w:pPr>
      <w:r>
        <w:rPr>
          <w:spacing w:val="-6"/>
        </w:rPr>
        <w:t>指在与被保险人保险计划相对应的保障地域内，紧急情况下出于医疗必要以</w:t>
      </w:r>
      <w:r>
        <w:rPr>
          <w:spacing w:val="-2"/>
        </w:rPr>
        <w:t>专业救护车将其运至医疗机构发生的费用，属保险责任范围内的费用。</w:t>
      </w:r>
    </w:p>
    <w:p>
      <w:pPr>
        <w:pStyle w:val="4"/>
        <w:spacing w:before="156"/>
        <w:ind w:left="207"/>
      </w:pPr>
      <w:r>
        <w:rPr>
          <w:spacing w:val="-2"/>
        </w:rPr>
        <w:t>（二）</w:t>
      </w:r>
      <w:r>
        <w:rPr>
          <w:spacing w:val="-4"/>
        </w:rPr>
        <w:t>紧急医疗转运费</w:t>
      </w:r>
    </w:p>
    <w:p>
      <w:pPr>
        <w:pStyle w:val="4"/>
        <w:spacing w:before="6"/>
        <w:rPr>
          <w:sz w:val="15"/>
        </w:rPr>
      </w:pPr>
    </w:p>
    <w:p>
      <w:pPr>
        <w:pStyle w:val="4"/>
        <w:spacing w:line="278" w:lineRule="auto"/>
        <w:ind w:left="207" w:right="448"/>
        <w:jc w:val="both"/>
      </w:pPr>
      <w:r>
        <w:rPr>
          <w:spacing w:val="-5"/>
        </w:rPr>
        <w:t>被保险人在与其保险计划相对应的保障地域内遇有生命危险、得不到及时治</w:t>
      </w:r>
      <w:r>
        <w:rPr>
          <w:spacing w:val="-4"/>
        </w:rPr>
        <w:t>疗将导致身故或严重伤害的，如果在当地不能获得适当治疗，被保险人或相关人员可联系本公司，经本公司许可，本公司将负责安排运送被保险人至离</w:t>
      </w:r>
      <w:r>
        <w:rPr>
          <w:spacing w:val="-11"/>
        </w:rPr>
        <w:t>被保险人最近、能够提供所需服务且在与其保险计划相对应的保障地域内的</w:t>
      </w:r>
      <w:r>
        <w:rPr>
          <w:spacing w:val="-4"/>
        </w:rPr>
        <w:t>医疗机构，由此发生的费用属保险责任范围内的费用。根据被保险人病情或伤势，本公司有权决定运送目的地和医疗机构。</w:t>
      </w:r>
      <w:r>
        <w:rPr>
          <w:color w:val="000000"/>
          <w:spacing w:val="-4"/>
          <w:shd w:val="clear" w:color="auto" w:fill="E4E4E4"/>
        </w:rPr>
        <w:t>如果被保险人不在本公司安</w:t>
      </w:r>
      <w:r>
        <w:rPr>
          <w:color w:val="000000"/>
          <w:spacing w:val="40"/>
          <w:shd w:val="clear" w:color="auto" w:fill="E4E4E4"/>
        </w:rPr>
        <w:t xml:space="preserve"> </w:t>
      </w:r>
      <w:r>
        <w:rPr>
          <w:color w:val="000000"/>
          <w:spacing w:val="-9"/>
          <w:shd w:val="clear" w:color="auto" w:fill="E4E4E4"/>
        </w:rPr>
        <w:t>排的医疗机构接受治疗，自该医疗机构至被保险人选定的其他医疗机构的运</w:t>
      </w:r>
      <w:r>
        <w:rPr>
          <w:color w:val="000000"/>
          <w:spacing w:val="-4"/>
          <w:shd w:val="clear" w:color="auto" w:fill="E4E4E4"/>
        </w:rPr>
        <w:t>送费用，完全由被保险人自行负担。未经本公司许可被保险人自行安排运送的，运送费用完全由被保险人承担。</w:t>
      </w:r>
      <w:r>
        <w:rPr>
          <w:color w:val="000000"/>
          <w:spacing w:val="-4"/>
        </w:rPr>
        <w:t>被保险人治疗完成或病情稳定后，本公司将安排其以公共交通工具（飞机限经济舱）返回常住地，相应交通费用也</w:t>
      </w:r>
      <w:r>
        <w:rPr>
          <w:color w:val="000000"/>
          <w:spacing w:val="-2"/>
        </w:rPr>
        <w:t>属保险责任范围内的费用。</w:t>
      </w:r>
    </w:p>
    <w:p>
      <w:pPr>
        <w:pStyle w:val="4"/>
        <w:spacing w:before="155" w:line="278" w:lineRule="auto"/>
        <w:ind w:left="207" w:right="449"/>
        <w:jc w:val="both"/>
      </w:pPr>
      <w:r>
        <w:rPr>
          <w:spacing w:val="-4"/>
        </w:rPr>
        <w:t>同时，本公司将安排该被保险人一位陪同人员陪同医疗转运，并在该被保险人住院期间安排陪同人员就近住宿，由此发生的公共交通工具费用（飞机限</w:t>
      </w:r>
      <w:r>
        <w:rPr>
          <w:spacing w:val="-2"/>
        </w:rPr>
        <w:t>经济舱）和住宿费用属保险责任范围内的费用。</w:t>
      </w:r>
    </w:p>
    <w:p>
      <w:pPr>
        <w:pStyle w:val="4"/>
        <w:spacing w:before="156"/>
        <w:ind w:left="207"/>
      </w:pPr>
      <w:r>
        <w:rPr>
          <w:spacing w:val="-2"/>
        </w:rPr>
        <w:t>（三）</w:t>
      </w:r>
      <w:r>
        <w:rPr>
          <w:spacing w:val="-4"/>
        </w:rPr>
        <w:t>异地就医交通费用</w:t>
      </w:r>
    </w:p>
    <w:p>
      <w:pPr>
        <w:pStyle w:val="4"/>
        <w:spacing w:before="7"/>
        <w:rPr>
          <w:sz w:val="15"/>
        </w:rPr>
      </w:pPr>
    </w:p>
    <w:p>
      <w:pPr>
        <w:pStyle w:val="4"/>
        <w:spacing w:line="278" w:lineRule="auto"/>
        <w:ind w:left="207" w:right="449"/>
        <w:jc w:val="both"/>
      </w:pPr>
      <w:r>
        <w:rPr>
          <w:spacing w:val="-4"/>
        </w:rPr>
        <w:t>保险期间内，由于医疗条件限制等原因，经第三方医疗服务供应商授权，被</w:t>
      </w:r>
      <w:r>
        <w:rPr>
          <w:spacing w:val="-7"/>
        </w:rPr>
        <w:t>保险人前往外地医疗机构进行住院治疗，由此产生的交通费用属保险责任范</w:t>
      </w:r>
      <w:r>
        <w:rPr>
          <w:spacing w:val="-2"/>
        </w:rPr>
        <w:t>围内的费用，具体福利上限以保险合同约定并载明的内容为准。</w:t>
      </w:r>
    </w:p>
    <w:p>
      <w:pPr>
        <w:pStyle w:val="4"/>
        <w:spacing w:before="155"/>
        <w:ind w:left="207"/>
      </w:pPr>
      <w:r>
        <w:rPr>
          <w:spacing w:val="-2"/>
        </w:rPr>
        <w:t>（四）</w:t>
      </w:r>
      <w:r>
        <w:rPr>
          <w:spacing w:val="-3"/>
        </w:rPr>
        <w:t>遗体运返或安葬费用</w:t>
      </w:r>
    </w:p>
    <w:p>
      <w:pPr>
        <w:pStyle w:val="4"/>
        <w:spacing w:before="10"/>
        <w:rPr>
          <w:sz w:val="14"/>
        </w:rPr>
      </w:pPr>
    </w:p>
    <w:p>
      <w:pPr>
        <w:pStyle w:val="4"/>
        <w:spacing w:before="1"/>
        <w:ind w:left="207"/>
      </w:pPr>
      <w:r>
        <w:rPr>
          <w:w w:val="95"/>
        </w:rPr>
        <w:t>保险期间内被保险人在其</w:t>
      </w:r>
      <w:r>
        <w:rPr>
          <w:b/>
          <w:w w:val="95"/>
        </w:rPr>
        <w:t>国籍国</w:t>
      </w:r>
      <w:r>
        <w:rPr>
          <w:b/>
          <w:w w:val="95"/>
          <w:position w:val="11"/>
          <w:sz w:val="11"/>
        </w:rPr>
        <w:t>41</w:t>
      </w:r>
      <w:r>
        <w:rPr>
          <w:w w:val="95"/>
        </w:rPr>
        <w:t>以外的国家或地区身故的，根据被保</w:t>
      </w:r>
      <w:r>
        <w:rPr>
          <w:spacing w:val="-5"/>
          <w:w w:val="95"/>
        </w:rPr>
        <w:t>险人</w:t>
      </w:r>
    </w:p>
    <w:p>
      <w:pPr>
        <w:spacing w:after="0"/>
        <w:sectPr>
          <w:type w:val="continuous"/>
          <w:pgSz w:w="11910" w:h="16840"/>
          <w:pgMar w:top="480" w:right="680" w:bottom="280" w:left="900" w:header="720" w:footer="720" w:gutter="0"/>
          <w:cols w:equalWidth="0" w:num="2">
            <w:col w:w="2771" w:space="40"/>
            <w:col w:w="7519"/>
          </w:cols>
        </w:sectPr>
      </w:pPr>
    </w:p>
    <w:p>
      <w:pPr>
        <w:pStyle w:val="4"/>
        <w:rPr>
          <w:sz w:val="24"/>
        </w:rPr>
      </w:pPr>
    </w:p>
    <w:p>
      <w:pPr>
        <w:pStyle w:val="4"/>
        <w:spacing w:line="20" w:lineRule="exact"/>
        <w:ind w:left="180"/>
        <w:rPr>
          <w:sz w:val="2"/>
        </w:rPr>
      </w:pPr>
      <w:r>
        <w:rPr>
          <w:sz w:val="2"/>
        </w:rPr>
        <w:drawing>
          <wp:inline distT="0" distB="0" distL="0" distR="0">
            <wp:extent cx="1829435" cy="5715"/>
            <wp:effectExtent l="0" t="0" r="0" b="0"/>
            <wp:docPr id="31"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4.png"/>
                    <pic:cNvPicPr>
                      <a:picLocks noChangeAspect="1"/>
                    </pic:cNvPicPr>
                  </pic:nvPicPr>
                  <pic:blipFill>
                    <a:blip r:embed="rId9" cstate="print"/>
                    <a:stretch>
                      <a:fillRect/>
                    </a:stretch>
                  </pic:blipFill>
                  <pic:spPr>
                    <a:xfrm>
                      <a:off x="0" y="0"/>
                      <a:ext cx="1829511" cy="6095"/>
                    </a:xfrm>
                    <a:prstGeom prst="rect">
                      <a:avLst/>
                    </a:prstGeom>
                  </pic:spPr>
                </pic:pic>
              </a:graphicData>
            </a:graphic>
          </wp:inline>
        </w:drawing>
      </w:r>
    </w:p>
    <w:p>
      <w:pPr>
        <w:spacing w:before="80"/>
        <w:ind w:left="180" w:right="0" w:firstLine="0"/>
        <w:jc w:val="left"/>
        <w:rPr>
          <w:rFonts w:ascii="楷体" w:eastAsia="楷体"/>
          <w:sz w:val="18"/>
        </w:rPr>
      </w:pPr>
      <w:r>
        <w:rPr>
          <w:rFonts w:hint="eastAsia" w:ascii="楷体" w:eastAsia="楷体"/>
          <w:b/>
          <w:w w:val="95"/>
          <w:position w:val="9"/>
          <w:sz w:val="9"/>
        </w:rPr>
        <w:t>40</w:t>
      </w:r>
      <w:r>
        <w:rPr>
          <w:rFonts w:hint="eastAsia" w:ascii="楷体" w:eastAsia="楷体"/>
          <w:b/>
          <w:w w:val="95"/>
          <w:sz w:val="18"/>
        </w:rPr>
        <w:t>妊娠并发症：</w:t>
      </w:r>
      <w:r>
        <w:rPr>
          <w:rFonts w:ascii="楷体" w:eastAsia="楷体"/>
          <w:w w:val="95"/>
          <w:sz w:val="18"/>
        </w:rPr>
        <w:t>指由妊娠引起或加剧的症状，该症状与分娩不同，包括但不限于急性肾炎、肾变病、心代偿失调、意外</w:t>
      </w:r>
      <w:r>
        <w:rPr>
          <w:rFonts w:ascii="楷体" w:eastAsia="楷体"/>
          <w:spacing w:val="-10"/>
          <w:w w:val="95"/>
          <w:sz w:val="18"/>
        </w:rPr>
        <w:t>流</w:t>
      </w:r>
    </w:p>
    <w:p>
      <w:pPr>
        <w:spacing w:before="5" w:line="242" w:lineRule="auto"/>
        <w:ind w:left="180" w:right="423" w:firstLine="0"/>
        <w:jc w:val="both"/>
        <w:rPr>
          <w:rFonts w:ascii="楷体" w:eastAsia="楷体"/>
          <w:sz w:val="18"/>
        </w:rPr>
      </w:pPr>
      <w:r>
        <w:rPr>
          <w:rFonts w:ascii="楷体" w:eastAsia="楷体"/>
          <w:spacing w:val="-2"/>
          <w:sz w:val="18"/>
        </w:rPr>
        <w:t>产、异位妊娠终止、妊娠期内无法继续妊娠时终止妊娠。</w:t>
      </w:r>
      <w:r>
        <w:rPr>
          <w:rFonts w:ascii="楷体" w:eastAsia="楷体"/>
          <w:color w:val="000000"/>
          <w:spacing w:val="-2"/>
          <w:sz w:val="18"/>
          <w:shd w:val="clear" w:color="auto" w:fill="D2D2D2"/>
        </w:rPr>
        <w:t>妊娠并发症不包括非选择性剖腹产、人工不当操作、先兆流产、偶发点滴性出血、妊娠期内医师处方要求的休养、孕妇恶心、妊娠剧吐以及其他不属疾病分类学上妊娠并发症类的难产相关</w:t>
      </w:r>
      <w:r>
        <w:rPr>
          <w:rFonts w:ascii="楷体" w:eastAsia="楷体"/>
          <w:color w:val="000000"/>
          <w:spacing w:val="80"/>
          <w:sz w:val="18"/>
          <w:shd w:val="clear" w:color="auto" w:fill="D2D2D2"/>
        </w:rPr>
        <w:t xml:space="preserve"> </w:t>
      </w:r>
      <w:r>
        <w:rPr>
          <w:rFonts w:ascii="楷体" w:eastAsia="楷体"/>
          <w:color w:val="000000"/>
          <w:spacing w:val="-4"/>
          <w:sz w:val="18"/>
          <w:shd w:val="clear" w:color="auto" w:fill="D2D2D2"/>
        </w:rPr>
        <w:t>症状。</w:t>
      </w:r>
    </w:p>
    <w:p>
      <w:pPr>
        <w:spacing w:before="0" w:line="230" w:lineRule="exact"/>
        <w:ind w:left="180" w:right="0" w:firstLine="0"/>
        <w:jc w:val="left"/>
        <w:rPr>
          <w:rFonts w:ascii="楷体" w:eastAsia="楷体"/>
          <w:sz w:val="18"/>
        </w:rPr>
      </w:pPr>
      <w:r>
        <w:rPr>
          <w:rFonts w:hint="eastAsia" w:ascii="楷体" w:eastAsia="楷体"/>
          <w:b/>
          <w:w w:val="95"/>
          <w:position w:val="9"/>
          <w:sz w:val="9"/>
        </w:rPr>
        <w:t>41</w:t>
      </w:r>
      <w:r>
        <w:rPr>
          <w:rFonts w:hint="eastAsia" w:ascii="楷体" w:eastAsia="楷体"/>
          <w:b/>
          <w:w w:val="95"/>
          <w:sz w:val="18"/>
        </w:rPr>
        <w:t>国籍国：</w:t>
      </w:r>
      <w:r>
        <w:rPr>
          <w:rFonts w:ascii="楷体" w:eastAsia="楷体"/>
          <w:w w:val="95"/>
          <w:sz w:val="18"/>
        </w:rPr>
        <w:t>指被保险人持有相应护照的国家或地区。对于拥有多个护照的美国公民，其国籍国默认为美国；对于拥有多个</w:t>
      </w:r>
      <w:r>
        <w:rPr>
          <w:rFonts w:ascii="楷体" w:eastAsia="楷体"/>
          <w:spacing w:val="-10"/>
          <w:w w:val="95"/>
          <w:sz w:val="18"/>
        </w:rPr>
        <w:t>护</w:t>
      </w:r>
    </w:p>
    <w:p>
      <w:pPr>
        <w:spacing w:before="5"/>
        <w:ind w:left="180" w:right="0" w:firstLine="0"/>
        <w:jc w:val="left"/>
        <w:rPr>
          <w:rFonts w:ascii="楷体" w:eastAsia="楷体"/>
          <w:sz w:val="18"/>
        </w:rPr>
      </w:pPr>
      <w:r>
        <w:rPr>
          <w:rFonts w:ascii="楷体" w:eastAsia="楷体"/>
          <w:spacing w:val="-1"/>
          <w:sz w:val="18"/>
        </w:rPr>
        <w:t>照的其他国家公民，其国籍国以本合同载明的国家或地区为准。</w:t>
      </w:r>
    </w:p>
    <w:p>
      <w:pPr>
        <w:spacing w:after="0"/>
        <w:jc w:val="left"/>
        <w:rPr>
          <w:rFonts w:ascii="楷体" w:eastAsia="楷体"/>
          <w:sz w:val="18"/>
        </w:rPr>
        <w:sectPr>
          <w:type w:val="continuous"/>
          <w:pgSz w:w="11910" w:h="16840"/>
          <w:pgMar w:top="480" w:right="680" w:bottom="280" w:left="900" w:header="720" w:footer="720" w:gutter="0"/>
          <w:cols w:space="720" w:num="1"/>
        </w:sectPr>
      </w:pPr>
    </w:p>
    <w:tbl>
      <w:tblPr>
        <w:tblStyle w:val="6"/>
        <w:tblW w:w="0" w:type="auto"/>
        <w:tblInd w:w="60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741"/>
        <w:gridCol w:w="1554"/>
        <w:gridCol w:w="713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64" w:hRule="atLeast"/>
        </w:trPr>
        <w:tc>
          <w:tcPr>
            <w:tcW w:w="2295" w:type="dxa"/>
            <w:gridSpan w:val="2"/>
            <w:vMerge w:val="restart"/>
          </w:tcPr>
          <w:p>
            <w:pPr>
              <w:pStyle w:val="10"/>
              <w:spacing w:before="0"/>
              <w:rPr>
                <w:rFonts w:ascii="Times New Roman"/>
                <w:sz w:val="20"/>
              </w:rPr>
            </w:pPr>
          </w:p>
        </w:tc>
        <w:tc>
          <w:tcPr>
            <w:tcW w:w="7138" w:type="dxa"/>
          </w:tcPr>
          <w:p>
            <w:pPr>
              <w:pStyle w:val="10"/>
              <w:spacing w:before="0" w:line="233" w:lineRule="exact"/>
              <w:ind w:left="123"/>
              <w:rPr>
                <w:sz w:val="21"/>
              </w:rPr>
            </w:pPr>
            <w:r>
              <w:rPr>
                <w:spacing w:val="-5"/>
                <w:sz w:val="21"/>
              </w:rPr>
              <w:t>的保险计划，发生下列情形的，由此发生的合理且必需的费用属保险责任范</w:t>
            </w:r>
          </w:p>
          <w:p>
            <w:pPr>
              <w:pStyle w:val="10"/>
              <w:spacing w:before="43" w:line="278" w:lineRule="auto"/>
              <w:ind w:left="123" w:right="154"/>
              <w:rPr>
                <w:sz w:val="21"/>
              </w:rPr>
            </w:pPr>
            <w:r>
              <w:rPr>
                <w:spacing w:val="-11"/>
                <w:sz w:val="21"/>
              </w:rPr>
              <w:t>围内的费用，本公司对每一被保险人给付的与本项费用对应的医疗保险金上</w:t>
            </w:r>
            <w:r>
              <w:rPr>
                <w:spacing w:val="-2"/>
                <w:sz w:val="21"/>
              </w:rPr>
              <w:t>限以本合同约定并载明的限额为准。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7" w:hRule="atLeast"/>
        </w:trPr>
        <w:tc>
          <w:tcPr>
            <w:tcW w:w="2295" w:type="dxa"/>
            <w:gridSpan w:val="2"/>
            <w:vMerge w:val="continue"/>
            <w:tcBorders>
              <w:top w:val="nil"/>
            </w:tcBorders>
          </w:tcPr>
          <w:p>
            <w:pPr>
              <w:rPr>
                <w:sz w:val="2"/>
                <w:szCs w:val="2"/>
              </w:rPr>
            </w:pPr>
          </w:p>
        </w:tc>
        <w:tc>
          <w:tcPr>
            <w:tcW w:w="7138" w:type="dxa"/>
          </w:tcPr>
          <w:p>
            <w:pPr>
              <w:pStyle w:val="10"/>
              <w:spacing w:before="93"/>
              <w:ind w:left="123"/>
              <w:rPr>
                <w:sz w:val="21"/>
              </w:rPr>
            </w:pPr>
            <w:r>
              <w:rPr>
                <w:spacing w:val="-3"/>
                <w:sz w:val="21"/>
              </w:rPr>
              <w:t>遗体运返具体费用项目如下：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7" w:hRule="atLeast"/>
        </w:trPr>
        <w:tc>
          <w:tcPr>
            <w:tcW w:w="2295" w:type="dxa"/>
            <w:gridSpan w:val="2"/>
            <w:vMerge w:val="continue"/>
            <w:tcBorders>
              <w:top w:val="nil"/>
            </w:tcBorders>
          </w:tcPr>
          <w:p>
            <w:pPr>
              <w:rPr>
                <w:sz w:val="2"/>
                <w:szCs w:val="2"/>
              </w:rPr>
            </w:pPr>
          </w:p>
        </w:tc>
        <w:tc>
          <w:tcPr>
            <w:tcW w:w="7138" w:type="dxa"/>
          </w:tcPr>
          <w:p>
            <w:pPr>
              <w:pStyle w:val="10"/>
              <w:spacing w:before="92"/>
              <w:ind w:left="123"/>
              <w:rPr>
                <w:sz w:val="21"/>
              </w:rPr>
            </w:pPr>
            <w:r>
              <w:rPr>
                <w:spacing w:val="-2"/>
                <w:sz w:val="21"/>
              </w:rPr>
              <w:t>1.</w:t>
            </w:r>
            <w:r>
              <w:rPr>
                <w:spacing w:val="-3"/>
                <w:sz w:val="21"/>
              </w:rPr>
              <w:t>公证文件费用。包括尸检报告、死亡证明等相关公证文件费用。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7" w:hRule="atLeast"/>
        </w:trPr>
        <w:tc>
          <w:tcPr>
            <w:tcW w:w="2295" w:type="dxa"/>
            <w:gridSpan w:val="2"/>
            <w:vMerge w:val="continue"/>
            <w:tcBorders>
              <w:top w:val="nil"/>
            </w:tcBorders>
          </w:tcPr>
          <w:p>
            <w:pPr>
              <w:rPr>
                <w:sz w:val="2"/>
                <w:szCs w:val="2"/>
              </w:rPr>
            </w:pPr>
          </w:p>
        </w:tc>
        <w:tc>
          <w:tcPr>
            <w:tcW w:w="7138" w:type="dxa"/>
          </w:tcPr>
          <w:p>
            <w:pPr>
              <w:pStyle w:val="10"/>
              <w:spacing w:before="93"/>
              <w:ind w:left="123"/>
              <w:rPr>
                <w:sz w:val="21"/>
              </w:rPr>
            </w:pPr>
            <w:r>
              <w:rPr>
                <w:spacing w:val="-2"/>
                <w:sz w:val="21"/>
              </w:rPr>
              <w:t>2.</w:t>
            </w:r>
            <w:r>
              <w:rPr>
                <w:spacing w:val="-3"/>
                <w:sz w:val="21"/>
              </w:rPr>
              <w:t>转运公司为转运遗体而发生的相关服务费。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7" w:hRule="atLeast"/>
        </w:trPr>
        <w:tc>
          <w:tcPr>
            <w:tcW w:w="2295" w:type="dxa"/>
            <w:gridSpan w:val="2"/>
            <w:vMerge w:val="continue"/>
            <w:tcBorders>
              <w:top w:val="nil"/>
            </w:tcBorders>
          </w:tcPr>
          <w:p>
            <w:pPr>
              <w:rPr>
                <w:sz w:val="2"/>
                <w:szCs w:val="2"/>
              </w:rPr>
            </w:pPr>
          </w:p>
        </w:tc>
        <w:tc>
          <w:tcPr>
            <w:tcW w:w="7138" w:type="dxa"/>
          </w:tcPr>
          <w:p>
            <w:pPr>
              <w:pStyle w:val="10"/>
              <w:spacing w:before="92"/>
              <w:ind w:left="123"/>
              <w:rPr>
                <w:sz w:val="21"/>
              </w:rPr>
            </w:pPr>
            <w:r>
              <w:rPr>
                <w:spacing w:val="-3"/>
                <w:sz w:val="21"/>
              </w:rPr>
              <w:t>当地安葬具体费用项目如下：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8" w:hRule="atLeast"/>
        </w:trPr>
        <w:tc>
          <w:tcPr>
            <w:tcW w:w="2295" w:type="dxa"/>
            <w:gridSpan w:val="2"/>
            <w:vMerge w:val="continue"/>
            <w:tcBorders>
              <w:top w:val="nil"/>
            </w:tcBorders>
          </w:tcPr>
          <w:p>
            <w:pPr>
              <w:rPr>
                <w:sz w:val="2"/>
                <w:szCs w:val="2"/>
              </w:rPr>
            </w:pPr>
          </w:p>
        </w:tc>
        <w:tc>
          <w:tcPr>
            <w:tcW w:w="7138" w:type="dxa"/>
          </w:tcPr>
          <w:p>
            <w:pPr>
              <w:pStyle w:val="10"/>
              <w:spacing w:before="93"/>
              <w:ind w:left="123"/>
              <w:rPr>
                <w:sz w:val="21"/>
              </w:rPr>
            </w:pPr>
            <w:r>
              <w:rPr>
                <w:spacing w:val="-2"/>
                <w:sz w:val="21"/>
              </w:rPr>
              <w:t>1.</w:t>
            </w:r>
            <w:r>
              <w:rPr>
                <w:spacing w:val="-3"/>
                <w:sz w:val="21"/>
              </w:rPr>
              <w:t>转运费。遗体从医院/警察局转运至当地殡仪馆而发生的转运费用。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8" w:hRule="atLeast"/>
        </w:trPr>
        <w:tc>
          <w:tcPr>
            <w:tcW w:w="2295" w:type="dxa"/>
            <w:gridSpan w:val="2"/>
            <w:vMerge w:val="continue"/>
            <w:tcBorders>
              <w:top w:val="nil"/>
            </w:tcBorders>
          </w:tcPr>
          <w:p>
            <w:pPr>
              <w:rPr>
                <w:sz w:val="2"/>
                <w:szCs w:val="2"/>
              </w:rPr>
            </w:pPr>
          </w:p>
        </w:tc>
        <w:tc>
          <w:tcPr>
            <w:tcW w:w="7138" w:type="dxa"/>
          </w:tcPr>
          <w:p>
            <w:pPr>
              <w:pStyle w:val="10"/>
              <w:spacing w:before="93"/>
              <w:ind w:left="123"/>
              <w:rPr>
                <w:sz w:val="21"/>
              </w:rPr>
            </w:pPr>
            <w:r>
              <w:rPr>
                <w:spacing w:val="-2"/>
                <w:sz w:val="21"/>
              </w:rPr>
              <w:t>2.</w:t>
            </w:r>
            <w:r>
              <w:rPr>
                <w:spacing w:val="-4"/>
                <w:sz w:val="21"/>
              </w:rPr>
              <w:t>遗体储存费。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0" w:hRule="atLeast"/>
        </w:trPr>
        <w:tc>
          <w:tcPr>
            <w:tcW w:w="2295" w:type="dxa"/>
            <w:gridSpan w:val="2"/>
            <w:vMerge w:val="continue"/>
            <w:tcBorders>
              <w:top w:val="nil"/>
            </w:tcBorders>
          </w:tcPr>
          <w:p>
            <w:pPr>
              <w:rPr>
                <w:sz w:val="2"/>
                <w:szCs w:val="2"/>
              </w:rPr>
            </w:pPr>
          </w:p>
        </w:tc>
        <w:tc>
          <w:tcPr>
            <w:tcW w:w="7138" w:type="dxa"/>
          </w:tcPr>
          <w:p>
            <w:pPr>
              <w:pStyle w:val="10"/>
              <w:spacing w:before="93"/>
              <w:ind w:left="123"/>
              <w:rPr>
                <w:sz w:val="21"/>
              </w:rPr>
            </w:pPr>
            <w:r>
              <w:rPr>
                <w:spacing w:val="-4"/>
                <w:sz w:val="21"/>
              </w:rPr>
              <w:t>3.火化费。殡仪馆对遗体进行火化而发生的火化费用。</w:t>
            </w:r>
            <w:r>
              <w:rPr>
                <w:color w:val="000000"/>
                <w:spacing w:val="-5"/>
                <w:sz w:val="21"/>
                <w:shd w:val="clear" w:color="auto" w:fill="E4E4E4"/>
              </w:rPr>
              <w:t>不包含化妆，装饰以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0" w:hRule="atLeast"/>
        </w:trPr>
        <w:tc>
          <w:tcPr>
            <w:tcW w:w="2295" w:type="dxa"/>
            <w:gridSpan w:val="2"/>
            <w:vMerge w:val="continue"/>
            <w:tcBorders>
              <w:top w:val="nil"/>
            </w:tcBorders>
          </w:tcPr>
          <w:p>
            <w:pPr>
              <w:rPr>
                <w:sz w:val="2"/>
                <w:szCs w:val="2"/>
              </w:rPr>
            </w:pPr>
          </w:p>
        </w:tc>
        <w:tc>
          <w:tcPr>
            <w:tcW w:w="7138" w:type="dxa"/>
          </w:tcPr>
          <w:p>
            <w:pPr>
              <w:pStyle w:val="10"/>
              <w:spacing w:before="14"/>
              <w:ind w:left="123"/>
              <w:rPr>
                <w:sz w:val="21"/>
              </w:rPr>
            </w:pPr>
            <w:r>
              <w:rPr>
                <w:color w:val="000000"/>
                <w:spacing w:val="-3"/>
                <w:sz w:val="21"/>
                <w:shd w:val="clear" w:color="auto" w:fill="E4E4E4"/>
              </w:rPr>
              <w:t>及遗体告别仪式的相关费用。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0" w:hRule="atLeast"/>
        </w:trPr>
        <w:tc>
          <w:tcPr>
            <w:tcW w:w="2295" w:type="dxa"/>
            <w:gridSpan w:val="2"/>
            <w:vMerge w:val="continue"/>
            <w:tcBorders>
              <w:top w:val="nil"/>
            </w:tcBorders>
          </w:tcPr>
          <w:p>
            <w:pPr>
              <w:rPr>
                <w:sz w:val="2"/>
                <w:szCs w:val="2"/>
              </w:rPr>
            </w:pPr>
          </w:p>
        </w:tc>
        <w:tc>
          <w:tcPr>
            <w:tcW w:w="7138" w:type="dxa"/>
          </w:tcPr>
          <w:p>
            <w:pPr>
              <w:pStyle w:val="10"/>
              <w:spacing w:before="93"/>
              <w:ind w:left="123"/>
              <w:rPr>
                <w:sz w:val="21"/>
              </w:rPr>
            </w:pPr>
            <w:r>
              <w:rPr>
                <w:spacing w:val="-4"/>
                <w:sz w:val="21"/>
              </w:rPr>
              <w:t>4.骨灰盒。通常水平、符合惯例的骨灰盒。</w:t>
            </w:r>
            <w:r>
              <w:rPr>
                <w:color w:val="000000"/>
                <w:spacing w:val="-5"/>
                <w:sz w:val="21"/>
                <w:shd w:val="clear" w:color="auto" w:fill="E4E4E4"/>
              </w:rPr>
              <w:t>不包含墓地相关费用或亲属带骨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8" w:hRule="atLeast"/>
        </w:trPr>
        <w:tc>
          <w:tcPr>
            <w:tcW w:w="2295" w:type="dxa"/>
            <w:gridSpan w:val="2"/>
            <w:vMerge w:val="continue"/>
            <w:tcBorders>
              <w:top w:val="nil"/>
            </w:tcBorders>
          </w:tcPr>
          <w:p>
            <w:pPr>
              <w:rPr>
                <w:sz w:val="2"/>
                <w:szCs w:val="2"/>
              </w:rPr>
            </w:pPr>
          </w:p>
        </w:tc>
        <w:tc>
          <w:tcPr>
            <w:tcW w:w="7138" w:type="dxa"/>
          </w:tcPr>
          <w:p>
            <w:pPr>
              <w:pStyle w:val="10"/>
              <w:spacing w:before="14"/>
              <w:ind w:left="123"/>
              <w:rPr>
                <w:sz w:val="21"/>
              </w:rPr>
            </w:pPr>
            <w:r>
              <w:rPr>
                <w:color w:val="000000"/>
                <w:spacing w:val="-3"/>
                <w:sz w:val="21"/>
                <w:shd w:val="clear" w:color="auto" w:fill="E4E4E4"/>
              </w:rPr>
              <w:t>灰盒回国籍国发生的相关费用。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8" w:hRule="atLeast"/>
        </w:trPr>
        <w:tc>
          <w:tcPr>
            <w:tcW w:w="741" w:type="dxa"/>
          </w:tcPr>
          <w:p>
            <w:pPr>
              <w:pStyle w:val="10"/>
              <w:spacing w:before="171"/>
              <w:ind w:left="50"/>
              <w:rPr>
                <w:b/>
                <w:sz w:val="21"/>
              </w:rPr>
            </w:pPr>
            <w:r>
              <w:rPr>
                <w:b/>
                <w:spacing w:val="-2"/>
                <w:sz w:val="21"/>
              </w:rPr>
              <w:t>2.7.7</w:t>
            </w:r>
          </w:p>
        </w:tc>
        <w:tc>
          <w:tcPr>
            <w:tcW w:w="1554" w:type="dxa"/>
          </w:tcPr>
          <w:p>
            <w:pPr>
              <w:pStyle w:val="10"/>
              <w:spacing w:before="171"/>
              <w:ind w:left="163"/>
              <w:rPr>
                <w:b/>
                <w:sz w:val="21"/>
              </w:rPr>
            </w:pPr>
            <w:r>
              <w:rPr>
                <w:b/>
                <w:spacing w:val="-2"/>
                <w:sz w:val="21"/>
              </w:rPr>
              <w:t>健康检查责任</w:t>
            </w:r>
          </w:p>
        </w:tc>
        <w:tc>
          <w:tcPr>
            <w:tcW w:w="7138" w:type="dxa"/>
          </w:tcPr>
          <w:p>
            <w:pPr>
              <w:pStyle w:val="10"/>
              <w:spacing w:before="171"/>
              <w:ind w:left="123"/>
              <w:rPr>
                <w:sz w:val="21"/>
              </w:rPr>
            </w:pPr>
            <w:r>
              <w:rPr>
                <w:spacing w:val="-8"/>
                <w:sz w:val="21"/>
              </w:rPr>
              <w:t>健康检查责任范围内的医疗费用包括：被保险人每年一次全身体检费以及相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0" w:hRule="atLeast"/>
        </w:trPr>
        <w:tc>
          <w:tcPr>
            <w:tcW w:w="741" w:type="dxa"/>
          </w:tcPr>
          <w:p>
            <w:pPr>
              <w:pStyle w:val="10"/>
              <w:spacing w:before="0"/>
              <w:rPr>
                <w:rFonts w:ascii="Times New Roman"/>
                <w:sz w:val="20"/>
              </w:rPr>
            </w:pPr>
          </w:p>
        </w:tc>
        <w:tc>
          <w:tcPr>
            <w:tcW w:w="1554" w:type="dxa"/>
          </w:tcPr>
          <w:p>
            <w:pPr>
              <w:pStyle w:val="10"/>
              <w:spacing w:before="0"/>
              <w:rPr>
                <w:rFonts w:ascii="Times New Roman"/>
                <w:sz w:val="20"/>
              </w:rPr>
            </w:pPr>
          </w:p>
        </w:tc>
        <w:tc>
          <w:tcPr>
            <w:tcW w:w="7138" w:type="dxa"/>
          </w:tcPr>
          <w:p>
            <w:pPr>
              <w:pStyle w:val="10"/>
              <w:spacing w:before="15"/>
              <w:ind w:left="123"/>
              <w:rPr>
                <w:sz w:val="21"/>
              </w:rPr>
            </w:pPr>
            <w:r>
              <w:rPr>
                <w:spacing w:val="-3"/>
                <w:sz w:val="21"/>
              </w:rPr>
              <w:t>关检查化验费，免疫费，常规检查化验费。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0" w:hRule="atLeast"/>
        </w:trPr>
        <w:tc>
          <w:tcPr>
            <w:tcW w:w="741" w:type="dxa"/>
          </w:tcPr>
          <w:p>
            <w:pPr>
              <w:pStyle w:val="10"/>
              <w:spacing w:before="93"/>
              <w:ind w:left="50"/>
              <w:rPr>
                <w:b/>
                <w:sz w:val="21"/>
              </w:rPr>
            </w:pPr>
            <w:r>
              <w:rPr>
                <w:b/>
                <w:spacing w:val="-2"/>
                <w:sz w:val="21"/>
              </w:rPr>
              <w:t>2.7.8</w:t>
            </w:r>
          </w:p>
        </w:tc>
        <w:tc>
          <w:tcPr>
            <w:tcW w:w="1554" w:type="dxa"/>
          </w:tcPr>
          <w:p>
            <w:pPr>
              <w:pStyle w:val="10"/>
              <w:spacing w:before="93"/>
              <w:ind w:left="163"/>
              <w:rPr>
                <w:b/>
                <w:sz w:val="21"/>
              </w:rPr>
            </w:pPr>
            <w:r>
              <w:rPr>
                <w:b/>
                <w:spacing w:val="-2"/>
                <w:sz w:val="21"/>
              </w:rPr>
              <w:t>儿童保健与免</w:t>
            </w:r>
          </w:p>
        </w:tc>
        <w:tc>
          <w:tcPr>
            <w:tcW w:w="7138" w:type="dxa"/>
          </w:tcPr>
          <w:p>
            <w:pPr>
              <w:pStyle w:val="10"/>
              <w:spacing w:before="93"/>
              <w:ind w:left="123"/>
              <w:rPr>
                <w:sz w:val="21"/>
              </w:rPr>
            </w:pPr>
            <w:r>
              <w:rPr>
                <w:spacing w:val="-9"/>
                <w:sz w:val="21"/>
              </w:rPr>
              <w:t>年龄未满十八周岁的被保险人，保险期间内在与其保险计划相对应的保障地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741" w:type="dxa"/>
          </w:tcPr>
          <w:p>
            <w:pPr>
              <w:pStyle w:val="10"/>
              <w:spacing w:before="0"/>
              <w:rPr>
                <w:rFonts w:ascii="Times New Roman"/>
                <w:sz w:val="20"/>
              </w:rPr>
            </w:pPr>
          </w:p>
        </w:tc>
        <w:tc>
          <w:tcPr>
            <w:tcW w:w="1554" w:type="dxa"/>
          </w:tcPr>
          <w:p>
            <w:pPr>
              <w:pStyle w:val="10"/>
              <w:spacing w:before="15"/>
              <w:ind w:left="163"/>
              <w:rPr>
                <w:b/>
                <w:sz w:val="21"/>
              </w:rPr>
            </w:pPr>
            <w:r>
              <w:rPr>
                <w:b/>
                <w:spacing w:val="-4"/>
                <w:sz w:val="21"/>
              </w:rPr>
              <w:t>疫责任</w:t>
            </w:r>
          </w:p>
        </w:tc>
        <w:tc>
          <w:tcPr>
            <w:tcW w:w="7138" w:type="dxa"/>
          </w:tcPr>
          <w:p>
            <w:pPr>
              <w:pStyle w:val="10"/>
              <w:spacing w:before="15"/>
              <w:ind w:left="123"/>
              <w:rPr>
                <w:sz w:val="21"/>
              </w:rPr>
            </w:pPr>
            <w:r>
              <w:rPr>
                <w:spacing w:val="-5"/>
                <w:sz w:val="21"/>
              </w:rPr>
              <w:t>域内发生的常规医疗检查和预防性保健费用，包括医疗档案，发育评估，体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0" w:hRule="atLeast"/>
        </w:trPr>
        <w:tc>
          <w:tcPr>
            <w:tcW w:w="741" w:type="dxa"/>
          </w:tcPr>
          <w:p>
            <w:pPr>
              <w:pStyle w:val="10"/>
              <w:spacing w:before="0"/>
              <w:rPr>
                <w:rFonts w:ascii="Times New Roman"/>
                <w:sz w:val="20"/>
              </w:rPr>
            </w:pPr>
          </w:p>
        </w:tc>
        <w:tc>
          <w:tcPr>
            <w:tcW w:w="1554" w:type="dxa"/>
          </w:tcPr>
          <w:p>
            <w:pPr>
              <w:pStyle w:val="10"/>
              <w:spacing w:before="0"/>
              <w:rPr>
                <w:rFonts w:ascii="Times New Roman"/>
                <w:sz w:val="20"/>
              </w:rPr>
            </w:pPr>
          </w:p>
        </w:tc>
        <w:tc>
          <w:tcPr>
            <w:tcW w:w="7138" w:type="dxa"/>
          </w:tcPr>
          <w:p>
            <w:pPr>
              <w:pStyle w:val="10"/>
              <w:spacing w:before="14"/>
              <w:ind w:left="123"/>
              <w:rPr>
                <w:sz w:val="21"/>
              </w:rPr>
            </w:pPr>
            <w:r>
              <w:rPr>
                <w:spacing w:val="-3"/>
                <w:sz w:val="21"/>
              </w:rPr>
              <w:t>格检查检验，年龄相关诊断检查等。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0" w:hRule="atLeast"/>
        </w:trPr>
        <w:tc>
          <w:tcPr>
            <w:tcW w:w="741" w:type="dxa"/>
          </w:tcPr>
          <w:p>
            <w:pPr>
              <w:pStyle w:val="10"/>
              <w:spacing w:before="0"/>
              <w:rPr>
                <w:rFonts w:ascii="Times New Roman"/>
                <w:sz w:val="20"/>
              </w:rPr>
            </w:pPr>
          </w:p>
        </w:tc>
        <w:tc>
          <w:tcPr>
            <w:tcW w:w="1554" w:type="dxa"/>
          </w:tcPr>
          <w:p>
            <w:pPr>
              <w:pStyle w:val="10"/>
              <w:spacing w:before="0"/>
              <w:rPr>
                <w:rFonts w:ascii="Times New Roman"/>
                <w:sz w:val="20"/>
              </w:rPr>
            </w:pPr>
          </w:p>
        </w:tc>
        <w:tc>
          <w:tcPr>
            <w:tcW w:w="7138" w:type="dxa"/>
          </w:tcPr>
          <w:p>
            <w:pPr>
              <w:pStyle w:val="10"/>
              <w:spacing w:before="93"/>
              <w:ind w:left="123"/>
              <w:rPr>
                <w:sz w:val="21"/>
              </w:rPr>
            </w:pPr>
            <w:r>
              <w:rPr>
                <w:spacing w:val="-9"/>
                <w:sz w:val="21"/>
              </w:rPr>
              <w:t>年龄未满十八周岁的被保险人，保险期间内在与其保险计划相对应的保障地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741" w:type="dxa"/>
          </w:tcPr>
          <w:p>
            <w:pPr>
              <w:pStyle w:val="10"/>
              <w:spacing w:before="0"/>
              <w:rPr>
                <w:rFonts w:ascii="Times New Roman"/>
                <w:sz w:val="20"/>
              </w:rPr>
            </w:pPr>
          </w:p>
        </w:tc>
        <w:tc>
          <w:tcPr>
            <w:tcW w:w="1554" w:type="dxa"/>
          </w:tcPr>
          <w:p>
            <w:pPr>
              <w:pStyle w:val="10"/>
              <w:spacing w:before="0"/>
              <w:rPr>
                <w:rFonts w:ascii="Times New Roman"/>
                <w:sz w:val="20"/>
              </w:rPr>
            </w:pPr>
          </w:p>
        </w:tc>
        <w:tc>
          <w:tcPr>
            <w:tcW w:w="7138" w:type="dxa"/>
          </w:tcPr>
          <w:p>
            <w:pPr>
              <w:pStyle w:val="10"/>
              <w:spacing w:before="15"/>
              <w:ind w:left="123"/>
              <w:rPr>
                <w:sz w:val="21"/>
              </w:rPr>
            </w:pPr>
            <w:r>
              <w:rPr>
                <w:spacing w:val="-9"/>
                <w:sz w:val="21"/>
              </w:rPr>
              <w:t>域内发生的免疫费，包括但不限于白喉、乙型肝炎、腮腺炎、百日咳、麻疹、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87" w:hRule="atLeast"/>
        </w:trPr>
        <w:tc>
          <w:tcPr>
            <w:tcW w:w="741" w:type="dxa"/>
          </w:tcPr>
          <w:p>
            <w:pPr>
              <w:pStyle w:val="10"/>
              <w:spacing w:before="0"/>
              <w:rPr>
                <w:rFonts w:ascii="Times New Roman"/>
                <w:sz w:val="20"/>
              </w:rPr>
            </w:pPr>
          </w:p>
        </w:tc>
        <w:tc>
          <w:tcPr>
            <w:tcW w:w="1554" w:type="dxa"/>
          </w:tcPr>
          <w:p>
            <w:pPr>
              <w:pStyle w:val="10"/>
              <w:spacing w:before="0"/>
              <w:rPr>
                <w:rFonts w:ascii="Times New Roman"/>
                <w:sz w:val="20"/>
              </w:rPr>
            </w:pPr>
          </w:p>
        </w:tc>
        <w:tc>
          <w:tcPr>
            <w:tcW w:w="7138" w:type="dxa"/>
          </w:tcPr>
          <w:p>
            <w:pPr>
              <w:pStyle w:val="10"/>
              <w:spacing w:before="15" w:line="278" w:lineRule="auto"/>
              <w:ind w:left="123" w:right="154"/>
              <w:rPr>
                <w:sz w:val="21"/>
              </w:rPr>
            </w:pPr>
            <w:r>
              <w:rPr>
                <w:spacing w:val="-4"/>
                <w:sz w:val="21"/>
              </w:rPr>
              <w:t>破伤风、水痘、嗜血杆菌属、流感病毒、肝炎等，以及因接受免疫而产生的</w:t>
            </w:r>
            <w:r>
              <w:rPr>
                <w:spacing w:val="-2"/>
                <w:sz w:val="21"/>
              </w:rPr>
              <w:t>挂号费、医师服务费，本公司按照</w:t>
            </w:r>
            <w:r>
              <w:rPr>
                <w:rFonts w:ascii="Times New Roman" w:eastAsia="Times New Roman"/>
                <w:spacing w:val="-2"/>
                <w:sz w:val="21"/>
              </w:rPr>
              <w:t>100%</w:t>
            </w:r>
            <w:r>
              <w:rPr>
                <w:spacing w:val="-2"/>
                <w:sz w:val="21"/>
              </w:rPr>
              <w:t>的比例给付医疗保险金。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8" w:hRule="atLeast"/>
        </w:trPr>
        <w:tc>
          <w:tcPr>
            <w:tcW w:w="741" w:type="dxa"/>
          </w:tcPr>
          <w:p>
            <w:pPr>
              <w:pStyle w:val="10"/>
              <w:spacing w:before="163"/>
              <w:ind w:left="50"/>
              <w:rPr>
                <w:b/>
                <w:sz w:val="21"/>
              </w:rPr>
            </w:pPr>
            <w:r>
              <w:rPr>
                <w:b/>
                <w:spacing w:val="-2"/>
                <w:sz w:val="21"/>
              </w:rPr>
              <w:t>2.7.9</w:t>
            </w:r>
          </w:p>
        </w:tc>
        <w:tc>
          <w:tcPr>
            <w:tcW w:w="1554" w:type="dxa"/>
          </w:tcPr>
          <w:p>
            <w:pPr>
              <w:pStyle w:val="10"/>
              <w:spacing w:before="163"/>
              <w:ind w:left="163"/>
              <w:rPr>
                <w:b/>
                <w:sz w:val="21"/>
              </w:rPr>
            </w:pPr>
            <w:r>
              <w:rPr>
                <w:b/>
                <w:spacing w:val="-3"/>
                <w:sz w:val="21"/>
              </w:rPr>
              <w:t>牙科责任</w:t>
            </w:r>
          </w:p>
        </w:tc>
        <w:tc>
          <w:tcPr>
            <w:tcW w:w="7138" w:type="dxa"/>
          </w:tcPr>
          <w:p>
            <w:pPr>
              <w:pStyle w:val="10"/>
              <w:spacing w:before="163"/>
              <w:ind w:left="123"/>
              <w:rPr>
                <w:sz w:val="21"/>
              </w:rPr>
            </w:pPr>
            <w:r>
              <w:rPr>
                <w:spacing w:val="-3"/>
                <w:sz w:val="21"/>
              </w:rPr>
              <w:t>牙科保险责任范围内的费用包括：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0" w:hRule="atLeast"/>
        </w:trPr>
        <w:tc>
          <w:tcPr>
            <w:tcW w:w="2295" w:type="dxa"/>
            <w:gridSpan w:val="2"/>
            <w:vMerge w:val="restart"/>
          </w:tcPr>
          <w:p>
            <w:pPr>
              <w:pStyle w:val="10"/>
              <w:spacing w:before="0"/>
              <w:rPr>
                <w:rFonts w:ascii="Times New Roman"/>
                <w:sz w:val="20"/>
              </w:rPr>
            </w:pPr>
          </w:p>
        </w:tc>
        <w:tc>
          <w:tcPr>
            <w:tcW w:w="7138" w:type="dxa"/>
          </w:tcPr>
          <w:p>
            <w:pPr>
              <w:pStyle w:val="10"/>
              <w:spacing w:before="92"/>
              <w:ind w:left="123"/>
              <w:rPr>
                <w:sz w:val="21"/>
              </w:rPr>
            </w:pPr>
            <w:r>
              <w:rPr>
                <w:spacing w:val="-4"/>
                <w:sz w:val="21"/>
              </w:rPr>
              <w:t>1.</w:t>
            </w:r>
            <w:r>
              <w:rPr>
                <w:spacing w:val="-5"/>
                <w:sz w:val="21"/>
              </w:rPr>
              <w:t>预防治疗费，包括常规牙科检查、牙齿健康指导、涂氟治疗、洁齿和抛光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0" w:hRule="atLeast"/>
        </w:trPr>
        <w:tc>
          <w:tcPr>
            <w:tcW w:w="2295" w:type="dxa"/>
            <w:gridSpan w:val="2"/>
            <w:vMerge w:val="continue"/>
            <w:tcBorders>
              <w:top w:val="nil"/>
            </w:tcBorders>
          </w:tcPr>
          <w:p>
            <w:pPr>
              <w:rPr>
                <w:sz w:val="2"/>
                <w:szCs w:val="2"/>
              </w:rPr>
            </w:pPr>
          </w:p>
        </w:tc>
        <w:tc>
          <w:tcPr>
            <w:tcW w:w="7138" w:type="dxa"/>
          </w:tcPr>
          <w:p>
            <w:pPr>
              <w:pStyle w:val="10"/>
              <w:spacing w:before="15"/>
              <w:ind w:left="123"/>
              <w:rPr>
                <w:sz w:val="21"/>
              </w:rPr>
            </w:pPr>
            <w:r>
              <w:rPr>
                <w:spacing w:val="-2"/>
                <w:sz w:val="21"/>
              </w:rPr>
              <w:t>（预防</w:t>
            </w:r>
            <w:r>
              <w:rPr>
                <w:spacing w:val="-106"/>
                <w:sz w:val="21"/>
              </w:rPr>
              <w:t>）</w:t>
            </w:r>
            <w:r>
              <w:rPr>
                <w:spacing w:val="-2"/>
                <w:sz w:val="21"/>
              </w:rPr>
              <w:t>、每一保险期间两次以下（含）</w:t>
            </w:r>
            <w:r>
              <w:rPr>
                <w:spacing w:val="-4"/>
                <w:sz w:val="21"/>
              </w:rPr>
              <w:t>牙齿清洁检查费；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0" w:hRule="atLeast"/>
        </w:trPr>
        <w:tc>
          <w:tcPr>
            <w:tcW w:w="2295" w:type="dxa"/>
            <w:gridSpan w:val="2"/>
            <w:vMerge w:val="continue"/>
            <w:tcBorders>
              <w:top w:val="nil"/>
            </w:tcBorders>
          </w:tcPr>
          <w:p>
            <w:pPr>
              <w:rPr>
                <w:sz w:val="2"/>
                <w:szCs w:val="2"/>
              </w:rPr>
            </w:pPr>
          </w:p>
        </w:tc>
        <w:tc>
          <w:tcPr>
            <w:tcW w:w="7138" w:type="dxa"/>
          </w:tcPr>
          <w:p>
            <w:pPr>
              <w:pStyle w:val="10"/>
              <w:spacing w:before="92"/>
              <w:ind w:left="123"/>
              <w:rPr>
                <w:sz w:val="21"/>
              </w:rPr>
            </w:pPr>
            <w:r>
              <w:rPr>
                <w:spacing w:val="-4"/>
                <w:sz w:val="21"/>
              </w:rPr>
              <w:t>2.</w:t>
            </w:r>
            <w:r>
              <w:rPr>
                <w:spacing w:val="-5"/>
                <w:sz w:val="21"/>
              </w:rPr>
              <w:t>基础治疗费，包括汞合金或复合树脂充填、简单拔牙、牙周刮治、根面平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0" w:hRule="atLeast"/>
        </w:trPr>
        <w:tc>
          <w:tcPr>
            <w:tcW w:w="2295" w:type="dxa"/>
            <w:gridSpan w:val="2"/>
            <w:vMerge w:val="continue"/>
            <w:tcBorders>
              <w:top w:val="nil"/>
            </w:tcBorders>
          </w:tcPr>
          <w:p>
            <w:pPr>
              <w:rPr>
                <w:sz w:val="2"/>
                <w:szCs w:val="2"/>
              </w:rPr>
            </w:pPr>
          </w:p>
        </w:tc>
        <w:tc>
          <w:tcPr>
            <w:tcW w:w="7138" w:type="dxa"/>
          </w:tcPr>
          <w:p>
            <w:pPr>
              <w:pStyle w:val="10"/>
              <w:spacing w:before="15"/>
              <w:ind w:left="123"/>
              <w:rPr>
                <w:sz w:val="21"/>
              </w:rPr>
            </w:pPr>
            <w:r>
              <w:rPr>
                <w:spacing w:val="-2"/>
                <w:sz w:val="21"/>
              </w:rPr>
              <w:t>整费，以及相关口腔X</w:t>
            </w:r>
            <w:r>
              <w:rPr>
                <w:spacing w:val="-5"/>
                <w:sz w:val="21"/>
              </w:rPr>
              <w:t>光费；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0" w:hRule="atLeast"/>
        </w:trPr>
        <w:tc>
          <w:tcPr>
            <w:tcW w:w="2295" w:type="dxa"/>
            <w:gridSpan w:val="2"/>
            <w:vMerge w:val="continue"/>
            <w:tcBorders>
              <w:top w:val="nil"/>
            </w:tcBorders>
          </w:tcPr>
          <w:p>
            <w:pPr>
              <w:rPr>
                <w:sz w:val="2"/>
                <w:szCs w:val="2"/>
              </w:rPr>
            </w:pPr>
          </w:p>
        </w:tc>
        <w:tc>
          <w:tcPr>
            <w:tcW w:w="7138" w:type="dxa"/>
          </w:tcPr>
          <w:p>
            <w:pPr>
              <w:pStyle w:val="10"/>
              <w:spacing w:before="92"/>
              <w:ind w:left="123"/>
              <w:rPr>
                <w:sz w:val="21"/>
              </w:rPr>
            </w:pPr>
            <w:r>
              <w:rPr>
                <w:spacing w:val="-4"/>
                <w:sz w:val="21"/>
              </w:rPr>
              <w:t>3.重大治疗费，包括根管充填、根管治疗、牙冠和嵌体、桥式义齿（</w:t>
            </w:r>
            <w:r>
              <w:rPr>
                <w:spacing w:val="-7"/>
                <w:sz w:val="21"/>
              </w:rPr>
              <w:t>包括化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2295" w:type="dxa"/>
            <w:gridSpan w:val="2"/>
            <w:vMerge w:val="continue"/>
            <w:tcBorders>
              <w:top w:val="nil"/>
            </w:tcBorders>
          </w:tcPr>
          <w:p>
            <w:pPr>
              <w:rPr>
                <w:sz w:val="2"/>
                <w:szCs w:val="2"/>
              </w:rPr>
            </w:pPr>
          </w:p>
        </w:tc>
        <w:tc>
          <w:tcPr>
            <w:tcW w:w="7138" w:type="dxa"/>
          </w:tcPr>
          <w:p>
            <w:pPr>
              <w:pStyle w:val="10"/>
              <w:spacing w:before="15"/>
              <w:ind w:left="123"/>
              <w:rPr>
                <w:sz w:val="21"/>
              </w:rPr>
            </w:pPr>
            <w:r>
              <w:rPr>
                <w:spacing w:val="-4"/>
                <w:sz w:val="21"/>
              </w:rPr>
              <w:t>验和麻醉费用</w:t>
            </w:r>
            <w:r>
              <w:rPr>
                <w:spacing w:val="-108"/>
                <w:sz w:val="21"/>
              </w:rPr>
              <w:t>）</w:t>
            </w:r>
            <w:r>
              <w:rPr>
                <w:spacing w:val="-4"/>
                <w:sz w:val="21"/>
              </w:rPr>
              <w:t>、智齿拔除费、牙齿矫正治疗费（</w:t>
            </w:r>
            <w:r>
              <w:rPr>
                <w:spacing w:val="-5"/>
                <w:sz w:val="21"/>
              </w:rPr>
              <w:t>包括模型研究、牙齿印模、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2295" w:type="dxa"/>
            <w:gridSpan w:val="2"/>
            <w:vMerge w:val="continue"/>
            <w:tcBorders>
              <w:top w:val="nil"/>
            </w:tcBorders>
          </w:tcPr>
          <w:p>
            <w:pPr>
              <w:rPr>
                <w:sz w:val="2"/>
                <w:szCs w:val="2"/>
              </w:rPr>
            </w:pPr>
          </w:p>
        </w:tc>
        <w:tc>
          <w:tcPr>
            <w:tcW w:w="7138" w:type="dxa"/>
          </w:tcPr>
          <w:p>
            <w:pPr>
              <w:pStyle w:val="10"/>
              <w:spacing w:before="15"/>
              <w:ind w:left="123"/>
              <w:rPr>
                <w:sz w:val="21"/>
              </w:rPr>
            </w:pPr>
            <w:r>
              <w:rPr>
                <w:spacing w:val="-4"/>
                <w:sz w:val="21"/>
              </w:rPr>
              <w:t>活动矫治器、固定矫治器（包括调整</w:t>
            </w:r>
            <w:r>
              <w:rPr>
                <w:spacing w:val="-108"/>
                <w:sz w:val="21"/>
              </w:rPr>
              <w:t>）</w:t>
            </w:r>
            <w:r>
              <w:rPr>
                <w:spacing w:val="-4"/>
                <w:sz w:val="21"/>
              </w:rPr>
              <w:t>、正畸拔牙、托槽的粘接费</w:t>
            </w:r>
            <w:r>
              <w:rPr>
                <w:spacing w:val="-63"/>
                <w:sz w:val="21"/>
              </w:rPr>
              <w:t>）</w:t>
            </w:r>
            <w:r>
              <w:rPr>
                <w:spacing w:val="-21"/>
                <w:sz w:val="21"/>
              </w:rPr>
              <w:t>，以及相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0" w:hRule="atLeast"/>
        </w:trPr>
        <w:tc>
          <w:tcPr>
            <w:tcW w:w="2295" w:type="dxa"/>
            <w:gridSpan w:val="2"/>
            <w:vMerge w:val="continue"/>
            <w:tcBorders>
              <w:top w:val="nil"/>
            </w:tcBorders>
          </w:tcPr>
          <w:p>
            <w:pPr>
              <w:rPr>
                <w:sz w:val="2"/>
                <w:szCs w:val="2"/>
              </w:rPr>
            </w:pPr>
          </w:p>
        </w:tc>
        <w:tc>
          <w:tcPr>
            <w:tcW w:w="7138" w:type="dxa"/>
          </w:tcPr>
          <w:p>
            <w:pPr>
              <w:pStyle w:val="10"/>
              <w:spacing w:before="14"/>
              <w:ind w:left="123"/>
              <w:rPr>
                <w:sz w:val="21"/>
              </w:rPr>
            </w:pPr>
            <w:r>
              <w:rPr>
                <w:spacing w:val="-2"/>
                <w:sz w:val="21"/>
              </w:rPr>
              <w:t>关口腔X</w:t>
            </w:r>
            <w:r>
              <w:rPr>
                <w:spacing w:val="-5"/>
                <w:sz w:val="21"/>
              </w:rPr>
              <w:t>光费。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0" w:hRule="atLeast"/>
        </w:trPr>
        <w:tc>
          <w:tcPr>
            <w:tcW w:w="2295" w:type="dxa"/>
            <w:gridSpan w:val="2"/>
            <w:vMerge w:val="continue"/>
            <w:tcBorders>
              <w:top w:val="nil"/>
            </w:tcBorders>
          </w:tcPr>
          <w:p>
            <w:pPr>
              <w:rPr>
                <w:sz w:val="2"/>
                <w:szCs w:val="2"/>
              </w:rPr>
            </w:pPr>
          </w:p>
        </w:tc>
        <w:tc>
          <w:tcPr>
            <w:tcW w:w="7138" w:type="dxa"/>
          </w:tcPr>
          <w:p>
            <w:pPr>
              <w:pStyle w:val="10"/>
              <w:spacing w:before="93"/>
              <w:ind w:left="123"/>
              <w:rPr>
                <w:sz w:val="21"/>
              </w:rPr>
            </w:pPr>
            <w:r>
              <w:rPr>
                <w:color w:val="000000"/>
                <w:spacing w:val="-1"/>
                <w:sz w:val="21"/>
                <w:shd w:val="clear" w:color="auto" w:fill="E4E4E4"/>
              </w:rPr>
              <w:t>与牙科责任对应的保险责任范围内的费用不包括以美容为目的牙齿处理费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9" w:hRule="atLeast"/>
        </w:trPr>
        <w:tc>
          <w:tcPr>
            <w:tcW w:w="2295" w:type="dxa"/>
            <w:gridSpan w:val="2"/>
            <w:vMerge w:val="continue"/>
            <w:tcBorders>
              <w:top w:val="nil"/>
            </w:tcBorders>
          </w:tcPr>
          <w:p>
            <w:pPr>
              <w:rPr>
                <w:sz w:val="2"/>
                <w:szCs w:val="2"/>
              </w:rPr>
            </w:pPr>
          </w:p>
        </w:tc>
        <w:tc>
          <w:tcPr>
            <w:tcW w:w="7138" w:type="dxa"/>
          </w:tcPr>
          <w:p>
            <w:pPr>
              <w:pStyle w:val="10"/>
              <w:spacing w:before="14"/>
              <w:ind w:left="123"/>
              <w:rPr>
                <w:sz w:val="21"/>
              </w:rPr>
            </w:pPr>
            <w:r>
              <w:rPr>
                <w:color w:val="000000"/>
                <w:spacing w:val="-2"/>
                <w:sz w:val="21"/>
                <w:shd w:val="clear" w:color="auto" w:fill="E4E4E4"/>
              </w:rPr>
              <w:t>用，义齿、高嵌体、种植牙、贴面，以及相关口腔X</w:t>
            </w:r>
            <w:r>
              <w:rPr>
                <w:color w:val="000000"/>
                <w:spacing w:val="-4"/>
                <w:sz w:val="21"/>
                <w:shd w:val="clear" w:color="auto" w:fill="E4E4E4"/>
              </w:rPr>
              <w:t>光费用。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9" w:hRule="atLeast"/>
        </w:trPr>
        <w:tc>
          <w:tcPr>
            <w:tcW w:w="2295" w:type="dxa"/>
            <w:gridSpan w:val="2"/>
            <w:vMerge w:val="continue"/>
            <w:tcBorders>
              <w:top w:val="nil"/>
            </w:tcBorders>
          </w:tcPr>
          <w:p>
            <w:pPr>
              <w:rPr>
                <w:sz w:val="2"/>
                <w:szCs w:val="2"/>
              </w:rPr>
            </w:pPr>
          </w:p>
        </w:tc>
        <w:tc>
          <w:tcPr>
            <w:tcW w:w="7138" w:type="dxa"/>
          </w:tcPr>
          <w:p>
            <w:pPr>
              <w:pStyle w:val="10"/>
              <w:spacing w:before="92" w:line="227" w:lineRule="exact"/>
              <w:ind w:left="123"/>
              <w:rPr>
                <w:sz w:val="21"/>
              </w:rPr>
            </w:pPr>
            <w:r>
              <w:rPr>
                <w:spacing w:val="-5"/>
                <w:sz w:val="21"/>
              </w:rPr>
              <w:t>对被保险人发生的、与本项责任对应的保险责任范围内的费用，本公司分别</w:t>
            </w:r>
          </w:p>
        </w:tc>
      </w:tr>
    </w:tbl>
    <w:p>
      <w:pPr>
        <w:spacing w:after="0" w:line="227" w:lineRule="exact"/>
        <w:rPr>
          <w:sz w:val="21"/>
        </w:rPr>
        <w:sectPr>
          <w:pgSz w:w="11910" w:h="16840"/>
          <w:pgMar w:top="1480" w:right="680" w:bottom="280" w:left="900" w:header="720" w:footer="720" w:gutter="0"/>
          <w:cols w:space="720" w:num="1"/>
        </w:sectPr>
      </w:pPr>
    </w:p>
    <w:p>
      <w:pPr>
        <w:pStyle w:val="4"/>
        <w:spacing w:before="44"/>
        <w:ind w:left="3017"/>
      </w:pPr>
      <w:r>
        <w:rPr>
          <w:spacing w:val="-3"/>
        </w:rPr>
        <w:t>按保险计划表中对应的给付比例给付医疗保险金。</w:t>
      </w:r>
    </w:p>
    <w:p>
      <w:pPr>
        <w:pStyle w:val="4"/>
        <w:spacing w:before="9"/>
        <w:rPr>
          <w:sz w:val="27"/>
        </w:rPr>
      </w:pPr>
    </w:p>
    <w:p>
      <w:pPr>
        <w:pStyle w:val="9"/>
        <w:numPr>
          <w:ilvl w:val="1"/>
          <w:numId w:val="4"/>
        </w:numPr>
        <w:tabs>
          <w:tab w:val="left" w:pos="1502"/>
          <w:tab w:val="left" w:pos="1503"/>
        </w:tabs>
        <w:spacing w:before="1" w:after="0" w:line="278" w:lineRule="auto"/>
        <w:ind w:left="3017" w:right="449" w:hanging="2580"/>
        <w:jc w:val="left"/>
        <w:rPr>
          <w:b/>
          <w:sz w:val="21"/>
        </w:rPr>
      </w:pPr>
      <w:r>
        <w:rPr>
          <w:b/>
          <w:spacing w:val="16"/>
          <w:sz w:val="21"/>
        </w:rPr>
        <w:t xml:space="preserve">保险金的计算 </w:t>
      </w:r>
      <w:r>
        <w:rPr>
          <w:spacing w:val="-5"/>
          <w:sz w:val="21"/>
        </w:rPr>
        <w:t>被保险人发生的保险责任范围内的费用，根据适用的免赔额种类分别按以下</w:t>
      </w:r>
      <w:r>
        <w:rPr>
          <w:spacing w:val="-6"/>
          <w:sz w:val="21"/>
        </w:rPr>
        <w:t>方式计算医疗保险金：被保险人适用次免赔额的，本公司按照“</w:t>
      </w:r>
      <w:r>
        <w:rPr>
          <w:spacing w:val="-2"/>
          <w:sz w:val="21"/>
        </w:rPr>
        <w:t>（</w:t>
      </w:r>
      <w:r>
        <w:rPr>
          <w:b/>
          <w:spacing w:val="-2"/>
          <w:sz w:val="21"/>
        </w:rPr>
        <w:t>每次治疗</w:t>
      </w:r>
    </w:p>
    <w:p>
      <w:pPr>
        <w:pStyle w:val="4"/>
        <w:spacing w:line="269" w:lineRule="exact"/>
        <w:ind w:left="3017"/>
      </w:pPr>
      <w:r>
        <w:rPr>
          <w:b/>
          <w:w w:val="95"/>
          <w:position w:val="11"/>
          <w:sz w:val="11"/>
        </w:rPr>
        <w:t>42</w:t>
      </w:r>
      <w:r>
        <w:rPr>
          <w:w w:val="95"/>
        </w:rPr>
        <w:t>保险责任范围内的费用－次免赔额）×赔付比例”给付医疗保险金；被</w:t>
      </w:r>
      <w:r>
        <w:rPr>
          <w:spacing w:val="-10"/>
          <w:w w:val="95"/>
        </w:rPr>
        <w:t>保</w:t>
      </w:r>
    </w:p>
    <w:p>
      <w:pPr>
        <w:pStyle w:val="4"/>
        <w:spacing w:before="42" w:line="278" w:lineRule="auto"/>
        <w:ind w:left="3017" w:right="449"/>
      </w:pPr>
      <w:r>
        <w:rPr>
          <w:spacing w:val="-9"/>
        </w:rPr>
        <w:t>险人适用年免赔额的，本公司按照“</w:t>
      </w:r>
      <w:r>
        <w:t>（</w:t>
      </w:r>
      <w:r>
        <w:rPr>
          <w:spacing w:val="-2"/>
        </w:rPr>
        <w:t>保险期间内发生的保险责任范围内的费用累计－年免赔额）×赔付比例”给付医疗保险金。</w:t>
      </w:r>
    </w:p>
    <w:p>
      <w:pPr>
        <w:pStyle w:val="4"/>
        <w:spacing w:before="156" w:line="278" w:lineRule="auto"/>
        <w:ind w:left="3017" w:right="449"/>
        <w:jc w:val="both"/>
      </w:pPr>
      <w:r>
        <w:rPr>
          <w:spacing w:val="-4"/>
        </w:rPr>
        <w:t>本公司对被保险人承担的保险责任类型、医疗费用项目，以及与各项费用对应的累计给付次数限额、累计给付限额、累计给付日数限额、每日限额、每次限额、等待期或给付比例，由投保人与本公司约定，并载明于保险计划表</w:t>
      </w:r>
      <w:r>
        <w:rPr>
          <w:spacing w:val="-2"/>
        </w:rPr>
        <w:t>中。投保人与本公司可以此为基础，确定具体的保险计划表。</w:t>
      </w:r>
    </w:p>
    <w:p>
      <w:pPr>
        <w:pStyle w:val="4"/>
        <w:spacing w:before="156" w:line="278" w:lineRule="auto"/>
        <w:ind w:left="3017" w:right="372"/>
        <w:jc w:val="both"/>
      </w:pPr>
      <w:r>
        <w:rPr>
          <w:spacing w:val="-6"/>
        </w:rPr>
        <w:t>保险计划表中一项费用存在累计次数限额的，本公司对该项费用给付保险金</w:t>
      </w:r>
      <w:r>
        <w:rPr>
          <w:spacing w:val="-2"/>
        </w:rPr>
        <w:t>的次数，累计以该限额为上限；一项费用存在累计给付限额的，本公司对该项费用给付的保险金，累计以该限额为上限；一项费用存在累计给付日数限额的，本公司对该项费用承担给付保险金的责任的费用发生日数，累计以该限额为上限；一项费用存在每日限额的，本公司对任一日发生的该项费用给付的保险金，累计以该限额为上限；一项费用存在每次限额的，本公司对每次治疗发生的该项费用给付的保险金，以该限额为上限；一项费用存在等待期的，本公司仅对在经过等待期后发生的该项费用承担给付保险金的责任。</w:t>
      </w:r>
    </w:p>
    <w:p>
      <w:pPr>
        <w:pStyle w:val="4"/>
        <w:spacing w:before="4"/>
        <w:rPr>
          <w:sz w:val="24"/>
        </w:rPr>
      </w:pPr>
    </w:p>
    <w:p>
      <w:pPr>
        <w:pStyle w:val="3"/>
        <w:numPr>
          <w:ilvl w:val="1"/>
          <w:numId w:val="4"/>
        </w:numPr>
        <w:tabs>
          <w:tab w:val="left" w:pos="1502"/>
          <w:tab w:val="left" w:pos="1503"/>
        </w:tabs>
        <w:spacing w:before="0" w:after="0" w:line="240" w:lineRule="auto"/>
        <w:ind w:left="1502" w:right="0" w:hanging="1066"/>
        <w:jc w:val="left"/>
      </w:pPr>
      <w:r>
        <w:rPr>
          <w:spacing w:val="-3"/>
        </w:rPr>
        <w:t>责任免除</w:t>
      </w:r>
    </w:p>
    <w:p>
      <w:pPr>
        <w:pStyle w:val="4"/>
        <w:spacing w:before="9"/>
        <w:rPr>
          <w:b/>
          <w:sz w:val="27"/>
        </w:rPr>
      </w:pPr>
    </w:p>
    <w:p>
      <w:pPr>
        <w:pStyle w:val="9"/>
        <w:numPr>
          <w:ilvl w:val="2"/>
          <w:numId w:val="4"/>
        </w:numPr>
        <w:tabs>
          <w:tab w:val="left" w:pos="1502"/>
          <w:tab w:val="left" w:pos="1503"/>
        </w:tabs>
        <w:spacing w:before="0" w:after="0" w:line="240" w:lineRule="auto"/>
        <w:ind w:left="1502" w:right="0" w:hanging="855"/>
        <w:jc w:val="left"/>
        <w:rPr>
          <w:sz w:val="21"/>
        </w:rPr>
      </w:pPr>
      <w:r>
        <w:rPr>
          <w:b/>
          <w:spacing w:val="14"/>
          <w:sz w:val="21"/>
        </w:rPr>
        <w:t xml:space="preserve">一般责任免除 </w:t>
      </w:r>
      <w:r>
        <w:rPr>
          <w:color w:val="000000"/>
          <w:spacing w:val="-1"/>
          <w:sz w:val="21"/>
          <w:shd w:val="clear" w:color="auto" w:fill="E4E4E4"/>
        </w:rPr>
        <w:t>对于被保险人发生的以下费用，本公司不承担给付保险金的责任：</w:t>
      </w:r>
    </w:p>
    <w:p>
      <w:pPr>
        <w:pStyle w:val="4"/>
        <w:spacing w:before="12"/>
        <w:rPr>
          <w:sz w:val="9"/>
        </w:rPr>
      </w:pPr>
    </w:p>
    <w:p>
      <w:pPr>
        <w:pStyle w:val="4"/>
        <w:spacing w:before="72" w:line="278" w:lineRule="auto"/>
        <w:ind w:left="3017" w:right="449"/>
      </w:pPr>
      <w:r>
        <w:rPr>
          <w:color w:val="000000"/>
          <w:spacing w:val="-4"/>
          <w:shd w:val="clear" w:color="auto" w:fill="E4E4E4"/>
        </w:rPr>
        <w:t>（一）对本合同中特别约定除外疾病和症状、被要求健康告知的被保险人未</w:t>
      </w:r>
      <w:r>
        <w:rPr>
          <w:color w:val="000000"/>
          <w:spacing w:val="80"/>
          <w:w w:val="150"/>
          <w:shd w:val="clear" w:color="auto" w:fill="E4E4E4"/>
        </w:rPr>
        <w:t xml:space="preserve">                                     </w:t>
      </w:r>
      <w:r>
        <w:rPr>
          <w:color w:val="000000"/>
          <w:spacing w:val="-2"/>
          <w:shd w:val="clear" w:color="auto" w:fill="E4E4E4"/>
        </w:rPr>
        <w:t>告知的既往症的治疗及其他相关费用。</w:t>
      </w:r>
    </w:p>
    <w:p>
      <w:pPr>
        <w:pStyle w:val="4"/>
        <w:spacing w:before="156"/>
        <w:ind w:left="3017"/>
      </w:pPr>
      <w:r>
        <w:rPr>
          <w:color w:val="000000"/>
          <w:spacing w:val="-2"/>
          <w:shd w:val="clear" w:color="auto" w:fill="E4E4E4"/>
        </w:rPr>
        <w:t>（二）</w:t>
      </w:r>
      <w:r>
        <w:rPr>
          <w:color w:val="000000"/>
          <w:spacing w:val="-3"/>
          <w:shd w:val="clear" w:color="auto" w:fill="E4E4E4"/>
        </w:rPr>
        <w:t>在本合同约定等待期内对约定的相应病症的治疗及其他相关费用。</w:t>
      </w:r>
    </w:p>
    <w:p>
      <w:pPr>
        <w:pStyle w:val="4"/>
        <w:spacing w:before="12"/>
        <w:rPr>
          <w:sz w:val="9"/>
        </w:rPr>
      </w:pPr>
    </w:p>
    <w:p>
      <w:pPr>
        <w:pStyle w:val="4"/>
        <w:spacing w:before="71" w:line="278" w:lineRule="auto"/>
        <w:ind w:left="3017" w:right="449"/>
        <w:jc w:val="both"/>
      </w:pPr>
      <w:r>
        <w:rPr>
          <w:color w:val="000000"/>
          <w:spacing w:val="-2"/>
          <w:shd w:val="clear" w:color="auto" w:fill="E4E4E4"/>
        </w:rPr>
        <w:t>（三）未取得就诊地所属国家的法律法规及该国家相关监管机关批准的检</w:t>
      </w:r>
      <w:r>
        <w:rPr>
          <w:color w:val="000000"/>
          <w:spacing w:val="40"/>
          <w:shd w:val="clear" w:color="auto" w:fill="E4E4E4"/>
        </w:rPr>
        <w:t xml:space="preserve"> </w:t>
      </w:r>
      <w:r>
        <w:rPr>
          <w:color w:val="000000"/>
          <w:spacing w:val="-4"/>
          <w:shd w:val="clear" w:color="auto" w:fill="E4E4E4"/>
        </w:rPr>
        <w:t>查、治疗、药品、及相关医疗服务的所有费用，和被认定为试验性治疗的所有费用。</w:t>
      </w:r>
    </w:p>
    <w:p>
      <w:pPr>
        <w:pStyle w:val="4"/>
        <w:spacing w:before="156" w:line="278" w:lineRule="auto"/>
        <w:ind w:left="3017" w:right="449"/>
        <w:jc w:val="both"/>
      </w:pPr>
      <w:r>
        <w:rPr>
          <w:color w:val="000000"/>
          <w:spacing w:val="-4"/>
          <w:shd w:val="clear" w:color="auto" w:fill="E4E4E4"/>
        </w:rPr>
        <w:t>（四）根据工伤补偿、职业病或其他与职业疾病相关的法律法规可从中获得</w:t>
      </w:r>
      <w:r>
        <w:rPr>
          <w:color w:val="000000"/>
          <w:spacing w:val="40"/>
          <w:shd w:val="clear" w:color="auto" w:fill="E4E4E4"/>
        </w:rPr>
        <w:t xml:space="preserve"> </w:t>
      </w:r>
      <w:r>
        <w:rPr>
          <w:color w:val="000000"/>
          <w:spacing w:val="-4"/>
          <w:shd w:val="clear" w:color="auto" w:fill="E4E4E4"/>
        </w:rPr>
        <w:t>补偿的费用，已从政府、慈善机构、其他福利计划或医疗保险计划获得补偿的费用。</w:t>
      </w:r>
    </w:p>
    <w:p>
      <w:pPr>
        <w:pStyle w:val="4"/>
        <w:spacing w:before="156" w:line="278" w:lineRule="auto"/>
        <w:ind w:left="3017" w:right="343"/>
      </w:pPr>
      <w:r>
        <w:rPr>
          <w:color w:val="000000"/>
          <w:spacing w:val="-4"/>
          <w:shd w:val="clear" w:color="auto" w:fill="E4E4E4"/>
        </w:rPr>
        <w:t>（五）代诊费，电话咨询费（经由医疗服务供应商指定并授权的机构除外</w:t>
      </w:r>
      <w:r>
        <w:rPr>
          <w:color w:val="000000"/>
          <w:spacing w:val="-106"/>
          <w:shd w:val="clear" w:color="auto" w:fill="E4E4E4"/>
        </w:rPr>
        <w:t>）</w:t>
      </w:r>
      <w:r>
        <w:rPr>
          <w:color w:val="000000"/>
          <w:shd w:val="clear" w:color="auto" w:fill="E4E4E4"/>
        </w:rPr>
        <w:t>，</w:t>
      </w:r>
      <w:r>
        <w:rPr>
          <w:color w:val="000000"/>
          <w:spacing w:val="80"/>
          <w:w w:val="150"/>
          <w:shd w:val="clear" w:color="auto" w:fill="E4E4E4"/>
        </w:rPr>
        <w:t xml:space="preserve">                                      </w:t>
      </w:r>
      <w:r>
        <w:rPr>
          <w:color w:val="000000"/>
          <w:spacing w:val="-2"/>
          <w:shd w:val="clear" w:color="auto" w:fill="E4E4E4"/>
        </w:rPr>
        <w:t>没有按时就诊的预约费用，非医师处方要求的服务费用，不在执业范围的医</w:t>
      </w:r>
      <w:r>
        <w:rPr>
          <w:color w:val="000000"/>
          <w:spacing w:val="-11"/>
          <w:shd w:val="clear" w:color="auto" w:fill="E4E4E4"/>
        </w:rPr>
        <w:t>疗服务费用，不符合专业认可标准或为进行适当治疗所不必要的医疗和牙科</w:t>
      </w:r>
      <w:r>
        <w:rPr>
          <w:color w:val="000000"/>
          <w:spacing w:val="-2"/>
          <w:shd w:val="clear" w:color="auto" w:fill="E4E4E4"/>
        </w:rPr>
        <w:t>服务费用，非医学必需的费用，超过通常惯例水平的费用。</w:t>
      </w:r>
    </w:p>
    <w:p>
      <w:pPr>
        <w:pStyle w:val="4"/>
        <w:spacing w:before="156"/>
        <w:ind w:left="3017"/>
      </w:pPr>
      <w:r>
        <w:rPr>
          <w:color w:val="000000"/>
          <w:spacing w:val="-2"/>
          <w:shd w:val="clear" w:color="auto" w:fill="E4E4E4"/>
        </w:rPr>
        <w:t>（六）</w:t>
      </w:r>
      <w:r>
        <w:rPr>
          <w:color w:val="000000"/>
          <w:spacing w:val="-3"/>
          <w:shd w:val="clear" w:color="auto" w:fill="E4E4E4"/>
        </w:rPr>
        <w:t>对由被保险人从事违法犯罪行为或故意行为(包括但不限于自残、自</w:t>
      </w:r>
    </w:p>
    <w:p>
      <w:pPr>
        <w:pStyle w:val="4"/>
        <w:rPr>
          <w:sz w:val="20"/>
        </w:rPr>
      </w:pPr>
    </w:p>
    <w:p>
      <w:pPr>
        <w:pStyle w:val="4"/>
        <w:spacing w:before="4"/>
        <w:rPr>
          <w:sz w:val="26"/>
        </w:rPr>
      </w:pPr>
      <w:r>
        <w:drawing>
          <wp:anchor distT="0" distB="0" distL="0" distR="0" simplePos="0" relativeHeight="251659264" behindDoc="0" locked="0" layoutInCell="1" allowOverlap="1">
            <wp:simplePos x="0" y="0"/>
            <wp:positionH relativeFrom="page">
              <wp:posOffset>685800</wp:posOffset>
            </wp:positionH>
            <wp:positionV relativeFrom="paragraph">
              <wp:posOffset>229235</wp:posOffset>
            </wp:positionV>
            <wp:extent cx="1829435" cy="6350"/>
            <wp:effectExtent l="0" t="0" r="0" b="0"/>
            <wp:wrapTopAndBottom/>
            <wp:docPr id="33"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6.png"/>
                    <pic:cNvPicPr>
                      <a:picLocks noChangeAspect="1"/>
                    </pic:cNvPicPr>
                  </pic:nvPicPr>
                  <pic:blipFill>
                    <a:blip r:embed="rId11" cstate="print"/>
                    <a:stretch>
                      <a:fillRect/>
                    </a:stretch>
                  </pic:blipFill>
                  <pic:spPr>
                    <a:xfrm>
                      <a:off x="0" y="0"/>
                      <a:ext cx="1829282" cy="6096"/>
                    </a:xfrm>
                    <a:prstGeom prst="rect">
                      <a:avLst/>
                    </a:prstGeom>
                  </pic:spPr>
                </pic:pic>
              </a:graphicData>
            </a:graphic>
          </wp:anchor>
        </w:drawing>
      </w:r>
    </w:p>
    <w:p>
      <w:pPr>
        <w:spacing w:before="91"/>
        <w:ind w:left="180" w:right="0" w:firstLine="0"/>
        <w:jc w:val="left"/>
        <w:rPr>
          <w:rFonts w:ascii="楷体" w:eastAsia="楷体"/>
          <w:sz w:val="18"/>
        </w:rPr>
      </w:pPr>
      <w:r>
        <w:rPr>
          <w:rFonts w:ascii="楷体" w:eastAsia="楷体"/>
          <w:w w:val="95"/>
          <w:position w:val="9"/>
          <w:sz w:val="9"/>
        </w:rPr>
        <w:t>42</w:t>
      </w:r>
      <w:r>
        <w:rPr>
          <w:rFonts w:hint="eastAsia" w:ascii="楷体" w:eastAsia="楷体"/>
          <w:b/>
          <w:w w:val="95"/>
          <w:sz w:val="18"/>
        </w:rPr>
        <w:t>每次治疗：</w:t>
      </w:r>
      <w:r>
        <w:rPr>
          <w:rFonts w:ascii="楷体" w:eastAsia="楷体"/>
          <w:w w:val="95"/>
          <w:sz w:val="18"/>
        </w:rPr>
        <w:t>对于门诊治疗，每次治疗指被保险人在一日（零时起至二十四时止）在同一所医院同一个科室就一个医师就</w:t>
      </w:r>
      <w:r>
        <w:rPr>
          <w:rFonts w:ascii="楷体" w:eastAsia="楷体"/>
          <w:spacing w:val="-10"/>
          <w:w w:val="95"/>
          <w:sz w:val="18"/>
        </w:rPr>
        <w:t>诊</w:t>
      </w:r>
    </w:p>
    <w:p>
      <w:pPr>
        <w:spacing w:before="4"/>
        <w:ind w:left="180" w:right="0" w:firstLine="0"/>
        <w:jc w:val="left"/>
        <w:rPr>
          <w:rFonts w:ascii="楷体" w:eastAsia="楷体"/>
          <w:sz w:val="18"/>
        </w:rPr>
      </w:pPr>
      <w:r>
        <w:rPr>
          <w:rFonts w:ascii="楷体" w:eastAsia="楷体"/>
          <w:spacing w:val="-1"/>
          <w:sz w:val="18"/>
        </w:rPr>
        <w:t>的门诊或急诊；对于住院治疗，每次治疗指一次入出院。</w:t>
      </w:r>
    </w:p>
    <w:p>
      <w:pPr>
        <w:spacing w:after="0"/>
        <w:jc w:val="left"/>
        <w:rPr>
          <w:rFonts w:ascii="楷体" w:eastAsia="楷体"/>
          <w:sz w:val="18"/>
        </w:rPr>
        <w:sectPr>
          <w:pgSz w:w="11910" w:h="16840"/>
          <w:pgMar w:top="1400" w:right="680" w:bottom="280" w:left="900" w:header="720" w:footer="720" w:gutter="0"/>
          <w:cols w:space="720" w:num="1"/>
        </w:sectPr>
      </w:pPr>
    </w:p>
    <w:p>
      <w:pPr>
        <w:pStyle w:val="4"/>
        <w:spacing w:before="44"/>
        <w:ind w:left="3017"/>
      </w:pPr>
      <w:r>
        <w:rPr>
          <w:color w:val="000000"/>
          <w:spacing w:val="-3"/>
          <w:shd w:val="clear" w:color="auto" w:fill="E4E4E4"/>
        </w:rPr>
        <w:t>杀)引起的或在这一过程中发生的伤害、病症治疗及其他相关费用。</w:t>
      </w:r>
    </w:p>
    <w:p>
      <w:pPr>
        <w:pStyle w:val="4"/>
        <w:rPr>
          <w:sz w:val="10"/>
        </w:rPr>
      </w:pPr>
    </w:p>
    <w:p>
      <w:pPr>
        <w:pStyle w:val="4"/>
        <w:spacing w:before="71" w:line="278" w:lineRule="auto"/>
        <w:ind w:left="3017" w:right="449"/>
        <w:jc w:val="both"/>
      </w:pPr>
      <w:r>
        <w:rPr>
          <w:color w:val="000000"/>
          <w:spacing w:val="-4"/>
          <w:shd w:val="clear" w:color="auto" w:fill="E4E4E4"/>
        </w:rPr>
        <w:t>（七）为个人舒适或方便而产生的费用，包括但不限于电视、单人病房、雇</w:t>
      </w:r>
      <w:r>
        <w:rPr>
          <w:color w:val="000000"/>
          <w:spacing w:val="40"/>
          <w:shd w:val="clear" w:color="auto" w:fill="E4E4E4"/>
        </w:rPr>
        <w:t xml:space="preserve"> </w:t>
      </w:r>
      <w:r>
        <w:rPr>
          <w:color w:val="000000"/>
          <w:spacing w:val="-4"/>
          <w:shd w:val="clear" w:color="auto" w:fill="E4E4E4"/>
        </w:rPr>
        <w:t>佣护工、房屋打扫、访客膳食和住宿、电话、家庭设备、旅行费、本合同没</w:t>
      </w:r>
      <w:r>
        <w:rPr>
          <w:color w:val="000000"/>
          <w:spacing w:val="-2"/>
          <w:shd w:val="clear" w:color="auto" w:fill="E4E4E4"/>
        </w:rPr>
        <w:t>有列明的急救费以及其他非医学必需的服务和设备。</w:t>
      </w:r>
    </w:p>
    <w:p>
      <w:pPr>
        <w:pStyle w:val="4"/>
        <w:spacing w:before="156" w:line="278" w:lineRule="auto"/>
        <w:ind w:left="3017" w:right="448"/>
        <w:jc w:val="both"/>
      </w:pPr>
      <w:r>
        <w:rPr>
          <w:color w:val="000000"/>
          <w:shd w:val="clear" w:color="auto" w:fill="E4E4E4"/>
        </w:rPr>
        <w:t>（八）</w:t>
      </w:r>
      <w:r>
        <w:rPr>
          <w:color w:val="000000"/>
          <w:spacing w:val="-1"/>
          <w:shd w:val="clear" w:color="auto" w:fill="E4E4E4"/>
        </w:rPr>
        <w:t xml:space="preserve">保险期间届满后发生的费用，按疗程将在保险期间届满之日起第 </w:t>
      </w:r>
      <w:r>
        <w:rPr>
          <w:color w:val="000000"/>
          <w:shd w:val="clear" w:color="auto" w:fill="E4E4E4"/>
        </w:rPr>
        <w:t>90</w:t>
      </w:r>
      <w:r>
        <w:rPr>
          <w:color w:val="000000"/>
          <w:spacing w:val="40"/>
          <w:shd w:val="clear" w:color="auto" w:fill="E4E4E4"/>
        </w:rPr>
        <w:t xml:space="preserve"> </w:t>
      </w:r>
      <w:r>
        <w:rPr>
          <w:color w:val="000000"/>
          <w:spacing w:val="-2"/>
          <w:shd w:val="clear" w:color="auto" w:fill="E4E4E4"/>
        </w:rPr>
        <w:t>日后（适用美国产生处方药品费用情形）</w:t>
      </w:r>
      <w:r>
        <w:rPr>
          <w:color w:val="000000"/>
          <w:spacing w:val="-8"/>
          <w:shd w:val="clear" w:color="auto" w:fill="E4E4E4"/>
        </w:rPr>
        <w:t xml:space="preserve">或第 </w:t>
      </w:r>
      <w:r>
        <w:rPr>
          <w:color w:val="000000"/>
          <w:spacing w:val="-2"/>
          <w:shd w:val="clear" w:color="auto" w:fill="E4E4E4"/>
        </w:rPr>
        <w:t>30</w:t>
      </w:r>
      <w:r>
        <w:rPr>
          <w:color w:val="000000"/>
          <w:spacing w:val="-8"/>
          <w:shd w:val="clear" w:color="auto" w:fill="E4E4E4"/>
        </w:rPr>
        <w:t xml:space="preserve"> 日后</w:t>
      </w:r>
      <w:r>
        <w:rPr>
          <w:color w:val="000000"/>
          <w:spacing w:val="-2"/>
          <w:shd w:val="clear" w:color="auto" w:fill="E4E4E4"/>
        </w:rPr>
        <w:t>（适用美国以外国家和地区产生处方药品费用情形）服用的处方药品费用。</w:t>
      </w:r>
    </w:p>
    <w:p>
      <w:pPr>
        <w:pStyle w:val="4"/>
        <w:spacing w:before="156" w:line="278" w:lineRule="auto"/>
        <w:ind w:left="3017" w:right="345"/>
      </w:pPr>
      <w:r>
        <w:rPr>
          <w:color w:val="000000"/>
          <w:spacing w:val="-2"/>
          <w:shd w:val="clear" w:color="auto" w:fill="E4E4E4"/>
        </w:rPr>
        <w:t>（九）健康检查费、功能医学检查（包括但不限于全套个人化营养评估、抗</w:t>
      </w:r>
      <w:r>
        <w:rPr>
          <w:color w:val="000000"/>
          <w:spacing w:val="80"/>
          <w:w w:val="150"/>
          <w:shd w:val="clear" w:color="auto" w:fill="E4E4E4"/>
        </w:rPr>
        <w:t xml:space="preserve">                                      </w:t>
      </w:r>
      <w:r>
        <w:rPr>
          <w:color w:val="000000"/>
          <w:spacing w:val="-16"/>
          <w:shd w:val="clear" w:color="auto" w:fill="E4E4E4"/>
        </w:rPr>
        <w:t>氧化维生素分析、氧化压力分析、营养与毒性元素分析、肠道免疫功能分析</w:t>
      </w:r>
      <w:r>
        <w:rPr>
          <w:color w:val="000000"/>
          <w:spacing w:val="-2"/>
          <w:shd w:val="clear" w:color="auto" w:fill="E4E4E4"/>
        </w:rPr>
        <w:t>）费，免疫费，出于行政或管理事务目的（包括但不限于与投保保险、招聘、入学或运动相关的体格检查）发生的检查费，旅行和宾馆住宿费用，但若本</w:t>
      </w:r>
      <w:r>
        <w:rPr>
          <w:color w:val="000000"/>
          <w:spacing w:val="-7"/>
          <w:shd w:val="clear" w:color="auto" w:fill="E4E4E4"/>
        </w:rPr>
        <w:t>合同选择了“健康检查责任”或“婴儿检查与免疫责任”，则相关健康检查</w:t>
      </w:r>
      <w:r>
        <w:rPr>
          <w:color w:val="000000"/>
          <w:spacing w:val="-2"/>
          <w:shd w:val="clear" w:color="auto" w:fill="E4E4E4"/>
        </w:rPr>
        <w:t>费用不受此条限制。</w:t>
      </w:r>
    </w:p>
    <w:p>
      <w:pPr>
        <w:pStyle w:val="4"/>
        <w:spacing w:before="156" w:line="278" w:lineRule="auto"/>
        <w:ind w:left="3017" w:right="343"/>
      </w:pPr>
      <w:r>
        <w:rPr>
          <w:color w:val="000000"/>
          <w:w w:val="100"/>
          <w:shd w:val="clear" w:color="auto" w:fill="E4E4E4"/>
        </w:rPr>
        <w:t>（</w:t>
      </w:r>
      <w:r>
        <w:rPr>
          <w:color w:val="000000"/>
          <w:spacing w:val="-3"/>
          <w:w w:val="100"/>
          <w:shd w:val="clear" w:color="auto" w:fill="E4E4E4"/>
        </w:rPr>
        <w:t>十</w:t>
      </w:r>
      <w:r>
        <w:rPr>
          <w:color w:val="000000"/>
          <w:spacing w:val="-14"/>
          <w:w w:val="100"/>
          <w:shd w:val="clear" w:color="auto" w:fill="E4E4E4"/>
        </w:rPr>
        <w:t>）</w:t>
      </w:r>
      <w:r>
        <w:rPr>
          <w:color w:val="000000"/>
          <w:spacing w:val="-8"/>
          <w:w w:val="100"/>
          <w:shd w:val="clear" w:color="auto" w:fill="E4E4E4"/>
        </w:rPr>
        <w:t xml:space="preserve">非处方药品和设备，包括但不限于保健品、膳食补充剂、药妆、戒烟                                                                                                                                 </w:t>
      </w:r>
      <w:r>
        <w:rPr>
          <w:color w:val="000000"/>
          <w:spacing w:val="-11"/>
          <w:w w:val="100"/>
          <w:shd w:val="clear" w:color="auto" w:fill="E4E4E4"/>
        </w:rPr>
        <w:t>药物、食欲抑制剂、头发再生药物、抗光老化药物、美容用品、大剂量维生素、维他命、健康滋补类中草药(包括但不限于</w:t>
      </w:r>
      <w:r>
        <w:rPr>
          <w:color w:val="000000"/>
          <w:w w:val="100"/>
          <w:shd w:val="clear" w:color="auto" w:fill="E4E4E4"/>
        </w:rPr>
        <w:t>：1</w:t>
      </w:r>
      <w:r>
        <w:rPr>
          <w:color w:val="000000"/>
          <w:spacing w:val="-3"/>
          <w:w w:val="100"/>
          <w:shd w:val="clear" w:color="auto" w:fill="E4E4E4"/>
        </w:rPr>
        <w:t>.单味或复方均不予支付</w:t>
      </w:r>
      <w:r>
        <w:rPr>
          <w:color w:val="000000"/>
          <w:spacing w:val="-11"/>
          <w:w w:val="100"/>
          <w:shd w:val="clear" w:color="auto" w:fill="E4E4E4"/>
        </w:rPr>
        <w:t>费用的中药饮片及药材：鹿茸、猴枣、狗宝、海马、海龙、玛瑙、玳瑁、冬</w:t>
      </w:r>
      <w:r>
        <w:rPr>
          <w:color w:val="000000"/>
          <w:spacing w:val="-13"/>
          <w:w w:val="100"/>
          <w:shd w:val="clear" w:color="auto" w:fill="E4E4E4"/>
        </w:rPr>
        <w:t>虫夏草、马宝、牛黄、珊瑚、麝香、羚羊角尖粉、犀角、燕窝、人参</w:t>
      </w:r>
      <w:r>
        <w:rPr>
          <w:color w:val="000000"/>
          <w:spacing w:val="-3"/>
          <w:w w:val="100"/>
          <w:shd w:val="clear" w:color="auto" w:fill="E4E4E4"/>
        </w:rPr>
        <w:t>（</w:t>
      </w:r>
      <w:r>
        <w:rPr>
          <w:color w:val="000000"/>
          <w:w w:val="100"/>
          <w:shd w:val="clear" w:color="auto" w:fill="E4E4E4"/>
        </w:rPr>
        <w:t>生晒</w:t>
      </w:r>
      <w:r>
        <w:rPr>
          <w:color w:val="000000"/>
          <w:spacing w:val="-1"/>
          <w:w w:val="100"/>
          <w:shd w:val="clear" w:color="auto" w:fill="E4E4E4"/>
        </w:rPr>
        <w:t>参除外</w:t>
      </w:r>
      <w:r>
        <w:rPr>
          <w:color w:val="000000"/>
          <w:spacing w:val="-108"/>
          <w:w w:val="100"/>
          <w:shd w:val="clear" w:color="auto" w:fill="E4E4E4"/>
        </w:rPr>
        <w:t>）</w:t>
      </w:r>
      <w:r>
        <w:rPr>
          <w:color w:val="000000"/>
          <w:spacing w:val="-6"/>
          <w:w w:val="100"/>
          <w:shd w:val="clear" w:color="auto" w:fill="E4E4E4"/>
        </w:rPr>
        <w:t>，以及各种可以药用的动物脏器</w:t>
      </w:r>
      <w:r>
        <w:rPr>
          <w:color w:val="000000"/>
          <w:w w:val="100"/>
          <w:shd w:val="clear" w:color="auto" w:fill="E4E4E4"/>
        </w:rPr>
        <w:t>（</w:t>
      </w:r>
      <w:r>
        <w:rPr>
          <w:color w:val="000000"/>
          <w:spacing w:val="-3"/>
          <w:w w:val="100"/>
          <w:shd w:val="clear" w:color="auto" w:fill="E4E4E4"/>
        </w:rPr>
        <w:t>鸡内金除外</w:t>
      </w:r>
      <w:r>
        <w:rPr>
          <w:color w:val="000000"/>
          <w:spacing w:val="-15"/>
          <w:w w:val="100"/>
          <w:shd w:val="clear" w:color="auto" w:fill="E4E4E4"/>
        </w:rPr>
        <w:t>）</w:t>
      </w:r>
      <w:r>
        <w:rPr>
          <w:color w:val="000000"/>
          <w:spacing w:val="-8"/>
          <w:w w:val="100"/>
          <w:shd w:val="clear" w:color="auto" w:fill="E4E4E4"/>
        </w:rPr>
        <w:t>和胎、鞭、尾、筋、骨。2</w:t>
      </w:r>
      <w:r>
        <w:rPr>
          <w:color w:val="000000"/>
          <w:spacing w:val="-3"/>
          <w:w w:val="100"/>
          <w:shd w:val="clear" w:color="auto" w:fill="E4E4E4"/>
        </w:rPr>
        <w:t>.单味使用不予支付费用的中药饮片及药材：阿胶、阿胶珠、鹿角胶、</w:t>
      </w:r>
      <w:r>
        <w:rPr>
          <w:color w:val="000000"/>
          <w:spacing w:val="-16"/>
          <w:w w:val="100"/>
          <w:shd w:val="clear" w:color="auto" w:fill="E4E4E4"/>
        </w:rPr>
        <w:t>鳖甲胶、三七、龟角胶、龟鹿二仙胶、龟板胶、藏红花、生晒参、羚羊角粉。</w:t>
      </w:r>
      <w:r>
        <w:rPr>
          <w:color w:val="000000"/>
          <w:spacing w:val="-16"/>
          <w:w w:val="100"/>
        </w:rPr>
        <w:t xml:space="preserve"> </w:t>
      </w:r>
      <w:r>
        <w:rPr>
          <w:color w:val="000000"/>
          <w:spacing w:val="-16"/>
          <w:w w:val="100"/>
          <w:shd w:val="clear" w:color="auto" w:fill="E4E4E4"/>
        </w:rPr>
        <w:t>3.</w:t>
      </w:r>
      <w:r>
        <w:rPr>
          <w:color w:val="000000"/>
          <w:spacing w:val="-12"/>
          <w:w w:val="100"/>
          <w:shd w:val="clear" w:color="auto" w:fill="E4E4E4"/>
        </w:rPr>
        <w:t>以上所列药品包括生药及炮制后的饮片及药材、中药敷贴、中药熏蒸</w:t>
      </w:r>
      <w:r>
        <w:rPr>
          <w:color w:val="000000"/>
          <w:spacing w:val="-106"/>
          <w:w w:val="100"/>
          <w:shd w:val="clear" w:color="auto" w:fill="E4E4E4"/>
        </w:rPr>
        <w:t>）</w:t>
      </w:r>
      <w:r>
        <w:rPr>
          <w:color w:val="000000"/>
          <w:w w:val="100"/>
          <w:shd w:val="clear" w:color="auto" w:fill="E4E4E4"/>
        </w:rPr>
        <w:t>、</w:t>
      </w:r>
      <w:r>
        <w:rPr>
          <w:color w:val="000000"/>
          <w:spacing w:val="-3"/>
          <w:w w:val="100"/>
          <w:shd w:val="clear" w:color="auto" w:fill="E4E4E4"/>
        </w:rPr>
        <w:t>膏方费，中草药代加工成粉剂、药丸、胶囊、胶或其他制剂发生的加工费，本合同另有约定的不在此限。</w:t>
      </w:r>
    </w:p>
    <w:p>
      <w:pPr>
        <w:pStyle w:val="4"/>
        <w:spacing w:before="155" w:line="278" w:lineRule="auto"/>
        <w:ind w:left="3017" w:right="448"/>
        <w:jc w:val="both"/>
      </w:pPr>
      <w:r>
        <w:rPr>
          <w:color w:val="000000"/>
          <w:spacing w:val="-4"/>
          <w:shd w:val="clear" w:color="auto" w:fill="E4E4E4"/>
        </w:rPr>
        <w:t>（十一）未经被保险人医师开具处方的放射疗法、化学疗法、物理治疗、美</w:t>
      </w:r>
      <w:r>
        <w:rPr>
          <w:color w:val="000000"/>
          <w:spacing w:val="40"/>
          <w:shd w:val="clear" w:color="auto" w:fill="E4E4E4"/>
        </w:rPr>
        <w:t xml:space="preserve"> </w:t>
      </w:r>
      <w:r>
        <w:rPr>
          <w:color w:val="000000"/>
          <w:spacing w:val="-4"/>
          <w:shd w:val="clear" w:color="auto" w:fill="E4E4E4"/>
        </w:rPr>
        <w:t>式脊椎矫正、职业疗法和语音治疗及其他相关费用，但紧急情况下被保险人</w:t>
      </w:r>
      <w:r>
        <w:rPr>
          <w:color w:val="000000"/>
          <w:spacing w:val="-2"/>
          <w:shd w:val="clear" w:color="auto" w:fill="E4E4E4"/>
        </w:rPr>
        <w:t>医师完全了解相应治疗后同意如此治疗的情形不在此限。</w:t>
      </w:r>
    </w:p>
    <w:p>
      <w:pPr>
        <w:pStyle w:val="4"/>
        <w:spacing w:before="155" w:line="278" w:lineRule="auto"/>
        <w:ind w:left="3017" w:right="449"/>
        <w:jc w:val="both"/>
      </w:pPr>
      <w:r>
        <w:rPr>
          <w:color w:val="000000"/>
          <w:spacing w:val="-4"/>
          <w:shd w:val="clear" w:color="auto" w:fill="E4E4E4"/>
        </w:rPr>
        <w:t>（十二）视觉治疗及其他相关费用，包括但不限于激光角膜切开术，准分子</w:t>
      </w:r>
      <w:r>
        <w:rPr>
          <w:color w:val="000000"/>
          <w:spacing w:val="40"/>
          <w:shd w:val="clear" w:color="auto" w:fill="E4E4E4"/>
        </w:rPr>
        <w:t xml:space="preserve"> </w:t>
      </w:r>
      <w:r>
        <w:rPr>
          <w:color w:val="000000"/>
          <w:spacing w:val="-4"/>
          <w:shd w:val="clear" w:color="auto" w:fill="E4E4E4"/>
        </w:rPr>
        <w:t>激光原位角膜磨镶术，老视，屈光不正（近视、远视、散光）校正手术及其</w:t>
      </w:r>
      <w:r>
        <w:rPr>
          <w:color w:val="000000"/>
          <w:spacing w:val="-2"/>
          <w:shd w:val="clear" w:color="auto" w:fill="E4E4E4"/>
        </w:rPr>
        <w:t>他相关费用，因眼科疾病导致的医疗费用除外。</w:t>
      </w:r>
    </w:p>
    <w:p>
      <w:pPr>
        <w:spacing w:before="156"/>
        <w:ind w:left="0" w:right="343" w:firstLine="0"/>
        <w:jc w:val="right"/>
        <w:rPr>
          <w:sz w:val="21"/>
        </w:rPr>
      </w:pPr>
      <w:r>
        <w:pict>
          <v:shape id="docshape5" o:spid="_x0000_s1030" o:spt="202" type="#_x0000_t202" style="position:absolute;left:0pt;margin-left:195.85pt;margin-top:7.6pt;height:76pt;width:342.7pt;mso-position-horizontal-relative:page;z-index:251661312;mso-width-relative:page;mso-height-relative:page;" filled="f" stroked="f" coordsize="21600,21600">
            <v:path/>
            <v:fill on="f" focussize="0,0"/>
            <v:stroke on="f" joinstyle="miter"/>
            <v:imagedata o:title=""/>
            <o:lock v:ext="edit"/>
            <v:textbox inset="0mm,0mm,0mm,0mm">
              <w:txbxContent>
                <w:tbl>
                  <w:tblPr>
                    <w:tblStyle w:val="6"/>
                    <w:tblW w:w="0" w:type="auto"/>
                    <w:tblInd w:w="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515"/>
                    <w:gridCol w:w="33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0" w:hRule="atLeast"/>
                    </w:trPr>
                    <w:tc>
                      <w:tcPr>
                        <w:tcW w:w="6853" w:type="dxa"/>
                        <w:gridSpan w:val="2"/>
                        <w:tcBorders>
                          <w:bottom w:val="single" w:color="FFFFFF" w:sz="18" w:space="0"/>
                        </w:tcBorders>
                        <w:shd w:val="clear" w:color="auto" w:fill="E4E4E4"/>
                      </w:tcPr>
                      <w:p>
                        <w:pPr>
                          <w:pStyle w:val="10"/>
                          <w:spacing w:before="0" w:line="250" w:lineRule="exact"/>
                          <w:rPr>
                            <w:sz w:val="21"/>
                          </w:rPr>
                        </w:pPr>
                        <w:r>
                          <w:rPr>
                            <w:w w:val="95"/>
                            <w:sz w:val="21"/>
                          </w:rPr>
                          <w:t>（十三）静养疗法、</w:t>
                        </w:r>
                        <w:r>
                          <w:rPr>
                            <w:b/>
                            <w:w w:val="95"/>
                            <w:sz w:val="21"/>
                          </w:rPr>
                          <w:t>监护</w:t>
                        </w:r>
                        <w:r>
                          <w:rPr>
                            <w:b/>
                            <w:w w:val="95"/>
                            <w:position w:val="11"/>
                            <w:sz w:val="11"/>
                          </w:rPr>
                          <w:t>43</w:t>
                        </w:r>
                        <w:r>
                          <w:rPr>
                            <w:w w:val="95"/>
                            <w:sz w:val="21"/>
                          </w:rPr>
                          <w:t>及家</w:t>
                        </w:r>
                        <w:r>
                          <w:rPr>
                            <w:spacing w:val="-1"/>
                            <w:w w:val="95"/>
                            <w:sz w:val="21"/>
                          </w:rPr>
                          <w:t>居照料费，在护理之家、养老院接受护理费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6" w:hRule="atLeast"/>
                    </w:trPr>
                    <w:tc>
                      <w:tcPr>
                        <w:tcW w:w="6853" w:type="dxa"/>
                        <w:gridSpan w:val="2"/>
                        <w:tcBorders>
                          <w:top w:val="single" w:color="FFFFFF" w:sz="18" w:space="0"/>
                          <w:bottom w:val="single" w:color="FFFFFF" w:sz="18" w:space="0"/>
                        </w:tcBorders>
                        <w:shd w:val="clear" w:color="auto" w:fill="E4E4E4"/>
                      </w:tcPr>
                      <w:p>
                        <w:pPr>
                          <w:pStyle w:val="10"/>
                          <w:spacing w:before="0" w:line="247" w:lineRule="exact"/>
                          <w:ind w:right="-15"/>
                          <w:rPr>
                            <w:sz w:val="21"/>
                          </w:rPr>
                        </w:pPr>
                        <w:r>
                          <w:rPr>
                            <w:spacing w:val="-5"/>
                            <w:sz w:val="21"/>
                          </w:rPr>
                          <w:t>为休息、观察而实施的环境疗法费，在任何长期护理机构、矿泉疗养地、水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7" w:hRule="atLeast"/>
                    </w:trPr>
                    <w:tc>
                      <w:tcPr>
                        <w:tcW w:w="6853" w:type="dxa"/>
                        <w:gridSpan w:val="2"/>
                        <w:tcBorders>
                          <w:top w:val="single" w:color="FFFFFF" w:sz="18" w:space="0"/>
                          <w:bottom w:val="single" w:color="FFFFFF" w:sz="18" w:space="0"/>
                        </w:tcBorders>
                        <w:shd w:val="clear" w:color="auto" w:fill="E4E4E4"/>
                      </w:tcPr>
                      <w:p>
                        <w:pPr>
                          <w:pStyle w:val="10"/>
                          <w:spacing w:before="0" w:line="247" w:lineRule="exact"/>
                          <w:ind w:right="-15"/>
                          <w:rPr>
                            <w:sz w:val="21"/>
                          </w:rPr>
                        </w:pPr>
                        <w:r>
                          <w:rPr>
                            <w:spacing w:val="-5"/>
                            <w:sz w:val="21"/>
                          </w:rPr>
                          <w:t>疗院门诊、康复机构、疗养院、养老院等非本合同规定的医疗机构接受的服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7" w:hRule="atLeast"/>
                    </w:trPr>
                    <w:tc>
                      <w:tcPr>
                        <w:tcW w:w="6853" w:type="dxa"/>
                        <w:gridSpan w:val="2"/>
                        <w:tcBorders>
                          <w:top w:val="single" w:color="FFFFFF" w:sz="18" w:space="0"/>
                          <w:bottom w:val="single" w:color="FFFFFF" w:sz="18" w:space="0"/>
                        </w:tcBorders>
                        <w:shd w:val="clear" w:color="auto" w:fill="E4E4E4"/>
                      </w:tcPr>
                      <w:p>
                        <w:pPr>
                          <w:pStyle w:val="10"/>
                          <w:spacing w:before="0" w:line="247" w:lineRule="exact"/>
                          <w:ind w:right="-15"/>
                          <w:rPr>
                            <w:sz w:val="21"/>
                          </w:rPr>
                        </w:pPr>
                        <w:r>
                          <w:rPr>
                            <w:spacing w:val="-10"/>
                            <w:sz w:val="21"/>
                          </w:rPr>
                          <w:t>务或治疗及其他相关费用，医疗机构已实际成为或倾向作为被保险人住家或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0" w:hRule="atLeast"/>
                    </w:trPr>
                    <w:tc>
                      <w:tcPr>
                        <w:tcW w:w="6515" w:type="dxa"/>
                        <w:tcBorders>
                          <w:top w:val="single" w:color="FFFFFF" w:sz="18" w:space="0"/>
                        </w:tcBorders>
                        <w:shd w:val="clear" w:color="auto" w:fill="E4E4E4"/>
                      </w:tcPr>
                      <w:p>
                        <w:pPr>
                          <w:pStyle w:val="10"/>
                          <w:spacing w:before="0" w:line="250" w:lineRule="exact"/>
                          <w:ind w:right="-15"/>
                          <w:rPr>
                            <w:sz w:val="21"/>
                          </w:rPr>
                        </w:pPr>
                        <w:r>
                          <w:rPr>
                            <w:spacing w:val="-3"/>
                            <w:sz w:val="21"/>
                          </w:rPr>
                          <w:t>常住处情形下发生的费用，完全或部分因为家庭原因的住院医疗费用。</w:t>
                        </w:r>
                      </w:p>
                    </w:tc>
                    <w:tc>
                      <w:tcPr>
                        <w:tcW w:w="338" w:type="dxa"/>
                        <w:tcBorders>
                          <w:top w:val="single" w:color="FFFFFF" w:sz="18" w:space="0"/>
                        </w:tcBorders>
                      </w:tcPr>
                      <w:p>
                        <w:pPr>
                          <w:pStyle w:val="10"/>
                          <w:spacing w:before="0"/>
                          <w:rPr>
                            <w:rFonts w:ascii="Times New Roman"/>
                            <w:sz w:val="20"/>
                          </w:rPr>
                        </w:pPr>
                      </w:p>
                    </w:tc>
                  </w:tr>
                </w:tbl>
                <w:p>
                  <w:pPr>
                    <w:pStyle w:val="4"/>
                  </w:pPr>
                </w:p>
              </w:txbxContent>
            </v:textbox>
          </v:shape>
        </w:pict>
      </w:r>
      <w:r>
        <w:rPr>
          <w:w w:val="100"/>
          <w:sz w:val="21"/>
        </w:rPr>
        <w:t>，</w:t>
      </w:r>
    </w:p>
    <w:p>
      <w:pPr>
        <w:pStyle w:val="4"/>
        <w:rPr>
          <w:sz w:val="20"/>
        </w:rPr>
      </w:pPr>
    </w:p>
    <w:p>
      <w:pPr>
        <w:pStyle w:val="4"/>
        <w:rPr>
          <w:sz w:val="20"/>
        </w:rPr>
      </w:pPr>
    </w:p>
    <w:p>
      <w:pPr>
        <w:pStyle w:val="4"/>
        <w:rPr>
          <w:sz w:val="20"/>
        </w:rPr>
      </w:pPr>
    </w:p>
    <w:p>
      <w:pPr>
        <w:pStyle w:val="4"/>
        <w:rPr>
          <w:sz w:val="20"/>
        </w:rPr>
      </w:pPr>
    </w:p>
    <w:p>
      <w:pPr>
        <w:pStyle w:val="4"/>
        <w:rPr>
          <w:sz w:val="20"/>
        </w:rPr>
      </w:pPr>
    </w:p>
    <w:p>
      <w:pPr>
        <w:pStyle w:val="4"/>
        <w:spacing w:before="166"/>
        <w:ind w:left="3017"/>
      </w:pPr>
      <w:r>
        <w:rPr>
          <w:color w:val="000000"/>
          <w:spacing w:val="-4"/>
          <w:shd w:val="clear" w:color="auto" w:fill="E4E4E4"/>
        </w:rPr>
        <w:t>（十四）</w:t>
      </w:r>
      <w:r>
        <w:rPr>
          <w:color w:val="000000"/>
          <w:spacing w:val="-5"/>
          <w:shd w:val="clear" w:color="auto" w:fill="E4E4E4"/>
        </w:rPr>
        <w:t>选择性手术和治疗及其他相关费用，仅为改善或提高目前身体状况</w:t>
      </w:r>
    </w:p>
    <w:p>
      <w:pPr>
        <w:pStyle w:val="4"/>
        <w:spacing w:before="43"/>
        <w:ind w:left="3017"/>
      </w:pPr>
      <w:r>
        <w:rPr>
          <w:color w:val="000000"/>
          <w:spacing w:val="-2"/>
          <w:shd w:val="clear" w:color="auto" w:fill="E4E4E4"/>
        </w:rPr>
        <w:t>（包括但不限于中医调理）</w:t>
      </w:r>
      <w:r>
        <w:rPr>
          <w:color w:val="000000"/>
          <w:spacing w:val="-3"/>
          <w:shd w:val="clear" w:color="auto" w:fill="E4E4E4"/>
        </w:rPr>
        <w:t>而发生的、非医学必需的费用。</w:t>
      </w:r>
    </w:p>
    <w:p>
      <w:pPr>
        <w:pStyle w:val="4"/>
        <w:spacing w:before="2"/>
        <w:rPr>
          <w:sz w:val="28"/>
        </w:rPr>
      </w:pPr>
      <w:r>
        <w:drawing>
          <wp:anchor distT="0" distB="0" distL="0" distR="0" simplePos="0" relativeHeight="251659264" behindDoc="0" locked="0" layoutInCell="1" allowOverlap="1">
            <wp:simplePos x="0" y="0"/>
            <wp:positionH relativeFrom="page">
              <wp:posOffset>685800</wp:posOffset>
            </wp:positionH>
            <wp:positionV relativeFrom="paragraph">
              <wp:posOffset>244475</wp:posOffset>
            </wp:positionV>
            <wp:extent cx="1829435" cy="6350"/>
            <wp:effectExtent l="0" t="0" r="0" b="0"/>
            <wp:wrapTopAndBottom/>
            <wp:docPr id="35"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6.png"/>
                    <pic:cNvPicPr>
                      <a:picLocks noChangeAspect="1"/>
                    </pic:cNvPicPr>
                  </pic:nvPicPr>
                  <pic:blipFill>
                    <a:blip r:embed="rId11" cstate="print"/>
                    <a:stretch>
                      <a:fillRect/>
                    </a:stretch>
                  </pic:blipFill>
                  <pic:spPr>
                    <a:xfrm>
                      <a:off x="0" y="0"/>
                      <a:ext cx="1829511" cy="6096"/>
                    </a:xfrm>
                    <a:prstGeom prst="rect">
                      <a:avLst/>
                    </a:prstGeom>
                  </pic:spPr>
                </pic:pic>
              </a:graphicData>
            </a:graphic>
          </wp:anchor>
        </w:drawing>
      </w:r>
    </w:p>
    <w:p>
      <w:pPr>
        <w:spacing w:before="91"/>
        <w:ind w:left="180" w:right="0" w:firstLine="0"/>
        <w:jc w:val="left"/>
        <w:rPr>
          <w:rFonts w:ascii="楷体" w:eastAsia="楷体"/>
          <w:sz w:val="18"/>
        </w:rPr>
      </w:pPr>
      <w:r>
        <w:rPr>
          <w:rFonts w:hint="eastAsia" w:ascii="楷体" w:eastAsia="楷体"/>
          <w:b/>
          <w:w w:val="95"/>
          <w:position w:val="9"/>
          <w:sz w:val="9"/>
        </w:rPr>
        <w:t>43</w:t>
      </w:r>
      <w:r>
        <w:rPr>
          <w:rFonts w:hint="eastAsia" w:ascii="楷体" w:eastAsia="楷体"/>
          <w:b/>
          <w:w w:val="95"/>
          <w:sz w:val="18"/>
        </w:rPr>
        <w:t>监护：</w:t>
      </w:r>
      <w:r>
        <w:rPr>
          <w:rFonts w:ascii="楷体" w:eastAsia="楷体"/>
          <w:w w:val="95"/>
          <w:sz w:val="18"/>
        </w:rPr>
        <w:t>包括以下情形：（一）对其治疗医师认为已达到最大限度康复但仍存在身体或智力残疾人员提供的床位、护理等</w:t>
      </w:r>
      <w:r>
        <w:rPr>
          <w:rFonts w:ascii="楷体" w:eastAsia="楷体"/>
          <w:spacing w:val="-10"/>
          <w:w w:val="95"/>
          <w:sz w:val="18"/>
        </w:rPr>
        <w:t>服</w:t>
      </w:r>
    </w:p>
    <w:p>
      <w:pPr>
        <w:spacing w:before="2" w:line="244" w:lineRule="auto"/>
        <w:ind w:left="180" w:right="420" w:firstLine="0"/>
        <w:jc w:val="left"/>
        <w:rPr>
          <w:rFonts w:ascii="楷体" w:eastAsia="楷体"/>
          <w:sz w:val="18"/>
        </w:rPr>
      </w:pPr>
      <w:r>
        <w:rPr>
          <w:rFonts w:ascii="楷体" w:eastAsia="楷体"/>
          <w:spacing w:val="-4"/>
          <w:sz w:val="18"/>
        </w:rPr>
        <w:t>务；（二）对预计医疗或手术已不能使其在医疗机构外生活人员提供的床位、护理等服务；（三）修养疗法、喘息照护，以及</w:t>
      </w:r>
      <w:r>
        <w:rPr>
          <w:rFonts w:ascii="楷体" w:eastAsia="楷体"/>
          <w:spacing w:val="-2"/>
          <w:sz w:val="18"/>
        </w:rPr>
        <w:t>家庭成员提供的家庭看护。</w:t>
      </w:r>
    </w:p>
    <w:p>
      <w:pPr>
        <w:spacing w:after="0" w:line="244" w:lineRule="auto"/>
        <w:jc w:val="left"/>
        <w:rPr>
          <w:rFonts w:ascii="楷体" w:eastAsia="楷体"/>
          <w:sz w:val="18"/>
        </w:rPr>
        <w:sectPr>
          <w:pgSz w:w="11910" w:h="16840"/>
          <w:pgMar w:top="1400" w:right="680" w:bottom="280" w:left="900" w:header="720" w:footer="720" w:gutter="0"/>
          <w:cols w:space="720" w:num="1"/>
        </w:sectPr>
      </w:pPr>
    </w:p>
    <w:p>
      <w:pPr>
        <w:pStyle w:val="4"/>
        <w:spacing w:before="44" w:line="278" w:lineRule="auto"/>
        <w:ind w:left="3017" w:right="343"/>
      </w:pPr>
      <w:r>
        <w:rPr>
          <w:color w:val="000000"/>
          <w:spacing w:val="-6"/>
          <w:shd w:val="clear" w:color="auto" w:fill="E4E4E4"/>
        </w:rPr>
        <w:t>（十五）无论是否出于心理目的而进行的美容、整容（包括牙科治疗）费用，</w:t>
      </w:r>
      <w:r>
        <w:rPr>
          <w:color w:val="000000"/>
          <w:spacing w:val="80"/>
          <w:w w:val="150"/>
          <w:shd w:val="clear" w:color="auto" w:fill="E4E4E4"/>
        </w:rPr>
        <w:t xml:space="preserve">                                      </w:t>
      </w:r>
      <w:r>
        <w:rPr>
          <w:color w:val="000000"/>
          <w:spacing w:val="-10"/>
          <w:shd w:val="clear" w:color="auto" w:fill="E4E4E4"/>
        </w:rPr>
        <w:t>但若本合同选择了“牙科责任”，则涉及“牙齿矫正治疗费”的相关费用科</w:t>
      </w:r>
      <w:r>
        <w:rPr>
          <w:color w:val="000000"/>
          <w:spacing w:val="-2"/>
          <w:shd w:val="clear" w:color="auto" w:fill="E4E4E4"/>
        </w:rPr>
        <w:t>目不受此限。</w:t>
      </w:r>
    </w:p>
    <w:p>
      <w:pPr>
        <w:pStyle w:val="4"/>
        <w:spacing w:before="156" w:line="278" w:lineRule="auto"/>
        <w:ind w:left="3017" w:right="449"/>
        <w:jc w:val="both"/>
      </w:pPr>
      <w:r>
        <w:rPr>
          <w:color w:val="000000"/>
          <w:spacing w:val="-4"/>
          <w:shd w:val="clear" w:color="auto" w:fill="E4E4E4"/>
        </w:rPr>
        <w:t>（十六）对未表现出可疑细胞行为（如近期大小、形状、颜色发生改变）的</w:t>
      </w:r>
      <w:r>
        <w:rPr>
          <w:color w:val="000000"/>
          <w:spacing w:val="40"/>
          <w:shd w:val="clear" w:color="auto" w:fill="E4E4E4"/>
        </w:rPr>
        <w:t xml:space="preserve"> </w:t>
      </w:r>
      <w:r>
        <w:rPr>
          <w:color w:val="000000"/>
          <w:spacing w:val="-4"/>
          <w:shd w:val="clear" w:color="auto" w:fill="E4E4E4"/>
        </w:rPr>
        <w:t>良性皮肤损害（包括但不限于黄褐斑、皮肤白斑、色素沉着）的治疗、祛除及其他相关费用，蜘蛛脉、除瘢痕疙瘩型外的其他瘢痕、纹身去除、皮肤变色治疗及其他相关费用，非医学必需的对白癫风、浅表静脉曲张的治疗及其</w:t>
      </w:r>
      <w:r>
        <w:rPr>
          <w:color w:val="000000"/>
          <w:spacing w:val="-2"/>
          <w:shd w:val="clear" w:color="auto" w:fill="E4E4E4"/>
        </w:rPr>
        <w:t>他相关费用。</w:t>
      </w:r>
    </w:p>
    <w:p>
      <w:pPr>
        <w:pStyle w:val="4"/>
        <w:spacing w:before="156"/>
        <w:ind w:left="3017"/>
      </w:pPr>
      <w:r>
        <w:rPr>
          <w:color w:val="000000"/>
          <w:spacing w:val="-2"/>
          <w:shd w:val="clear" w:color="auto" w:fill="E4E4E4"/>
        </w:rPr>
        <w:t>（十七）</w:t>
      </w:r>
      <w:r>
        <w:rPr>
          <w:color w:val="000000"/>
          <w:spacing w:val="-3"/>
          <w:shd w:val="clear" w:color="auto" w:fill="E4E4E4"/>
        </w:rPr>
        <w:t>丰胸或缩胸手术及其并发症治疗及其他相关费用。</w:t>
      </w:r>
    </w:p>
    <w:p>
      <w:pPr>
        <w:pStyle w:val="4"/>
        <w:spacing w:before="4"/>
        <w:rPr>
          <w:sz w:val="13"/>
        </w:rPr>
      </w:pPr>
      <w:r>
        <w:drawing>
          <wp:anchor distT="0" distB="0" distL="0" distR="0" simplePos="0" relativeHeight="251668480" behindDoc="1" locked="0" layoutInCell="1" allowOverlap="1">
            <wp:simplePos x="0" y="0"/>
            <wp:positionH relativeFrom="page">
              <wp:posOffset>2487295</wp:posOffset>
            </wp:positionH>
            <wp:positionV relativeFrom="paragraph">
              <wp:posOffset>520065</wp:posOffset>
            </wp:positionV>
            <wp:extent cx="4351655" cy="173990"/>
            <wp:effectExtent l="0" t="0" r="0" b="0"/>
            <wp:wrapNone/>
            <wp:docPr id="37"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8.png"/>
                    <pic:cNvPicPr>
                      <a:picLocks noChangeAspect="1"/>
                    </pic:cNvPicPr>
                  </pic:nvPicPr>
                  <pic:blipFill>
                    <a:blip r:embed="rId13" cstate="print"/>
                    <a:stretch>
                      <a:fillRect/>
                    </a:stretch>
                  </pic:blipFill>
                  <pic:spPr>
                    <a:xfrm>
                      <a:off x="0" y="0"/>
                      <a:ext cx="4351908" cy="174040"/>
                    </a:xfrm>
                    <a:prstGeom prst="rect">
                      <a:avLst/>
                    </a:prstGeom>
                  </pic:spPr>
                </pic:pic>
              </a:graphicData>
            </a:graphic>
          </wp:anchor>
        </w:drawing>
      </w:r>
      <w:r>
        <w:pict>
          <v:shape id="docshape6" o:spid="_x0000_s1031" o:spt="202" type="#_x0000_t202" style="position:absolute;left:0pt;margin-left:195.85pt;margin-top:40.95pt;height:13.75pt;width:348.2pt;mso-position-horizontal-relative:page;z-index:-251646976;mso-width-relative:page;mso-height-relative:page;" filled="f" stroked="f" coordsize="21600,21600">
            <v:path/>
            <v:fill on="f" focussize="0,0"/>
            <v:stroke on="f" joinstyle="miter"/>
            <v:imagedata o:title=""/>
            <o:lock v:ext="edit"/>
            <v:textbox inset="0mm,0mm,0mm,0mm">
              <w:txbxContent>
                <w:p>
                  <w:pPr>
                    <w:pStyle w:val="4"/>
                    <w:spacing w:before="4"/>
                  </w:pPr>
                  <w:r>
                    <w:rPr>
                      <w:spacing w:val="-16"/>
                    </w:rPr>
                    <w:t>发、女性与年龄相关脱发、疾病或意外伤害导致的脱发等情形时的头发移植。</w:t>
                  </w:r>
                </w:p>
              </w:txbxContent>
            </v:textbox>
          </v:shape>
        </w:pict>
      </w:r>
      <w:r>
        <w:pict>
          <v:shape id="docshape7" o:spid="_x0000_s1032" o:spt="202" type="#_x0000_t202" style="position:absolute;left:0pt;margin-left:195.85pt;margin-top:25.35pt;height:13.7pt;width:342.7pt;mso-position-horizontal-relative:page;z-index:-251646976;mso-width-relative:page;mso-height-relative:page;" fillcolor="#E4E4E4" filled="t" stroked="f" coordsize="21600,21600">
            <v:path/>
            <v:fill on="t" focussize="0,0"/>
            <v:stroke on="f" joinstyle="miter"/>
            <v:imagedata o:title=""/>
            <o:lock v:ext="edit"/>
            <v:textbox inset="0mm,0mm,0mm,0mm">
              <w:txbxContent>
                <w:p>
                  <w:pPr>
                    <w:pStyle w:val="4"/>
                    <w:spacing w:before="3"/>
                    <w:ind w:right="-15"/>
                    <w:rPr>
                      <w:color w:val="000000"/>
                    </w:rPr>
                  </w:pPr>
                  <w:r>
                    <w:rPr>
                      <w:color w:val="000000"/>
                      <w:spacing w:val="-5"/>
                    </w:rPr>
                    <w:t>他种类秃发的治疗，以激光、电解、蜡或其他方法祛除毛发，发生男性型脱</w:t>
                  </w:r>
                </w:p>
              </w:txbxContent>
            </v:textbox>
          </v:shape>
        </w:pict>
      </w:r>
      <w:r>
        <w:pict>
          <v:shape id="docshape8" o:spid="_x0000_s1033" o:spt="202" type="#_x0000_t202" style="position:absolute;left:0pt;margin-left:195.85pt;margin-top:9.75pt;height:13.7pt;width:342.7pt;mso-position-horizontal-relative:page;mso-wrap-distance-bottom:0pt;mso-wrap-distance-top:0pt;z-index:-251641856;mso-width-relative:page;mso-height-relative:page;" fillcolor="#E4E4E4" filled="t" stroked="f" coordsize="21600,21600">
            <v:path/>
            <v:fill on="t" focussize="0,0"/>
            <v:stroke on="f" joinstyle="miter"/>
            <v:imagedata o:title=""/>
            <o:lock v:ext="edit"/>
            <v:textbox inset="0mm,0mm,0mm,0mm">
              <w:txbxContent>
                <w:p>
                  <w:pPr>
                    <w:pStyle w:val="4"/>
                    <w:spacing w:before="3"/>
                    <w:ind w:right="-15"/>
                    <w:rPr>
                      <w:color w:val="000000"/>
                    </w:rPr>
                  </w:pPr>
                  <w:r>
                    <w:rPr>
                      <w:color w:val="000000"/>
                      <w:spacing w:val="-4"/>
                    </w:rPr>
                    <w:t>（十八）</w:t>
                  </w:r>
                  <w:r>
                    <w:rPr>
                      <w:color w:val="000000"/>
                      <w:spacing w:val="-5"/>
                    </w:rPr>
                    <w:t>与脱发相关的治疗及其他相关费用，包括但不限于男性型脱发或其</w:t>
                  </w:r>
                </w:p>
              </w:txbxContent>
            </v:textbox>
            <w10:wrap type="topAndBottom"/>
          </v:shape>
        </w:pict>
      </w:r>
    </w:p>
    <w:p>
      <w:pPr>
        <w:pStyle w:val="4"/>
        <w:spacing w:before="11"/>
        <w:rPr>
          <w:sz w:val="9"/>
        </w:rPr>
      </w:pPr>
    </w:p>
    <w:p>
      <w:pPr>
        <w:pStyle w:val="4"/>
        <w:spacing w:before="71" w:line="278" w:lineRule="auto"/>
        <w:ind w:left="3017" w:right="372"/>
      </w:pPr>
      <w:r>
        <w:rPr>
          <w:color w:val="000000"/>
          <w:spacing w:val="-2"/>
          <w:shd w:val="clear" w:color="auto" w:fill="E4E4E4"/>
        </w:rPr>
        <w:t>（十九）戒烟治疗及其他相关费用，减肥和任何为减肥接受的治疗、咨询、</w:t>
      </w:r>
      <w:r>
        <w:rPr>
          <w:color w:val="000000"/>
          <w:spacing w:val="80"/>
          <w:w w:val="150"/>
          <w:shd w:val="clear" w:color="auto" w:fill="E4E4E4"/>
        </w:rPr>
        <w:t xml:space="preserve">                                     </w:t>
      </w:r>
      <w:r>
        <w:rPr>
          <w:color w:val="000000"/>
          <w:spacing w:val="-2"/>
          <w:shd w:val="clear" w:color="auto" w:fill="E4E4E4"/>
        </w:rPr>
        <w:t>饮食费，减肥代餐费，与单纯性肥胖和病理性肥胖相关治疗（包括但不限于胃旁路术、胃球置放术、胃分隔术、空肠回肠旁路术）及相应并发症治疗及其他相关费用。</w:t>
      </w:r>
    </w:p>
    <w:p>
      <w:pPr>
        <w:pStyle w:val="4"/>
        <w:spacing w:before="156" w:line="278" w:lineRule="auto"/>
        <w:ind w:left="3017" w:right="449"/>
      </w:pPr>
      <w:r>
        <w:rPr>
          <w:color w:val="000000"/>
          <w:spacing w:val="-4"/>
          <w:shd w:val="clear" w:color="auto" w:fill="E4E4E4"/>
        </w:rPr>
        <w:t>（二十）器官移植供体费用、器官来源费用、低温储藏费用，与不孕不育症</w:t>
      </w:r>
      <w:r>
        <w:rPr>
          <w:color w:val="000000"/>
          <w:spacing w:val="80"/>
          <w:w w:val="150"/>
          <w:shd w:val="clear" w:color="auto" w:fill="E4E4E4"/>
        </w:rPr>
        <w:t xml:space="preserve">                                     </w:t>
      </w:r>
      <w:r>
        <w:rPr>
          <w:color w:val="000000"/>
          <w:spacing w:val="-2"/>
          <w:shd w:val="clear" w:color="auto" w:fill="E4E4E4"/>
        </w:rPr>
        <w:t>或生育治疗相关的移植费用。</w:t>
      </w:r>
    </w:p>
    <w:p>
      <w:pPr>
        <w:spacing w:before="146"/>
        <w:ind w:left="3017" w:right="0" w:firstLine="0"/>
        <w:jc w:val="left"/>
        <w:rPr>
          <w:sz w:val="21"/>
        </w:rPr>
      </w:pPr>
      <w:r>
        <w:rPr>
          <w:color w:val="000000"/>
          <w:spacing w:val="-2"/>
          <w:sz w:val="21"/>
          <w:shd w:val="clear" w:color="auto" w:fill="E4E4E4"/>
        </w:rPr>
        <w:t>（二十一）被保险人</w:t>
      </w:r>
      <w:r>
        <w:rPr>
          <w:b/>
          <w:color w:val="000000"/>
          <w:spacing w:val="-2"/>
          <w:sz w:val="21"/>
          <w:shd w:val="clear" w:color="auto" w:fill="E4E4E4"/>
        </w:rPr>
        <w:t>感染艾滋病病毒或患艾滋病</w:t>
      </w:r>
      <w:r>
        <w:rPr>
          <w:color w:val="000000"/>
          <w:spacing w:val="-2"/>
          <w:position w:val="11"/>
          <w:sz w:val="11"/>
        </w:rPr>
        <w:t>44</w:t>
      </w:r>
      <w:r>
        <w:rPr>
          <w:color w:val="000000"/>
          <w:spacing w:val="-10"/>
          <w:sz w:val="21"/>
          <w:shd w:val="clear" w:color="auto" w:fill="E4E4E4"/>
        </w:rPr>
        <w:t>。</w:t>
      </w:r>
    </w:p>
    <w:p>
      <w:pPr>
        <w:pStyle w:val="4"/>
        <w:spacing w:before="12"/>
        <w:rPr>
          <w:sz w:val="9"/>
        </w:rPr>
      </w:pPr>
    </w:p>
    <w:p>
      <w:pPr>
        <w:pStyle w:val="4"/>
        <w:spacing w:before="71" w:line="278" w:lineRule="auto"/>
        <w:ind w:left="3017" w:right="449"/>
      </w:pPr>
      <w:r>
        <w:rPr>
          <w:color w:val="000000"/>
          <w:spacing w:val="-4"/>
          <w:shd w:val="clear" w:color="auto" w:fill="E4E4E4"/>
        </w:rPr>
        <w:t>（二十二）基因咨询、筛查、检查和治疗及其他相关费用，经本公司许可的</w:t>
      </w:r>
      <w:r>
        <w:rPr>
          <w:color w:val="000000"/>
          <w:spacing w:val="80"/>
          <w:w w:val="150"/>
          <w:shd w:val="clear" w:color="auto" w:fill="E4E4E4"/>
        </w:rPr>
        <w:t xml:space="preserve">                                     </w:t>
      </w:r>
      <w:r>
        <w:rPr>
          <w:color w:val="000000"/>
          <w:spacing w:val="-2"/>
          <w:shd w:val="clear" w:color="auto" w:fill="E4E4E4"/>
        </w:rPr>
        <w:t>医学必需情形不在此限。</w:t>
      </w:r>
    </w:p>
    <w:p>
      <w:pPr>
        <w:pStyle w:val="4"/>
        <w:spacing w:before="157" w:line="278" w:lineRule="auto"/>
        <w:ind w:left="3017" w:right="372"/>
      </w:pPr>
      <w:r>
        <w:rPr>
          <w:color w:val="000000"/>
          <w:spacing w:val="-2"/>
          <w:shd w:val="clear" w:color="auto" w:fill="E4E4E4"/>
        </w:rPr>
        <w:t>（二十三）对流产或不孕不育症的检查、治疗及其他相关费用；孕前准备、</w:t>
      </w:r>
      <w:r>
        <w:rPr>
          <w:color w:val="000000"/>
          <w:spacing w:val="80"/>
          <w:w w:val="150"/>
          <w:shd w:val="clear" w:color="auto" w:fill="E4E4E4"/>
        </w:rPr>
        <w:t xml:space="preserve">                                     </w:t>
      </w:r>
      <w:r>
        <w:rPr>
          <w:color w:val="000000"/>
          <w:spacing w:val="-2"/>
          <w:shd w:val="clear" w:color="auto" w:fill="E4E4E4"/>
        </w:rPr>
        <w:t>检查、治疗及其他相关费用。但在同时满足下列两项条件下为查明不孕不育症或流产原因而发生的费用不在此限：</w:t>
      </w:r>
    </w:p>
    <w:p>
      <w:pPr>
        <w:pStyle w:val="9"/>
        <w:numPr>
          <w:ilvl w:val="3"/>
          <w:numId w:val="4"/>
        </w:numPr>
        <w:tabs>
          <w:tab w:val="left" w:pos="3230"/>
        </w:tabs>
        <w:spacing w:before="155" w:after="0" w:line="240" w:lineRule="auto"/>
        <w:ind w:left="3229" w:right="0" w:hanging="213"/>
        <w:jc w:val="left"/>
        <w:rPr>
          <w:sz w:val="19"/>
        </w:rPr>
      </w:pPr>
      <w:r>
        <w:rPr>
          <w:color w:val="000000"/>
          <w:spacing w:val="-3"/>
          <w:sz w:val="21"/>
          <w:shd w:val="clear" w:color="auto" w:fill="E4E4E4"/>
        </w:rPr>
        <w:t>投保本合同时被保险人已续保享有高端医疗保险两年或以上；</w:t>
      </w:r>
    </w:p>
    <w:p>
      <w:pPr>
        <w:pStyle w:val="4"/>
        <w:spacing w:before="12"/>
        <w:rPr>
          <w:sz w:val="9"/>
        </w:rPr>
      </w:pPr>
    </w:p>
    <w:p>
      <w:pPr>
        <w:pStyle w:val="9"/>
        <w:numPr>
          <w:ilvl w:val="3"/>
          <w:numId w:val="4"/>
        </w:numPr>
        <w:tabs>
          <w:tab w:val="left" w:pos="3230"/>
        </w:tabs>
        <w:spacing w:before="72" w:after="0" w:line="240" w:lineRule="auto"/>
        <w:ind w:left="3229" w:right="0" w:hanging="213"/>
        <w:jc w:val="left"/>
        <w:rPr>
          <w:sz w:val="19"/>
        </w:rPr>
      </w:pPr>
      <w:r>
        <w:rPr>
          <w:color w:val="000000"/>
          <w:spacing w:val="-3"/>
          <w:sz w:val="21"/>
          <w:shd w:val="clear" w:color="auto" w:fill="E4E4E4"/>
        </w:rPr>
        <w:t>初次投保时对不孕不育症不知悉且未采取过任何形式的辅助生育措施；</w:t>
      </w:r>
    </w:p>
    <w:p>
      <w:pPr>
        <w:pStyle w:val="4"/>
        <w:spacing w:before="12"/>
        <w:rPr>
          <w:sz w:val="9"/>
        </w:rPr>
      </w:pPr>
    </w:p>
    <w:p>
      <w:pPr>
        <w:pStyle w:val="4"/>
        <w:spacing w:before="71" w:line="278" w:lineRule="auto"/>
        <w:ind w:left="3017" w:right="451"/>
      </w:pPr>
      <w:r>
        <w:rPr>
          <w:color w:val="000000"/>
          <w:spacing w:val="-4"/>
          <w:shd w:val="clear" w:color="auto" w:fill="E4E4E4"/>
        </w:rPr>
        <w:t>（二十四）选择性流产及并发症治疗及其他相关费用，产后盆底肌修复（尿</w:t>
      </w:r>
      <w:r>
        <w:rPr>
          <w:color w:val="000000"/>
          <w:spacing w:val="80"/>
          <w:w w:val="150"/>
          <w:shd w:val="clear" w:color="auto" w:fill="E4E4E4"/>
        </w:rPr>
        <w:t xml:space="preserve">                                     </w:t>
      </w:r>
      <w:r>
        <w:rPr>
          <w:color w:val="000000"/>
          <w:spacing w:val="-2"/>
          <w:shd w:val="clear" w:color="auto" w:fill="E4E4E4"/>
        </w:rPr>
        <w:t>失禁除外）及其相关费用。</w:t>
      </w:r>
      <w:r>
        <w:rPr>
          <w:color w:val="000000"/>
          <w:spacing w:val="40"/>
          <w:shd w:val="clear" w:color="auto" w:fill="E4E4E4"/>
        </w:rPr>
        <w:t xml:space="preserve"> </w:t>
      </w:r>
    </w:p>
    <w:p>
      <w:pPr>
        <w:pStyle w:val="4"/>
        <w:spacing w:before="156" w:line="278" w:lineRule="auto"/>
        <w:ind w:left="3017" w:right="343"/>
      </w:pPr>
      <w:r>
        <w:rPr>
          <w:color w:val="000000"/>
          <w:spacing w:val="-2"/>
          <w:shd w:val="clear" w:color="auto" w:fill="E4E4E4"/>
        </w:rPr>
        <w:t>（二十五）男女生育控制（包括但不限于女性放置或者取出节育环和男性结</w:t>
      </w:r>
      <w:r>
        <w:rPr>
          <w:color w:val="000000"/>
          <w:spacing w:val="80"/>
          <w:w w:val="150"/>
          <w:shd w:val="clear" w:color="auto" w:fill="E4E4E4"/>
        </w:rPr>
        <w:t xml:space="preserve">                                      </w:t>
      </w:r>
      <w:r>
        <w:rPr>
          <w:color w:val="000000"/>
          <w:spacing w:val="-2"/>
          <w:shd w:val="clear" w:color="auto" w:fill="E4E4E4"/>
        </w:rPr>
        <w:t>扎术等</w:t>
      </w:r>
      <w:r>
        <w:rPr>
          <w:color w:val="000000"/>
          <w:spacing w:val="-67"/>
          <w:shd w:val="clear" w:color="auto" w:fill="E4E4E4"/>
        </w:rPr>
        <w:t>）</w:t>
      </w:r>
      <w:r>
        <w:rPr>
          <w:color w:val="000000"/>
          <w:spacing w:val="-11"/>
          <w:shd w:val="clear" w:color="auto" w:fill="E4E4E4"/>
        </w:rPr>
        <w:t>，输精管切除术和绝育术，男性或女性绝育恢复手术，性别转换症、</w:t>
      </w:r>
      <w:r>
        <w:rPr>
          <w:color w:val="000000"/>
          <w:spacing w:val="-2"/>
          <w:shd w:val="clear" w:color="auto" w:fill="E4E4E4"/>
        </w:rPr>
        <w:t>性障碍治疗，生育前培训，选择性剖腹产，伟哥以及其他用于提高性功能的</w:t>
      </w:r>
      <w:r>
        <w:rPr>
          <w:color w:val="000000"/>
          <w:spacing w:val="-4"/>
          <w:shd w:val="clear" w:color="auto" w:fill="E4E4E4"/>
        </w:rPr>
        <w:t>药物费。</w:t>
      </w:r>
    </w:p>
    <w:p>
      <w:pPr>
        <w:pStyle w:val="4"/>
        <w:spacing w:before="156"/>
        <w:ind w:left="3017"/>
      </w:pPr>
      <w:r>
        <w:rPr>
          <w:color w:val="000000"/>
          <w:spacing w:val="-2"/>
          <w:shd w:val="clear" w:color="auto" w:fill="E4E4E4"/>
        </w:rPr>
        <w:t>（二十六）</w:t>
      </w:r>
      <w:r>
        <w:rPr>
          <w:color w:val="000000"/>
          <w:spacing w:val="-3"/>
          <w:shd w:val="clear" w:color="auto" w:fill="E4E4E4"/>
        </w:rPr>
        <w:t>作为子女的附属被保险人怀孕及相关症状医疗费。</w:t>
      </w:r>
    </w:p>
    <w:p>
      <w:pPr>
        <w:pStyle w:val="4"/>
        <w:spacing w:before="12"/>
        <w:rPr>
          <w:sz w:val="9"/>
        </w:rPr>
      </w:pPr>
    </w:p>
    <w:p>
      <w:pPr>
        <w:pStyle w:val="4"/>
        <w:spacing w:before="72"/>
        <w:ind w:left="3017"/>
      </w:pPr>
      <w:r>
        <w:rPr>
          <w:color w:val="000000"/>
          <w:spacing w:val="-4"/>
          <w:shd w:val="clear" w:color="auto" w:fill="E4E4E4"/>
        </w:rPr>
        <w:t>（二十七）</w:t>
      </w:r>
      <w:r>
        <w:rPr>
          <w:color w:val="000000"/>
          <w:spacing w:val="-5"/>
          <w:shd w:val="clear" w:color="auto" w:fill="E4E4E4"/>
        </w:rPr>
        <w:t>对因溶剂滥用、毒品滥用、酒精、或者任何成瘾物直接或间接引</w:t>
      </w:r>
    </w:p>
    <w:p>
      <w:pPr>
        <w:pStyle w:val="4"/>
        <w:spacing w:before="2"/>
        <w:rPr>
          <w:sz w:val="28"/>
        </w:rPr>
      </w:pPr>
      <w:r>
        <w:drawing>
          <wp:anchor distT="0" distB="0" distL="0" distR="0" simplePos="0" relativeHeight="251659264" behindDoc="0" locked="0" layoutInCell="1" allowOverlap="1">
            <wp:simplePos x="0" y="0"/>
            <wp:positionH relativeFrom="page">
              <wp:posOffset>685800</wp:posOffset>
            </wp:positionH>
            <wp:positionV relativeFrom="paragraph">
              <wp:posOffset>244475</wp:posOffset>
            </wp:positionV>
            <wp:extent cx="1829435" cy="6350"/>
            <wp:effectExtent l="0" t="0" r="0" b="0"/>
            <wp:wrapTopAndBottom/>
            <wp:docPr id="39"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6.png"/>
                    <pic:cNvPicPr>
                      <a:picLocks noChangeAspect="1"/>
                    </pic:cNvPicPr>
                  </pic:nvPicPr>
                  <pic:blipFill>
                    <a:blip r:embed="rId11" cstate="print"/>
                    <a:stretch>
                      <a:fillRect/>
                    </a:stretch>
                  </pic:blipFill>
                  <pic:spPr>
                    <a:xfrm>
                      <a:off x="0" y="0"/>
                      <a:ext cx="1829511" cy="6096"/>
                    </a:xfrm>
                    <a:prstGeom prst="rect">
                      <a:avLst/>
                    </a:prstGeom>
                  </pic:spPr>
                </pic:pic>
              </a:graphicData>
            </a:graphic>
          </wp:anchor>
        </w:drawing>
      </w:r>
    </w:p>
    <w:p>
      <w:pPr>
        <w:spacing w:before="91" w:line="242" w:lineRule="auto"/>
        <w:ind w:left="180" w:right="542" w:firstLine="0"/>
        <w:jc w:val="both"/>
        <w:rPr>
          <w:rFonts w:ascii="楷体" w:eastAsia="楷体"/>
          <w:sz w:val="18"/>
        </w:rPr>
      </w:pPr>
      <w:r>
        <w:rPr>
          <w:rFonts w:hint="eastAsia" w:ascii="楷体" w:eastAsia="楷体"/>
          <w:b/>
          <w:spacing w:val="2"/>
          <w:w w:val="100"/>
          <w:position w:val="9"/>
          <w:sz w:val="9"/>
        </w:rPr>
        <w:t>44</w:t>
      </w:r>
      <w:r>
        <w:rPr>
          <w:rFonts w:hint="eastAsia" w:ascii="楷体" w:eastAsia="楷体"/>
          <w:b/>
          <w:w w:val="99"/>
          <w:sz w:val="18"/>
        </w:rPr>
        <w:t>感染艾滋病病毒或患艾滋病：</w:t>
      </w:r>
      <w:r>
        <w:rPr>
          <w:rFonts w:ascii="楷体" w:eastAsia="楷体"/>
          <w:spacing w:val="-3"/>
          <w:sz w:val="18"/>
        </w:rPr>
        <w:t xml:space="preserve">艾滋病毒指人类免疫缺陷病毒，英文缩写为 </w:t>
      </w:r>
      <w:r>
        <w:rPr>
          <w:rFonts w:ascii="楷体" w:eastAsia="楷体"/>
          <w:spacing w:val="1"/>
          <w:sz w:val="18"/>
        </w:rPr>
        <w:t>H</w:t>
      </w:r>
      <w:r>
        <w:rPr>
          <w:rFonts w:ascii="楷体" w:eastAsia="楷体"/>
          <w:spacing w:val="-2"/>
          <w:sz w:val="18"/>
        </w:rPr>
        <w:t>I</w:t>
      </w:r>
      <w:r>
        <w:rPr>
          <w:rFonts w:ascii="楷体" w:eastAsia="楷体"/>
          <w:spacing w:val="1"/>
          <w:sz w:val="18"/>
        </w:rPr>
        <w:t>V</w:t>
      </w:r>
      <w:r>
        <w:rPr>
          <w:rFonts w:ascii="楷体" w:eastAsia="楷体"/>
          <w:spacing w:val="-2"/>
          <w:sz w:val="18"/>
        </w:rPr>
        <w:t>。艾滋病指人类免疫缺陷病毒引起的获得性</w:t>
      </w:r>
      <w:r>
        <w:rPr>
          <w:rFonts w:ascii="楷体" w:eastAsia="楷体"/>
          <w:spacing w:val="-3"/>
          <w:sz w:val="18"/>
        </w:rPr>
        <w:t xml:space="preserve">人类免疫缺陷综合征，英文缩写为 </w:t>
      </w:r>
      <w:r>
        <w:rPr>
          <w:rFonts w:ascii="楷体" w:eastAsia="楷体"/>
          <w:spacing w:val="1"/>
          <w:sz w:val="18"/>
        </w:rPr>
        <w:t>A</w:t>
      </w:r>
      <w:r>
        <w:rPr>
          <w:rFonts w:ascii="楷体" w:eastAsia="楷体"/>
          <w:spacing w:val="-2"/>
          <w:sz w:val="18"/>
        </w:rPr>
        <w:t>I</w:t>
      </w:r>
      <w:r>
        <w:rPr>
          <w:rFonts w:ascii="楷体" w:eastAsia="楷体"/>
          <w:spacing w:val="1"/>
          <w:sz w:val="18"/>
        </w:rPr>
        <w:t>D</w:t>
      </w:r>
      <w:r>
        <w:rPr>
          <w:rFonts w:ascii="楷体" w:eastAsia="楷体"/>
          <w:spacing w:val="2"/>
          <w:sz w:val="18"/>
        </w:rPr>
        <w:t>S</w:t>
      </w:r>
      <w:r>
        <w:rPr>
          <w:rFonts w:ascii="楷体" w:eastAsia="楷体"/>
          <w:spacing w:val="-1"/>
          <w:sz w:val="18"/>
        </w:rPr>
        <w:t>。在人体血液或其他样本中检测到艾滋病毒或其抗体呈阳性，没有出现临床症状征的，为感染艾滋病病毒； 如果同时出现了明显临床症状或体征的，为患艾滋病。</w:t>
      </w:r>
    </w:p>
    <w:p>
      <w:pPr>
        <w:spacing w:after="0" w:line="242" w:lineRule="auto"/>
        <w:jc w:val="both"/>
        <w:rPr>
          <w:rFonts w:ascii="楷体" w:eastAsia="楷体"/>
          <w:sz w:val="18"/>
        </w:rPr>
        <w:sectPr>
          <w:pgSz w:w="11910" w:h="16840"/>
          <w:pgMar w:top="1400" w:right="680" w:bottom="280" w:left="900" w:header="720" w:footer="720" w:gutter="0"/>
          <w:cols w:space="720" w:num="1"/>
        </w:sectPr>
      </w:pPr>
    </w:p>
    <w:p>
      <w:pPr>
        <w:pStyle w:val="4"/>
        <w:ind w:left="3017"/>
        <w:rPr>
          <w:rFonts w:ascii="楷体"/>
          <w:sz w:val="20"/>
        </w:rPr>
      </w:pPr>
      <w:r>
        <w:rPr>
          <w:rFonts w:ascii="楷体"/>
          <w:sz w:val="20"/>
        </w:rPr>
        <w:pict>
          <v:shape id="docshape9" o:spid="_x0000_s1034" o:spt="202" type="#_x0000_t202" style="height:13.7pt;width:342.7pt;" fillcolor="#E4E4E4" filled="t" stroked="f" coordsize="21600,21600">
            <v:path/>
            <v:fill on="t" focussize="0,0"/>
            <v:stroke on="f" joinstyle="miter"/>
            <v:imagedata o:title=""/>
            <o:lock v:ext="edit"/>
            <v:textbox inset="0mm,0mm,0mm,0mm">
              <w:txbxContent>
                <w:p>
                  <w:pPr>
                    <w:pStyle w:val="4"/>
                    <w:spacing w:before="3"/>
                    <w:ind w:right="-15"/>
                    <w:rPr>
                      <w:color w:val="000000"/>
                    </w:rPr>
                  </w:pPr>
                  <w:r>
                    <w:rPr>
                      <w:color w:val="000000"/>
                      <w:spacing w:val="-7"/>
                    </w:rPr>
                    <w:t>起的伤害或者疾病的诊断、检查、治疗及其他相关费用；对因使用违反当地</w:t>
                  </w:r>
                </w:p>
              </w:txbxContent>
            </v:textbox>
            <w10:wrap type="none"/>
            <w10:anchorlock/>
          </v:shape>
        </w:pict>
      </w:r>
    </w:p>
    <w:p>
      <w:pPr>
        <w:pStyle w:val="4"/>
        <w:spacing w:before="16" w:line="278" w:lineRule="auto"/>
        <w:ind w:left="3017" w:right="449"/>
      </w:pPr>
      <w:r>
        <w:rPr>
          <w:color w:val="000000"/>
          <w:spacing w:val="-11"/>
          <w:shd w:val="clear" w:color="auto" w:fill="E4E4E4"/>
        </w:rPr>
        <w:t>法律的疫苗和药物、非医师处方要求药物或者非医师处方要求用量直接或间</w:t>
      </w:r>
      <w:r>
        <w:rPr>
          <w:color w:val="000000"/>
          <w:spacing w:val="80"/>
          <w:w w:val="150"/>
          <w:shd w:val="clear" w:color="auto" w:fill="E4E4E4"/>
        </w:rPr>
        <w:t xml:space="preserve">                                     </w:t>
      </w:r>
      <w:r>
        <w:rPr>
          <w:color w:val="000000"/>
          <w:spacing w:val="-2"/>
          <w:shd w:val="clear" w:color="auto" w:fill="E4E4E4"/>
        </w:rPr>
        <w:t>接引起的伤害或者疾病的诊断、检查、治疗及其他相关费用；</w:t>
      </w:r>
    </w:p>
    <w:p>
      <w:pPr>
        <w:pStyle w:val="4"/>
        <w:spacing w:before="155"/>
        <w:ind w:left="3017"/>
      </w:pPr>
      <w:r>
        <w:rPr>
          <w:color w:val="000000"/>
          <w:spacing w:val="-2"/>
          <w:shd w:val="clear" w:color="auto" w:fill="E4E4E4"/>
        </w:rPr>
        <w:t>（二十八）</w:t>
      </w:r>
      <w:r>
        <w:rPr>
          <w:color w:val="000000"/>
          <w:spacing w:val="-3"/>
          <w:shd w:val="clear" w:color="auto" w:fill="E4E4E4"/>
        </w:rPr>
        <w:t>眼镜、隐形眼镜，被保险人享有眼科责任情形不在此限。</w:t>
      </w:r>
    </w:p>
    <w:p>
      <w:pPr>
        <w:pStyle w:val="4"/>
        <w:spacing w:before="5"/>
        <w:rPr>
          <w:sz w:val="13"/>
        </w:rPr>
      </w:pPr>
      <w:r>
        <w:pict>
          <v:shape id="docshape10" o:spid="_x0000_s1035" o:spt="202" type="#_x0000_t202" style="position:absolute;left:0pt;margin-left:195.85pt;margin-top:9.8pt;height:13.7pt;width:342.7pt;mso-position-horizontal-relative:page;mso-wrap-distance-bottom:0pt;mso-wrap-distance-top:0pt;z-index:-251640832;mso-width-relative:page;mso-height-relative:page;" fillcolor="#E4E4E4" filled="t" stroked="f" coordsize="21600,21600">
            <v:path/>
            <v:fill on="t" focussize="0,0"/>
            <v:stroke on="f" joinstyle="miter"/>
            <v:imagedata o:title=""/>
            <o:lock v:ext="edit"/>
            <v:textbox inset="0mm,0mm,0mm,0mm">
              <w:txbxContent>
                <w:p>
                  <w:pPr>
                    <w:pStyle w:val="4"/>
                    <w:spacing w:before="3"/>
                    <w:ind w:right="-15"/>
                    <w:rPr>
                      <w:color w:val="000000"/>
                    </w:rPr>
                  </w:pPr>
                  <w:r>
                    <w:rPr>
                      <w:color w:val="000000"/>
                      <w:spacing w:val="-4"/>
                    </w:rPr>
                    <w:t>（二十九）除牙科意外伤害治疗外的其他牙科医疗及其他相关费用（</w:t>
                  </w:r>
                  <w:r>
                    <w:rPr>
                      <w:color w:val="000000"/>
                      <w:spacing w:val="-7"/>
                    </w:rPr>
                    <w:t>包括对</w:t>
                  </w:r>
                </w:p>
              </w:txbxContent>
            </v:textbox>
            <w10:wrap type="topAndBottom"/>
          </v:shape>
        </w:pict>
      </w:r>
    </w:p>
    <w:p>
      <w:pPr>
        <w:pStyle w:val="4"/>
        <w:spacing w:before="42" w:line="278" w:lineRule="auto"/>
        <w:ind w:left="3017" w:right="449"/>
      </w:pPr>
      <w:r>
        <w:rPr>
          <w:color w:val="000000"/>
          <w:spacing w:val="-2"/>
          <w:shd w:val="clear" w:color="auto" w:fill="E4E4E4"/>
        </w:rPr>
        <w:t>咀嚼食物或咀嚼其他外物引起的牙齿伤害的医疗费、咨询费、检查费</w:t>
      </w:r>
      <w:r>
        <w:rPr>
          <w:color w:val="000000"/>
          <w:spacing w:val="-104"/>
          <w:shd w:val="clear" w:color="auto" w:fill="E4E4E4"/>
        </w:rPr>
        <w:t>）</w:t>
      </w:r>
      <w:r>
        <w:rPr>
          <w:color w:val="000000"/>
          <w:spacing w:val="-3"/>
          <w:shd w:val="clear" w:color="auto" w:fill="E4E4E4"/>
        </w:rPr>
        <w:t>，但</w:t>
      </w:r>
      <w:r>
        <w:rPr>
          <w:color w:val="000000"/>
          <w:spacing w:val="80"/>
          <w:w w:val="150"/>
          <w:shd w:val="clear" w:color="auto" w:fill="E4E4E4"/>
        </w:rPr>
        <w:t xml:space="preserve">                                     </w:t>
      </w:r>
      <w:r>
        <w:rPr>
          <w:color w:val="000000"/>
          <w:spacing w:val="-10"/>
          <w:shd w:val="clear" w:color="auto" w:fill="E4E4E4"/>
        </w:rPr>
        <w:t>若本合同选择了“牙科责任”，则不受此条限制。</w:t>
      </w:r>
    </w:p>
    <w:p>
      <w:pPr>
        <w:pStyle w:val="4"/>
        <w:rPr>
          <w:sz w:val="10"/>
        </w:rPr>
      </w:pPr>
      <w:r>
        <w:pict>
          <v:shape id="docshape11" o:spid="_x0000_s1036" o:spt="202" type="#_x0000_t202" style="position:absolute;left:0pt;margin-left:195.85pt;margin-top:7.6pt;height:13.7pt;width:342.7pt;mso-position-horizontal-relative:page;mso-wrap-distance-bottom:0pt;mso-wrap-distance-top:0pt;z-index:-251639808;mso-width-relative:page;mso-height-relative:page;" fillcolor="#E4E4E4" filled="t" stroked="f" coordsize="21600,21600">
            <v:path/>
            <v:fill on="t" focussize="0,0"/>
            <v:stroke on="f" joinstyle="miter"/>
            <v:imagedata o:title=""/>
            <o:lock v:ext="edit"/>
            <v:textbox inset="0mm,0mm,0mm,0mm">
              <w:txbxContent>
                <w:p>
                  <w:pPr>
                    <w:pStyle w:val="4"/>
                    <w:spacing w:before="3"/>
                    <w:ind w:right="-15"/>
                    <w:rPr>
                      <w:color w:val="000000"/>
                    </w:rPr>
                  </w:pPr>
                  <w:r>
                    <w:rPr>
                      <w:color w:val="000000"/>
                      <w:spacing w:val="-4"/>
                    </w:rPr>
                    <w:t>（三十）</w:t>
                  </w:r>
                  <w:r>
                    <w:rPr>
                      <w:color w:val="000000"/>
                      <w:spacing w:val="-5"/>
                    </w:rPr>
                    <w:t>耐用医疗设备使用和保养指导费，定制或改造任何交通工具、洗浴</w:t>
                  </w:r>
                </w:p>
              </w:txbxContent>
            </v:textbox>
            <w10:wrap type="topAndBottom"/>
          </v:shape>
        </w:pict>
      </w:r>
    </w:p>
    <w:p>
      <w:pPr>
        <w:pStyle w:val="4"/>
        <w:spacing w:before="42" w:line="278" w:lineRule="auto"/>
        <w:ind w:left="3017" w:right="344"/>
      </w:pPr>
      <w:r>
        <w:rPr>
          <w:color w:val="000000"/>
          <w:spacing w:val="-3"/>
          <w:w w:val="100"/>
          <w:shd w:val="clear" w:color="auto" w:fill="E4E4E4"/>
        </w:rPr>
        <w:t xml:space="preserve">设备或住宅设备费，所有非处方医疗器械费，自动轮椅或自动床、助听器、                                                                                                                                 </w:t>
      </w:r>
      <w:r>
        <w:rPr>
          <w:color w:val="000000"/>
          <w:spacing w:val="-20"/>
          <w:w w:val="100"/>
          <w:shd w:val="clear" w:color="auto" w:fill="E4E4E4"/>
        </w:rPr>
        <w:t>人工耳蜗、血压计、体温计、听诊器、舒适设备</w:t>
      </w:r>
      <w:r>
        <w:rPr>
          <w:color w:val="000000"/>
          <w:w w:val="100"/>
          <w:shd w:val="clear" w:color="auto" w:fill="E4E4E4"/>
        </w:rPr>
        <w:t>（</w:t>
      </w:r>
      <w:r>
        <w:rPr>
          <w:color w:val="000000"/>
          <w:spacing w:val="-3"/>
          <w:w w:val="100"/>
          <w:shd w:val="clear" w:color="auto" w:fill="E4E4E4"/>
        </w:rPr>
        <w:t>如电话托臂和床上多用桌</w:t>
      </w:r>
      <w:r>
        <w:rPr>
          <w:color w:val="000000"/>
          <w:spacing w:val="-106"/>
          <w:w w:val="100"/>
          <w:shd w:val="clear" w:color="auto" w:fill="E4E4E4"/>
        </w:rPr>
        <w:t>）</w:t>
      </w:r>
      <w:r>
        <w:rPr>
          <w:color w:val="000000"/>
          <w:w w:val="100"/>
          <w:shd w:val="clear" w:color="auto" w:fill="E4E4E4"/>
        </w:rPr>
        <w:t>、</w:t>
      </w:r>
      <w:r>
        <w:rPr>
          <w:color w:val="000000"/>
          <w:spacing w:val="-1"/>
          <w:w w:val="100"/>
          <w:shd w:val="clear" w:color="auto" w:fill="E4E4E4"/>
        </w:rPr>
        <w:t>空气质量或温度调控设备</w:t>
      </w:r>
      <w:r>
        <w:rPr>
          <w:color w:val="000000"/>
          <w:w w:val="100"/>
          <w:shd w:val="clear" w:color="auto" w:fill="E4E4E4"/>
        </w:rPr>
        <w:t>（</w:t>
      </w:r>
      <w:r>
        <w:rPr>
          <w:color w:val="000000"/>
          <w:spacing w:val="-2"/>
          <w:w w:val="100"/>
          <w:shd w:val="clear" w:color="auto" w:fill="E4E4E4"/>
        </w:rPr>
        <w:t>如空调、湿度调节器、除湿器和空气净化器</w:t>
      </w:r>
      <w:r>
        <w:rPr>
          <w:color w:val="000000"/>
          <w:spacing w:val="-106"/>
          <w:w w:val="100"/>
          <w:shd w:val="clear" w:color="auto" w:fill="E4E4E4"/>
        </w:rPr>
        <w:t>）</w:t>
      </w:r>
      <w:r>
        <w:rPr>
          <w:color w:val="000000"/>
          <w:w w:val="100"/>
          <w:shd w:val="clear" w:color="auto" w:fill="E4E4E4"/>
        </w:rPr>
        <w:t>、</w:t>
      </w:r>
      <w:r>
        <w:rPr>
          <w:color w:val="000000"/>
          <w:spacing w:val="-15"/>
          <w:w w:val="100"/>
          <w:shd w:val="clear" w:color="auto" w:fill="E4E4E4"/>
        </w:rPr>
        <w:t>健身脚踏车、太阳能或加热灯、加热垫、坐浴盆、盥洗凳、浴缸凳、桑拿浴、</w:t>
      </w:r>
      <w:r>
        <w:rPr>
          <w:color w:val="000000"/>
          <w:spacing w:val="-12"/>
          <w:w w:val="100"/>
          <w:shd w:val="clear" w:color="auto" w:fill="E4E4E4"/>
        </w:rPr>
        <w:t>升降机、涡流按摩浴、健身器材及其他类似设备，非手术中必需的假体、矫正器具或相似的器具费，医师认为治疗必不可少的假体或耐用医疗设备不在此限。</w:t>
      </w:r>
    </w:p>
    <w:p>
      <w:pPr>
        <w:pStyle w:val="4"/>
        <w:rPr>
          <w:sz w:val="10"/>
        </w:rPr>
      </w:pPr>
      <w:r>
        <w:pict>
          <v:shape id="docshape12" o:spid="_x0000_s1037" o:spt="202" type="#_x0000_t202" style="position:absolute;left:0pt;margin-left:195.85pt;margin-top:7.6pt;height:13.7pt;width:342.7pt;mso-position-horizontal-relative:page;mso-wrap-distance-bottom:0pt;mso-wrap-distance-top:0pt;z-index:-251639808;mso-width-relative:page;mso-height-relative:page;" fillcolor="#E4E4E4" filled="t" stroked="f" coordsize="21600,21600">
            <v:path/>
            <v:fill on="t" focussize="0,0"/>
            <v:stroke on="f" joinstyle="miter"/>
            <v:imagedata o:title=""/>
            <o:lock v:ext="edit"/>
            <v:textbox inset="0mm,0mm,0mm,0mm">
              <w:txbxContent>
                <w:p>
                  <w:pPr>
                    <w:pStyle w:val="4"/>
                    <w:spacing w:before="3"/>
                    <w:ind w:right="-15"/>
                    <w:rPr>
                      <w:color w:val="000000"/>
                    </w:rPr>
                  </w:pPr>
                  <w:r>
                    <w:rPr>
                      <w:color w:val="000000"/>
                      <w:spacing w:val="-4"/>
                    </w:rPr>
                    <w:t>（三十一）矫正鞋或其他脚支撑器材（</w:t>
                  </w:r>
                  <w:r>
                    <w:rPr>
                      <w:color w:val="000000"/>
                      <w:spacing w:val="-5"/>
                    </w:rPr>
                    <w:t>包括但不限于足弓支撑器、矫正器或</w:t>
                  </w:r>
                </w:p>
              </w:txbxContent>
            </v:textbox>
            <w10:wrap type="topAndBottom"/>
          </v:shape>
        </w:pict>
      </w:r>
    </w:p>
    <w:p>
      <w:pPr>
        <w:pStyle w:val="4"/>
        <w:spacing w:before="42" w:line="278" w:lineRule="auto"/>
        <w:ind w:left="3017" w:right="372"/>
      </w:pPr>
      <w:r>
        <w:rPr>
          <w:color w:val="000000"/>
          <w:spacing w:val="-2"/>
          <w:shd w:val="clear" w:color="auto" w:fill="E4E4E4"/>
        </w:rPr>
        <w:t>任何其他预防性的服务或器材）费，任何用于治疗弱足、矫形足、不稳足、</w:t>
      </w:r>
      <w:r>
        <w:rPr>
          <w:color w:val="000000"/>
          <w:spacing w:val="80"/>
          <w:w w:val="150"/>
          <w:shd w:val="clear" w:color="auto" w:fill="E4E4E4"/>
        </w:rPr>
        <w:t xml:space="preserve">                                     </w:t>
      </w:r>
      <w:r>
        <w:rPr>
          <w:color w:val="000000"/>
          <w:spacing w:val="-2"/>
          <w:shd w:val="clear" w:color="auto" w:fill="E4E4E4"/>
        </w:rPr>
        <w:t>扁平足或足弓塌陷的器材费，任何与跗骨、跖骨相关的医疗费，对脚表面损害（如鸡眼、老茧、角质化）医疗（但有关骨外露、肌腱或韧带的手术不在此限）费。</w:t>
      </w:r>
    </w:p>
    <w:p>
      <w:pPr>
        <w:pStyle w:val="4"/>
        <w:spacing w:before="12"/>
        <w:rPr>
          <w:sz w:val="9"/>
        </w:rPr>
      </w:pPr>
      <w:r>
        <w:pict>
          <v:shape id="docshape13" o:spid="_x0000_s1038" o:spt="202" type="#_x0000_t202" style="position:absolute;left:0pt;margin-left:195.85pt;margin-top:7.55pt;height:13.7pt;width:342.7pt;mso-position-horizontal-relative:page;mso-wrap-distance-bottom:0pt;mso-wrap-distance-top:0pt;z-index:-251638784;mso-width-relative:page;mso-height-relative:page;" fillcolor="#E4E4E4" filled="t" stroked="f" coordsize="21600,21600">
            <v:path/>
            <v:fill on="t" focussize="0,0"/>
            <v:stroke on="f" joinstyle="miter"/>
            <v:imagedata o:title=""/>
            <o:lock v:ext="edit"/>
            <v:textbox inset="0mm,0mm,0mm,0mm">
              <w:txbxContent>
                <w:p>
                  <w:pPr>
                    <w:pStyle w:val="4"/>
                    <w:spacing w:before="3"/>
                    <w:ind w:right="-15"/>
                    <w:rPr>
                      <w:color w:val="000000"/>
                    </w:rPr>
                  </w:pPr>
                  <w:r>
                    <w:rPr>
                      <w:color w:val="000000"/>
                      <w:spacing w:val="-4"/>
                    </w:rPr>
                    <w:t>（三十二）</w:t>
                  </w:r>
                  <w:r>
                    <w:rPr>
                      <w:color w:val="000000"/>
                      <w:spacing w:val="-5"/>
                    </w:rPr>
                    <w:t>常规足部医疗及其他相关费用，因意外伤害或疾病引起的足部治</w:t>
                  </w:r>
                </w:p>
              </w:txbxContent>
            </v:textbox>
            <w10:wrap type="topAndBottom"/>
          </v:shape>
        </w:pict>
      </w:r>
    </w:p>
    <w:p>
      <w:pPr>
        <w:pStyle w:val="4"/>
        <w:spacing w:before="42"/>
        <w:ind w:left="3017"/>
      </w:pPr>
      <w:r>
        <w:rPr>
          <w:color w:val="000000"/>
          <w:spacing w:val="-4"/>
          <w:shd w:val="clear" w:color="auto" w:fill="E4E4E4"/>
        </w:rPr>
        <w:t>疗情形不在此限。</w:t>
      </w:r>
    </w:p>
    <w:p>
      <w:pPr>
        <w:pStyle w:val="4"/>
        <w:spacing w:before="4"/>
        <w:rPr>
          <w:sz w:val="13"/>
        </w:rPr>
      </w:pPr>
      <w:r>
        <w:drawing>
          <wp:anchor distT="0" distB="0" distL="0" distR="0" simplePos="0" relativeHeight="251670528" behindDoc="1" locked="0" layoutInCell="1" allowOverlap="1">
            <wp:simplePos x="0" y="0"/>
            <wp:positionH relativeFrom="page">
              <wp:posOffset>2487295</wp:posOffset>
            </wp:positionH>
            <wp:positionV relativeFrom="paragraph">
              <wp:posOffset>123825</wp:posOffset>
            </wp:positionV>
            <wp:extent cx="4351655" cy="173990"/>
            <wp:effectExtent l="0" t="0" r="0" b="0"/>
            <wp:wrapNone/>
            <wp:docPr id="41"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8.png"/>
                    <pic:cNvPicPr>
                      <a:picLocks noChangeAspect="1"/>
                    </pic:cNvPicPr>
                  </pic:nvPicPr>
                  <pic:blipFill>
                    <a:blip r:embed="rId13" cstate="print"/>
                    <a:stretch>
                      <a:fillRect/>
                    </a:stretch>
                  </pic:blipFill>
                  <pic:spPr>
                    <a:xfrm>
                      <a:off x="0" y="0"/>
                      <a:ext cx="4351908" cy="174040"/>
                    </a:xfrm>
                    <a:prstGeom prst="rect">
                      <a:avLst/>
                    </a:prstGeom>
                  </pic:spPr>
                </pic:pic>
              </a:graphicData>
            </a:graphic>
          </wp:anchor>
        </w:drawing>
      </w:r>
      <w:r>
        <w:pict>
          <v:shape id="docshape14" o:spid="_x0000_s1039" o:spt="202" type="#_x0000_t202" style="position:absolute;left:0pt;margin-left:195.85pt;margin-top:9.75pt;height:13.75pt;width:346.75pt;mso-position-horizontal-relative:page;mso-wrap-distance-bottom:0pt;mso-wrap-distance-top:0pt;z-index:-251637760;mso-width-relative:page;mso-height-relative:page;" filled="f" stroked="f" coordsize="21600,21600">
            <v:path/>
            <v:fill on="f" focussize="0,0"/>
            <v:stroke on="f" joinstyle="miter"/>
            <v:imagedata o:title=""/>
            <o:lock v:ext="edit"/>
            <v:textbox inset="0mm,0mm,0mm,0mm">
              <w:txbxContent>
                <w:p>
                  <w:pPr>
                    <w:pStyle w:val="4"/>
                    <w:spacing w:before="4"/>
                  </w:pPr>
                  <w:r>
                    <w:rPr>
                      <w:spacing w:val="-2"/>
                    </w:rPr>
                    <w:t>（三十三）</w:t>
                  </w:r>
                  <w:r>
                    <w:rPr>
                      <w:spacing w:val="-3"/>
                    </w:rPr>
                    <w:t>在政府当局指导下，实施的与传染病相关的治疗、药品、设备、</w:t>
                  </w:r>
                </w:p>
              </w:txbxContent>
            </v:textbox>
            <w10:wrap type="topAndBottom"/>
          </v:shape>
        </w:pict>
      </w:r>
    </w:p>
    <w:p>
      <w:pPr>
        <w:pStyle w:val="4"/>
        <w:spacing w:before="42"/>
        <w:ind w:left="3017"/>
      </w:pPr>
      <w:r>
        <w:rPr>
          <w:color w:val="000000"/>
          <w:spacing w:val="-3"/>
          <w:shd w:val="clear" w:color="auto" w:fill="E4E4E4"/>
        </w:rPr>
        <w:t>服务和紧急医疗运送费。</w:t>
      </w:r>
    </w:p>
    <w:p>
      <w:pPr>
        <w:pStyle w:val="4"/>
        <w:spacing w:before="4"/>
        <w:rPr>
          <w:sz w:val="13"/>
        </w:rPr>
      </w:pPr>
      <w:r>
        <w:pict>
          <v:shape id="docshape15" o:spid="_x0000_s1040" o:spt="202" type="#_x0000_t202" style="position:absolute;left:0pt;margin-left:195.85pt;margin-top:9.75pt;height:13.7pt;width:342.7pt;mso-position-horizontal-relative:page;mso-wrap-distance-bottom:0pt;mso-wrap-distance-top:0pt;z-index:-251637760;mso-width-relative:page;mso-height-relative:page;" fillcolor="#E4E4E4" filled="t" stroked="f" coordsize="21600,21600">
            <v:path/>
            <v:fill on="t" focussize="0,0"/>
            <v:stroke on="f" joinstyle="miter"/>
            <v:imagedata o:title=""/>
            <o:lock v:ext="edit"/>
            <v:textbox inset="0mm,0mm,0mm,0mm">
              <w:txbxContent>
                <w:p>
                  <w:pPr>
                    <w:pStyle w:val="4"/>
                    <w:spacing w:before="3"/>
                    <w:ind w:right="-15"/>
                    <w:rPr>
                      <w:color w:val="000000"/>
                    </w:rPr>
                  </w:pPr>
                  <w:r>
                    <w:rPr>
                      <w:color w:val="000000"/>
                      <w:spacing w:val="-4"/>
                    </w:rPr>
                    <w:t>（三十四）</w:t>
                  </w:r>
                  <w:r>
                    <w:rPr>
                      <w:color w:val="000000"/>
                      <w:spacing w:val="-5"/>
                    </w:rPr>
                    <w:t>生长激素治疗及其他相关费用，经本公司许可的医学必需情形不</w:t>
                  </w:r>
                </w:p>
              </w:txbxContent>
            </v:textbox>
            <w10:wrap type="topAndBottom"/>
          </v:shape>
        </w:pict>
      </w:r>
    </w:p>
    <w:p>
      <w:pPr>
        <w:pStyle w:val="4"/>
        <w:spacing w:before="42"/>
        <w:ind w:left="3017"/>
      </w:pPr>
      <w:r>
        <w:rPr>
          <w:color w:val="000000"/>
          <w:spacing w:val="-4"/>
          <w:shd w:val="clear" w:color="auto" w:fill="E4E4E4"/>
        </w:rPr>
        <w:t>在此限。</w:t>
      </w:r>
    </w:p>
    <w:p>
      <w:pPr>
        <w:pStyle w:val="4"/>
        <w:spacing w:before="4"/>
        <w:rPr>
          <w:sz w:val="13"/>
        </w:rPr>
      </w:pPr>
      <w:r>
        <w:pict>
          <v:shape id="docshape16" o:spid="_x0000_s1041" o:spt="202" type="#_x0000_t202" style="position:absolute;left:0pt;margin-left:195.85pt;margin-top:9.75pt;height:13.7pt;width:342.7pt;mso-position-horizontal-relative:page;mso-wrap-distance-bottom:0pt;mso-wrap-distance-top:0pt;z-index:-251636736;mso-width-relative:page;mso-height-relative:page;" fillcolor="#E4E4E4" filled="t" stroked="f" coordsize="21600,21600">
            <v:path/>
            <v:fill on="t" focussize="0,0"/>
            <v:stroke on="f" joinstyle="miter"/>
            <v:imagedata o:title=""/>
            <o:lock v:ext="edit"/>
            <v:textbox inset="0mm,0mm,0mm,0mm">
              <w:txbxContent>
                <w:p>
                  <w:pPr>
                    <w:pStyle w:val="4"/>
                    <w:spacing w:before="3"/>
                    <w:ind w:right="-15"/>
                    <w:rPr>
                      <w:color w:val="000000"/>
                    </w:rPr>
                  </w:pPr>
                  <w:r>
                    <w:rPr>
                      <w:color w:val="000000"/>
                      <w:spacing w:val="-4"/>
                    </w:rPr>
                    <w:t>（三十五）</w:t>
                  </w:r>
                  <w:r>
                    <w:rPr>
                      <w:color w:val="000000"/>
                      <w:spacing w:val="-5"/>
                    </w:rPr>
                    <w:t>智商测试、教育测试、婚姻和家庭心理咨询费；对非心理障碍或</w:t>
                  </w:r>
                </w:p>
              </w:txbxContent>
            </v:textbox>
            <w10:wrap type="topAndBottom"/>
          </v:shape>
        </w:pict>
      </w:r>
    </w:p>
    <w:p>
      <w:pPr>
        <w:pStyle w:val="4"/>
        <w:spacing w:before="42" w:line="278" w:lineRule="auto"/>
        <w:ind w:left="3017" w:right="449"/>
      </w:pPr>
      <w:r>
        <w:rPr>
          <w:color w:val="000000"/>
          <w:spacing w:val="-4"/>
          <w:shd w:val="clear" w:color="auto" w:fill="E4E4E4"/>
        </w:rPr>
        <w:t>疾病的医疗服务费，超出合理心理缺陷或心理发育迟缓评估、诊断周期的医</w:t>
      </w:r>
      <w:r>
        <w:rPr>
          <w:color w:val="000000"/>
          <w:spacing w:val="80"/>
          <w:w w:val="150"/>
          <w:shd w:val="clear" w:color="auto" w:fill="E4E4E4"/>
        </w:rPr>
        <w:t xml:space="preserve">                                     </w:t>
      </w:r>
      <w:r>
        <w:rPr>
          <w:color w:val="000000"/>
          <w:spacing w:val="-2"/>
          <w:shd w:val="clear" w:color="auto" w:fill="E4E4E4"/>
        </w:rPr>
        <w:t>疗服务费，对精神障碍或疾病无改善的医疗服务费。</w:t>
      </w:r>
    </w:p>
    <w:p>
      <w:pPr>
        <w:pStyle w:val="4"/>
        <w:rPr>
          <w:sz w:val="10"/>
        </w:rPr>
      </w:pPr>
      <w:r>
        <w:pict>
          <v:shape id="docshape17" o:spid="_x0000_s1042" o:spt="202" type="#_x0000_t202" style="position:absolute;left:0pt;margin-left:195.85pt;margin-top:7.6pt;height:13.7pt;width:342.7pt;mso-position-horizontal-relative:page;mso-wrap-distance-bottom:0pt;mso-wrap-distance-top:0pt;z-index:-251636736;mso-width-relative:page;mso-height-relative:page;" fillcolor="#E4E4E4" filled="t" stroked="f" coordsize="21600,21600">
            <v:path/>
            <v:fill on="t" focussize="0,0"/>
            <v:stroke on="f" joinstyle="miter"/>
            <v:imagedata o:title=""/>
            <o:lock v:ext="edit"/>
            <v:textbox inset="0mm,0mm,0mm,0mm">
              <w:txbxContent>
                <w:p>
                  <w:pPr>
                    <w:pStyle w:val="4"/>
                    <w:spacing w:before="3"/>
                    <w:ind w:right="-15"/>
                    <w:rPr>
                      <w:color w:val="000000"/>
                    </w:rPr>
                  </w:pPr>
                  <w:r>
                    <w:rPr>
                      <w:color w:val="000000"/>
                      <w:spacing w:val="-2"/>
                    </w:rPr>
                    <w:t>（三十六</w:t>
                  </w:r>
                  <w:r>
                    <w:rPr>
                      <w:color w:val="000000"/>
                      <w:spacing w:val="-77"/>
                    </w:rPr>
                    <w:t>）</w:t>
                  </w:r>
                  <w:r>
                    <w:rPr>
                      <w:color w:val="000000"/>
                      <w:spacing w:val="-3"/>
                    </w:rPr>
                    <w:t>因健康原因被医师建议不宜旅行的被保险人执意旅行引起的伤害</w:t>
                  </w:r>
                </w:p>
              </w:txbxContent>
            </v:textbox>
            <w10:wrap type="topAndBottom"/>
          </v:shape>
        </w:pict>
      </w:r>
    </w:p>
    <w:p>
      <w:pPr>
        <w:pStyle w:val="4"/>
        <w:spacing w:before="42"/>
        <w:ind w:left="3017"/>
      </w:pPr>
      <w:r>
        <w:rPr>
          <w:color w:val="000000"/>
          <w:spacing w:val="-3"/>
          <w:shd w:val="clear" w:color="auto" w:fill="E4E4E4"/>
        </w:rPr>
        <w:t>或病症的治疗及其他相关费用。</w:t>
      </w:r>
    </w:p>
    <w:p>
      <w:pPr>
        <w:pStyle w:val="4"/>
        <w:spacing w:before="4"/>
        <w:rPr>
          <w:sz w:val="13"/>
        </w:rPr>
      </w:pPr>
      <w:r>
        <w:pict>
          <v:shape id="docshape18" o:spid="_x0000_s1043" o:spt="202" type="#_x0000_t202" style="position:absolute;left:0pt;margin-left:195.85pt;margin-top:9.75pt;height:13.7pt;width:342.7pt;mso-position-horizontal-relative:page;mso-wrap-distance-bottom:0pt;mso-wrap-distance-top:0pt;z-index:-251635712;mso-width-relative:page;mso-height-relative:page;" fillcolor="#E4E4E4" filled="t" stroked="f" coordsize="21600,21600">
            <v:path/>
            <v:fill on="t" focussize="0,0"/>
            <v:stroke on="f" joinstyle="miter"/>
            <v:imagedata o:title=""/>
            <o:lock v:ext="edit"/>
            <v:textbox inset="0mm,0mm,0mm,0mm">
              <w:txbxContent>
                <w:p>
                  <w:pPr>
                    <w:pStyle w:val="4"/>
                    <w:spacing w:before="3"/>
                    <w:ind w:right="-15"/>
                    <w:rPr>
                      <w:color w:val="000000"/>
                    </w:rPr>
                  </w:pPr>
                  <w:r>
                    <w:rPr>
                      <w:color w:val="000000"/>
                      <w:spacing w:val="-4"/>
                    </w:rPr>
                    <w:t>（三十七）</w:t>
                  </w:r>
                  <w:r>
                    <w:rPr>
                      <w:color w:val="000000"/>
                      <w:spacing w:val="-5"/>
                    </w:rPr>
                    <w:t>对由下列任何异常风险引起的伤害的治疗及其他相关费用：参加</w:t>
                  </w:r>
                </w:p>
              </w:txbxContent>
            </v:textbox>
            <w10:wrap type="topAndBottom"/>
          </v:shape>
        </w:pict>
      </w:r>
    </w:p>
    <w:p>
      <w:pPr>
        <w:pStyle w:val="4"/>
        <w:spacing w:before="32" w:line="278" w:lineRule="auto"/>
        <w:ind w:left="3017" w:right="448"/>
      </w:pPr>
      <w:r>
        <w:rPr>
          <w:color w:val="000000"/>
          <w:spacing w:val="-4"/>
          <w:shd w:val="clear" w:color="auto" w:fill="E4E4E4"/>
        </w:rPr>
        <w:t>或受训职业体育运动，</w:t>
      </w:r>
      <w:r>
        <w:rPr>
          <w:b/>
          <w:color w:val="000000"/>
          <w:spacing w:val="-4"/>
          <w:shd w:val="clear" w:color="auto" w:fill="E4E4E4"/>
        </w:rPr>
        <w:t>战争</w:t>
      </w:r>
      <w:r>
        <w:rPr>
          <w:b/>
          <w:color w:val="000000"/>
          <w:spacing w:val="-4"/>
          <w:position w:val="11"/>
          <w:sz w:val="11"/>
        </w:rPr>
        <w:t>45</w:t>
      </w:r>
      <w:r>
        <w:rPr>
          <w:color w:val="000000"/>
          <w:spacing w:val="-4"/>
          <w:shd w:val="clear" w:color="auto" w:fill="E4E4E4"/>
        </w:rPr>
        <w:t>和</w:t>
      </w:r>
      <w:r>
        <w:rPr>
          <w:b/>
          <w:color w:val="000000"/>
          <w:spacing w:val="-4"/>
          <w:shd w:val="clear" w:color="auto" w:fill="E4E4E4"/>
        </w:rPr>
        <w:t>恐怖活动</w:t>
      </w:r>
      <w:r>
        <w:rPr>
          <w:b/>
          <w:color w:val="000000"/>
          <w:spacing w:val="-4"/>
          <w:position w:val="11"/>
          <w:sz w:val="11"/>
        </w:rPr>
        <w:t>46</w:t>
      </w:r>
      <w:r>
        <w:rPr>
          <w:color w:val="000000"/>
          <w:spacing w:val="-4"/>
          <w:shd w:val="clear" w:color="auto" w:fill="E4E4E4"/>
        </w:rPr>
        <w:t>，放射材料辐射或核燃料燃烧，无</w:t>
      </w:r>
      <w:r>
        <w:rPr>
          <w:color w:val="000000"/>
          <w:spacing w:val="80"/>
          <w:w w:val="150"/>
          <w:shd w:val="clear" w:color="auto" w:fill="E4E4E4"/>
        </w:rPr>
        <w:t xml:space="preserve">                                     </w:t>
      </w:r>
      <w:r>
        <w:rPr>
          <w:color w:val="000000"/>
          <w:spacing w:val="-2"/>
          <w:shd w:val="clear" w:color="auto" w:fill="E4E4E4"/>
        </w:rPr>
        <w:t>必要但主动置身于风险（抢救他人性命情形不在此限</w:t>
      </w:r>
      <w:r>
        <w:rPr>
          <w:color w:val="000000"/>
          <w:spacing w:val="-106"/>
          <w:shd w:val="clear" w:color="auto" w:fill="E4E4E4"/>
        </w:rPr>
        <w:t>）</w:t>
      </w:r>
      <w:r>
        <w:rPr>
          <w:color w:val="000000"/>
          <w:spacing w:val="-2"/>
          <w:shd w:val="clear" w:color="auto" w:fill="E4E4E4"/>
        </w:rPr>
        <w:t>。</w:t>
      </w:r>
    </w:p>
    <w:p>
      <w:pPr>
        <w:pStyle w:val="4"/>
        <w:rPr>
          <w:sz w:val="20"/>
        </w:rPr>
      </w:pPr>
    </w:p>
    <w:p>
      <w:pPr>
        <w:pStyle w:val="4"/>
        <w:spacing w:before="2"/>
        <w:rPr>
          <w:sz w:val="17"/>
        </w:rPr>
      </w:pPr>
      <w:r>
        <w:drawing>
          <wp:anchor distT="0" distB="0" distL="0" distR="0" simplePos="0" relativeHeight="251659264" behindDoc="0" locked="0" layoutInCell="1" allowOverlap="1">
            <wp:simplePos x="0" y="0"/>
            <wp:positionH relativeFrom="page">
              <wp:posOffset>685800</wp:posOffset>
            </wp:positionH>
            <wp:positionV relativeFrom="paragraph">
              <wp:posOffset>154940</wp:posOffset>
            </wp:positionV>
            <wp:extent cx="1829435" cy="6350"/>
            <wp:effectExtent l="0" t="0" r="0" b="0"/>
            <wp:wrapTopAndBottom/>
            <wp:docPr id="43"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6.png"/>
                    <pic:cNvPicPr>
                      <a:picLocks noChangeAspect="1"/>
                    </pic:cNvPicPr>
                  </pic:nvPicPr>
                  <pic:blipFill>
                    <a:blip r:embed="rId11" cstate="print"/>
                    <a:stretch>
                      <a:fillRect/>
                    </a:stretch>
                  </pic:blipFill>
                  <pic:spPr>
                    <a:xfrm>
                      <a:off x="0" y="0"/>
                      <a:ext cx="1829511" cy="6095"/>
                    </a:xfrm>
                    <a:prstGeom prst="rect">
                      <a:avLst/>
                    </a:prstGeom>
                  </pic:spPr>
                </pic:pic>
              </a:graphicData>
            </a:graphic>
          </wp:anchor>
        </w:drawing>
      </w:r>
    </w:p>
    <w:p>
      <w:pPr>
        <w:spacing w:before="91"/>
        <w:ind w:left="180" w:right="0" w:firstLine="0"/>
        <w:jc w:val="left"/>
        <w:rPr>
          <w:rFonts w:ascii="楷体" w:eastAsia="楷体"/>
          <w:sz w:val="18"/>
        </w:rPr>
      </w:pPr>
      <w:r>
        <w:rPr>
          <w:rFonts w:hint="eastAsia" w:ascii="楷体" w:eastAsia="楷体"/>
          <w:b/>
          <w:w w:val="95"/>
          <w:position w:val="9"/>
          <w:sz w:val="9"/>
        </w:rPr>
        <w:t>45</w:t>
      </w:r>
      <w:r>
        <w:rPr>
          <w:rFonts w:hint="eastAsia" w:ascii="楷体" w:eastAsia="楷体"/>
          <w:b/>
          <w:w w:val="95"/>
          <w:sz w:val="18"/>
        </w:rPr>
        <w:t>战争：</w:t>
      </w:r>
      <w:r>
        <w:rPr>
          <w:rFonts w:ascii="楷体" w:eastAsia="楷体"/>
          <w:w w:val="95"/>
          <w:sz w:val="18"/>
        </w:rPr>
        <w:t>包括入侵、内战、敌对国家行为、叛乱、革命、武装叛变、武装夺权、战争武器爆炸等。类似战争的行为视为</w:t>
      </w:r>
      <w:r>
        <w:rPr>
          <w:rFonts w:ascii="楷体" w:eastAsia="楷体"/>
          <w:spacing w:val="-10"/>
          <w:w w:val="95"/>
          <w:sz w:val="18"/>
        </w:rPr>
        <w:t>战</w:t>
      </w:r>
    </w:p>
    <w:p>
      <w:pPr>
        <w:spacing w:before="2"/>
        <w:ind w:left="180" w:right="0" w:firstLine="0"/>
        <w:jc w:val="left"/>
        <w:rPr>
          <w:rFonts w:ascii="楷体" w:eastAsia="楷体"/>
          <w:sz w:val="18"/>
        </w:rPr>
      </w:pPr>
      <w:r>
        <w:rPr>
          <w:rFonts w:ascii="楷体" w:eastAsia="楷体"/>
          <w:spacing w:val="-5"/>
          <w:sz w:val="18"/>
        </w:rPr>
        <w:t>争。</w:t>
      </w:r>
    </w:p>
    <w:p>
      <w:pPr>
        <w:spacing w:before="2"/>
        <w:ind w:left="180" w:right="0" w:firstLine="0"/>
        <w:jc w:val="left"/>
        <w:rPr>
          <w:rFonts w:ascii="楷体" w:eastAsia="楷体"/>
          <w:sz w:val="18"/>
        </w:rPr>
      </w:pPr>
      <w:r>
        <w:rPr>
          <w:rFonts w:hint="eastAsia" w:ascii="楷体" w:eastAsia="楷体"/>
          <w:b/>
          <w:w w:val="95"/>
          <w:position w:val="9"/>
          <w:sz w:val="9"/>
        </w:rPr>
        <w:t>46</w:t>
      </w:r>
      <w:r>
        <w:rPr>
          <w:rFonts w:hint="eastAsia" w:ascii="楷体" w:eastAsia="楷体"/>
          <w:b/>
          <w:w w:val="95"/>
          <w:sz w:val="18"/>
        </w:rPr>
        <w:t>恐怖活动：</w:t>
      </w:r>
      <w:r>
        <w:rPr>
          <w:rFonts w:ascii="楷体" w:eastAsia="楷体"/>
          <w:w w:val="95"/>
          <w:sz w:val="18"/>
        </w:rPr>
        <w:t>指以制造社会恐慌、危害公共安全或胁迫国家机关、国际组织为目的，采取暴力、破坏、恐吓等手段，造成</w:t>
      </w:r>
      <w:r>
        <w:rPr>
          <w:rFonts w:ascii="楷体" w:eastAsia="楷体"/>
          <w:spacing w:val="-10"/>
          <w:w w:val="95"/>
          <w:sz w:val="18"/>
        </w:rPr>
        <w:t>或</w:t>
      </w:r>
    </w:p>
    <w:p>
      <w:pPr>
        <w:spacing w:before="2" w:line="244" w:lineRule="auto"/>
        <w:ind w:left="180" w:right="424" w:firstLine="0"/>
        <w:jc w:val="left"/>
        <w:rPr>
          <w:rFonts w:ascii="楷体" w:eastAsia="楷体"/>
          <w:sz w:val="18"/>
        </w:rPr>
      </w:pPr>
      <w:r>
        <w:rPr>
          <w:rFonts w:ascii="楷体" w:eastAsia="楷体"/>
          <w:spacing w:val="-2"/>
          <w:sz w:val="18"/>
        </w:rPr>
        <w:t>意图造成人员伤亡、重大财产损失、公共设施损坏、社会秩序混乱等严重社会危害的行为，以及煽动、资助或以其他方式协助实施上述活动的行为。</w:t>
      </w:r>
    </w:p>
    <w:p>
      <w:pPr>
        <w:spacing w:after="0" w:line="244" w:lineRule="auto"/>
        <w:jc w:val="left"/>
        <w:rPr>
          <w:rFonts w:ascii="楷体" w:eastAsia="楷体"/>
          <w:sz w:val="18"/>
        </w:rPr>
        <w:sectPr>
          <w:pgSz w:w="11910" w:h="16840"/>
          <w:pgMar w:top="1440" w:right="680" w:bottom="280" w:left="900" w:header="720" w:footer="720" w:gutter="0"/>
          <w:cols w:space="720" w:num="1"/>
        </w:sectPr>
      </w:pPr>
    </w:p>
    <w:p>
      <w:pPr>
        <w:pStyle w:val="3"/>
        <w:numPr>
          <w:ilvl w:val="2"/>
          <w:numId w:val="4"/>
        </w:numPr>
        <w:tabs>
          <w:tab w:val="left" w:pos="1502"/>
          <w:tab w:val="left" w:pos="1503"/>
        </w:tabs>
        <w:spacing w:before="60" w:after="0" w:line="240" w:lineRule="auto"/>
        <w:ind w:left="1502" w:right="0" w:hanging="855"/>
        <w:jc w:val="left"/>
      </w:pPr>
      <w:r>
        <w:pict>
          <v:shape id="docshape19" o:spid="_x0000_s1044" o:spt="202" type="#_x0000_t202" style="position:absolute;left:0pt;margin-left:195.85pt;margin-top:2.75pt;height:91.65pt;width:342.7pt;mso-position-horizontal-relative:page;z-index:251662336;mso-width-relative:page;mso-height-relative:page;" filled="f" stroked="f" coordsize="21600,21600">
            <v:path/>
            <v:fill on="f" focussize="0,0"/>
            <v:stroke on="f" joinstyle="miter"/>
            <v:imagedata o:title=""/>
            <o:lock v:ext="edit"/>
            <v:textbox inset="0mm,0mm,0mm,0mm">
              <w:txbxContent>
                <w:tbl>
                  <w:tblPr>
                    <w:tblStyle w:val="6"/>
                    <w:tblW w:w="0" w:type="auto"/>
                    <w:tblInd w:w="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671"/>
                    <w:gridCol w:w="1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0" w:hRule="atLeast"/>
                    </w:trPr>
                    <w:tc>
                      <w:tcPr>
                        <w:tcW w:w="6853" w:type="dxa"/>
                        <w:gridSpan w:val="2"/>
                        <w:tcBorders>
                          <w:bottom w:val="single" w:color="FFFFFF" w:sz="18" w:space="0"/>
                        </w:tcBorders>
                        <w:shd w:val="clear" w:color="auto" w:fill="E4E4E4"/>
                      </w:tcPr>
                      <w:p>
                        <w:pPr>
                          <w:pStyle w:val="10"/>
                          <w:spacing w:before="4" w:line="247" w:lineRule="exact"/>
                          <w:ind w:right="-15"/>
                          <w:rPr>
                            <w:sz w:val="21"/>
                          </w:rPr>
                        </w:pPr>
                        <w:r>
                          <w:rPr>
                            <w:spacing w:val="-4"/>
                            <w:sz w:val="21"/>
                          </w:rPr>
                          <w:t>除“2.9.1</w:t>
                        </w:r>
                        <w:r>
                          <w:rPr>
                            <w:spacing w:val="-5"/>
                            <w:sz w:val="21"/>
                          </w:rPr>
                          <w:t xml:space="preserve"> 一般责任免除”外，本合同还有一些免除本公司责任的条款，详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7" w:hRule="atLeast"/>
                    </w:trPr>
                    <w:tc>
                      <w:tcPr>
                        <w:tcW w:w="6853" w:type="dxa"/>
                        <w:gridSpan w:val="2"/>
                        <w:tcBorders>
                          <w:top w:val="single" w:color="FFFFFF" w:sz="18" w:space="0"/>
                          <w:bottom w:val="single" w:color="FFFFFF" w:sz="18" w:space="0"/>
                        </w:tcBorders>
                        <w:shd w:val="clear" w:color="auto" w:fill="E4E4E4"/>
                      </w:tcPr>
                      <w:p>
                        <w:pPr>
                          <w:pStyle w:val="10"/>
                          <w:spacing w:before="0" w:line="247" w:lineRule="exact"/>
                          <w:ind w:right="-15"/>
                          <w:rPr>
                            <w:sz w:val="21"/>
                          </w:rPr>
                        </w:pPr>
                        <w:r>
                          <w:rPr>
                            <w:sz w:val="21"/>
                          </w:rPr>
                          <w:t>见“2.1</w:t>
                        </w:r>
                        <w:r>
                          <w:rPr>
                            <w:spacing w:val="-34"/>
                            <w:sz w:val="21"/>
                          </w:rPr>
                          <w:t xml:space="preserve"> 保险计划”、“</w:t>
                        </w:r>
                        <w:r>
                          <w:rPr>
                            <w:sz w:val="21"/>
                          </w:rPr>
                          <w:t>2.7</w:t>
                        </w:r>
                        <w:r>
                          <w:rPr>
                            <w:spacing w:val="-38"/>
                            <w:sz w:val="21"/>
                          </w:rPr>
                          <w:t xml:space="preserve"> 保险责任”、</w:t>
                        </w:r>
                        <w:r>
                          <w:rPr>
                            <w:sz w:val="21"/>
                          </w:rPr>
                          <w:t>“3.2</w:t>
                        </w:r>
                        <w:r>
                          <w:rPr>
                            <w:spacing w:val="-23"/>
                            <w:sz w:val="21"/>
                          </w:rPr>
                          <w:t xml:space="preserve"> 保险事故通知”、“</w:t>
                        </w:r>
                        <w:r>
                          <w:rPr>
                            <w:sz w:val="21"/>
                          </w:rPr>
                          <w:t>3.6</w:t>
                        </w:r>
                        <w:r>
                          <w:rPr>
                            <w:spacing w:val="-15"/>
                            <w:sz w:val="21"/>
                          </w:rPr>
                          <w:t xml:space="preserve"> 事先授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7" w:hRule="atLeast"/>
                    </w:trPr>
                    <w:tc>
                      <w:tcPr>
                        <w:tcW w:w="6853" w:type="dxa"/>
                        <w:gridSpan w:val="2"/>
                        <w:tcBorders>
                          <w:top w:val="single" w:color="FFFFFF" w:sz="18" w:space="0"/>
                          <w:bottom w:val="single" w:color="FFFFFF" w:sz="18" w:space="0"/>
                        </w:tcBorders>
                        <w:shd w:val="clear" w:color="auto" w:fill="E4E4E4"/>
                      </w:tcPr>
                      <w:p>
                        <w:pPr>
                          <w:pStyle w:val="10"/>
                          <w:spacing w:before="0" w:line="247" w:lineRule="exact"/>
                          <w:ind w:right="-15"/>
                          <w:rPr>
                            <w:sz w:val="21"/>
                          </w:rPr>
                        </w:pPr>
                        <w:r>
                          <w:rPr>
                            <w:spacing w:val="-92"/>
                            <w:sz w:val="21"/>
                          </w:rPr>
                          <w:t>权”、</w:t>
                        </w:r>
                        <w:r>
                          <w:rPr>
                            <w:spacing w:val="-2"/>
                            <w:sz w:val="21"/>
                          </w:rPr>
                          <w:t>“3.7</w:t>
                        </w:r>
                        <w:r>
                          <w:rPr>
                            <w:spacing w:val="-25"/>
                            <w:sz w:val="21"/>
                          </w:rPr>
                          <w:t xml:space="preserve"> 保险金申请”</w:t>
                        </w:r>
                        <w:r>
                          <w:rPr>
                            <w:spacing w:val="-84"/>
                            <w:sz w:val="21"/>
                          </w:rPr>
                          <w:t>、“</w:t>
                        </w:r>
                        <w:r>
                          <w:rPr>
                            <w:spacing w:val="-2"/>
                            <w:sz w:val="21"/>
                          </w:rPr>
                          <w:t>6.1</w:t>
                        </w:r>
                        <w:r>
                          <w:rPr>
                            <w:spacing w:val="-18"/>
                            <w:sz w:val="21"/>
                          </w:rPr>
                          <w:t xml:space="preserve"> 明确说明与如实告知”</w:t>
                        </w:r>
                        <w:r>
                          <w:rPr>
                            <w:spacing w:val="-84"/>
                            <w:sz w:val="21"/>
                          </w:rPr>
                          <w:t>、“</w:t>
                        </w:r>
                        <w:r>
                          <w:rPr>
                            <w:spacing w:val="-2"/>
                            <w:sz w:val="21"/>
                          </w:rPr>
                          <w:t>6.3</w:t>
                        </w:r>
                        <w:r>
                          <w:rPr>
                            <w:spacing w:val="-27"/>
                            <w:sz w:val="21"/>
                          </w:rPr>
                          <w:t xml:space="preserve"> 年龄错误”</w:t>
                        </w:r>
                        <w:r>
                          <w:rPr>
                            <w:spacing w:val="-85"/>
                            <w:sz w:val="21"/>
                          </w:rPr>
                          <w:t>、“</w:t>
                        </w:r>
                        <w:r>
                          <w:rPr>
                            <w:spacing w:val="-4"/>
                            <w:sz w:val="21"/>
                          </w:rPr>
                          <w:t>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7" w:hRule="atLeast"/>
                    </w:trPr>
                    <w:tc>
                      <w:tcPr>
                        <w:tcW w:w="6853" w:type="dxa"/>
                        <w:gridSpan w:val="2"/>
                        <w:tcBorders>
                          <w:top w:val="single" w:color="FFFFFF" w:sz="18" w:space="0"/>
                          <w:bottom w:val="single" w:color="FFFFFF" w:sz="18" w:space="0"/>
                        </w:tcBorders>
                        <w:shd w:val="clear" w:color="auto" w:fill="E4E4E4"/>
                      </w:tcPr>
                      <w:p>
                        <w:pPr>
                          <w:pStyle w:val="10"/>
                          <w:spacing w:before="0" w:line="247" w:lineRule="exact"/>
                          <w:ind w:right="-15"/>
                          <w:rPr>
                            <w:sz w:val="21"/>
                          </w:rPr>
                        </w:pPr>
                        <w:r>
                          <w:rPr>
                            <w:spacing w:val="-36"/>
                            <w:sz w:val="21"/>
                          </w:rPr>
                          <w:t>被保险人变动”、</w:t>
                        </w:r>
                        <w:r>
                          <w:rPr>
                            <w:spacing w:val="-6"/>
                            <w:sz w:val="21"/>
                          </w:rPr>
                          <w:t>“6.7</w:t>
                        </w:r>
                        <w:r>
                          <w:rPr>
                            <w:spacing w:val="-17"/>
                            <w:sz w:val="21"/>
                          </w:rPr>
                          <w:t xml:space="preserve"> 合同内容变更”中背景突出显示的内容；“</w:t>
                        </w:r>
                        <w:r>
                          <w:rPr>
                            <w:spacing w:val="13"/>
                            <w:sz w:val="21"/>
                          </w:rPr>
                          <w:t>2.7</w:t>
                        </w:r>
                        <w:r>
                          <w:rPr>
                            <w:spacing w:val="10"/>
                            <w:sz w:val="21"/>
                          </w:rPr>
                          <w:t>.</w:t>
                        </w:r>
                        <w:r>
                          <w:rPr>
                            <w:spacing w:val="13"/>
                            <w:sz w:val="21"/>
                          </w:rPr>
                          <w:t>1</w:t>
                        </w:r>
                        <w:r>
                          <w:rPr>
                            <w:spacing w:val="-20"/>
                            <w:sz w:val="21"/>
                          </w:rPr>
                          <w:t xml:space="preserve"> 一般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7" w:hRule="atLeast"/>
                    </w:trPr>
                    <w:tc>
                      <w:tcPr>
                        <w:tcW w:w="6853" w:type="dxa"/>
                        <w:gridSpan w:val="2"/>
                        <w:tcBorders>
                          <w:top w:val="single" w:color="FFFFFF" w:sz="18" w:space="0"/>
                          <w:bottom w:val="single" w:color="FFFFFF" w:sz="18" w:space="0"/>
                        </w:tcBorders>
                        <w:shd w:val="clear" w:color="auto" w:fill="E4E4E4"/>
                      </w:tcPr>
                      <w:p>
                        <w:pPr>
                          <w:pStyle w:val="10"/>
                          <w:spacing w:before="0" w:line="247" w:lineRule="exact"/>
                          <w:ind w:right="-15"/>
                          <w:rPr>
                            <w:sz w:val="21"/>
                          </w:rPr>
                        </w:pPr>
                        <w:r>
                          <w:rPr>
                            <w:spacing w:val="-2"/>
                            <w:sz w:val="21"/>
                          </w:rPr>
                          <w:t>疾病（伤害）</w:t>
                        </w:r>
                        <w:r>
                          <w:rPr>
                            <w:spacing w:val="-23"/>
                            <w:sz w:val="21"/>
                          </w:rPr>
                          <w:t>和一般项目门诊医疗”、</w:t>
                        </w:r>
                        <w:r>
                          <w:rPr>
                            <w:spacing w:val="-2"/>
                            <w:sz w:val="21"/>
                          </w:rPr>
                          <w:t>“2.7.2</w:t>
                        </w:r>
                        <w:r>
                          <w:rPr>
                            <w:spacing w:val="-13"/>
                            <w:sz w:val="21"/>
                          </w:rPr>
                          <w:t xml:space="preserve"> 一般疾病</w:t>
                        </w:r>
                        <w:r>
                          <w:rPr>
                            <w:spacing w:val="-2"/>
                            <w:sz w:val="21"/>
                          </w:rPr>
                          <w:t>（伤害）</w:t>
                        </w:r>
                        <w:r>
                          <w:rPr>
                            <w:spacing w:val="-4"/>
                            <w:sz w:val="21"/>
                          </w:rPr>
                          <w:t>和一般项目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0" w:hRule="atLeast"/>
                    </w:trPr>
                    <w:tc>
                      <w:tcPr>
                        <w:tcW w:w="6671" w:type="dxa"/>
                        <w:tcBorders>
                          <w:top w:val="single" w:color="FFFFFF" w:sz="18" w:space="0"/>
                        </w:tcBorders>
                        <w:shd w:val="clear" w:color="auto" w:fill="E4E4E4"/>
                      </w:tcPr>
                      <w:p>
                        <w:pPr>
                          <w:pStyle w:val="10"/>
                          <w:spacing w:before="0" w:line="250" w:lineRule="exact"/>
                          <w:ind w:right="-15"/>
                          <w:rPr>
                            <w:sz w:val="21"/>
                          </w:rPr>
                        </w:pPr>
                        <w:r>
                          <w:rPr>
                            <w:spacing w:val="-38"/>
                            <w:sz w:val="21"/>
                          </w:rPr>
                          <w:t>住院医疗”、</w:t>
                        </w:r>
                        <w:r>
                          <w:rPr>
                            <w:spacing w:val="-2"/>
                            <w:sz w:val="21"/>
                          </w:rPr>
                          <w:t>“2.7.5</w:t>
                        </w:r>
                        <w:r>
                          <w:rPr>
                            <w:spacing w:val="-8"/>
                            <w:sz w:val="21"/>
                          </w:rPr>
                          <w:t xml:space="preserve"> 生育和新生婴儿医疗”中脚注背景突出显示的内容。</w:t>
                        </w:r>
                      </w:p>
                    </w:tc>
                    <w:tc>
                      <w:tcPr>
                        <w:tcW w:w="182" w:type="dxa"/>
                        <w:tcBorders>
                          <w:top w:val="single" w:color="FFFFFF" w:sz="18" w:space="0"/>
                        </w:tcBorders>
                      </w:tcPr>
                      <w:p>
                        <w:pPr>
                          <w:pStyle w:val="10"/>
                          <w:spacing w:before="0"/>
                          <w:rPr>
                            <w:rFonts w:ascii="Times New Roman"/>
                            <w:sz w:val="20"/>
                          </w:rPr>
                        </w:pPr>
                      </w:p>
                    </w:tc>
                  </w:tr>
                </w:tbl>
                <w:p>
                  <w:pPr>
                    <w:pStyle w:val="4"/>
                  </w:pPr>
                </w:p>
              </w:txbxContent>
            </v:textbox>
          </v:shape>
        </w:pict>
      </w:r>
      <w:r>
        <w:rPr>
          <w:spacing w:val="-2"/>
        </w:rPr>
        <w:t>其他免责条款</w:t>
      </w:r>
    </w:p>
    <w:p>
      <w:pPr>
        <w:pStyle w:val="4"/>
        <w:rPr>
          <w:b/>
          <w:sz w:val="20"/>
        </w:rPr>
      </w:pPr>
    </w:p>
    <w:p>
      <w:pPr>
        <w:pStyle w:val="4"/>
        <w:rPr>
          <w:b/>
          <w:sz w:val="20"/>
        </w:rPr>
      </w:pPr>
    </w:p>
    <w:p>
      <w:pPr>
        <w:pStyle w:val="4"/>
        <w:rPr>
          <w:b/>
          <w:sz w:val="20"/>
        </w:rPr>
      </w:pPr>
    </w:p>
    <w:p>
      <w:pPr>
        <w:pStyle w:val="4"/>
        <w:rPr>
          <w:b/>
          <w:sz w:val="20"/>
        </w:rPr>
      </w:pPr>
    </w:p>
    <w:p>
      <w:pPr>
        <w:pStyle w:val="4"/>
        <w:rPr>
          <w:b/>
          <w:sz w:val="20"/>
        </w:rPr>
      </w:pPr>
    </w:p>
    <w:p>
      <w:pPr>
        <w:pStyle w:val="4"/>
        <w:rPr>
          <w:b/>
          <w:sz w:val="20"/>
        </w:rPr>
      </w:pPr>
    </w:p>
    <w:p>
      <w:pPr>
        <w:pStyle w:val="4"/>
        <w:spacing w:before="6"/>
        <w:rPr>
          <w:b/>
          <w:sz w:val="29"/>
        </w:rPr>
      </w:pPr>
    </w:p>
    <w:p>
      <w:pPr>
        <w:pStyle w:val="9"/>
        <w:numPr>
          <w:ilvl w:val="1"/>
          <w:numId w:val="4"/>
        </w:numPr>
        <w:tabs>
          <w:tab w:val="left" w:pos="1503"/>
        </w:tabs>
        <w:spacing w:before="0" w:after="0" w:line="278" w:lineRule="auto"/>
        <w:ind w:left="3017" w:right="580" w:hanging="2580"/>
        <w:jc w:val="both"/>
        <w:rPr>
          <w:sz w:val="21"/>
        </w:rPr>
      </w:pPr>
      <w:r>
        <w:rPr>
          <w:b/>
          <w:sz w:val="21"/>
        </w:rPr>
        <w:t>补偿原则</w:t>
      </w:r>
      <w:r>
        <w:rPr>
          <w:b/>
          <w:spacing w:val="537"/>
          <w:sz w:val="21"/>
        </w:rPr>
        <w:t xml:space="preserve"> </w:t>
      </w:r>
      <w:r>
        <w:rPr>
          <w:sz w:val="21"/>
        </w:rPr>
        <w:t>对被保险人因遭受意外或患疾病而每次接受住院或门诊诊疗发生的医疗费</w:t>
      </w:r>
      <w:r>
        <w:rPr>
          <w:spacing w:val="-2"/>
          <w:sz w:val="21"/>
        </w:rPr>
        <w:t>用，本公司按本合同约定给付的保险金以该次诊疗费用扣除被保险人已从基本医疗保险、公费医疗、互助保险、除本保险外的其他商业保险、公益慈善机构、第三方责任人等实际获得的补偿后的余额为上限。</w:t>
      </w:r>
    </w:p>
    <w:p>
      <w:pPr>
        <w:pStyle w:val="4"/>
        <w:spacing w:before="2"/>
        <w:rPr>
          <w:sz w:val="27"/>
        </w:rPr>
      </w:pPr>
    </w:p>
    <w:p>
      <w:pPr>
        <w:pStyle w:val="2"/>
        <w:numPr>
          <w:ilvl w:val="0"/>
          <w:numId w:val="4"/>
        </w:numPr>
        <w:tabs>
          <w:tab w:val="left" w:pos="1502"/>
          <w:tab w:val="left" w:pos="1503"/>
        </w:tabs>
        <w:spacing w:before="0" w:after="0" w:line="240" w:lineRule="auto"/>
        <w:ind w:left="1502" w:right="0" w:hanging="1066"/>
        <w:jc w:val="left"/>
      </w:pPr>
      <w:r>
        <w:rPr>
          <w:w w:val="95"/>
        </w:rPr>
        <w:t>保险金申</w:t>
      </w:r>
      <w:r>
        <w:rPr>
          <w:spacing w:val="-10"/>
          <w:w w:val="95"/>
        </w:rPr>
        <w:t>领</w:t>
      </w:r>
    </w:p>
    <w:p>
      <w:pPr>
        <w:pStyle w:val="4"/>
        <w:spacing w:before="6"/>
        <w:rPr>
          <w:b/>
          <w:sz w:val="14"/>
        </w:rPr>
      </w:pPr>
      <w:r>
        <w:drawing>
          <wp:anchor distT="0" distB="0" distL="0" distR="0" simplePos="0" relativeHeight="251659264" behindDoc="0" locked="0" layoutInCell="1" allowOverlap="1">
            <wp:simplePos x="0" y="0"/>
            <wp:positionH relativeFrom="page">
              <wp:posOffset>779780</wp:posOffset>
            </wp:positionH>
            <wp:positionV relativeFrom="paragraph">
              <wp:posOffset>132715</wp:posOffset>
            </wp:positionV>
            <wp:extent cx="6177280" cy="12065"/>
            <wp:effectExtent l="0" t="0" r="0" b="0"/>
            <wp:wrapTopAndBottom/>
            <wp:docPr id="4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3.png"/>
                    <pic:cNvPicPr>
                      <a:picLocks noChangeAspect="1"/>
                    </pic:cNvPicPr>
                  </pic:nvPicPr>
                  <pic:blipFill>
                    <a:blip r:embed="rId8" cstate="print"/>
                    <a:stretch>
                      <a:fillRect/>
                    </a:stretch>
                  </pic:blipFill>
                  <pic:spPr>
                    <a:xfrm>
                      <a:off x="0" y="0"/>
                      <a:ext cx="6177095" cy="12287"/>
                    </a:xfrm>
                    <a:prstGeom prst="rect">
                      <a:avLst/>
                    </a:prstGeom>
                  </pic:spPr>
                </pic:pic>
              </a:graphicData>
            </a:graphic>
          </wp:anchor>
        </w:drawing>
      </w:r>
    </w:p>
    <w:p>
      <w:pPr>
        <w:pStyle w:val="9"/>
        <w:numPr>
          <w:ilvl w:val="1"/>
          <w:numId w:val="4"/>
        </w:numPr>
        <w:tabs>
          <w:tab w:val="left" w:pos="1502"/>
          <w:tab w:val="left" w:pos="1503"/>
          <w:tab w:val="left" w:pos="3017"/>
        </w:tabs>
        <w:spacing w:before="178" w:after="0" w:line="240" w:lineRule="auto"/>
        <w:ind w:left="1502" w:right="0" w:hanging="1066"/>
        <w:jc w:val="left"/>
        <w:rPr>
          <w:sz w:val="21"/>
        </w:rPr>
      </w:pPr>
      <w:r>
        <w:rPr>
          <w:b/>
          <w:sz w:val="21"/>
        </w:rPr>
        <w:t>受益</w:t>
      </w:r>
      <w:r>
        <w:rPr>
          <w:b/>
          <w:spacing w:val="-10"/>
          <w:sz w:val="21"/>
        </w:rPr>
        <w:t>人</w:t>
      </w:r>
      <w:r>
        <w:rPr>
          <w:b/>
          <w:sz w:val="21"/>
        </w:rPr>
        <w:tab/>
      </w:r>
      <w:r>
        <w:rPr>
          <w:spacing w:val="-2"/>
          <w:sz w:val="21"/>
        </w:rPr>
        <w:t>除另有约定外，保险金受益人为被保险人本人</w:t>
      </w:r>
      <w:r>
        <w:rPr>
          <w:spacing w:val="-10"/>
          <w:sz w:val="21"/>
        </w:rPr>
        <w:t>。</w:t>
      </w:r>
    </w:p>
    <w:p>
      <w:pPr>
        <w:pStyle w:val="4"/>
        <w:spacing w:before="2"/>
        <w:rPr>
          <w:sz w:val="22"/>
        </w:rPr>
      </w:pPr>
    </w:p>
    <w:p>
      <w:pPr>
        <w:pStyle w:val="9"/>
        <w:numPr>
          <w:ilvl w:val="1"/>
          <w:numId w:val="4"/>
        </w:numPr>
        <w:tabs>
          <w:tab w:val="left" w:pos="1502"/>
          <w:tab w:val="left" w:pos="1503"/>
        </w:tabs>
        <w:spacing w:before="71" w:after="0" w:line="240" w:lineRule="auto"/>
        <w:ind w:left="1502" w:right="0" w:hanging="1066"/>
        <w:jc w:val="left"/>
        <w:rPr>
          <w:sz w:val="21"/>
        </w:rPr>
      </w:pPr>
      <w:r>
        <w:rPr>
          <w:b/>
          <w:spacing w:val="14"/>
          <w:sz w:val="21"/>
        </w:rPr>
        <w:t xml:space="preserve">保险事故通知 </w:t>
      </w:r>
      <w:r>
        <w:rPr>
          <w:spacing w:val="-11"/>
          <w:sz w:val="21"/>
        </w:rPr>
        <w:t xml:space="preserve">投保人、被保险人或受益人应当在知道保险事故发生后 </w:t>
      </w:r>
      <w:r>
        <w:rPr>
          <w:sz w:val="21"/>
        </w:rPr>
        <w:t>10</w:t>
      </w:r>
      <w:r>
        <w:rPr>
          <w:spacing w:val="-9"/>
          <w:sz w:val="21"/>
        </w:rPr>
        <w:t xml:space="preserve"> 日内通知本公司。</w:t>
      </w:r>
    </w:p>
    <w:p>
      <w:pPr>
        <w:pStyle w:val="4"/>
        <w:rPr>
          <w:sz w:val="10"/>
        </w:rPr>
      </w:pPr>
    </w:p>
    <w:p>
      <w:pPr>
        <w:pStyle w:val="4"/>
        <w:spacing w:before="71" w:line="278" w:lineRule="auto"/>
        <w:ind w:left="3017" w:right="448"/>
        <w:jc w:val="both"/>
      </w:pPr>
      <w:r>
        <w:rPr>
          <w:color w:val="000000"/>
          <w:spacing w:val="-4"/>
          <w:shd w:val="clear" w:color="auto" w:fill="D9D9D9"/>
        </w:rPr>
        <w:t>若投保人、被保险人或受益人故意或因重大过失未及时通知，致使保险事故</w:t>
      </w:r>
      <w:r>
        <w:rPr>
          <w:color w:val="000000"/>
          <w:spacing w:val="40"/>
          <w:shd w:val="clear" w:color="auto" w:fill="D9D9D9"/>
        </w:rPr>
        <w:t xml:space="preserve"> </w:t>
      </w:r>
      <w:r>
        <w:rPr>
          <w:color w:val="000000"/>
          <w:spacing w:val="-4"/>
          <w:shd w:val="clear" w:color="auto" w:fill="D9D9D9"/>
        </w:rPr>
        <w:t>的性质、原因、损失程度等难以确定的，本公司对无法确定的部分，不承担</w:t>
      </w:r>
      <w:r>
        <w:rPr>
          <w:color w:val="000000"/>
          <w:spacing w:val="-2"/>
          <w:shd w:val="clear" w:color="auto" w:fill="D9D9D9"/>
        </w:rPr>
        <w:t>给付保险金的责任</w:t>
      </w:r>
      <w:r>
        <w:rPr>
          <w:color w:val="000000"/>
          <w:spacing w:val="-11"/>
        </w:rPr>
        <w:t>，但本公司通过其他途径已经及时知道或应当及时知道保</w:t>
      </w:r>
      <w:r>
        <w:rPr>
          <w:color w:val="000000"/>
          <w:spacing w:val="-4"/>
        </w:rPr>
        <w:t>险事故发生或虽未及时通知但不影响本公司确定保险事故的性质、原因、损</w:t>
      </w:r>
      <w:r>
        <w:rPr>
          <w:color w:val="000000"/>
          <w:spacing w:val="-2"/>
        </w:rPr>
        <w:t>失程度的除外。</w:t>
      </w:r>
    </w:p>
    <w:p>
      <w:pPr>
        <w:pStyle w:val="4"/>
        <w:spacing w:before="4"/>
        <w:rPr>
          <w:sz w:val="24"/>
        </w:rPr>
      </w:pPr>
    </w:p>
    <w:p>
      <w:pPr>
        <w:pStyle w:val="9"/>
        <w:numPr>
          <w:ilvl w:val="1"/>
          <w:numId w:val="4"/>
        </w:numPr>
        <w:tabs>
          <w:tab w:val="left" w:pos="1502"/>
          <w:tab w:val="left" w:pos="1503"/>
          <w:tab w:val="left" w:pos="3017"/>
        </w:tabs>
        <w:spacing w:before="1" w:after="0" w:line="278" w:lineRule="auto"/>
        <w:ind w:left="3017" w:right="372" w:hanging="2580"/>
        <w:jc w:val="left"/>
        <w:rPr>
          <w:sz w:val="21"/>
        </w:rPr>
      </w:pPr>
      <w:r>
        <w:rPr>
          <w:b/>
          <w:spacing w:val="-4"/>
          <w:sz w:val="21"/>
        </w:rPr>
        <w:t>尽快就诊</w:t>
      </w:r>
      <w:r>
        <w:rPr>
          <w:b/>
          <w:sz w:val="21"/>
        </w:rPr>
        <w:tab/>
      </w:r>
      <w:r>
        <w:rPr>
          <w:spacing w:val="-2"/>
          <w:sz w:val="21"/>
        </w:rPr>
        <w:t>患疾病或遭受意外伤害后，被保险人应当尽快前往医院、诊所、医师等处接受治疗，尤其是意外伤害情形，应当在意外发生后四十八小时内接受治疗，以免伤情恶化、损害身体健康。</w:t>
      </w:r>
    </w:p>
    <w:p>
      <w:pPr>
        <w:pStyle w:val="4"/>
        <w:spacing w:before="4"/>
        <w:rPr>
          <w:sz w:val="24"/>
        </w:rPr>
      </w:pPr>
    </w:p>
    <w:p>
      <w:pPr>
        <w:pStyle w:val="9"/>
        <w:numPr>
          <w:ilvl w:val="1"/>
          <w:numId w:val="4"/>
        </w:numPr>
        <w:tabs>
          <w:tab w:val="left" w:pos="1502"/>
          <w:tab w:val="left" w:pos="1503"/>
        </w:tabs>
        <w:spacing w:before="0" w:after="0" w:line="240" w:lineRule="auto"/>
        <w:ind w:left="1502" w:right="0" w:hanging="1066"/>
        <w:jc w:val="left"/>
        <w:rPr>
          <w:sz w:val="21"/>
        </w:rPr>
      </w:pPr>
      <w:r>
        <w:rPr>
          <w:b/>
          <w:spacing w:val="17"/>
          <w:sz w:val="21"/>
        </w:rPr>
        <w:t xml:space="preserve">医疗服务网络 </w:t>
      </w:r>
      <w:r>
        <w:rPr>
          <w:spacing w:val="-1"/>
          <w:sz w:val="21"/>
        </w:rPr>
        <w:t>本合同医疗服务网络如下：</w:t>
      </w:r>
    </w:p>
    <w:p>
      <w:pPr>
        <w:pStyle w:val="4"/>
        <w:spacing w:before="6"/>
        <w:rPr>
          <w:sz w:val="15"/>
        </w:rPr>
      </w:pPr>
    </w:p>
    <w:p>
      <w:pPr>
        <w:pStyle w:val="4"/>
        <w:ind w:left="3017"/>
      </w:pPr>
      <w:r>
        <w:rPr>
          <w:spacing w:val="-2"/>
        </w:rPr>
        <w:t>（一）</w:t>
      </w:r>
      <w:r>
        <w:rPr>
          <w:spacing w:val="-4"/>
        </w:rPr>
        <w:t>本公司直接付费</w:t>
      </w:r>
    </w:p>
    <w:p>
      <w:pPr>
        <w:pStyle w:val="4"/>
        <w:spacing w:before="7"/>
        <w:rPr>
          <w:sz w:val="15"/>
        </w:rPr>
      </w:pPr>
    </w:p>
    <w:p>
      <w:pPr>
        <w:pStyle w:val="4"/>
        <w:spacing w:line="278" w:lineRule="auto"/>
        <w:ind w:left="3017" w:right="372"/>
      </w:pPr>
      <w:r>
        <w:rPr>
          <w:spacing w:val="-9"/>
          <w:w w:val="100"/>
        </w:rPr>
        <w:t>本公司建立了医疗服务网络，并将定期或不定期向投保人和被保险人予以通</w:t>
      </w:r>
      <w:r>
        <w:rPr>
          <w:spacing w:val="-10"/>
          <w:w w:val="100"/>
        </w:rPr>
        <w:t>报，被保险人也可登陆本公司指定的互联网站或致电查询相关信息。被保险</w:t>
      </w:r>
      <w:r>
        <w:rPr>
          <w:spacing w:val="-5"/>
          <w:w w:val="100"/>
        </w:rPr>
        <w:t>人在本公司医疗服务网络内的医疗机构接受治疗的，对于被保险人发生的、</w:t>
      </w:r>
      <w:r>
        <w:rPr>
          <w:spacing w:val="1"/>
          <w:w w:val="100"/>
        </w:rPr>
        <w:t>本公司与投保人约定类型的保险责任范围内的费用中应当由本公司承担部</w:t>
      </w:r>
      <w:r>
        <w:rPr>
          <w:spacing w:val="-9"/>
          <w:w w:val="100"/>
        </w:rPr>
        <w:t>分，本公司将直接与相关医疗机构结算，毋需被保险人先行给付。被保险人</w:t>
      </w:r>
      <w:r>
        <w:rPr>
          <w:spacing w:val="-11"/>
          <w:w w:val="100"/>
        </w:rPr>
        <w:t>在美国地区接受治疗的，被保险人须在网络医疗机构内接受治疗</w:t>
      </w:r>
      <w:r>
        <w:rPr>
          <w:spacing w:val="-3"/>
          <w:w w:val="100"/>
        </w:rPr>
        <w:t>（详见本条第（二）项</w:t>
      </w:r>
      <w:r>
        <w:rPr>
          <w:spacing w:val="-104"/>
          <w:w w:val="100"/>
        </w:rPr>
        <w:t>）</w:t>
      </w:r>
      <w:r>
        <w:rPr>
          <w:spacing w:val="-3"/>
          <w:w w:val="100"/>
        </w:rPr>
        <w:t>；在其他地区接受治疗的，本公司有权要求被保险人在网络医疗机构内接受治疗。</w:t>
      </w:r>
    </w:p>
    <w:p>
      <w:pPr>
        <w:pStyle w:val="4"/>
        <w:spacing w:before="156" w:line="278" w:lineRule="auto"/>
        <w:ind w:left="3017" w:right="449"/>
        <w:jc w:val="both"/>
      </w:pPr>
      <w:r>
        <w:rPr>
          <w:spacing w:val="-4"/>
        </w:rPr>
        <w:t>被保险人在网络医疗机构接受治疗的，对其发生的不属保险责任范围、应当</w:t>
      </w:r>
      <w:r>
        <w:rPr>
          <w:spacing w:val="-6"/>
        </w:rPr>
        <w:t>由其负担但医疗机构未向其本人收取的医疗费用，在接到本公司或其授权机</w:t>
      </w:r>
      <w:r>
        <w:rPr>
          <w:spacing w:val="-4"/>
        </w:rPr>
        <w:t>构通知后，被保险人应当在三十日内退还相应款项；</w:t>
      </w:r>
      <w:r>
        <w:rPr>
          <w:color w:val="000000"/>
          <w:spacing w:val="-4"/>
          <w:shd w:val="clear" w:color="auto" w:fill="E4E4E4"/>
        </w:rPr>
        <w:t>未在三十日内退还相应</w:t>
      </w:r>
      <w:r>
        <w:rPr>
          <w:color w:val="000000"/>
          <w:spacing w:val="40"/>
          <w:shd w:val="clear" w:color="auto" w:fill="E4E4E4"/>
        </w:rPr>
        <w:t xml:space="preserve"> </w:t>
      </w:r>
      <w:r>
        <w:rPr>
          <w:color w:val="000000"/>
          <w:spacing w:val="-5"/>
          <w:shd w:val="clear" w:color="auto" w:fill="E4E4E4"/>
        </w:rPr>
        <w:t>款项的，本合同对该被保险人保险责任终止且不退还保险费，且本公司有权</w:t>
      </w:r>
    </w:p>
    <w:p>
      <w:pPr>
        <w:spacing w:after="0" w:line="278" w:lineRule="auto"/>
        <w:jc w:val="both"/>
        <w:sectPr>
          <w:pgSz w:w="11910" w:h="16840"/>
          <w:pgMar w:top="1540" w:right="680" w:bottom="280" w:left="900" w:header="720" w:footer="720" w:gutter="0"/>
          <w:cols w:space="720" w:num="1"/>
        </w:sectPr>
      </w:pPr>
    </w:p>
    <w:p>
      <w:pPr>
        <w:pStyle w:val="4"/>
        <w:spacing w:before="44"/>
        <w:ind w:left="3017"/>
      </w:pPr>
      <w:r>
        <w:rPr>
          <w:color w:val="000000"/>
          <w:spacing w:val="-3"/>
          <w:shd w:val="clear" w:color="auto" w:fill="E4E4E4"/>
        </w:rPr>
        <w:t>向其继续追偿相应款项。</w:t>
      </w:r>
    </w:p>
    <w:p>
      <w:pPr>
        <w:pStyle w:val="4"/>
        <w:spacing w:before="7"/>
        <w:rPr>
          <w:sz w:val="15"/>
        </w:rPr>
      </w:pPr>
    </w:p>
    <w:p>
      <w:pPr>
        <w:pStyle w:val="4"/>
        <w:ind w:left="3017"/>
      </w:pPr>
      <w:r>
        <w:rPr>
          <w:spacing w:val="-2"/>
        </w:rPr>
        <w:t>（二）</w:t>
      </w:r>
      <w:r>
        <w:rPr>
          <w:spacing w:val="-3"/>
        </w:rPr>
        <w:t>美国医疗服务网络和非网络自付比例</w:t>
      </w:r>
    </w:p>
    <w:p>
      <w:pPr>
        <w:pStyle w:val="4"/>
        <w:spacing w:before="7"/>
        <w:rPr>
          <w:sz w:val="15"/>
        </w:rPr>
      </w:pPr>
    </w:p>
    <w:p>
      <w:pPr>
        <w:pStyle w:val="4"/>
        <w:spacing w:line="278" w:lineRule="auto"/>
        <w:ind w:left="3017" w:right="448"/>
        <w:jc w:val="both"/>
      </w:pPr>
      <w:r>
        <w:rPr>
          <w:spacing w:val="-4"/>
        </w:rPr>
        <w:t>在美国地区，被保险人应当在网络医疗机构内接受治疗；未在网络医疗机构</w:t>
      </w:r>
      <w:r>
        <w:rPr>
          <w:spacing w:val="-11"/>
        </w:rPr>
        <w:t>内接受治疗的，依据与当地网络医疗机构平均价格水平一致的价格水平确定</w:t>
      </w:r>
      <w:r>
        <w:rPr>
          <w:spacing w:val="-10"/>
        </w:rPr>
        <w:t>通常惯例水平的费用，且被保险人应当额外自付一定比例的保险责任范围内</w:t>
      </w:r>
      <w:r>
        <w:rPr>
          <w:spacing w:val="-4"/>
        </w:rPr>
        <w:t>的费用，即本公司按“根据本保险条款‘保险责任’部分计算的医疗保险金数额×（1-非网络自付比例）”给付医疗保险金。美国地区网络医疗机构和</w:t>
      </w:r>
      <w:r>
        <w:rPr>
          <w:spacing w:val="-2"/>
        </w:rPr>
        <w:t>非网络自付比例如下：</w:t>
      </w:r>
    </w:p>
    <w:p>
      <w:pPr>
        <w:pStyle w:val="9"/>
        <w:numPr>
          <w:ilvl w:val="0"/>
          <w:numId w:val="7"/>
        </w:numPr>
        <w:tabs>
          <w:tab w:val="left" w:pos="3230"/>
        </w:tabs>
        <w:spacing w:before="155" w:after="0" w:line="240" w:lineRule="auto"/>
        <w:ind w:left="3229" w:right="0" w:hanging="213"/>
        <w:jc w:val="left"/>
        <w:rPr>
          <w:sz w:val="21"/>
        </w:rPr>
      </w:pPr>
      <w:r>
        <w:rPr>
          <w:spacing w:val="-4"/>
          <w:sz w:val="21"/>
        </w:rPr>
        <w:t>网络医疗机构</w:t>
      </w:r>
    </w:p>
    <w:p>
      <w:pPr>
        <w:pStyle w:val="4"/>
        <w:spacing w:before="7"/>
        <w:rPr>
          <w:sz w:val="15"/>
        </w:rPr>
      </w:pPr>
    </w:p>
    <w:p>
      <w:pPr>
        <w:pStyle w:val="4"/>
        <w:spacing w:line="278" w:lineRule="auto"/>
        <w:ind w:left="3017" w:right="448"/>
        <w:jc w:val="both"/>
      </w:pPr>
      <w:r>
        <w:rPr>
          <w:spacing w:val="-4"/>
        </w:rPr>
        <w:t>网络医疗机构，指本公司指定的美国地区医疗机构。被保险人在网络医疗机</w:t>
      </w:r>
      <w:r>
        <w:rPr>
          <w:spacing w:val="-3"/>
        </w:rPr>
        <w:t xml:space="preserve">构接受治疗的，非网络自付比例为 </w:t>
      </w:r>
      <w:r>
        <w:t>0%。</w:t>
      </w:r>
    </w:p>
    <w:p>
      <w:pPr>
        <w:pStyle w:val="9"/>
        <w:numPr>
          <w:ilvl w:val="0"/>
          <w:numId w:val="7"/>
        </w:numPr>
        <w:tabs>
          <w:tab w:val="left" w:pos="3230"/>
        </w:tabs>
        <w:spacing w:before="156" w:after="0" w:line="240" w:lineRule="auto"/>
        <w:ind w:left="3229" w:right="0" w:hanging="213"/>
        <w:jc w:val="left"/>
        <w:rPr>
          <w:sz w:val="21"/>
        </w:rPr>
      </w:pPr>
      <w:r>
        <w:rPr>
          <w:spacing w:val="-4"/>
          <w:sz w:val="21"/>
        </w:rPr>
        <w:t>非网络医疗机构</w:t>
      </w:r>
    </w:p>
    <w:p>
      <w:pPr>
        <w:pStyle w:val="4"/>
        <w:spacing w:before="7"/>
        <w:rPr>
          <w:sz w:val="15"/>
        </w:rPr>
      </w:pPr>
    </w:p>
    <w:p>
      <w:pPr>
        <w:pStyle w:val="4"/>
        <w:spacing w:line="278" w:lineRule="auto"/>
        <w:ind w:left="3017" w:right="449"/>
      </w:pPr>
      <w:r>
        <w:rPr>
          <w:spacing w:val="-2"/>
        </w:rPr>
        <w:t xml:space="preserve">被保险人本可在位于其居住地方圆 </w:t>
      </w:r>
      <w:r>
        <w:t>30</w:t>
      </w:r>
      <w:r>
        <w:rPr>
          <w:spacing w:val="-10"/>
        </w:rPr>
        <w:t xml:space="preserve"> 英里</w:t>
      </w:r>
      <w:r>
        <w:t>/50</w:t>
      </w:r>
      <w:r>
        <w:rPr>
          <w:spacing w:val="-6"/>
        </w:rPr>
        <w:t xml:space="preserve"> 公里内的网络医疗机构接受</w:t>
      </w:r>
      <w:r>
        <w:rPr>
          <w:spacing w:val="-2"/>
        </w:rPr>
        <w:t xml:space="preserve">治疗却自行在非网络医疗机构接受治疗的，非网络自付比例为 </w:t>
      </w:r>
      <w:r>
        <w:t>20%。</w:t>
      </w:r>
    </w:p>
    <w:p>
      <w:pPr>
        <w:pStyle w:val="9"/>
        <w:numPr>
          <w:ilvl w:val="0"/>
          <w:numId w:val="7"/>
        </w:numPr>
        <w:tabs>
          <w:tab w:val="left" w:pos="3230"/>
        </w:tabs>
        <w:spacing w:before="156" w:after="0" w:line="240" w:lineRule="auto"/>
        <w:ind w:left="3229" w:right="0" w:hanging="213"/>
        <w:jc w:val="left"/>
        <w:rPr>
          <w:sz w:val="21"/>
        </w:rPr>
      </w:pPr>
      <w:r>
        <w:rPr>
          <w:spacing w:val="-4"/>
          <w:sz w:val="21"/>
        </w:rPr>
        <w:t>无网络医疗机构</w:t>
      </w:r>
    </w:p>
    <w:p>
      <w:pPr>
        <w:pStyle w:val="4"/>
        <w:spacing w:before="7"/>
        <w:rPr>
          <w:sz w:val="15"/>
        </w:rPr>
      </w:pPr>
    </w:p>
    <w:p>
      <w:pPr>
        <w:pStyle w:val="4"/>
        <w:spacing w:line="278" w:lineRule="auto"/>
        <w:ind w:left="3017" w:right="448"/>
      </w:pPr>
      <w:r>
        <w:rPr>
          <w:spacing w:val="-3"/>
        </w:rPr>
        <w:t xml:space="preserve">被保险人因其居住地方圆 </w:t>
      </w:r>
      <w:r>
        <w:t>30</w:t>
      </w:r>
      <w:r>
        <w:rPr>
          <w:spacing w:val="-10"/>
        </w:rPr>
        <w:t xml:space="preserve"> 英里</w:t>
      </w:r>
      <w:r>
        <w:t>/50</w:t>
      </w:r>
      <w:r>
        <w:rPr>
          <w:spacing w:val="-6"/>
        </w:rPr>
        <w:t xml:space="preserve"> 公里内无网络医疗机构而在非网络医</w:t>
      </w:r>
      <w:r>
        <w:rPr>
          <w:spacing w:val="-3"/>
        </w:rPr>
        <w:t xml:space="preserve">疗机构接受治疗的，非网络自付比例为 </w:t>
      </w:r>
      <w:r>
        <w:t>0%。</w:t>
      </w:r>
    </w:p>
    <w:p>
      <w:pPr>
        <w:pStyle w:val="4"/>
        <w:spacing w:before="7"/>
        <w:rPr>
          <w:sz w:val="23"/>
        </w:rPr>
      </w:pPr>
    </w:p>
    <w:p>
      <w:pPr>
        <w:pStyle w:val="9"/>
        <w:numPr>
          <w:ilvl w:val="1"/>
          <w:numId w:val="4"/>
        </w:numPr>
        <w:tabs>
          <w:tab w:val="left" w:pos="1503"/>
        </w:tabs>
        <w:spacing w:before="0" w:after="0" w:line="278" w:lineRule="auto"/>
        <w:ind w:left="3017" w:right="448" w:hanging="2580"/>
        <w:jc w:val="both"/>
        <w:rPr>
          <w:sz w:val="21"/>
        </w:rPr>
      </w:pPr>
      <w:r>
        <w:rPr>
          <w:b/>
          <w:sz w:val="21"/>
        </w:rPr>
        <w:t xml:space="preserve">通常惯例水平 </w:t>
      </w:r>
      <w:r>
        <w:rPr>
          <w:color w:val="000000"/>
          <w:sz w:val="21"/>
          <w:shd w:val="clear" w:color="auto" w:fill="E4E4E4"/>
        </w:rPr>
        <w:t>本公司仅对被保险人发生的符合</w:t>
      </w:r>
      <w:r>
        <w:rPr>
          <w:b/>
          <w:color w:val="000000"/>
          <w:sz w:val="21"/>
          <w:shd w:val="clear" w:color="auto" w:fill="E4E4E4"/>
        </w:rPr>
        <w:t>通常惯例水平的医疗费用</w:t>
      </w:r>
      <w:r>
        <w:rPr>
          <w:b/>
          <w:color w:val="000000"/>
          <w:position w:val="11"/>
          <w:sz w:val="11"/>
        </w:rPr>
        <w:t>47</w:t>
      </w:r>
      <w:r>
        <w:rPr>
          <w:color w:val="000000"/>
          <w:sz w:val="21"/>
          <w:shd w:val="clear" w:color="auto" w:fill="E4E4E4"/>
        </w:rPr>
        <w:t>承担保险责任。</w:t>
      </w:r>
      <w:r>
        <w:rPr>
          <w:color w:val="000000"/>
          <w:spacing w:val="-9"/>
          <w:sz w:val="21"/>
        </w:rPr>
        <w:t>根据医疗机构价格水平，保险期间内本公司将定期或不定期向投保人及相应</w:t>
      </w:r>
      <w:r>
        <w:rPr>
          <w:color w:val="000000"/>
          <w:spacing w:val="-2"/>
          <w:sz w:val="21"/>
        </w:rPr>
        <w:t>被保险人通报不符合通常惯例水平的医疗机构，供被保险人就诊参考。</w:t>
      </w:r>
    </w:p>
    <w:p>
      <w:pPr>
        <w:pStyle w:val="4"/>
        <w:spacing w:before="4"/>
        <w:rPr>
          <w:sz w:val="24"/>
        </w:rPr>
      </w:pPr>
    </w:p>
    <w:p>
      <w:pPr>
        <w:pStyle w:val="9"/>
        <w:numPr>
          <w:ilvl w:val="1"/>
          <w:numId w:val="4"/>
        </w:numPr>
        <w:tabs>
          <w:tab w:val="left" w:pos="1502"/>
          <w:tab w:val="left" w:pos="1503"/>
          <w:tab w:val="left" w:pos="3017"/>
        </w:tabs>
        <w:spacing w:before="0" w:after="0" w:line="240" w:lineRule="auto"/>
        <w:ind w:left="1502" w:right="0" w:hanging="1066"/>
        <w:jc w:val="left"/>
        <w:rPr>
          <w:sz w:val="21"/>
        </w:rPr>
      </w:pPr>
      <w:r>
        <w:rPr>
          <w:b/>
          <w:sz w:val="21"/>
        </w:rPr>
        <w:t>事先授</w:t>
      </w:r>
      <w:r>
        <w:rPr>
          <w:b/>
          <w:spacing w:val="-10"/>
          <w:sz w:val="21"/>
        </w:rPr>
        <w:t>权</w:t>
      </w:r>
      <w:r>
        <w:rPr>
          <w:b/>
          <w:sz w:val="21"/>
        </w:rPr>
        <w:tab/>
      </w:r>
      <w:r>
        <w:rPr>
          <w:spacing w:val="-2"/>
          <w:sz w:val="21"/>
        </w:rPr>
        <w:t>有关事先授权事项如下</w:t>
      </w:r>
      <w:r>
        <w:rPr>
          <w:spacing w:val="-10"/>
          <w:sz w:val="21"/>
        </w:rPr>
        <w:t>：</w:t>
      </w:r>
    </w:p>
    <w:p>
      <w:pPr>
        <w:pStyle w:val="4"/>
        <w:spacing w:before="7"/>
        <w:rPr>
          <w:sz w:val="15"/>
        </w:rPr>
      </w:pPr>
    </w:p>
    <w:p>
      <w:pPr>
        <w:pStyle w:val="4"/>
        <w:ind w:left="3017"/>
      </w:pPr>
      <w:r>
        <w:rPr>
          <w:spacing w:val="-2"/>
        </w:rPr>
        <w:t>（一）</w:t>
      </w:r>
      <w:r>
        <w:rPr>
          <w:spacing w:val="-5"/>
        </w:rPr>
        <w:t>事先授权</w:t>
      </w:r>
    </w:p>
    <w:p>
      <w:pPr>
        <w:pStyle w:val="4"/>
        <w:spacing w:before="7"/>
        <w:rPr>
          <w:sz w:val="15"/>
        </w:rPr>
      </w:pPr>
    </w:p>
    <w:p>
      <w:pPr>
        <w:pStyle w:val="4"/>
        <w:spacing w:line="278" w:lineRule="auto"/>
        <w:ind w:left="3017" w:right="449"/>
      </w:pPr>
      <w:r>
        <w:rPr>
          <w:spacing w:val="-11"/>
        </w:rPr>
        <w:t>接受下列治疗前，被保险人须在预定开始治疗日期前至少五个工作日向本公</w:t>
      </w:r>
      <w:r>
        <w:rPr>
          <w:spacing w:val="-2"/>
        </w:rPr>
        <w:t>司提交事先授权申请表：</w:t>
      </w:r>
    </w:p>
    <w:p>
      <w:pPr>
        <w:pStyle w:val="9"/>
        <w:numPr>
          <w:ilvl w:val="0"/>
          <w:numId w:val="8"/>
        </w:numPr>
        <w:tabs>
          <w:tab w:val="left" w:pos="3230"/>
        </w:tabs>
        <w:spacing w:before="156" w:after="0" w:line="240" w:lineRule="auto"/>
        <w:ind w:left="3229" w:right="0" w:hanging="213"/>
        <w:jc w:val="left"/>
        <w:rPr>
          <w:sz w:val="21"/>
        </w:rPr>
      </w:pPr>
      <w:r>
        <w:rPr>
          <w:spacing w:val="-5"/>
          <w:sz w:val="21"/>
        </w:rPr>
        <w:t>住院；</w:t>
      </w:r>
    </w:p>
    <w:p>
      <w:pPr>
        <w:pStyle w:val="4"/>
        <w:spacing w:before="6"/>
        <w:rPr>
          <w:sz w:val="15"/>
        </w:rPr>
      </w:pPr>
    </w:p>
    <w:p>
      <w:pPr>
        <w:pStyle w:val="9"/>
        <w:numPr>
          <w:ilvl w:val="0"/>
          <w:numId w:val="8"/>
        </w:numPr>
        <w:tabs>
          <w:tab w:val="left" w:pos="3230"/>
        </w:tabs>
        <w:spacing w:before="0" w:after="0" w:line="240" w:lineRule="auto"/>
        <w:ind w:left="3229" w:right="0" w:hanging="213"/>
        <w:jc w:val="left"/>
        <w:rPr>
          <w:sz w:val="21"/>
        </w:rPr>
      </w:pPr>
      <w:r>
        <w:rPr>
          <w:spacing w:val="-3"/>
          <w:sz w:val="21"/>
        </w:rPr>
        <w:t>需全身麻醉的门诊手术，化学疗法，放射疗法，血液或腹膜透析；</w:t>
      </w:r>
    </w:p>
    <w:p>
      <w:pPr>
        <w:pStyle w:val="4"/>
        <w:spacing w:before="7"/>
        <w:rPr>
          <w:sz w:val="15"/>
        </w:rPr>
      </w:pPr>
    </w:p>
    <w:p>
      <w:pPr>
        <w:pStyle w:val="9"/>
        <w:numPr>
          <w:ilvl w:val="0"/>
          <w:numId w:val="8"/>
        </w:numPr>
        <w:tabs>
          <w:tab w:val="left" w:pos="3234"/>
        </w:tabs>
        <w:spacing w:before="0" w:after="0" w:line="278" w:lineRule="auto"/>
        <w:ind w:left="3017" w:right="459" w:firstLine="0"/>
        <w:jc w:val="left"/>
        <w:rPr>
          <w:sz w:val="21"/>
        </w:rPr>
      </w:pPr>
      <w:r>
        <w:rPr>
          <w:spacing w:val="-2"/>
          <w:sz w:val="21"/>
        </w:rPr>
        <w:t>购买或租用非一次性耐用医疗设备，包括但不限于胰岛素泵及其配套器</w:t>
      </w:r>
      <w:r>
        <w:rPr>
          <w:spacing w:val="-6"/>
          <w:sz w:val="21"/>
        </w:rPr>
        <w:t>械；</w:t>
      </w:r>
    </w:p>
    <w:p>
      <w:pPr>
        <w:pStyle w:val="9"/>
        <w:numPr>
          <w:ilvl w:val="0"/>
          <w:numId w:val="8"/>
        </w:numPr>
        <w:tabs>
          <w:tab w:val="left" w:pos="3230"/>
        </w:tabs>
        <w:spacing w:before="157" w:after="0" w:line="240" w:lineRule="auto"/>
        <w:ind w:left="3229" w:right="0" w:hanging="213"/>
        <w:jc w:val="left"/>
        <w:rPr>
          <w:sz w:val="21"/>
        </w:rPr>
      </w:pPr>
      <w:r>
        <w:rPr>
          <w:spacing w:val="-4"/>
          <w:sz w:val="21"/>
        </w:rPr>
        <w:t>紧急医疗转运；</w:t>
      </w:r>
    </w:p>
    <w:p>
      <w:pPr>
        <w:pStyle w:val="4"/>
        <w:rPr>
          <w:sz w:val="20"/>
        </w:rPr>
      </w:pPr>
    </w:p>
    <w:p>
      <w:pPr>
        <w:pStyle w:val="4"/>
        <w:spacing w:before="6"/>
        <w:rPr>
          <w:sz w:val="26"/>
        </w:rPr>
      </w:pPr>
      <w:r>
        <w:drawing>
          <wp:anchor distT="0" distB="0" distL="0" distR="0" simplePos="0" relativeHeight="251659264" behindDoc="0" locked="0" layoutInCell="1" allowOverlap="1">
            <wp:simplePos x="0" y="0"/>
            <wp:positionH relativeFrom="page">
              <wp:posOffset>685800</wp:posOffset>
            </wp:positionH>
            <wp:positionV relativeFrom="paragraph">
              <wp:posOffset>230505</wp:posOffset>
            </wp:positionV>
            <wp:extent cx="1829435" cy="6350"/>
            <wp:effectExtent l="0" t="0" r="0" b="0"/>
            <wp:wrapTopAndBottom/>
            <wp:docPr id="4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4.png"/>
                    <pic:cNvPicPr>
                      <a:picLocks noChangeAspect="1"/>
                    </pic:cNvPicPr>
                  </pic:nvPicPr>
                  <pic:blipFill>
                    <a:blip r:embed="rId9" cstate="print"/>
                    <a:stretch>
                      <a:fillRect/>
                    </a:stretch>
                  </pic:blipFill>
                  <pic:spPr>
                    <a:xfrm>
                      <a:off x="0" y="0"/>
                      <a:ext cx="1829511" cy="6095"/>
                    </a:xfrm>
                    <a:prstGeom prst="rect">
                      <a:avLst/>
                    </a:prstGeom>
                  </pic:spPr>
                </pic:pic>
              </a:graphicData>
            </a:graphic>
          </wp:anchor>
        </w:drawing>
      </w:r>
    </w:p>
    <w:p>
      <w:pPr>
        <w:spacing w:before="91"/>
        <w:ind w:left="180" w:right="0" w:firstLine="0"/>
        <w:jc w:val="left"/>
        <w:rPr>
          <w:rFonts w:ascii="楷体" w:eastAsia="楷体"/>
          <w:sz w:val="18"/>
        </w:rPr>
      </w:pPr>
      <w:r>
        <w:rPr>
          <w:rFonts w:ascii="楷体" w:eastAsia="楷体"/>
          <w:w w:val="95"/>
          <w:position w:val="9"/>
          <w:sz w:val="9"/>
        </w:rPr>
        <w:t>47</w:t>
      </w:r>
      <w:r>
        <w:rPr>
          <w:rFonts w:hint="eastAsia" w:ascii="楷体" w:eastAsia="楷体"/>
          <w:b/>
          <w:w w:val="95"/>
          <w:sz w:val="18"/>
        </w:rPr>
        <w:t>通常惯例水平的医疗费用：</w:t>
      </w:r>
      <w:r>
        <w:rPr>
          <w:rFonts w:ascii="楷体" w:eastAsia="楷体"/>
          <w:w w:val="95"/>
          <w:sz w:val="18"/>
        </w:rPr>
        <w:t>各指以下两者中较低者：提供相应医疗服务的医疗机构对该医疗服务通常收费水平，同一地</w:t>
      </w:r>
      <w:r>
        <w:rPr>
          <w:rFonts w:ascii="楷体" w:eastAsia="楷体"/>
          <w:spacing w:val="-10"/>
          <w:w w:val="95"/>
          <w:sz w:val="18"/>
        </w:rPr>
        <w:t>区</w:t>
      </w:r>
    </w:p>
    <w:p>
      <w:pPr>
        <w:spacing w:before="4" w:line="242" w:lineRule="auto"/>
        <w:ind w:left="180" w:right="423" w:firstLine="0"/>
        <w:jc w:val="left"/>
        <w:rPr>
          <w:rFonts w:ascii="楷体" w:eastAsia="楷体"/>
          <w:sz w:val="18"/>
        </w:rPr>
      </w:pPr>
      <w:r>
        <w:rPr>
          <w:rFonts w:ascii="楷体" w:eastAsia="楷体"/>
          <w:spacing w:val="-2"/>
          <w:sz w:val="18"/>
        </w:rPr>
        <w:t>其他医疗机构对居住在同一地区的（以邮政编码为准</w:t>
      </w:r>
      <w:r>
        <w:rPr>
          <w:rFonts w:ascii="楷体" w:eastAsia="楷体"/>
          <w:spacing w:val="-92"/>
          <w:sz w:val="18"/>
        </w:rPr>
        <w:t>）</w:t>
      </w:r>
      <w:r>
        <w:rPr>
          <w:rFonts w:ascii="楷体" w:eastAsia="楷体"/>
          <w:spacing w:val="-2"/>
          <w:sz w:val="18"/>
        </w:rPr>
        <w:t>、病情性质和严重程度类似的人员提供同样医疗服务的平均收费水</w:t>
      </w:r>
      <w:r>
        <w:rPr>
          <w:rFonts w:ascii="楷体" w:eastAsia="楷体"/>
          <w:spacing w:val="40"/>
          <w:sz w:val="18"/>
        </w:rPr>
        <w:t xml:space="preserve">  </w:t>
      </w:r>
      <w:r>
        <w:rPr>
          <w:rFonts w:ascii="楷体" w:eastAsia="楷体"/>
          <w:spacing w:val="-2"/>
          <w:sz w:val="18"/>
        </w:rPr>
        <w:t>平。若某医疗服务在当地区不常见或仅当地区少数医疗机构能够提供，保险人将参考下列因素确定通常惯例水平的医疗费</w:t>
      </w:r>
      <w:r>
        <w:rPr>
          <w:rFonts w:ascii="楷体" w:eastAsia="楷体"/>
          <w:spacing w:val="80"/>
          <w:sz w:val="18"/>
        </w:rPr>
        <w:t xml:space="preserve"> </w:t>
      </w:r>
      <w:r>
        <w:rPr>
          <w:rFonts w:ascii="楷体" w:eastAsia="楷体"/>
          <w:spacing w:val="-2"/>
          <w:sz w:val="18"/>
        </w:rPr>
        <w:t>用：治疗复杂性，治疗必要的专业程度，必要的医疗专业类型，相应医疗机构提供的医疗服务范围和种类，其他地区通常的收费水平。这里，地区指根据普遍认可的国际标准为取得类似医疗机构或类似医疗服务平均水平所必要的地域范围，可为一个城市、国家或更广的地域。</w:t>
      </w:r>
    </w:p>
    <w:p>
      <w:pPr>
        <w:spacing w:after="0" w:line="242" w:lineRule="auto"/>
        <w:jc w:val="left"/>
        <w:rPr>
          <w:rFonts w:ascii="楷体" w:eastAsia="楷体"/>
          <w:sz w:val="18"/>
        </w:rPr>
        <w:sectPr>
          <w:pgSz w:w="11910" w:h="16840"/>
          <w:pgMar w:top="1400" w:right="680" w:bottom="280" w:left="900" w:header="720" w:footer="720" w:gutter="0"/>
          <w:cols w:space="720" w:num="1"/>
        </w:sectPr>
      </w:pPr>
    </w:p>
    <w:p>
      <w:pPr>
        <w:pStyle w:val="9"/>
        <w:numPr>
          <w:ilvl w:val="0"/>
          <w:numId w:val="8"/>
        </w:numPr>
        <w:tabs>
          <w:tab w:val="left" w:pos="3230"/>
        </w:tabs>
        <w:spacing w:before="44" w:after="0" w:line="240" w:lineRule="auto"/>
        <w:ind w:left="3229" w:right="0" w:hanging="213"/>
        <w:jc w:val="left"/>
        <w:rPr>
          <w:sz w:val="21"/>
        </w:rPr>
      </w:pPr>
      <w:r>
        <w:rPr>
          <w:spacing w:val="-3"/>
          <w:sz w:val="21"/>
        </w:rPr>
        <w:t>牙科意外伤害修补治疗；</w:t>
      </w:r>
    </w:p>
    <w:p>
      <w:pPr>
        <w:pStyle w:val="4"/>
        <w:spacing w:before="7"/>
        <w:rPr>
          <w:sz w:val="15"/>
        </w:rPr>
      </w:pPr>
    </w:p>
    <w:p>
      <w:pPr>
        <w:pStyle w:val="9"/>
        <w:numPr>
          <w:ilvl w:val="0"/>
          <w:numId w:val="8"/>
        </w:numPr>
        <w:tabs>
          <w:tab w:val="left" w:pos="3230"/>
        </w:tabs>
        <w:spacing w:before="0" w:after="0" w:line="240" w:lineRule="auto"/>
        <w:ind w:left="3229" w:right="0" w:hanging="213"/>
        <w:jc w:val="left"/>
        <w:rPr>
          <w:sz w:val="21"/>
        </w:rPr>
      </w:pPr>
      <w:r>
        <w:rPr>
          <w:spacing w:val="-8"/>
          <w:sz w:val="21"/>
        </w:rPr>
        <w:t xml:space="preserve">每剂超过人民币 </w:t>
      </w:r>
      <w:r>
        <w:rPr>
          <w:spacing w:val="-2"/>
          <w:sz w:val="21"/>
        </w:rPr>
        <w:t>8,000</w:t>
      </w:r>
      <w:r>
        <w:rPr>
          <w:spacing w:val="-10"/>
          <w:sz w:val="21"/>
        </w:rPr>
        <w:t xml:space="preserve"> 元的药剂或疫苗。</w:t>
      </w:r>
    </w:p>
    <w:p>
      <w:pPr>
        <w:pStyle w:val="4"/>
        <w:spacing w:before="7"/>
        <w:rPr>
          <w:sz w:val="15"/>
        </w:rPr>
      </w:pPr>
    </w:p>
    <w:p>
      <w:pPr>
        <w:pStyle w:val="4"/>
        <w:spacing w:line="278" w:lineRule="auto"/>
        <w:ind w:left="3017" w:right="343"/>
      </w:pPr>
      <w:r>
        <w:rPr>
          <w:spacing w:val="-8"/>
        </w:rPr>
        <w:t>对于被保险人事先授权申请，本公司将予以书面回复并有权要求被保险人在</w:t>
      </w:r>
      <w:r>
        <w:rPr>
          <w:spacing w:val="-9"/>
        </w:rPr>
        <w:t>医疗服务网络内接受治疗。被保险人应当在收到书面许可回复后开始接受治</w:t>
      </w:r>
      <w:r>
        <w:rPr>
          <w:spacing w:val="-2"/>
        </w:rPr>
        <w:t>疗，本公司要求被保险人在医疗服务网络接受治疗的，被保险人应当予以配</w:t>
      </w:r>
      <w:r>
        <w:rPr>
          <w:spacing w:val="-40"/>
        </w:rPr>
        <w:t>合。</w:t>
      </w:r>
      <w:r>
        <w:rPr>
          <w:color w:val="000000"/>
          <w:spacing w:val="-3"/>
          <w:shd w:val="clear" w:color="auto" w:fill="E4E4E4"/>
        </w:rPr>
        <w:t xml:space="preserve">未获得本公司书面许可回复被保险人接受上述 </w:t>
      </w:r>
      <w:r>
        <w:rPr>
          <w:color w:val="000000"/>
          <w:shd w:val="clear" w:color="auto" w:fill="E4E4E4"/>
        </w:rPr>
        <w:t>1～6</w:t>
      </w:r>
      <w:r>
        <w:rPr>
          <w:color w:val="000000"/>
          <w:spacing w:val="-8"/>
          <w:shd w:val="clear" w:color="auto" w:fill="E4E4E4"/>
        </w:rPr>
        <w:t xml:space="preserve"> 项中任一类医疗的，</w:t>
      </w:r>
      <w:r>
        <w:rPr>
          <w:color w:val="000000"/>
          <w:spacing w:val="80"/>
          <w:w w:val="150"/>
          <w:shd w:val="clear" w:color="auto" w:fill="E4E4E4"/>
        </w:rPr>
        <w:t xml:space="preserve">                                      </w:t>
      </w:r>
      <w:r>
        <w:rPr>
          <w:color w:val="000000"/>
          <w:spacing w:val="-2"/>
          <w:shd w:val="clear" w:color="auto" w:fill="E4E4E4"/>
        </w:rPr>
        <w:t>本公司有权不承担保险责任。</w:t>
      </w:r>
    </w:p>
    <w:p>
      <w:pPr>
        <w:pStyle w:val="4"/>
        <w:spacing w:before="155" w:line="278" w:lineRule="auto"/>
        <w:ind w:left="3017" w:right="449"/>
        <w:jc w:val="both"/>
      </w:pPr>
      <w:r>
        <w:rPr>
          <w:spacing w:val="-4"/>
        </w:rPr>
        <w:t>发生紧急情况的，被保险人可在就近网络或非网络医疗机构接受治疗，但须</w:t>
      </w:r>
      <w:r>
        <w:rPr>
          <w:spacing w:val="-6"/>
        </w:rPr>
        <w:t>在开始接受治疗后四十八小时内通知本公司。本公司将对该次治疗是否属紧</w:t>
      </w:r>
      <w:r>
        <w:rPr>
          <w:spacing w:val="-2"/>
        </w:rPr>
        <w:t>急情况予以审核。</w:t>
      </w:r>
    </w:p>
    <w:p>
      <w:pPr>
        <w:pStyle w:val="4"/>
        <w:spacing w:before="156"/>
        <w:ind w:left="3017"/>
      </w:pPr>
      <w:r>
        <w:rPr>
          <w:spacing w:val="-2"/>
        </w:rPr>
        <w:t>（二）</w:t>
      </w:r>
      <w:r>
        <w:rPr>
          <w:spacing w:val="-6"/>
        </w:rPr>
        <w:t>其他</w:t>
      </w:r>
    </w:p>
    <w:p>
      <w:pPr>
        <w:pStyle w:val="4"/>
        <w:spacing w:before="7"/>
        <w:rPr>
          <w:sz w:val="15"/>
        </w:rPr>
      </w:pPr>
    </w:p>
    <w:p>
      <w:pPr>
        <w:pStyle w:val="9"/>
        <w:numPr>
          <w:ilvl w:val="0"/>
          <w:numId w:val="9"/>
        </w:numPr>
        <w:tabs>
          <w:tab w:val="left" w:pos="3230"/>
        </w:tabs>
        <w:spacing w:before="0" w:after="0" w:line="278" w:lineRule="auto"/>
        <w:ind w:left="3017" w:right="448" w:firstLine="0"/>
        <w:jc w:val="left"/>
        <w:rPr>
          <w:sz w:val="21"/>
        </w:rPr>
      </w:pPr>
      <w:r>
        <w:rPr>
          <w:spacing w:val="-4"/>
          <w:sz w:val="21"/>
        </w:rPr>
        <w:t>被保险人、相关人员或医疗机构可致电本公司，了解事先授权、网络医疗</w:t>
      </w:r>
      <w:r>
        <w:rPr>
          <w:spacing w:val="-2"/>
          <w:sz w:val="21"/>
        </w:rPr>
        <w:t>机构相关情况。</w:t>
      </w:r>
    </w:p>
    <w:p>
      <w:pPr>
        <w:pStyle w:val="9"/>
        <w:numPr>
          <w:ilvl w:val="0"/>
          <w:numId w:val="9"/>
        </w:numPr>
        <w:tabs>
          <w:tab w:val="left" w:pos="3230"/>
        </w:tabs>
        <w:spacing w:before="156" w:after="0" w:line="278" w:lineRule="auto"/>
        <w:ind w:left="3017" w:right="449" w:firstLine="0"/>
        <w:jc w:val="left"/>
        <w:rPr>
          <w:sz w:val="21"/>
        </w:rPr>
      </w:pPr>
      <w:r>
        <w:rPr>
          <w:spacing w:val="-8"/>
          <w:sz w:val="21"/>
        </w:rPr>
        <w:t>被保险人获得本公司许可回复，不意味着其发生的全部或部分医疗费用属</w:t>
      </w:r>
      <w:r>
        <w:rPr>
          <w:spacing w:val="-2"/>
          <w:sz w:val="21"/>
        </w:rPr>
        <w:t>保险责任范围，本公司按照本合同约定承担保险责任。</w:t>
      </w:r>
    </w:p>
    <w:p>
      <w:pPr>
        <w:pStyle w:val="4"/>
        <w:spacing w:before="10"/>
        <w:rPr>
          <w:sz w:val="18"/>
        </w:rPr>
      </w:pPr>
    </w:p>
    <w:p>
      <w:pPr>
        <w:pStyle w:val="3"/>
        <w:numPr>
          <w:ilvl w:val="1"/>
          <w:numId w:val="4"/>
        </w:numPr>
        <w:tabs>
          <w:tab w:val="left" w:pos="1502"/>
          <w:tab w:val="left" w:pos="1503"/>
        </w:tabs>
        <w:spacing w:before="71" w:after="0" w:line="240" w:lineRule="auto"/>
        <w:ind w:left="1502" w:right="0" w:hanging="1066"/>
        <w:jc w:val="left"/>
      </w:pPr>
      <w:r>
        <w:drawing>
          <wp:anchor distT="0" distB="0" distL="0" distR="0" simplePos="0" relativeHeight="251663360" behindDoc="0" locked="0" layoutInCell="1" allowOverlap="1">
            <wp:simplePos x="0" y="0"/>
            <wp:positionH relativeFrom="page">
              <wp:posOffset>2487295</wp:posOffset>
            </wp:positionH>
            <wp:positionV relativeFrom="paragraph">
              <wp:posOffset>438785</wp:posOffset>
            </wp:positionV>
            <wp:extent cx="4220845" cy="173990"/>
            <wp:effectExtent l="0" t="0" r="0" b="0"/>
            <wp:wrapNone/>
            <wp:docPr id="49"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9.png"/>
                    <pic:cNvPicPr>
                      <a:picLocks noChangeAspect="1"/>
                    </pic:cNvPicPr>
                  </pic:nvPicPr>
                  <pic:blipFill>
                    <a:blip r:embed="rId14" cstate="print"/>
                    <a:stretch>
                      <a:fillRect/>
                    </a:stretch>
                  </pic:blipFill>
                  <pic:spPr>
                    <a:xfrm>
                      <a:off x="0" y="0"/>
                      <a:ext cx="4220845" cy="173736"/>
                    </a:xfrm>
                    <a:prstGeom prst="rect">
                      <a:avLst/>
                    </a:prstGeom>
                  </pic:spPr>
                </pic:pic>
              </a:graphicData>
            </a:graphic>
          </wp:anchor>
        </w:drawing>
      </w:r>
      <w:r>
        <w:pict>
          <v:shape id="docshape20" o:spid="_x0000_s1045" o:spt="202" type="#_x0000_t202" style="position:absolute;left:0pt;margin-left:195.85pt;margin-top:34.55pt;height:13.7pt;width:342.95pt;mso-position-horizontal-relative:page;z-index:251663360;mso-width-relative:page;mso-height-relative:page;" filled="f" stroked="f" coordsize="21600,21600">
            <v:path/>
            <v:fill on="f" focussize="0,0"/>
            <v:stroke on="f" joinstyle="miter"/>
            <v:imagedata o:title=""/>
            <o:lock v:ext="edit"/>
            <v:textbox inset="0mm,0mm,0mm,0mm">
              <w:txbxContent>
                <w:p>
                  <w:pPr>
                    <w:pStyle w:val="4"/>
                    <w:spacing w:before="3"/>
                  </w:pPr>
                  <w:r>
                    <w:rPr>
                      <w:spacing w:val="-5"/>
                    </w:rPr>
                    <w:t>的，或本公司已承担相应费用的，受益人不得就此向本公司申请保险金。其</w:t>
                  </w:r>
                </w:p>
              </w:txbxContent>
            </v:textbox>
          </v:shape>
        </w:pict>
      </w:r>
      <w:r>
        <w:pict>
          <v:shape id="docshape21" o:spid="_x0000_s1046" o:spt="202" type="#_x0000_t202" style="position:absolute;left:0pt;margin-left:195.85pt;margin-top:18.95pt;height:13.7pt;width:342.7pt;mso-position-horizontal-relative:page;z-index:251664384;mso-width-relative:page;mso-height-relative:page;" fillcolor="#E4E4E4" filled="t" stroked="f" coordsize="21600,21600">
            <v:path/>
            <v:fill on="t" focussize="0,0"/>
            <v:stroke on="f" joinstyle="miter"/>
            <v:imagedata o:title=""/>
            <o:lock v:ext="edit"/>
            <v:textbox inset="0mm,0mm,0mm,0mm">
              <w:txbxContent>
                <w:p>
                  <w:pPr>
                    <w:pStyle w:val="4"/>
                    <w:spacing w:before="3"/>
                    <w:rPr>
                      <w:color w:val="000000"/>
                    </w:rPr>
                  </w:pPr>
                  <w:r>
                    <w:rPr>
                      <w:color w:val="000000"/>
                      <w:spacing w:val="-1"/>
                    </w:rPr>
                    <w:t>收取与本公司根据本合同本应向受益人给付的保险金数额对应的医疗费用</w:t>
                  </w:r>
                </w:p>
              </w:txbxContent>
            </v:textbox>
          </v:shape>
        </w:pict>
      </w:r>
      <w:r>
        <w:pict>
          <v:shape id="docshape22" o:spid="_x0000_s1047" o:spt="202" type="#_x0000_t202" style="position:absolute;left:0pt;margin-left:195.85pt;margin-top:3.35pt;height:13.7pt;width:342.7pt;mso-position-horizontal-relative:page;z-index:251664384;mso-width-relative:page;mso-height-relative:page;" fillcolor="#E4E4E4" filled="t" stroked="f" coordsize="21600,21600">
            <v:path/>
            <v:fill on="t" focussize="0,0"/>
            <v:stroke on="f" joinstyle="miter"/>
            <v:imagedata o:title=""/>
            <o:lock v:ext="edit"/>
            <v:textbox inset="0mm,0mm,0mm,0mm">
              <w:txbxContent>
                <w:p>
                  <w:pPr>
                    <w:pStyle w:val="4"/>
                    <w:spacing w:before="3"/>
                    <w:ind w:right="-15"/>
                    <w:rPr>
                      <w:color w:val="000000"/>
                    </w:rPr>
                  </w:pPr>
                  <w:r>
                    <w:rPr>
                      <w:color w:val="000000"/>
                      <w:spacing w:val="-8"/>
                    </w:rPr>
                    <w:t>被保险人在网络医疗机构接受治疗，该医疗机构受本公司委托免向被保险人</w:t>
                  </w:r>
                </w:p>
              </w:txbxContent>
            </v:textbox>
          </v:shape>
        </w:pict>
      </w:r>
      <w:r>
        <w:rPr>
          <w:spacing w:val="-2"/>
        </w:rPr>
        <w:t>保险金申请</w:t>
      </w:r>
    </w:p>
    <w:p>
      <w:pPr>
        <w:pStyle w:val="4"/>
        <w:rPr>
          <w:b/>
          <w:sz w:val="20"/>
        </w:rPr>
      </w:pPr>
    </w:p>
    <w:p>
      <w:pPr>
        <w:pStyle w:val="4"/>
        <w:spacing w:before="6"/>
        <w:rPr>
          <w:b/>
          <w:sz w:val="26"/>
        </w:rPr>
      </w:pPr>
    </w:p>
    <w:p>
      <w:pPr>
        <w:pStyle w:val="4"/>
        <w:spacing w:before="72"/>
        <w:ind w:left="3017"/>
      </w:pPr>
      <w:r>
        <w:rPr>
          <w:spacing w:val="-3"/>
        </w:rPr>
        <w:t>他情形，受益人可根据本合同向本公司申请保险金。</w:t>
      </w:r>
    </w:p>
    <w:p>
      <w:pPr>
        <w:pStyle w:val="4"/>
        <w:spacing w:before="6"/>
        <w:rPr>
          <w:sz w:val="15"/>
        </w:rPr>
      </w:pPr>
    </w:p>
    <w:p>
      <w:pPr>
        <w:pStyle w:val="4"/>
        <w:spacing w:before="1" w:line="278" w:lineRule="auto"/>
        <w:ind w:left="3017" w:right="372"/>
      </w:pPr>
      <w:r>
        <w:rPr>
          <w:spacing w:val="-2"/>
        </w:rPr>
        <w:t>受益人向本公司申请给付保险金时，应当填写保险金给付申请书，并以书面形式提交下列证明和资料。受益人因特殊原因不能提供下列证明和资料的，应当提供其他合法、有效的证明和资料。</w:t>
      </w:r>
      <w:r>
        <w:rPr>
          <w:color w:val="000000"/>
          <w:spacing w:val="-2"/>
          <w:shd w:val="clear" w:color="auto" w:fill="E4E4E4"/>
        </w:rPr>
        <w:t>受益人未能提供有关证明和资料，</w:t>
      </w:r>
      <w:r>
        <w:rPr>
          <w:color w:val="000000"/>
          <w:spacing w:val="80"/>
          <w:w w:val="150"/>
          <w:shd w:val="clear" w:color="auto" w:fill="E4E4E4"/>
        </w:rPr>
        <w:t xml:space="preserve">                                     </w:t>
      </w:r>
      <w:r>
        <w:rPr>
          <w:color w:val="000000"/>
          <w:spacing w:val="-2"/>
          <w:shd w:val="clear" w:color="auto" w:fill="E4E4E4"/>
        </w:rPr>
        <w:t>导致本公司无法核实事故的性质、原因、损失程度的，本公司对无法核实部分不承担给付保险金的责任。</w:t>
      </w:r>
    </w:p>
    <w:p>
      <w:pPr>
        <w:pStyle w:val="4"/>
        <w:spacing w:before="156"/>
        <w:ind w:left="3017"/>
      </w:pPr>
      <w:r>
        <w:rPr>
          <w:spacing w:val="-3"/>
        </w:rPr>
        <w:t>须提供的证明和资料：</w:t>
      </w:r>
    </w:p>
    <w:p>
      <w:pPr>
        <w:pStyle w:val="4"/>
        <w:spacing w:before="6"/>
        <w:rPr>
          <w:sz w:val="15"/>
        </w:rPr>
      </w:pPr>
    </w:p>
    <w:p>
      <w:pPr>
        <w:pStyle w:val="9"/>
        <w:numPr>
          <w:ilvl w:val="0"/>
          <w:numId w:val="10"/>
        </w:numPr>
        <w:tabs>
          <w:tab w:val="left" w:pos="3738"/>
        </w:tabs>
        <w:spacing w:before="0" w:after="0" w:line="240" w:lineRule="auto"/>
        <w:ind w:left="3737" w:right="0" w:hanging="721"/>
        <w:jc w:val="left"/>
        <w:rPr>
          <w:sz w:val="21"/>
        </w:rPr>
      </w:pPr>
      <w:r>
        <w:rPr>
          <w:spacing w:val="-3"/>
          <w:sz w:val="21"/>
        </w:rPr>
        <w:t>保险合同、保险凭证或投保人证明；</w:t>
      </w:r>
    </w:p>
    <w:p>
      <w:pPr>
        <w:pStyle w:val="4"/>
        <w:spacing w:before="7"/>
        <w:rPr>
          <w:sz w:val="15"/>
        </w:rPr>
      </w:pPr>
    </w:p>
    <w:p>
      <w:pPr>
        <w:pStyle w:val="9"/>
        <w:numPr>
          <w:ilvl w:val="0"/>
          <w:numId w:val="10"/>
        </w:numPr>
        <w:tabs>
          <w:tab w:val="left" w:pos="3738"/>
        </w:tabs>
        <w:spacing w:before="0" w:after="0" w:line="240" w:lineRule="auto"/>
        <w:ind w:left="3737" w:right="0" w:hanging="721"/>
        <w:jc w:val="left"/>
        <w:rPr>
          <w:sz w:val="21"/>
        </w:rPr>
      </w:pPr>
      <w:r>
        <w:rPr>
          <w:spacing w:val="-3"/>
          <w:sz w:val="21"/>
        </w:rPr>
        <w:t>被保险人及受益人有效身份证件；</w:t>
      </w:r>
    </w:p>
    <w:p>
      <w:pPr>
        <w:pStyle w:val="4"/>
        <w:spacing w:before="7"/>
        <w:rPr>
          <w:sz w:val="15"/>
        </w:rPr>
      </w:pPr>
    </w:p>
    <w:p>
      <w:pPr>
        <w:pStyle w:val="9"/>
        <w:numPr>
          <w:ilvl w:val="0"/>
          <w:numId w:val="10"/>
        </w:numPr>
        <w:tabs>
          <w:tab w:val="left" w:pos="3738"/>
        </w:tabs>
        <w:spacing w:before="0" w:after="0" w:line="278" w:lineRule="auto"/>
        <w:ind w:left="3737" w:right="448" w:hanging="721"/>
        <w:jc w:val="both"/>
        <w:rPr>
          <w:sz w:val="21"/>
        </w:rPr>
      </w:pPr>
      <w:r>
        <w:rPr>
          <w:spacing w:val="-2"/>
          <w:sz w:val="21"/>
        </w:rPr>
        <w:t>本公司指定或认可的医疗机构出具的支持索赔的账单明细、证明、</w:t>
      </w:r>
      <w:r>
        <w:rPr>
          <w:spacing w:val="-4"/>
          <w:sz w:val="21"/>
        </w:rPr>
        <w:t>信息和证据，包括但不限于医院出具的病历资料、 医学诊断书、处</w:t>
      </w:r>
      <w:r>
        <w:rPr>
          <w:spacing w:val="-6"/>
          <w:sz w:val="21"/>
        </w:rPr>
        <w:t>方、病理检查报告、化验检查报告、医疗费用原始单据、费用明细单</w:t>
      </w:r>
      <w:r>
        <w:rPr>
          <w:spacing w:val="-2"/>
          <w:sz w:val="21"/>
        </w:rPr>
        <w:t>据等。受益人因特殊原因不能提供上述材料的，应提供其它合法有</w:t>
      </w:r>
      <w:r>
        <w:rPr>
          <w:spacing w:val="-12"/>
          <w:sz w:val="21"/>
        </w:rPr>
        <w:t>效的材料被保险人诊断证明、门急诊病历、出院小结或出院病历</w:t>
      </w:r>
      <w:r>
        <w:rPr>
          <w:spacing w:val="-2"/>
          <w:sz w:val="21"/>
        </w:rPr>
        <w:t>（加盖医院病历专用章</w:t>
      </w:r>
      <w:r>
        <w:rPr>
          <w:spacing w:val="-108"/>
          <w:sz w:val="21"/>
        </w:rPr>
        <w:t>）</w:t>
      </w:r>
      <w:r>
        <w:rPr>
          <w:spacing w:val="-2"/>
          <w:sz w:val="21"/>
        </w:rPr>
        <w:t>、医疗费用发票及明细；</w:t>
      </w:r>
    </w:p>
    <w:p>
      <w:pPr>
        <w:pStyle w:val="9"/>
        <w:numPr>
          <w:ilvl w:val="0"/>
          <w:numId w:val="10"/>
        </w:numPr>
        <w:tabs>
          <w:tab w:val="left" w:pos="3738"/>
        </w:tabs>
        <w:spacing w:before="156" w:after="0" w:line="240" w:lineRule="auto"/>
        <w:ind w:left="3737" w:right="0" w:hanging="721"/>
        <w:jc w:val="left"/>
        <w:rPr>
          <w:sz w:val="21"/>
        </w:rPr>
      </w:pPr>
      <w:r>
        <w:rPr>
          <w:spacing w:val="-3"/>
          <w:sz w:val="21"/>
        </w:rPr>
        <w:t>所能提供的与确认事故的性质、原因等有关的其他证明和资料；</w:t>
      </w:r>
    </w:p>
    <w:p>
      <w:pPr>
        <w:pStyle w:val="4"/>
        <w:spacing w:before="6"/>
        <w:rPr>
          <w:sz w:val="15"/>
        </w:rPr>
      </w:pPr>
    </w:p>
    <w:p>
      <w:pPr>
        <w:pStyle w:val="4"/>
        <w:spacing w:line="278" w:lineRule="auto"/>
        <w:ind w:left="3017" w:right="448"/>
      </w:pPr>
      <w:r>
        <w:rPr>
          <w:spacing w:val="-9"/>
        </w:rPr>
        <w:t>以上证明和资料不完整的，本公司将及时一次性通知补充提供有关的证明和</w:t>
      </w:r>
      <w:r>
        <w:rPr>
          <w:spacing w:val="-5"/>
        </w:rPr>
        <w:t>资料。如未能提供有关材料，导致本公司无法核实该申请的真实性的，本公</w:t>
      </w:r>
    </w:p>
    <w:p>
      <w:pPr>
        <w:spacing w:after="0" w:line="278" w:lineRule="auto"/>
        <w:sectPr>
          <w:pgSz w:w="11910" w:h="16840"/>
          <w:pgMar w:top="1400" w:right="680" w:bottom="280" w:left="900" w:header="720" w:footer="720" w:gutter="0"/>
          <w:cols w:space="720" w:num="1"/>
        </w:sectPr>
      </w:pPr>
    </w:p>
    <w:p>
      <w:pPr>
        <w:pStyle w:val="4"/>
        <w:spacing w:before="44"/>
        <w:ind w:left="1810" w:right="1894"/>
        <w:jc w:val="center"/>
      </w:pPr>
      <w:r>
        <w:rPr>
          <w:spacing w:val="-3"/>
        </w:rPr>
        <w:t>司对无法核实部分不承担给付保险金的责任。</w:t>
      </w:r>
    </w:p>
    <w:p>
      <w:pPr>
        <w:pStyle w:val="4"/>
        <w:spacing w:before="2"/>
        <w:rPr>
          <w:sz w:val="22"/>
        </w:rPr>
      </w:pPr>
    </w:p>
    <w:p>
      <w:pPr>
        <w:spacing w:after="0"/>
        <w:rPr>
          <w:sz w:val="22"/>
        </w:rPr>
        <w:sectPr>
          <w:pgSz w:w="11910" w:h="16840"/>
          <w:pgMar w:top="1400" w:right="680" w:bottom="280" w:left="900" w:header="720" w:footer="720" w:gutter="0"/>
          <w:cols w:space="720" w:num="1"/>
        </w:sectPr>
      </w:pPr>
    </w:p>
    <w:p>
      <w:pPr>
        <w:pStyle w:val="3"/>
        <w:numPr>
          <w:ilvl w:val="1"/>
          <w:numId w:val="4"/>
        </w:numPr>
        <w:tabs>
          <w:tab w:val="left" w:pos="1502"/>
          <w:tab w:val="left" w:pos="1503"/>
        </w:tabs>
        <w:spacing w:before="72" w:after="0" w:line="278" w:lineRule="auto"/>
        <w:ind w:left="1502" w:right="0" w:hanging="1066"/>
        <w:jc w:val="left"/>
      </w:pPr>
      <w:r>
        <w:rPr>
          <w:spacing w:val="-2"/>
        </w:rPr>
        <w:t>代理申请及其</w:t>
      </w:r>
      <w:r>
        <w:rPr>
          <w:spacing w:val="-10"/>
        </w:rPr>
        <w:t>他</w:t>
      </w:r>
    </w:p>
    <w:p>
      <w:pPr>
        <w:pStyle w:val="4"/>
        <w:spacing w:before="72" w:line="278" w:lineRule="auto"/>
        <w:ind w:left="207" w:right="449"/>
        <w:jc w:val="both"/>
      </w:pPr>
      <w:r>
        <w:br w:type="column"/>
      </w:r>
      <w:r>
        <w:rPr>
          <w:spacing w:val="-4"/>
        </w:rPr>
        <w:t>受益人委托他人申请给付保险金的，还应当提供受托人身份证明、授权委托书。保险金作为遗产时，还应当提供可证明合法继承权的相关权利文件。受</w:t>
      </w:r>
      <w:r>
        <w:rPr>
          <w:spacing w:val="-6"/>
        </w:rPr>
        <w:t>益人或继承人为未成年人或无民事行为能力人时，由其合法监护人代其申请</w:t>
      </w:r>
      <w:r>
        <w:rPr>
          <w:spacing w:val="-2"/>
        </w:rPr>
        <w:t>领取保险金，并提供未成年人或无民事行为能力证明和合法监护权证明。</w:t>
      </w:r>
    </w:p>
    <w:p>
      <w:pPr>
        <w:spacing w:after="0" w:line="278" w:lineRule="auto"/>
        <w:jc w:val="both"/>
        <w:sectPr>
          <w:type w:val="continuous"/>
          <w:pgSz w:w="11910" w:h="16840"/>
          <w:pgMar w:top="480" w:right="680" w:bottom="280" w:left="900" w:header="720" w:footer="720" w:gutter="0"/>
          <w:cols w:equalWidth="0" w:num="2">
            <w:col w:w="2771" w:space="40"/>
            <w:col w:w="7519"/>
          </w:cols>
        </w:sectPr>
      </w:pPr>
    </w:p>
    <w:p>
      <w:pPr>
        <w:pStyle w:val="4"/>
        <w:spacing w:before="9"/>
        <w:rPr>
          <w:sz w:val="18"/>
        </w:rPr>
      </w:pPr>
    </w:p>
    <w:p>
      <w:pPr>
        <w:pStyle w:val="9"/>
        <w:numPr>
          <w:ilvl w:val="1"/>
          <w:numId w:val="4"/>
        </w:numPr>
        <w:tabs>
          <w:tab w:val="left" w:pos="1503"/>
        </w:tabs>
        <w:spacing w:before="71" w:after="0" w:line="278" w:lineRule="auto"/>
        <w:ind w:left="3017" w:right="448" w:hanging="2580"/>
        <w:jc w:val="both"/>
        <w:rPr>
          <w:sz w:val="21"/>
        </w:rPr>
      </w:pPr>
      <w:r>
        <w:rPr>
          <w:b/>
          <w:spacing w:val="91"/>
          <w:sz w:val="21"/>
        </w:rPr>
        <w:t xml:space="preserve">配合调查 </w:t>
      </w:r>
      <w:r>
        <w:rPr>
          <w:sz w:val="21"/>
        </w:rPr>
        <w:t>被保险人遭受事故的，除法律禁止的情况外，本公司有权对投保人、被保险</w:t>
      </w:r>
      <w:r>
        <w:rPr>
          <w:spacing w:val="-4"/>
          <w:sz w:val="21"/>
        </w:rPr>
        <w:t>人、受益人等，就事故的性质、原因、结果及被保险人的损伤程度和身体情况等，进行调查、检查、评估和鉴定（包括但不限于提请作必要、合理的解</w:t>
      </w:r>
      <w:r>
        <w:rPr>
          <w:spacing w:val="-2"/>
          <w:sz w:val="21"/>
        </w:rPr>
        <w:t>剖检验），投保人、被保险人、受益人等应当予以充分配合。</w:t>
      </w:r>
    </w:p>
    <w:p>
      <w:pPr>
        <w:pStyle w:val="4"/>
        <w:spacing w:before="4"/>
        <w:rPr>
          <w:sz w:val="24"/>
        </w:rPr>
      </w:pPr>
    </w:p>
    <w:p>
      <w:pPr>
        <w:pStyle w:val="9"/>
        <w:numPr>
          <w:ilvl w:val="1"/>
          <w:numId w:val="4"/>
        </w:numPr>
        <w:tabs>
          <w:tab w:val="left" w:pos="1502"/>
          <w:tab w:val="left" w:pos="1503"/>
        </w:tabs>
        <w:spacing w:before="1" w:after="0" w:line="278" w:lineRule="auto"/>
        <w:ind w:left="3017" w:right="343" w:hanging="2580"/>
        <w:jc w:val="left"/>
        <w:rPr>
          <w:sz w:val="21"/>
        </w:rPr>
      </w:pPr>
      <w:r>
        <w:rPr>
          <w:b/>
          <w:spacing w:val="20"/>
          <w:sz w:val="21"/>
        </w:rPr>
        <w:t xml:space="preserve">保险金的给付 </w:t>
      </w:r>
      <w:r>
        <w:rPr>
          <w:spacing w:val="-3"/>
          <w:sz w:val="21"/>
        </w:rPr>
        <w:t>被保险人未使用本合同医疗服务网络提供的直付医疗服务情况下，在收到保</w:t>
      </w:r>
      <w:r>
        <w:rPr>
          <w:spacing w:val="-8"/>
          <w:sz w:val="21"/>
        </w:rPr>
        <w:t xml:space="preserve">险金给付申请书及有关证明和资料后，本公司将在 </w:t>
      </w:r>
      <w:r>
        <w:rPr>
          <w:sz w:val="21"/>
        </w:rPr>
        <w:t>10</w:t>
      </w:r>
      <w:r>
        <w:rPr>
          <w:spacing w:val="-8"/>
          <w:sz w:val="21"/>
        </w:rPr>
        <w:t xml:space="preserve"> 个工作日内作出核定；</w:t>
      </w:r>
      <w:r>
        <w:rPr>
          <w:spacing w:val="-3"/>
          <w:sz w:val="21"/>
        </w:rPr>
        <w:t xml:space="preserve">情形复杂的，在 </w:t>
      </w:r>
      <w:r>
        <w:rPr>
          <w:sz w:val="21"/>
        </w:rPr>
        <w:t>30</w:t>
      </w:r>
      <w:r>
        <w:rPr>
          <w:spacing w:val="-5"/>
          <w:sz w:val="21"/>
        </w:rPr>
        <w:t xml:space="preserve"> 日内作出核定。</w:t>
      </w:r>
    </w:p>
    <w:p>
      <w:pPr>
        <w:pStyle w:val="4"/>
        <w:spacing w:before="156" w:line="278" w:lineRule="auto"/>
        <w:ind w:left="3017" w:right="449"/>
        <w:jc w:val="both"/>
      </w:pPr>
      <w:r>
        <w:rPr>
          <w:spacing w:val="-4"/>
        </w:rPr>
        <w:t>本公司应当将核定结果通知受益人。对属于保险责任的，在与受益人达成给</w:t>
      </w:r>
      <w:r>
        <w:rPr>
          <w:spacing w:val="-5"/>
        </w:rPr>
        <w:t xml:space="preserve">付保险金的协议后 </w:t>
      </w:r>
      <w:r>
        <w:rPr>
          <w:spacing w:val="-2"/>
        </w:rPr>
        <w:t>10</w:t>
      </w:r>
      <w:r>
        <w:rPr>
          <w:spacing w:val="-9"/>
        </w:rPr>
        <w:t xml:space="preserve"> 日内履行给付保险金义务；对不属于保险责任的，本</w:t>
      </w:r>
    </w:p>
    <w:p>
      <w:pPr>
        <w:pStyle w:val="4"/>
        <w:spacing w:line="278" w:lineRule="auto"/>
        <w:ind w:left="3017" w:right="448"/>
        <w:jc w:val="both"/>
      </w:pPr>
      <w:r>
        <w:rPr>
          <w:spacing w:val="-5"/>
        </w:rPr>
        <w:t xml:space="preserve">公司自作出核定之日起 </w:t>
      </w:r>
      <w:r>
        <w:rPr>
          <w:spacing w:val="-2"/>
        </w:rPr>
        <w:t>3</w:t>
      </w:r>
      <w:r>
        <w:rPr>
          <w:spacing w:val="-11"/>
        </w:rPr>
        <w:t xml:space="preserve"> 日内向受益人发出拒绝给付保险金通知书，并说明</w:t>
      </w:r>
      <w:r>
        <w:rPr>
          <w:spacing w:val="-4"/>
        </w:rPr>
        <w:t>理由。对属于保险责任情形，本公司未履行前两款约定的义务的，除履行给付保险金的义务外，还应当赔偿受益人因此受到的利息损失。利息按照中国</w:t>
      </w:r>
      <w:r>
        <w:rPr>
          <w:spacing w:val="-6"/>
        </w:rPr>
        <w:t>人民银行公布的金融机构人民币活期存款基准利率，就超过日数以单利方式</w:t>
      </w:r>
      <w:r>
        <w:rPr>
          <w:spacing w:val="-4"/>
        </w:rPr>
        <w:t>计算。</w:t>
      </w:r>
    </w:p>
    <w:p>
      <w:pPr>
        <w:pStyle w:val="4"/>
        <w:spacing w:before="155" w:line="278" w:lineRule="auto"/>
        <w:ind w:left="3017" w:right="449"/>
        <w:jc w:val="both"/>
      </w:pPr>
      <w:r>
        <w:rPr>
          <w:spacing w:val="-3"/>
        </w:rPr>
        <w:t xml:space="preserve">自收到保险金给付申请书及有关证明和资料之日起 </w:t>
      </w:r>
      <w:r>
        <w:rPr>
          <w:spacing w:val="-2"/>
        </w:rPr>
        <w:t>60</w:t>
      </w:r>
      <w:r>
        <w:rPr>
          <w:spacing w:val="-6"/>
        </w:rPr>
        <w:t xml:space="preserve"> 日内，本公司对给付</w:t>
      </w:r>
      <w:r>
        <w:rPr>
          <w:spacing w:val="-9"/>
        </w:rPr>
        <w:t>保险金的数额不能确定的，本公司应当按照根据已有证明和资料可以确定的</w:t>
      </w:r>
      <w:r>
        <w:rPr>
          <w:spacing w:val="-2"/>
        </w:rPr>
        <w:t>数额先予支付；最终确定给付保险金的数额后，本公司支付相应的差额。</w:t>
      </w:r>
    </w:p>
    <w:p>
      <w:pPr>
        <w:pStyle w:val="4"/>
        <w:spacing w:before="4"/>
        <w:rPr>
          <w:sz w:val="24"/>
        </w:rPr>
      </w:pPr>
    </w:p>
    <w:p>
      <w:pPr>
        <w:pStyle w:val="9"/>
        <w:numPr>
          <w:ilvl w:val="1"/>
          <w:numId w:val="4"/>
        </w:numPr>
        <w:tabs>
          <w:tab w:val="left" w:pos="1502"/>
          <w:tab w:val="left" w:pos="1503"/>
          <w:tab w:val="left" w:pos="3017"/>
        </w:tabs>
        <w:spacing w:before="1" w:after="0" w:line="278" w:lineRule="auto"/>
        <w:ind w:left="3017" w:right="449" w:hanging="2580"/>
        <w:jc w:val="left"/>
        <w:rPr>
          <w:sz w:val="21"/>
        </w:rPr>
      </w:pPr>
      <w:r>
        <w:rPr>
          <w:b/>
          <w:spacing w:val="-4"/>
          <w:sz w:val="21"/>
        </w:rPr>
        <w:t>诉讼时效</w:t>
      </w:r>
      <w:r>
        <w:rPr>
          <w:b/>
          <w:sz w:val="21"/>
        </w:rPr>
        <w:tab/>
      </w:r>
      <w:r>
        <w:rPr>
          <w:sz w:val="21"/>
        </w:rPr>
        <w:t>受益人向本公司请求给付相应保险金的诉讼时效期间为</w:t>
      </w:r>
      <w:r>
        <w:rPr>
          <w:spacing w:val="-52"/>
          <w:sz w:val="21"/>
        </w:rPr>
        <w:t xml:space="preserve"> </w:t>
      </w:r>
      <w:r>
        <w:rPr>
          <w:sz w:val="21"/>
        </w:rPr>
        <w:t>2</w:t>
      </w:r>
      <w:r>
        <w:rPr>
          <w:spacing w:val="-55"/>
          <w:sz w:val="21"/>
        </w:rPr>
        <w:t xml:space="preserve"> </w:t>
      </w:r>
      <w:r>
        <w:rPr>
          <w:sz w:val="21"/>
        </w:rPr>
        <w:t>年</w:t>
      </w:r>
      <w:r>
        <w:rPr>
          <w:spacing w:val="-77"/>
          <w:sz w:val="21"/>
        </w:rPr>
        <w:t>。</w:t>
      </w:r>
      <w:r>
        <w:rPr>
          <w:sz w:val="21"/>
        </w:rPr>
        <w:t>诉讼时效期间</w:t>
      </w:r>
      <w:r>
        <w:rPr>
          <w:spacing w:val="-2"/>
          <w:sz w:val="21"/>
        </w:rPr>
        <w:t>自其知道或应当知道保险事故发生之日起计算。</w:t>
      </w:r>
    </w:p>
    <w:p>
      <w:pPr>
        <w:pStyle w:val="4"/>
        <w:spacing w:before="1"/>
        <w:rPr>
          <w:sz w:val="27"/>
        </w:rPr>
      </w:pPr>
    </w:p>
    <w:p>
      <w:pPr>
        <w:pStyle w:val="2"/>
        <w:numPr>
          <w:ilvl w:val="0"/>
          <w:numId w:val="4"/>
        </w:numPr>
        <w:tabs>
          <w:tab w:val="left" w:pos="1502"/>
          <w:tab w:val="left" w:pos="1503"/>
        </w:tabs>
        <w:spacing w:before="0" w:after="0" w:line="240" w:lineRule="auto"/>
        <w:ind w:left="1502" w:right="0" w:hanging="1066"/>
        <w:jc w:val="left"/>
      </w:pPr>
      <w:r>
        <w:rPr>
          <w:w w:val="95"/>
        </w:rPr>
        <w:t>保险费交</w:t>
      </w:r>
      <w:r>
        <w:rPr>
          <w:spacing w:val="-10"/>
          <w:w w:val="95"/>
        </w:rPr>
        <w:t>纳</w:t>
      </w:r>
    </w:p>
    <w:p>
      <w:pPr>
        <w:pStyle w:val="4"/>
        <w:spacing w:before="6"/>
        <w:rPr>
          <w:b/>
          <w:sz w:val="14"/>
        </w:rPr>
      </w:pPr>
      <w:r>
        <w:drawing>
          <wp:anchor distT="0" distB="0" distL="0" distR="0" simplePos="0" relativeHeight="251659264" behindDoc="0" locked="0" layoutInCell="1" allowOverlap="1">
            <wp:simplePos x="0" y="0"/>
            <wp:positionH relativeFrom="page">
              <wp:posOffset>779780</wp:posOffset>
            </wp:positionH>
            <wp:positionV relativeFrom="paragraph">
              <wp:posOffset>132715</wp:posOffset>
            </wp:positionV>
            <wp:extent cx="6129655" cy="6350"/>
            <wp:effectExtent l="0" t="0" r="0" b="0"/>
            <wp:wrapTopAndBottom/>
            <wp:docPr id="51"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10.png"/>
                    <pic:cNvPicPr>
                      <a:picLocks noChangeAspect="1"/>
                    </pic:cNvPicPr>
                  </pic:nvPicPr>
                  <pic:blipFill>
                    <a:blip r:embed="rId15" cstate="print"/>
                    <a:stretch>
                      <a:fillRect/>
                    </a:stretch>
                  </pic:blipFill>
                  <pic:spPr>
                    <a:xfrm>
                      <a:off x="0" y="0"/>
                      <a:ext cx="6129402" cy="6096"/>
                    </a:xfrm>
                    <a:prstGeom prst="rect">
                      <a:avLst/>
                    </a:prstGeom>
                  </pic:spPr>
                </pic:pic>
              </a:graphicData>
            </a:graphic>
          </wp:anchor>
        </w:drawing>
      </w:r>
    </w:p>
    <w:p>
      <w:pPr>
        <w:pStyle w:val="9"/>
        <w:numPr>
          <w:ilvl w:val="1"/>
          <w:numId w:val="4"/>
        </w:numPr>
        <w:tabs>
          <w:tab w:val="left" w:pos="1502"/>
          <w:tab w:val="left" w:pos="1503"/>
        </w:tabs>
        <w:spacing w:before="178" w:after="0" w:line="278" w:lineRule="auto"/>
        <w:ind w:left="3017" w:right="581" w:hanging="2580"/>
        <w:jc w:val="left"/>
        <w:rPr>
          <w:sz w:val="21"/>
        </w:rPr>
      </w:pPr>
      <w:r>
        <w:rPr>
          <w:b/>
          <w:spacing w:val="16"/>
          <w:sz w:val="21"/>
        </w:rPr>
        <w:t xml:space="preserve">保险费的交纳 </w:t>
      </w:r>
      <w:r>
        <w:rPr>
          <w:sz w:val="21"/>
        </w:rPr>
        <w:t>除另有约定外，本合同的保险费应当在投保时一次交清。保险费的交纳日</w:t>
      </w:r>
      <w:r>
        <w:rPr>
          <w:spacing w:val="-2"/>
          <w:sz w:val="21"/>
        </w:rPr>
        <w:t>以到达本公司账户之日为准。</w:t>
      </w:r>
    </w:p>
    <w:p>
      <w:pPr>
        <w:pStyle w:val="4"/>
        <w:spacing w:before="10"/>
        <w:rPr>
          <w:sz w:val="18"/>
        </w:rPr>
      </w:pPr>
    </w:p>
    <w:p>
      <w:pPr>
        <w:pStyle w:val="9"/>
        <w:numPr>
          <w:ilvl w:val="1"/>
          <w:numId w:val="4"/>
        </w:numPr>
        <w:tabs>
          <w:tab w:val="left" w:pos="1503"/>
        </w:tabs>
        <w:spacing w:before="72" w:after="0" w:line="278" w:lineRule="auto"/>
        <w:ind w:left="3017" w:right="449" w:hanging="2580"/>
        <w:jc w:val="both"/>
        <w:rPr>
          <w:sz w:val="21"/>
        </w:rPr>
      </w:pPr>
      <w:r>
        <w:rPr>
          <w:b/>
          <w:spacing w:val="41"/>
          <w:sz w:val="21"/>
        </w:rPr>
        <w:t xml:space="preserve">不保证续保 </w:t>
      </w:r>
      <w:r>
        <w:rPr>
          <w:sz w:val="21"/>
        </w:rPr>
        <w:t>本合同为不保证续保合同。本产品保险期间为一年，保险期间届满，投保人</w:t>
      </w:r>
      <w:r>
        <w:rPr>
          <w:spacing w:val="-4"/>
          <w:sz w:val="21"/>
        </w:rPr>
        <w:t>需要重新向本公司申请投保本产品，并经本公司同意，交纳保险费，获得新</w:t>
      </w:r>
      <w:r>
        <w:rPr>
          <w:spacing w:val="-2"/>
          <w:sz w:val="21"/>
        </w:rPr>
        <w:t>的保险合同。</w:t>
      </w:r>
    </w:p>
    <w:p>
      <w:pPr>
        <w:pStyle w:val="4"/>
        <w:spacing w:before="156" w:line="278" w:lineRule="auto"/>
        <w:ind w:left="3017" w:right="448"/>
      </w:pPr>
      <w:r>
        <w:rPr>
          <w:spacing w:val="-4"/>
        </w:rPr>
        <w:t>若本产品统一执行停售，本公司将不再接受投保人的投保申请，但本公司会</w:t>
      </w:r>
      <w:r>
        <w:rPr>
          <w:spacing w:val="-2"/>
        </w:rPr>
        <w:t>向投保人提供投保其他产品的合理建议。</w:t>
      </w:r>
    </w:p>
    <w:p>
      <w:pPr>
        <w:spacing w:after="0" w:line="278" w:lineRule="auto"/>
        <w:sectPr>
          <w:type w:val="continuous"/>
          <w:pgSz w:w="11910" w:h="16840"/>
          <w:pgMar w:top="480" w:right="680" w:bottom="280" w:left="900" w:header="720" w:footer="720" w:gutter="0"/>
          <w:cols w:space="720" w:num="1"/>
        </w:sectPr>
      </w:pPr>
    </w:p>
    <w:p>
      <w:pPr>
        <w:pStyle w:val="2"/>
        <w:numPr>
          <w:ilvl w:val="0"/>
          <w:numId w:val="4"/>
        </w:numPr>
        <w:tabs>
          <w:tab w:val="left" w:pos="1502"/>
          <w:tab w:val="left" w:pos="1503"/>
        </w:tabs>
        <w:spacing w:before="56" w:after="0" w:line="240" w:lineRule="auto"/>
        <w:ind w:left="1502" w:right="0" w:hanging="1066"/>
        <w:jc w:val="left"/>
      </w:pPr>
      <w:r>
        <w:rPr>
          <w:spacing w:val="-3"/>
          <w:w w:val="95"/>
        </w:rPr>
        <w:t>合同解除</w:t>
      </w:r>
    </w:p>
    <w:p>
      <w:pPr>
        <w:pStyle w:val="4"/>
        <w:spacing w:before="6"/>
        <w:rPr>
          <w:b/>
          <w:sz w:val="14"/>
        </w:rPr>
      </w:pPr>
      <w:r>
        <w:drawing>
          <wp:anchor distT="0" distB="0" distL="0" distR="0" simplePos="0" relativeHeight="251659264" behindDoc="0" locked="0" layoutInCell="1" allowOverlap="1">
            <wp:simplePos x="0" y="0"/>
            <wp:positionH relativeFrom="page">
              <wp:posOffset>779780</wp:posOffset>
            </wp:positionH>
            <wp:positionV relativeFrom="paragraph">
              <wp:posOffset>132715</wp:posOffset>
            </wp:positionV>
            <wp:extent cx="6129020" cy="6350"/>
            <wp:effectExtent l="0" t="0" r="0" b="0"/>
            <wp:wrapTopAndBottom/>
            <wp:docPr id="53"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10.png"/>
                    <pic:cNvPicPr>
                      <a:picLocks noChangeAspect="1"/>
                    </pic:cNvPicPr>
                  </pic:nvPicPr>
                  <pic:blipFill>
                    <a:blip r:embed="rId15" cstate="print"/>
                    <a:stretch>
                      <a:fillRect/>
                    </a:stretch>
                  </pic:blipFill>
                  <pic:spPr>
                    <a:xfrm>
                      <a:off x="0" y="0"/>
                      <a:ext cx="6129146" cy="6096"/>
                    </a:xfrm>
                    <a:prstGeom prst="rect">
                      <a:avLst/>
                    </a:prstGeom>
                  </pic:spPr>
                </pic:pic>
              </a:graphicData>
            </a:graphic>
          </wp:anchor>
        </w:drawing>
      </w:r>
    </w:p>
    <w:p>
      <w:pPr>
        <w:pStyle w:val="4"/>
        <w:spacing w:before="4"/>
        <w:rPr>
          <w:b/>
          <w:sz w:val="8"/>
        </w:rPr>
      </w:pPr>
    </w:p>
    <w:p>
      <w:pPr>
        <w:spacing w:after="0"/>
        <w:rPr>
          <w:sz w:val="8"/>
        </w:rPr>
        <w:sectPr>
          <w:pgSz w:w="11910" w:h="16840"/>
          <w:pgMar w:top="1580" w:right="680" w:bottom="280" w:left="900" w:header="720" w:footer="720" w:gutter="0"/>
          <w:cols w:space="720" w:num="1"/>
        </w:sectPr>
      </w:pPr>
    </w:p>
    <w:p>
      <w:pPr>
        <w:pStyle w:val="3"/>
        <w:numPr>
          <w:ilvl w:val="1"/>
          <w:numId w:val="4"/>
        </w:numPr>
        <w:tabs>
          <w:tab w:val="left" w:pos="1502"/>
          <w:tab w:val="left" w:pos="1503"/>
        </w:tabs>
        <w:spacing w:before="72" w:after="0" w:line="278" w:lineRule="auto"/>
        <w:ind w:left="1502" w:right="0" w:hanging="1066"/>
        <w:jc w:val="left"/>
      </w:pPr>
      <w:r>
        <w:rPr>
          <w:spacing w:val="-2"/>
        </w:rPr>
        <w:t>解除合同的手</w:t>
      </w:r>
      <w:r>
        <w:rPr>
          <w:spacing w:val="-4"/>
        </w:rPr>
        <w:t>续及风险</w:t>
      </w:r>
    </w:p>
    <w:p>
      <w:pPr>
        <w:pStyle w:val="4"/>
        <w:spacing w:before="72" w:line="417" w:lineRule="auto"/>
        <w:ind w:left="174" w:right="372"/>
      </w:pPr>
      <w:r>
        <w:br w:type="column"/>
      </w:r>
      <w:r>
        <w:rPr>
          <w:spacing w:val="-2"/>
        </w:rPr>
        <w:t>本合同成立后，投保人可申请解除合同。</w:t>
      </w:r>
      <w:r>
        <w:rPr>
          <w:color w:val="000000"/>
          <w:spacing w:val="-2"/>
          <w:shd w:val="clear" w:color="auto" w:fill="E4E4E4"/>
        </w:rPr>
        <w:t>投保人解除合同会遭受一定损失。</w:t>
      </w:r>
      <w:r>
        <w:rPr>
          <w:color w:val="000000"/>
          <w:spacing w:val="-2"/>
        </w:rPr>
        <w:t>投保人申请解除本合同时，应当向本公司送达：</w:t>
      </w:r>
    </w:p>
    <w:p>
      <w:pPr>
        <w:pStyle w:val="9"/>
        <w:numPr>
          <w:ilvl w:val="0"/>
          <w:numId w:val="11"/>
        </w:numPr>
        <w:tabs>
          <w:tab w:val="left" w:pos="705"/>
        </w:tabs>
        <w:spacing w:before="0" w:after="0" w:line="269" w:lineRule="exact"/>
        <w:ind w:left="704" w:right="0" w:hanging="531"/>
        <w:jc w:val="left"/>
        <w:rPr>
          <w:sz w:val="21"/>
        </w:rPr>
      </w:pPr>
      <w:r>
        <w:rPr>
          <w:spacing w:val="-4"/>
          <w:sz w:val="21"/>
        </w:rPr>
        <w:t>解除合同申请书；</w:t>
      </w:r>
    </w:p>
    <w:p>
      <w:pPr>
        <w:pStyle w:val="4"/>
        <w:spacing w:before="7"/>
        <w:rPr>
          <w:sz w:val="15"/>
        </w:rPr>
      </w:pPr>
    </w:p>
    <w:p>
      <w:pPr>
        <w:pStyle w:val="9"/>
        <w:numPr>
          <w:ilvl w:val="0"/>
          <w:numId w:val="11"/>
        </w:numPr>
        <w:tabs>
          <w:tab w:val="left" w:pos="705"/>
        </w:tabs>
        <w:spacing w:before="0" w:after="0" w:line="240" w:lineRule="auto"/>
        <w:ind w:left="704" w:right="0" w:hanging="531"/>
        <w:jc w:val="left"/>
        <w:rPr>
          <w:sz w:val="21"/>
        </w:rPr>
      </w:pPr>
      <w:r>
        <w:rPr>
          <w:spacing w:val="-4"/>
          <w:sz w:val="21"/>
        </w:rPr>
        <w:t>本合同；</w:t>
      </w:r>
    </w:p>
    <w:p>
      <w:pPr>
        <w:pStyle w:val="4"/>
        <w:spacing w:before="6"/>
        <w:rPr>
          <w:sz w:val="15"/>
        </w:rPr>
      </w:pPr>
    </w:p>
    <w:p>
      <w:pPr>
        <w:pStyle w:val="9"/>
        <w:numPr>
          <w:ilvl w:val="0"/>
          <w:numId w:val="11"/>
        </w:numPr>
        <w:tabs>
          <w:tab w:val="left" w:pos="705"/>
        </w:tabs>
        <w:spacing w:before="0" w:after="0" w:line="240" w:lineRule="auto"/>
        <w:ind w:left="704" w:right="0" w:hanging="531"/>
        <w:jc w:val="left"/>
        <w:rPr>
          <w:sz w:val="21"/>
        </w:rPr>
      </w:pPr>
      <w:r>
        <w:rPr>
          <w:spacing w:val="-3"/>
          <w:sz w:val="21"/>
        </w:rPr>
        <w:t>投保人有效身份证件。</w:t>
      </w:r>
    </w:p>
    <w:p>
      <w:pPr>
        <w:pStyle w:val="4"/>
        <w:spacing w:before="7"/>
        <w:rPr>
          <w:sz w:val="15"/>
        </w:rPr>
      </w:pPr>
    </w:p>
    <w:p>
      <w:pPr>
        <w:pStyle w:val="4"/>
        <w:spacing w:line="276" w:lineRule="auto"/>
        <w:ind w:left="174" w:right="480"/>
      </w:pPr>
      <w:r>
        <w:rPr>
          <w:spacing w:val="-2"/>
        </w:rPr>
        <w:t>本合同的效力至本公司接到解除合同申请书之日的次日零时或解除合同申请书上载明的合同终止时间（二者中以较晚者为准）终止。本公司自收到</w:t>
      </w:r>
      <w:r>
        <w:rPr>
          <w:spacing w:val="-5"/>
        </w:rPr>
        <w:t xml:space="preserve">完整的证明和资料之日起 </w:t>
      </w:r>
      <w:r>
        <w:t>30</w:t>
      </w:r>
      <w:r>
        <w:rPr>
          <w:spacing w:val="-8"/>
        </w:rPr>
        <w:t xml:space="preserve"> 日内向投保人退还本合同项下各被保险人名下</w:t>
      </w:r>
      <w:r>
        <w:rPr>
          <w:spacing w:val="-2"/>
        </w:rPr>
        <w:t>的</w:t>
      </w:r>
      <w:r>
        <w:rPr>
          <w:b/>
          <w:spacing w:val="-2"/>
        </w:rPr>
        <w:t>未满期净保费</w:t>
      </w:r>
      <w:r>
        <w:rPr>
          <w:b/>
          <w:spacing w:val="-2"/>
          <w:position w:val="11"/>
          <w:sz w:val="11"/>
        </w:rPr>
        <w:t>48</w:t>
      </w:r>
      <w:r>
        <w:rPr>
          <w:spacing w:val="-2"/>
        </w:rPr>
        <w:t>。</w:t>
      </w:r>
    </w:p>
    <w:p>
      <w:pPr>
        <w:spacing w:after="0" w:line="276" w:lineRule="auto"/>
        <w:sectPr>
          <w:type w:val="continuous"/>
          <w:pgSz w:w="11910" w:h="16840"/>
          <w:pgMar w:top="480" w:right="680" w:bottom="280" w:left="900" w:header="720" w:footer="720" w:gutter="0"/>
          <w:cols w:equalWidth="0" w:num="2">
            <w:col w:w="2803" w:space="40"/>
            <w:col w:w="7487"/>
          </w:cols>
        </w:sectPr>
      </w:pPr>
    </w:p>
    <w:p>
      <w:pPr>
        <w:pStyle w:val="4"/>
        <w:spacing w:before="157" w:line="278" w:lineRule="auto"/>
        <w:ind w:left="3017" w:right="581"/>
      </w:pPr>
      <w:r>
        <w:rPr>
          <w:color w:val="000000"/>
          <w:spacing w:val="-2"/>
          <w:shd w:val="clear" w:color="auto" w:fill="E4E4E4"/>
        </w:rPr>
        <w:t>本公司根据本合同约定已给付保险金或已承担给付保险金责任的，本合同</w:t>
      </w:r>
      <w:r>
        <w:rPr>
          <w:color w:val="000000"/>
          <w:spacing w:val="80"/>
          <w:w w:val="150"/>
          <w:shd w:val="clear" w:color="auto" w:fill="E4E4E4"/>
        </w:rPr>
        <w:t xml:space="preserve">                                    </w:t>
      </w:r>
      <w:r>
        <w:rPr>
          <w:color w:val="000000"/>
          <w:spacing w:val="-2"/>
          <w:shd w:val="clear" w:color="auto" w:fill="E4E4E4"/>
        </w:rPr>
        <w:t>的未满期净保费降低为零。</w:t>
      </w:r>
    </w:p>
    <w:p>
      <w:pPr>
        <w:pStyle w:val="4"/>
        <w:spacing w:before="6"/>
        <w:rPr>
          <w:sz w:val="23"/>
        </w:rPr>
      </w:pPr>
    </w:p>
    <w:p>
      <w:pPr>
        <w:pStyle w:val="2"/>
        <w:numPr>
          <w:ilvl w:val="0"/>
          <w:numId w:val="4"/>
        </w:numPr>
        <w:tabs>
          <w:tab w:val="left" w:pos="1502"/>
          <w:tab w:val="left" w:pos="1503"/>
        </w:tabs>
        <w:spacing w:before="47" w:after="0" w:line="240" w:lineRule="auto"/>
        <w:ind w:left="1502" w:right="0" w:hanging="1066"/>
        <w:jc w:val="left"/>
      </w:pPr>
      <w:r>
        <w:rPr>
          <w:spacing w:val="-3"/>
          <w:w w:val="95"/>
        </w:rPr>
        <w:t>其他事项</w:t>
      </w:r>
    </w:p>
    <w:p>
      <w:pPr>
        <w:pStyle w:val="4"/>
        <w:spacing w:before="5"/>
        <w:rPr>
          <w:b/>
          <w:sz w:val="14"/>
        </w:rPr>
      </w:pPr>
      <w:r>
        <w:drawing>
          <wp:anchor distT="0" distB="0" distL="0" distR="0" simplePos="0" relativeHeight="251659264" behindDoc="0" locked="0" layoutInCell="1" allowOverlap="1">
            <wp:simplePos x="0" y="0"/>
            <wp:positionH relativeFrom="page">
              <wp:posOffset>779780</wp:posOffset>
            </wp:positionH>
            <wp:positionV relativeFrom="paragraph">
              <wp:posOffset>132715</wp:posOffset>
            </wp:positionV>
            <wp:extent cx="6129020" cy="6350"/>
            <wp:effectExtent l="0" t="0" r="0" b="0"/>
            <wp:wrapTopAndBottom/>
            <wp:docPr id="55"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10.png"/>
                    <pic:cNvPicPr>
                      <a:picLocks noChangeAspect="1"/>
                    </pic:cNvPicPr>
                  </pic:nvPicPr>
                  <pic:blipFill>
                    <a:blip r:embed="rId15" cstate="print"/>
                    <a:stretch>
                      <a:fillRect/>
                    </a:stretch>
                  </pic:blipFill>
                  <pic:spPr>
                    <a:xfrm>
                      <a:off x="0" y="0"/>
                      <a:ext cx="6129019" cy="6096"/>
                    </a:xfrm>
                    <a:prstGeom prst="rect">
                      <a:avLst/>
                    </a:prstGeom>
                  </pic:spPr>
                </pic:pic>
              </a:graphicData>
            </a:graphic>
          </wp:anchor>
        </w:drawing>
      </w:r>
    </w:p>
    <w:p>
      <w:pPr>
        <w:pStyle w:val="4"/>
        <w:spacing w:before="4"/>
        <w:rPr>
          <w:b/>
          <w:sz w:val="8"/>
        </w:rPr>
      </w:pPr>
    </w:p>
    <w:p>
      <w:pPr>
        <w:spacing w:after="0"/>
        <w:rPr>
          <w:sz w:val="8"/>
        </w:rPr>
        <w:sectPr>
          <w:type w:val="continuous"/>
          <w:pgSz w:w="11910" w:h="16840"/>
          <w:pgMar w:top="480" w:right="680" w:bottom="280" w:left="900" w:header="720" w:footer="720" w:gutter="0"/>
          <w:cols w:space="720" w:num="1"/>
        </w:sectPr>
      </w:pPr>
    </w:p>
    <w:p>
      <w:pPr>
        <w:pStyle w:val="3"/>
        <w:numPr>
          <w:ilvl w:val="1"/>
          <w:numId w:val="4"/>
        </w:numPr>
        <w:tabs>
          <w:tab w:val="left" w:pos="1502"/>
          <w:tab w:val="left" w:pos="1503"/>
        </w:tabs>
        <w:spacing w:before="72" w:after="0" w:line="278" w:lineRule="auto"/>
        <w:ind w:left="1502" w:right="0" w:hanging="1066"/>
        <w:jc w:val="left"/>
      </w:pPr>
      <w:r>
        <w:rPr>
          <w:spacing w:val="-2"/>
        </w:rPr>
        <w:t>明确说明与如</w:t>
      </w:r>
      <w:r>
        <w:rPr>
          <w:spacing w:val="-4"/>
        </w:rPr>
        <w:t>实告知</w:t>
      </w:r>
    </w:p>
    <w:p>
      <w:pPr>
        <w:pStyle w:val="4"/>
        <w:spacing w:before="72" w:line="278" w:lineRule="auto"/>
        <w:ind w:left="174" w:right="581"/>
        <w:jc w:val="both"/>
      </w:pPr>
      <w:r>
        <w:br w:type="column"/>
      </w:r>
      <w:r>
        <w:rPr>
          <w:spacing w:val="-2"/>
        </w:rPr>
        <w:t>订立本合同时，本公司会向投保人明确说明本合同的内容。对本合同中免除本公司责任的条款，本公司在订立合同时会在投保单、保险单或其他保险凭证上作出足以引起投保人注意的提示，并对该条款的内容以书面或口头形式向投保人作出明确说明，未作提示或明确说明的，该条款不产生效</w:t>
      </w:r>
      <w:r>
        <w:rPr>
          <w:spacing w:val="-6"/>
        </w:rPr>
        <w:t>力。</w:t>
      </w:r>
    </w:p>
    <w:p>
      <w:pPr>
        <w:pStyle w:val="4"/>
        <w:spacing w:before="156"/>
        <w:ind w:left="174"/>
      </w:pPr>
      <w:r>
        <w:drawing>
          <wp:anchor distT="0" distB="0" distL="0" distR="0" simplePos="0" relativeHeight="251671552" behindDoc="1" locked="0" layoutInCell="1" allowOverlap="1">
            <wp:simplePos x="0" y="0"/>
            <wp:positionH relativeFrom="page">
              <wp:posOffset>2487295</wp:posOffset>
            </wp:positionH>
            <wp:positionV relativeFrom="paragraph">
              <wp:posOffset>591820</wp:posOffset>
            </wp:positionV>
            <wp:extent cx="3870325" cy="173990"/>
            <wp:effectExtent l="0" t="0" r="0" b="0"/>
            <wp:wrapNone/>
            <wp:docPr id="57"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11.png"/>
                    <pic:cNvPicPr>
                      <a:picLocks noChangeAspect="1"/>
                    </pic:cNvPicPr>
                  </pic:nvPicPr>
                  <pic:blipFill>
                    <a:blip r:embed="rId16" cstate="print"/>
                    <a:stretch>
                      <a:fillRect/>
                    </a:stretch>
                  </pic:blipFill>
                  <pic:spPr>
                    <a:xfrm>
                      <a:off x="0" y="0"/>
                      <a:ext cx="3870325" cy="173736"/>
                    </a:xfrm>
                    <a:prstGeom prst="rect">
                      <a:avLst/>
                    </a:prstGeom>
                  </pic:spPr>
                </pic:pic>
              </a:graphicData>
            </a:graphic>
          </wp:anchor>
        </w:drawing>
      </w:r>
      <w:r>
        <w:pict>
          <v:shape id="docshape23" o:spid="_x0000_s1048" o:spt="202" type="#_x0000_t202" style="position:absolute;left:0pt;margin-left:195.85pt;margin-top:46.6pt;height:13.7pt;width:304.75pt;mso-position-horizontal-relative:page;z-index:-251643904;mso-width-relative:page;mso-height-relative:page;" filled="f" stroked="f" coordsize="21600,21600">
            <v:path/>
            <v:fill on="f" focussize="0,0"/>
            <v:stroke on="f" joinstyle="miter"/>
            <v:imagedata o:title=""/>
            <o:lock v:ext="edit"/>
            <v:textbox inset="0mm,0mm,0mm,0mm">
              <w:txbxContent>
                <w:p>
                  <w:pPr>
                    <w:pStyle w:val="4"/>
                    <w:spacing w:before="3"/>
                    <w:ind w:right="-15"/>
                  </w:pPr>
                  <w:r>
                    <w:rPr>
                      <w:spacing w:val="-3"/>
                    </w:rPr>
                    <w:t>司决定是否同意承保或提高保险费率的，本公司有权解除本合同。</w:t>
                  </w:r>
                </w:p>
              </w:txbxContent>
            </v:textbox>
          </v:shape>
        </w:pict>
      </w:r>
      <w:r>
        <w:pict>
          <v:shape id="docshape24" o:spid="_x0000_s1049" o:spt="202" type="#_x0000_t202" style="position:absolute;left:0pt;margin-left:195.85pt;margin-top:31pt;height:13.7pt;width:336.2pt;mso-position-horizontal-relative:page;z-index:-251643904;mso-width-relative:page;mso-height-relative:page;" fillcolor="#E4E4E4" filled="t" stroked="f" coordsize="21600,21600">
            <v:path/>
            <v:fill on="t" focussize="0,0"/>
            <v:stroke on="f" joinstyle="miter"/>
            <v:imagedata o:title=""/>
            <o:lock v:ext="edit"/>
            <v:textbox inset="0mm,0mm,0mm,0mm">
              <w:txbxContent>
                <w:p>
                  <w:pPr>
                    <w:pStyle w:val="4"/>
                    <w:spacing w:before="3"/>
                    <w:ind w:right="-15"/>
                    <w:rPr>
                      <w:color w:val="000000"/>
                    </w:rPr>
                  </w:pPr>
                  <w:r>
                    <w:rPr>
                      <w:color w:val="000000"/>
                      <w:spacing w:val="-3"/>
                    </w:rPr>
                    <w:t>投保人故意或因重大过失未履行前款规定的如实告知义务，足以影响本公</w:t>
                  </w:r>
                </w:p>
              </w:txbxContent>
            </v:textbox>
          </v:shape>
        </w:pict>
      </w:r>
      <w:r>
        <w:rPr>
          <w:spacing w:val="-3"/>
        </w:rPr>
        <w:t>本公司就投保人、被保险人的有关情况提出询问，投保人应当如实告知。</w:t>
      </w:r>
    </w:p>
    <w:p>
      <w:pPr>
        <w:spacing w:after="0"/>
        <w:sectPr>
          <w:type w:val="continuous"/>
          <w:pgSz w:w="11910" w:h="16840"/>
          <w:pgMar w:top="480" w:right="680" w:bottom="280" w:left="900" w:header="720" w:footer="720" w:gutter="0"/>
          <w:cols w:equalWidth="0" w:num="2">
            <w:col w:w="2803" w:space="40"/>
            <w:col w:w="7487"/>
          </w:cols>
        </w:sectPr>
      </w:pPr>
    </w:p>
    <w:p>
      <w:pPr>
        <w:pStyle w:val="4"/>
        <w:spacing w:before="3"/>
        <w:rPr>
          <w:sz w:val="15"/>
        </w:rPr>
      </w:pPr>
    </w:p>
    <w:p>
      <w:pPr>
        <w:pStyle w:val="4"/>
        <w:spacing w:before="10"/>
        <w:rPr>
          <w:sz w:val="9"/>
        </w:rPr>
      </w:pPr>
    </w:p>
    <w:p>
      <w:pPr>
        <w:pStyle w:val="4"/>
        <w:spacing w:before="72" w:line="278" w:lineRule="auto"/>
        <w:ind w:left="3017" w:right="581"/>
      </w:pPr>
      <w:r>
        <w:rPr>
          <w:color w:val="000000"/>
          <w:spacing w:val="-2"/>
          <w:shd w:val="clear" w:color="auto" w:fill="E4E4E4"/>
        </w:rPr>
        <w:t>投保人故意不履行如实告知义务的，本公司对于本合同解除前发生的保险</w:t>
      </w:r>
      <w:r>
        <w:rPr>
          <w:color w:val="000000"/>
          <w:spacing w:val="80"/>
          <w:w w:val="150"/>
          <w:shd w:val="clear" w:color="auto" w:fill="E4E4E4"/>
        </w:rPr>
        <w:t xml:space="preserve">                                    </w:t>
      </w:r>
      <w:r>
        <w:rPr>
          <w:color w:val="000000"/>
          <w:spacing w:val="-2"/>
          <w:shd w:val="clear" w:color="auto" w:fill="E4E4E4"/>
        </w:rPr>
        <w:t>事故，不承担给付保险金的责任，并不退还保险费。</w:t>
      </w:r>
    </w:p>
    <w:p>
      <w:pPr>
        <w:pStyle w:val="4"/>
        <w:spacing w:before="156" w:line="278" w:lineRule="auto"/>
        <w:ind w:left="3017" w:right="790"/>
        <w:jc w:val="both"/>
      </w:pPr>
      <w:r>
        <w:rPr>
          <w:color w:val="000000"/>
          <w:spacing w:val="-2"/>
          <w:shd w:val="clear" w:color="auto" w:fill="E4E4E4"/>
        </w:rPr>
        <w:t>投保人因重大过失未履行如实告知义务，对保险事故的发生有严重影响</w:t>
      </w:r>
      <w:r>
        <w:rPr>
          <w:color w:val="000000"/>
          <w:spacing w:val="40"/>
          <w:shd w:val="clear" w:color="auto" w:fill="E4E4E4"/>
        </w:rPr>
        <w:t xml:space="preserve"> </w:t>
      </w:r>
      <w:r>
        <w:rPr>
          <w:color w:val="000000"/>
          <w:spacing w:val="-2"/>
          <w:shd w:val="clear" w:color="auto" w:fill="E4E4E4"/>
        </w:rPr>
        <w:t>的，本公司对于本合同解除前发生的保险事故，不承担给付保险金的责任，但会退还保险费。</w:t>
      </w:r>
    </w:p>
    <w:p>
      <w:pPr>
        <w:pStyle w:val="4"/>
        <w:spacing w:before="156" w:line="278" w:lineRule="auto"/>
        <w:ind w:left="3017" w:right="581"/>
      </w:pPr>
      <w:r>
        <w:rPr>
          <w:spacing w:val="-2"/>
        </w:rPr>
        <w:t>本公司在本合同订立时已经知道投保人未如实告知的情况的，本公司不得解除合同；发生保险事故的，本公司承担给付保险金的责任。</w:t>
      </w:r>
    </w:p>
    <w:p>
      <w:pPr>
        <w:pStyle w:val="4"/>
        <w:spacing w:before="9"/>
        <w:rPr>
          <w:sz w:val="18"/>
        </w:rPr>
      </w:pPr>
    </w:p>
    <w:p>
      <w:pPr>
        <w:pStyle w:val="9"/>
        <w:numPr>
          <w:ilvl w:val="1"/>
          <w:numId w:val="4"/>
        </w:numPr>
        <w:tabs>
          <w:tab w:val="left" w:pos="1502"/>
          <w:tab w:val="left" w:pos="1503"/>
        </w:tabs>
        <w:spacing w:before="72" w:after="0" w:line="240" w:lineRule="auto"/>
        <w:ind w:left="1502" w:right="0" w:hanging="1066"/>
        <w:jc w:val="left"/>
        <w:rPr>
          <w:sz w:val="21"/>
        </w:rPr>
      </w:pPr>
      <w:r>
        <w:rPr>
          <w:b/>
          <w:position w:val="12"/>
          <w:sz w:val="21"/>
        </w:rPr>
        <w:t>本公司合同解</w:t>
      </w:r>
      <w:r>
        <w:rPr>
          <w:b/>
          <w:spacing w:val="44"/>
          <w:w w:val="150"/>
          <w:position w:val="12"/>
          <w:sz w:val="21"/>
        </w:rPr>
        <w:t xml:space="preserve"> </w:t>
      </w:r>
      <w:r>
        <w:rPr>
          <w:sz w:val="21"/>
        </w:rPr>
        <w:t>6.1</w:t>
      </w:r>
      <w:r>
        <w:rPr>
          <w:spacing w:val="-10"/>
          <w:sz w:val="21"/>
        </w:rPr>
        <w:t xml:space="preserve"> 款规定的合同解除权，自本公司知道有解除事由之日起，超过 </w:t>
      </w:r>
      <w:r>
        <w:rPr>
          <w:sz w:val="21"/>
        </w:rPr>
        <w:t>30</w:t>
      </w:r>
      <w:r>
        <w:rPr>
          <w:spacing w:val="-22"/>
          <w:sz w:val="21"/>
        </w:rPr>
        <w:t xml:space="preserve"> 日不</w:t>
      </w:r>
    </w:p>
    <w:p>
      <w:pPr>
        <w:pStyle w:val="4"/>
        <w:rPr>
          <w:sz w:val="20"/>
        </w:rPr>
      </w:pPr>
    </w:p>
    <w:p>
      <w:pPr>
        <w:pStyle w:val="4"/>
        <w:spacing w:before="6"/>
        <w:rPr>
          <w:sz w:val="15"/>
        </w:rPr>
      </w:pPr>
      <w:r>
        <w:drawing>
          <wp:anchor distT="0" distB="0" distL="0" distR="0" simplePos="0" relativeHeight="251659264" behindDoc="0" locked="0" layoutInCell="1" allowOverlap="1">
            <wp:simplePos x="0" y="0"/>
            <wp:positionH relativeFrom="page">
              <wp:posOffset>685800</wp:posOffset>
            </wp:positionH>
            <wp:positionV relativeFrom="paragraph">
              <wp:posOffset>140970</wp:posOffset>
            </wp:positionV>
            <wp:extent cx="1829435" cy="6350"/>
            <wp:effectExtent l="0" t="0" r="0" b="0"/>
            <wp:wrapTopAndBottom/>
            <wp:docPr id="59"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6.png"/>
                    <pic:cNvPicPr>
                      <a:picLocks noChangeAspect="1"/>
                    </pic:cNvPicPr>
                  </pic:nvPicPr>
                  <pic:blipFill>
                    <a:blip r:embed="rId11" cstate="print"/>
                    <a:stretch>
                      <a:fillRect/>
                    </a:stretch>
                  </pic:blipFill>
                  <pic:spPr>
                    <a:xfrm>
                      <a:off x="0" y="0"/>
                      <a:ext cx="1829282" cy="6096"/>
                    </a:xfrm>
                    <a:prstGeom prst="rect">
                      <a:avLst/>
                    </a:prstGeom>
                  </pic:spPr>
                </pic:pic>
              </a:graphicData>
            </a:graphic>
          </wp:anchor>
        </w:drawing>
      </w:r>
    </w:p>
    <w:p>
      <w:pPr>
        <w:spacing w:before="91"/>
        <w:ind w:left="180" w:right="0" w:firstLine="0"/>
        <w:jc w:val="left"/>
        <w:rPr>
          <w:rFonts w:ascii="楷体" w:hAnsi="楷体" w:eastAsia="楷体"/>
          <w:sz w:val="18"/>
        </w:rPr>
      </w:pPr>
      <w:r>
        <w:rPr>
          <w:w w:val="95"/>
          <w:position w:val="9"/>
          <w:sz w:val="9"/>
        </w:rPr>
        <w:t>48</w:t>
      </w:r>
      <w:r>
        <w:rPr>
          <w:rFonts w:hint="eastAsia" w:ascii="楷体" w:hAnsi="楷体" w:eastAsia="楷体"/>
          <w:b/>
          <w:w w:val="95"/>
          <w:sz w:val="18"/>
        </w:rPr>
        <w:t>未满期净保费</w:t>
      </w:r>
      <w:r>
        <w:rPr>
          <w:rFonts w:ascii="楷体" w:hAnsi="楷体" w:eastAsia="楷体"/>
          <w:w w:val="95"/>
          <w:sz w:val="18"/>
        </w:rPr>
        <w:t>：指“（保险费-手续费）*（1-（保单当期已经过天数/当期已交保险费对应的保险期间</w:t>
      </w:r>
      <w:r>
        <w:rPr>
          <w:rFonts w:ascii="楷体" w:hAnsi="楷体" w:eastAsia="楷体"/>
          <w:spacing w:val="-91"/>
          <w:w w:val="95"/>
          <w:sz w:val="18"/>
        </w:rPr>
        <w:t>））”</w:t>
      </w:r>
      <w:r>
        <w:rPr>
          <w:rFonts w:ascii="楷体" w:hAnsi="楷体" w:eastAsia="楷体"/>
          <w:w w:val="95"/>
          <w:sz w:val="18"/>
        </w:rPr>
        <w:t>。经过天数不足</w:t>
      </w:r>
      <w:r>
        <w:rPr>
          <w:rFonts w:ascii="楷体" w:hAnsi="楷体" w:eastAsia="楷体"/>
          <w:spacing w:val="-10"/>
          <w:w w:val="95"/>
          <w:sz w:val="18"/>
        </w:rPr>
        <w:t>一</w:t>
      </w:r>
    </w:p>
    <w:p>
      <w:pPr>
        <w:spacing w:before="4"/>
        <w:ind w:left="180" w:right="0" w:firstLine="0"/>
        <w:jc w:val="left"/>
        <w:rPr>
          <w:rFonts w:ascii="楷体" w:eastAsia="楷体"/>
          <w:sz w:val="18"/>
        </w:rPr>
      </w:pPr>
      <w:r>
        <w:rPr>
          <w:rFonts w:ascii="楷体" w:eastAsia="楷体"/>
          <w:spacing w:val="-2"/>
          <w:sz w:val="18"/>
        </w:rPr>
        <w:t xml:space="preserve">天的按一天计算。手续费指本公司对本合同平均承担的营业费用及佣金的总和，等于保险费的 </w:t>
      </w:r>
      <w:r>
        <w:rPr>
          <w:rFonts w:ascii="楷体" w:eastAsia="楷体"/>
          <w:sz w:val="18"/>
        </w:rPr>
        <w:t>35</w:t>
      </w:r>
      <w:r>
        <w:rPr>
          <w:rFonts w:ascii="楷体" w:eastAsia="楷体"/>
          <w:spacing w:val="-5"/>
          <w:sz w:val="18"/>
        </w:rPr>
        <w:t>%。</w:t>
      </w:r>
    </w:p>
    <w:p>
      <w:pPr>
        <w:spacing w:after="0"/>
        <w:jc w:val="left"/>
        <w:rPr>
          <w:rFonts w:ascii="楷体" w:eastAsia="楷体"/>
          <w:sz w:val="18"/>
        </w:rPr>
        <w:sectPr>
          <w:type w:val="continuous"/>
          <w:pgSz w:w="11910" w:h="16840"/>
          <w:pgMar w:top="480" w:right="680" w:bottom="280" w:left="900" w:header="720" w:footer="720" w:gutter="0"/>
          <w:cols w:space="720" w:num="1"/>
        </w:sectPr>
      </w:pPr>
    </w:p>
    <w:p>
      <w:pPr>
        <w:tabs>
          <w:tab w:val="left" w:pos="3017"/>
        </w:tabs>
        <w:spacing w:before="44"/>
        <w:ind w:left="1502" w:right="0" w:firstLine="0"/>
        <w:jc w:val="left"/>
        <w:rPr>
          <w:sz w:val="21"/>
        </w:rPr>
      </w:pPr>
      <w:r>
        <w:rPr>
          <w:b/>
          <w:sz w:val="21"/>
        </w:rPr>
        <w:t>除权的限</w:t>
      </w:r>
      <w:r>
        <w:rPr>
          <w:b/>
          <w:spacing w:val="-10"/>
          <w:sz w:val="21"/>
        </w:rPr>
        <w:t>制</w:t>
      </w:r>
      <w:r>
        <w:rPr>
          <w:b/>
          <w:sz w:val="21"/>
        </w:rPr>
        <w:tab/>
      </w:r>
      <w:r>
        <w:rPr>
          <w:spacing w:val="-2"/>
          <w:sz w:val="21"/>
        </w:rPr>
        <w:t>行使而消灭</w:t>
      </w:r>
      <w:r>
        <w:rPr>
          <w:spacing w:val="-10"/>
          <w:sz w:val="21"/>
        </w:rPr>
        <w:t>。</w:t>
      </w:r>
    </w:p>
    <w:p>
      <w:pPr>
        <w:pStyle w:val="4"/>
        <w:rPr>
          <w:sz w:val="20"/>
        </w:rPr>
      </w:pPr>
    </w:p>
    <w:p>
      <w:pPr>
        <w:pStyle w:val="4"/>
        <w:spacing w:before="6"/>
        <w:rPr>
          <w:sz w:val="26"/>
        </w:rPr>
      </w:pPr>
    </w:p>
    <w:p>
      <w:pPr>
        <w:pStyle w:val="9"/>
        <w:numPr>
          <w:ilvl w:val="1"/>
          <w:numId w:val="4"/>
        </w:numPr>
        <w:tabs>
          <w:tab w:val="left" w:pos="1502"/>
          <w:tab w:val="left" w:pos="1503"/>
          <w:tab w:val="left" w:pos="3017"/>
        </w:tabs>
        <w:spacing w:before="0" w:after="0" w:line="278" w:lineRule="auto"/>
        <w:ind w:left="3017" w:right="581" w:hanging="2580"/>
        <w:jc w:val="left"/>
        <w:rPr>
          <w:sz w:val="21"/>
        </w:rPr>
      </w:pPr>
      <w:r>
        <w:rPr>
          <w:b/>
          <w:spacing w:val="-4"/>
          <w:sz w:val="21"/>
        </w:rPr>
        <w:t>年龄错误</w:t>
      </w:r>
      <w:r>
        <w:rPr>
          <w:b/>
          <w:sz w:val="21"/>
        </w:rPr>
        <w:tab/>
      </w:r>
      <w:r>
        <w:rPr>
          <w:spacing w:val="-2"/>
          <w:sz w:val="21"/>
        </w:rPr>
        <w:t>投保人在申请投保时，应将与有效身份证件相符的被保险人的出生日期或周岁年龄在投保单或其他投保文件上填明，若发生错误按照下列方式办</w:t>
      </w:r>
      <w:r>
        <w:rPr>
          <w:spacing w:val="40"/>
          <w:sz w:val="21"/>
        </w:rPr>
        <w:t xml:space="preserve"> </w:t>
      </w:r>
      <w:r>
        <w:rPr>
          <w:spacing w:val="-6"/>
          <w:sz w:val="21"/>
        </w:rPr>
        <w:t>理：</w:t>
      </w:r>
    </w:p>
    <w:p>
      <w:pPr>
        <w:pStyle w:val="9"/>
        <w:numPr>
          <w:ilvl w:val="0"/>
          <w:numId w:val="12"/>
        </w:numPr>
        <w:tabs>
          <w:tab w:val="left" w:pos="3547"/>
        </w:tabs>
        <w:spacing w:before="156" w:after="0" w:line="276" w:lineRule="auto"/>
        <w:ind w:left="3017" w:right="477" w:firstLine="0"/>
        <w:jc w:val="left"/>
        <w:rPr>
          <w:sz w:val="21"/>
        </w:rPr>
      </w:pPr>
      <w:r>
        <w:rPr>
          <w:spacing w:val="-2"/>
          <w:sz w:val="21"/>
        </w:rPr>
        <w:t>投保人申报的被保险人年龄不真实，并且其真实年龄不符合本合同约定投保年龄限制的，本公司有权取消该被保险人的被保资格，并向投保人退还相应</w:t>
      </w:r>
      <w:r>
        <w:rPr>
          <w:b/>
          <w:spacing w:val="-2"/>
          <w:sz w:val="21"/>
        </w:rPr>
        <w:t>未满期保险费</w:t>
      </w:r>
      <w:r>
        <w:rPr>
          <w:b/>
          <w:spacing w:val="-2"/>
          <w:position w:val="11"/>
          <w:sz w:val="11"/>
        </w:rPr>
        <w:t>49</w:t>
      </w:r>
      <w:r>
        <w:rPr>
          <w:spacing w:val="-2"/>
          <w:sz w:val="21"/>
        </w:rPr>
        <w:t xml:space="preserve">。本公司行使被保险人的被保资格取消权适用 </w:t>
      </w:r>
      <w:r>
        <w:rPr>
          <w:sz w:val="21"/>
        </w:rPr>
        <w:t>“6.2</w:t>
      </w:r>
      <w:r>
        <w:rPr>
          <w:spacing w:val="-7"/>
          <w:sz w:val="21"/>
        </w:rPr>
        <w:t xml:space="preserve"> 本公司合同解除权的限制”的规定。</w:t>
      </w:r>
    </w:p>
    <w:p>
      <w:pPr>
        <w:pStyle w:val="9"/>
        <w:numPr>
          <w:ilvl w:val="0"/>
          <w:numId w:val="12"/>
        </w:numPr>
        <w:tabs>
          <w:tab w:val="left" w:pos="3547"/>
        </w:tabs>
        <w:spacing w:before="156" w:after="0" w:line="278" w:lineRule="auto"/>
        <w:ind w:left="3017" w:right="477" w:firstLine="0"/>
        <w:jc w:val="left"/>
        <w:rPr>
          <w:sz w:val="21"/>
        </w:rPr>
      </w:pPr>
      <w:r>
        <w:rPr>
          <w:spacing w:val="-2"/>
          <w:sz w:val="21"/>
        </w:rPr>
        <w:t>投保人申报的被保险人年龄不真实，致使投保人实交保险费少于应交保险费的，本公司有权更正并要求投保人补交保险费，</w:t>
      </w:r>
      <w:r>
        <w:rPr>
          <w:color w:val="000000"/>
          <w:spacing w:val="-2"/>
          <w:sz w:val="21"/>
          <w:shd w:val="clear" w:color="auto" w:fill="E4E4E4"/>
        </w:rPr>
        <w:t>但若已经发生保险</w:t>
      </w:r>
      <w:r>
        <w:rPr>
          <w:color w:val="000000"/>
          <w:spacing w:val="13125"/>
          <w:sz w:val="21"/>
          <w:shd w:val="clear" w:color="auto" w:fill="E4E4E4"/>
        </w:rPr>
        <w:t xml:space="preserve"> </w:t>
      </w:r>
      <w:r>
        <w:rPr>
          <w:color w:val="000000"/>
          <w:spacing w:val="-2"/>
          <w:sz w:val="21"/>
          <w:shd w:val="clear" w:color="auto" w:fill="E4E4E4"/>
        </w:rPr>
        <w:t xml:space="preserve">事故，本公司有权按实收保险费占应交保险费的比例折扣给付第 </w:t>
      </w:r>
      <w:r>
        <w:rPr>
          <w:color w:val="000000"/>
          <w:sz w:val="21"/>
          <w:shd w:val="clear" w:color="auto" w:fill="E4E4E4"/>
        </w:rPr>
        <w:t>2</w:t>
      </w:r>
      <w:r>
        <w:rPr>
          <w:color w:val="000000"/>
          <w:spacing w:val="-19"/>
          <w:sz w:val="21"/>
          <w:shd w:val="clear" w:color="auto" w:fill="E4E4E4"/>
        </w:rPr>
        <w:t xml:space="preserve"> 部分</w:t>
      </w:r>
      <w:r>
        <w:rPr>
          <w:color w:val="000000"/>
          <w:spacing w:val="-27"/>
          <w:sz w:val="21"/>
        </w:rPr>
        <w:t xml:space="preserve"> </w:t>
      </w:r>
      <w:r>
        <w:rPr>
          <w:color w:val="000000"/>
          <w:sz w:val="21"/>
          <w:shd w:val="clear" w:color="auto" w:fill="E4E4E4"/>
        </w:rPr>
        <w:t>“</w:t>
      </w:r>
      <w:r>
        <w:rPr>
          <w:color w:val="000000"/>
          <w:spacing w:val="-2"/>
          <w:sz w:val="21"/>
          <w:shd w:val="clear" w:color="auto" w:fill="E4E4E4"/>
        </w:rPr>
        <w:t>提供的保障”约定的保险金。</w:t>
      </w:r>
    </w:p>
    <w:p>
      <w:pPr>
        <w:pStyle w:val="9"/>
        <w:numPr>
          <w:ilvl w:val="0"/>
          <w:numId w:val="12"/>
        </w:numPr>
        <w:tabs>
          <w:tab w:val="left" w:pos="3547"/>
        </w:tabs>
        <w:spacing w:before="156" w:after="0" w:line="278" w:lineRule="auto"/>
        <w:ind w:left="3017" w:right="477" w:firstLine="0"/>
        <w:jc w:val="left"/>
        <w:rPr>
          <w:sz w:val="21"/>
        </w:rPr>
      </w:pPr>
      <w:r>
        <w:rPr>
          <w:spacing w:val="-2"/>
          <w:sz w:val="21"/>
        </w:rPr>
        <w:t>投保人申报的被保险人年龄不真实，致使投保人实交保险费多于应交保险费的，本公司会将多收的保险费无息退还给投保人。</w:t>
      </w:r>
    </w:p>
    <w:p>
      <w:pPr>
        <w:pStyle w:val="4"/>
        <w:spacing w:before="4"/>
        <w:rPr>
          <w:sz w:val="24"/>
        </w:rPr>
      </w:pPr>
    </w:p>
    <w:p>
      <w:pPr>
        <w:pStyle w:val="9"/>
        <w:numPr>
          <w:ilvl w:val="1"/>
          <w:numId w:val="4"/>
        </w:numPr>
        <w:tabs>
          <w:tab w:val="left" w:pos="1503"/>
        </w:tabs>
        <w:spacing w:before="0" w:after="0" w:line="278" w:lineRule="auto"/>
        <w:ind w:left="3017" w:right="449" w:hanging="2580"/>
        <w:jc w:val="both"/>
        <w:rPr>
          <w:sz w:val="21"/>
        </w:rPr>
      </w:pPr>
      <w:r>
        <w:rPr>
          <w:b/>
          <w:sz w:val="21"/>
        </w:rPr>
        <w:t xml:space="preserve">被保险人变动 </w:t>
      </w:r>
      <w:r>
        <w:rPr>
          <w:sz w:val="21"/>
        </w:rPr>
        <w:t>在保险期间内，投保人可以书面或投保人与本公司约定的其他形式，按本合</w:t>
      </w:r>
      <w:r>
        <w:rPr>
          <w:spacing w:val="-2"/>
          <w:sz w:val="21"/>
        </w:rPr>
        <w:t>同有关约定及时向本公司提出申请，增加被保险人（</w:t>
      </w:r>
      <w:r>
        <w:rPr>
          <w:spacing w:val="-20"/>
          <w:sz w:val="21"/>
        </w:rPr>
        <w:t>简称“加保”</w:t>
      </w:r>
      <w:r>
        <w:rPr>
          <w:sz w:val="21"/>
        </w:rPr>
        <w:t>）</w:t>
      </w:r>
      <w:r>
        <w:rPr>
          <w:spacing w:val="-2"/>
          <w:sz w:val="21"/>
        </w:rPr>
        <w:t>或减少被保险人（</w:t>
      </w:r>
      <w:r>
        <w:rPr>
          <w:spacing w:val="-20"/>
          <w:sz w:val="21"/>
        </w:rPr>
        <w:t>简称“减保”</w:t>
      </w:r>
      <w:r>
        <w:rPr>
          <w:spacing w:val="-107"/>
          <w:sz w:val="21"/>
        </w:rPr>
        <w:t>）</w:t>
      </w:r>
      <w:r>
        <w:rPr>
          <w:spacing w:val="-2"/>
          <w:sz w:val="21"/>
        </w:rPr>
        <w:t>。本公司同意后出具批单，并在本合同中批注。</w:t>
      </w:r>
    </w:p>
    <w:p>
      <w:pPr>
        <w:pStyle w:val="4"/>
        <w:spacing w:before="156"/>
        <w:ind w:left="3017"/>
      </w:pPr>
      <w:r>
        <w:rPr>
          <w:spacing w:val="-3"/>
        </w:rPr>
        <w:t>在保险期间内，投保人可申请变更被保险人，本公司按下列约定予以受理：</w:t>
      </w:r>
    </w:p>
    <w:p>
      <w:pPr>
        <w:pStyle w:val="4"/>
        <w:spacing w:before="7"/>
        <w:rPr>
          <w:sz w:val="15"/>
        </w:rPr>
      </w:pPr>
    </w:p>
    <w:p>
      <w:pPr>
        <w:pStyle w:val="4"/>
        <w:spacing w:line="278" w:lineRule="auto"/>
        <w:ind w:left="3017" w:right="449"/>
        <w:jc w:val="both"/>
      </w:pPr>
      <w:r>
        <w:rPr>
          <w:w w:val="100"/>
        </w:rPr>
        <w:t>（</w:t>
      </w:r>
      <w:r>
        <w:rPr>
          <w:spacing w:val="-3"/>
          <w:w w:val="100"/>
        </w:rPr>
        <w:t>一</w:t>
      </w:r>
      <w:r>
        <w:rPr>
          <w:spacing w:val="-39"/>
          <w:w w:val="100"/>
        </w:rPr>
        <w:t>）</w:t>
      </w:r>
      <w:r>
        <w:rPr>
          <w:spacing w:val="-5"/>
          <w:w w:val="100"/>
        </w:rPr>
        <w:t>对于本合同成立时可参加而未参加本合同的人员，在保险期间内投保</w:t>
      </w:r>
      <w:r>
        <w:rPr>
          <w:spacing w:val="-11"/>
          <w:w w:val="100"/>
        </w:rPr>
        <w:t>人不得加保该人员，该人员可于续保时参加本保险。对于在本合同成立时因其他原因而未参加本合同，投保人可书面通知本公司加保该人员，并按照本</w:t>
      </w:r>
      <w:r>
        <w:rPr>
          <w:spacing w:val="-9"/>
          <w:w w:val="100"/>
        </w:rPr>
        <w:t>公司的要求提供其健康问卷调查表及本公司要求的其他材料，本公司将根据</w:t>
      </w:r>
      <w:r>
        <w:rPr>
          <w:spacing w:val="1"/>
          <w:w w:val="100"/>
        </w:rPr>
        <w:t>该健康问卷调查表及其推迟加入本保险的具体原因确定承保与否和承保条件。</w:t>
      </w:r>
    </w:p>
    <w:p>
      <w:pPr>
        <w:pStyle w:val="4"/>
        <w:spacing w:before="156" w:line="278" w:lineRule="auto"/>
        <w:ind w:left="3017" w:right="449"/>
        <w:jc w:val="both"/>
      </w:pPr>
      <w:r>
        <w:rPr>
          <w:spacing w:val="-4"/>
        </w:rPr>
        <w:t>（二）因主被保险人婚姻状态发生变化需要增加附属被保险人的，投保人应在三十日内书面通知本公司，本公司进行医疗核保。经本公司同意，本公司</w:t>
      </w:r>
      <w:r>
        <w:rPr>
          <w:spacing w:val="-5"/>
        </w:rPr>
        <w:t>自通知书载明的起始日期开始按相关约定对其承担保险责任，并根据加人前</w:t>
      </w:r>
      <w:r>
        <w:rPr>
          <w:spacing w:val="-2"/>
        </w:rPr>
        <w:t>后不同参保方式的保险费差额按日收取相应保险费。</w:t>
      </w:r>
    </w:p>
    <w:p>
      <w:pPr>
        <w:pStyle w:val="4"/>
        <w:spacing w:before="155" w:line="278" w:lineRule="auto"/>
        <w:ind w:left="3017" w:right="449"/>
        <w:jc w:val="both"/>
      </w:pPr>
      <w:r>
        <w:rPr>
          <w:spacing w:val="4"/>
          <w:w w:val="100"/>
        </w:rPr>
        <w:t>（</w:t>
      </w:r>
      <w:r>
        <w:rPr>
          <w:spacing w:val="2"/>
          <w:w w:val="100"/>
        </w:rPr>
        <w:t>三）</w:t>
      </w:r>
      <w:r>
        <w:rPr>
          <w:spacing w:val="1"/>
          <w:w w:val="100"/>
        </w:rPr>
        <w:t>因主被保险人婚姻状态发生变化或其他原因需要减少附属被保险人</w:t>
      </w:r>
      <w:r>
        <w:rPr>
          <w:spacing w:val="-9"/>
          <w:w w:val="100"/>
        </w:rPr>
        <w:t>的，投保人应立即书面通知本公司，并向本公司退还保险卡。本公司自收到</w:t>
      </w:r>
      <w:r>
        <w:rPr>
          <w:spacing w:val="-7"/>
          <w:w w:val="100"/>
        </w:rPr>
        <w:t>通知之日起次日零时或通知书载明的终止日期</w:t>
      </w:r>
      <w:r>
        <w:rPr>
          <w:w w:val="100"/>
        </w:rPr>
        <w:t>（</w:t>
      </w:r>
      <w:r>
        <w:rPr>
          <w:spacing w:val="-3"/>
          <w:w w:val="100"/>
        </w:rPr>
        <w:t>以较晚者为准</w:t>
      </w:r>
      <w:r>
        <w:rPr>
          <w:spacing w:val="-39"/>
          <w:w w:val="100"/>
        </w:rPr>
        <w:t>）</w:t>
      </w:r>
      <w:r>
        <w:rPr>
          <w:spacing w:val="-3"/>
          <w:w w:val="100"/>
        </w:rPr>
        <w:t>起终止对相</w:t>
      </w:r>
      <w:r>
        <w:rPr>
          <w:spacing w:val="-9"/>
          <w:w w:val="100"/>
        </w:rPr>
        <w:t>应附属被保险人的保险保障，并根据减人前后不同参保方式的保险费差额按</w:t>
      </w:r>
      <w:r>
        <w:rPr>
          <w:spacing w:val="-5"/>
          <w:w w:val="100"/>
        </w:rPr>
        <w:t>日退还保险费。</w:t>
      </w:r>
    </w:p>
    <w:p>
      <w:pPr>
        <w:pStyle w:val="4"/>
        <w:spacing w:before="156" w:line="278" w:lineRule="auto"/>
        <w:ind w:left="3017" w:right="448"/>
      </w:pPr>
      <w:r>
        <w:rPr>
          <w:spacing w:val="-4"/>
        </w:rPr>
        <w:t>（四）保险期间内被保险人（不含作为子女的附属被保险人情形）出生的婴</w:t>
      </w:r>
      <w:r>
        <w:rPr>
          <w:spacing w:val="-5"/>
        </w:rPr>
        <w:t>儿，投保人可为该婴儿投保本保险，并递交将本合同参保方式更改为家庭型</w:t>
      </w:r>
    </w:p>
    <w:p>
      <w:pPr>
        <w:pStyle w:val="4"/>
        <w:spacing w:before="3"/>
        <w:rPr>
          <w:sz w:val="24"/>
        </w:rPr>
      </w:pPr>
      <w:r>
        <w:drawing>
          <wp:anchor distT="0" distB="0" distL="0" distR="0" simplePos="0" relativeHeight="251659264" behindDoc="0" locked="0" layoutInCell="1" allowOverlap="1">
            <wp:simplePos x="0" y="0"/>
            <wp:positionH relativeFrom="page">
              <wp:posOffset>685800</wp:posOffset>
            </wp:positionH>
            <wp:positionV relativeFrom="paragraph">
              <wp:posOffset>212090</wp:posOffset>
            </wp:positionV>
            <wp:extent cx="1829435" cy="6350"/>
            <wp:effectExtent l="0" t="0" r="0" b="0"/>
            <wp:wrapTopAndBottom/>
            <wp:docPr id="6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6.png"/>
                    <pic:cNvPicPr>
                      <a:picLocks noChangeAspect="1"/>
                    </pic:cNvPicPr>
                  </pic:nvPicPr>
                  <pic:blipFill>
                    <a:blip r:embed="rId11" cstate="print"/>
                    <a:stretch>
                      <a:fillRect/>
                    </a:stretch>
                  </pic:blipFill>
                  <pic:spPr>
                    <a:xfrm>
                      <a:off x="0" y="0"/>
                      <a:ext cx="1829282" cy="6096"/>
                    </a:xfrm>
                    <a:prstGeom prst="rect">
                      <a:avLst/>
                    </a:prstGeom>
                  </pic:spPr>
                </pic:pic>
              </a:graphicData>
            </a:graphic>
          </wp:anchor>
        </w:drawing>
      </w:r>
    </w:p>
    <w:p>
      <w:pPr>
        <w:spacing w:before="91"/>
        <w:ind w:left="180" w:right="0" w:firstLine="0"/>
        <w:jc w:val="left"/>
        <w:rPr>
          <w:rFonts w:ascii="楷体" w:hAnsi="楷体" w:eastAsia="楷体"/>
          <w:sz w:val="18"/>
        </w:rPr>
      </w:pPr>
      <w:r>
        <w:rPr>
          <w:rFonts w:hint="eastAsia" w:ascii="楷体" w:hAnsi="楷体" w:eastAsia="楷体"/>
          <w:b/>
          <w:w w:val="95"/>
          <w:position w:val="9"/>
          <w:sz w:val="9"/>
        </w:rPr>
        <w:t>49</w:t>
      </w:r>
      <w:r>
        <w:rPr>
          <w:rFonts w:hint="eastAsia" w:ascii="楷体" w:hAnsi="楷体" w:eastAsia="楷体"/>
          <w:b/>
          <w:w w:val="95"/>
          <w:sz w:val="18"/>
        </w:rPr>
        <w:t>未满期保险费</w:t>
      </w:r>
      <w:r>
        <w:rPr>
          <w:rFonts w:ascii="楷体" w:hAnsi="楷体" w:eastAsia="楷体"/>
          <w:w w:val="95"/>
          <w:sz w:val="18"/>
        </w:rPr>
        <w:t>：指“保险费*（1-（保单当期已经过天数/当期已交保险费对应的保险期间</w:t>
      </w:r>
      <w:r>
        <w:rPr>
          <w:rFonts w:ascii="楷体" w:hAnsi="楷体" w:eastAsia="楷体"/>
          <w:spacing w:val="-90"/>
          <w:w w:val="95"/>
          <w:sz w:val="18"/>
        </w:rPr>
        <w:t>））”</w:t>
      </w:r>
      <w:r>
        <w:rPr>
          <w:rFonts w:ascii="楷体" w:hAnsi="楷体" w:eastAsia="楷体"/>
          <w:w w:val="95"/>
          <w:sz w:val="18"/>
        </w:rPr>
        <w:t>。经过天数不足一天的按一</w:t>
      </w:r>
      <w:r>
        <w:rPr>
          <w:rFonts w:ascii="楷体" w:hAnsi="楷体" w:eastAsia="楷体"/>
          <w:spacing w:val="-10"/>
          <w:w w:val="95"/>
          <w:sz w:val="18"/>
        </w:rPr>
        <w:t>天</w:t>
      </w:r>
    </w:p>
    <w:p>
      <w:pPr>
        <w:spacing w:before="4"/>
        <w:ind w:left="180" w:right="0" w:firstLine="0"/>
        <w:jc w:val="left"/>
        <w:rPr>
          <w:rFonts w:ascii="楷体" w:eastAsia="楷体"/>
          <w:sz w:val="18"/>
        </w:rPr>
      </w:pPr>
      <w:r>
        <w:rPr>
          <w:rFonts w:ascii="楷体" w:eastAsia="楷体"/>
          <w:spacing w:val="-4"/>
          <w:sz w:val="18"/>
        </w:rPr>
        <w:t>计算。</w:t>
      </w:r>
    </w:p>
    <w:p>
      <w:pPr>
        <w:spacing w:after="0"/>
        <w:jc w:val="left"/>
        <w:rPr>
          <w:rFonts w:ascii="楷体" w:eastAsia="楷体"/>
          <w:sz w:val="18"/>
        </w:rPr>
        <w:sectPr>
          <w:pgSz w:w="11910" w:h="16840"/>
          <w:pgMar w:top="1400" w:right="680" w:bottom="280" w:left="900" w:header="720" w:footer="720" w:gutter="0"/>
          <w:cols w:space="720" w:num="1"/>
        </w:sectPr>
      </w:pPr>
    </w:p>
    <w:p>
      <w:pPr>
        <w:pStyle w:val="4"/>
        <w:spacing w:before="44" w:line="278" w:lineRule="auto"/>
        <w:ind w:left="3017" w:right="371"/>
      </w:pPr>
      <w:r>
        <w:rPr>
          <w:spacing w:val="-2"/>
        </w:rPr>
        <w:t>或亲子型的申请。在该婴儿出生后二十八日（含）内通知本公司的，除另有约定外，本公司从婴儿出生之日起对婴儿承担保险责任；在该婴儿出生二十八日后通知本公司的，经本公司同意，本公司自通知书载明的起始日期起对该婴儿承担保险责任。同时，本公司根据加保该婴儿前后不同参保方式的保险费差额按日收取相应保险费。非自然受孕情形生育婴儿，除另有约定外，须经本公司核保同意方可成为被保险人。</w:t>
      </w:r>
    </w:p>
    <w:p>
      <w:pPr>
        <w:pStyle w:val="4"/>
        <w:spacing w:before="156" w:line="278" w:lineRule="auto"/>
        <w:ind w:left="3017" w:right="449"/>
        <w:jc w:val="both"/>
      </w:pPr>
      <w:r>
        <w:rPr>
          <w:w w:val="100"/>
        </w:rPr>
        <w:t>（</w:t>
      </w:r>
      <w:r>
        <w:rPr>
          <w:spacing w:val="-3"/>
          <w:w w:val="100"/>
        </w:rPr>
        <w:t>五</w:t>
      </w:r>
      <w:r>
        <w:rPr>
          <w:spacing w:val="-39"/>
          <w:w w:val="100"/>
        </w:rPr>
        <w:t>）</w:t>
      </w:r>
      <w:r>
        <w:rPr>
          <w:spacing w:val="-5"/>
          <w:w w:val="100"/>
        </w:rPr>
        <w:t>经政府相关机构许可被保险人保险期间内合法收养子女的，投保人可</w:t>
      </w:r>
      <w:r>
        <w:rPr>
          <w:spacing w:val="1"/>
          <w:w w:val="100"/>
        </w:rPr>
        <w:t>为该子女投保本保险，并递交本合同参保方式更改为家庭型或亲子型的申</w:t>
      </w:r>
      <w:r>
        <w:rPr>
          <w:spacing w:val="-11"/>
          <w:w w:val="100"/>
        </w:rPr>
        <w:t>请。经本公司同意，本公司自通知书载明的起始日期起对该子女承担保险责</w:t>
      </w:r>
      <w:r>
        <w:rPr>
          <w:spacing w:val="-12"/>
          <w:w w:val="100"/>
        </w:rPr>
        <w:t>任。同时，本公司根据加保该子女前后不同参保方式的保险费差额按日收取</w:t>
      </w:r>
      <w:r>
        <w:rPr>
          <w:spacing w:val="-6"/>
          <w:w w:val="100"/>
        </w:rPr>
        <w:t>相应保险费。</w:t>
      </w:r>
    </w:p>
    <w:p>
      <w:pPr>
        <w:pStyle w:val="4"/>
        <w:spacing w:before="155"/>
        <w:ind w:left="3017"/>
      </w:pPr>
      <w:r>
        <w:rPr>
          <w:spacing w:val="-2"/>
        </w:rPr>
        <w:t>（六）</w:t>
      </w:r>
      <w:r>
        <w:rPr>
          <w:spacing w:val="-3"/>
        </w:rPr>
        <w:t>被保险人发生变化的，本公司有权调整保险费率。</w:t>
      </w:r>
    </w:p>
    <w:p>
      <w:pPr>
        <w:pStyle w:val="4"/>
        <w:spacing w:before="10"/>
        <w:rPr>
          <w:sz w:val="27"/>
        </w:rPr>
      </w:pPr>
    </w:p>
    <w:p>
      <w:pPr>
        <w:pStyle w:val="9"/>
        <w:numPr>
          <w:ilvl w:val="2"/>
          <w:numId w:val="4"/>
        </w:numPr>
        <w:tabs>
          <w:tab w:val="left" w:pos="1503"/>
        </w:tabs>
        <w:spacing w:before="0" w:after="0" w:line="278" w:lineRule="auto"/>
        <w:ind w:left="3017" w:right="581" w:hanging="2369"/>
        <w:jc w:val="both"/>
        <w:rPr>
          <w:sz w:val="21"/>
        </w:rPr>
      </w:pPr>
      <w:r>
        <w:rPr>
          <w:b/>
          <w:sz w:val="21"/>
        </w:rPr>
        <w:t>加保</w:t>
      </w:r>
      <w:r>
        <w:rPr>
          <w:b/>
          <w:spacing w:val="958"/>
          <w:sz w:val="21"/>
        </w:rPr>
        <w:t xml:space="preserve"> </w:t>
      </w:r>
      <w:r>
        <w:rPr>
          <w:sz w:val="21"/>
        </w:rPr>
        <w:t>经审核同意，本公司自相应批单中载明的相应日期零时开始对加保的被保</w:t>
      </w:r>
      <w:r>
        <w:rPr>
          <w:spacing w:val="-2"/>
          <w:sz w:val="21"/>
        </w:rPr>
        <w:t>险人承担保险责任，并按日比例收取相应保险费。加保被保险人的保险期间届满日与本合同的保险期间届满日相同。</w:t>
      </w:r>
    </w:p>
    <w:p>
      <w:pPr>
        <w:pStyle w:val="4"/>
        <w:spacing w:before="4"/>
        <w:rPr>
          <w:sz w:val="24"/>
        </w:rPr>
      </w:pPr>
    </w:p>
    <w:p>
      <w:pPr>
        <w:pStyle w:val="9"/>
        <w:numPr>
          <w:ilvl w:val="2"/>
          <w:numId w:val="4"/>
        </w:numPr>
        <w:tabs>
          <w:tab w:val="left" w:pos="1502"/>
          <w:tab w:val="left" w:pos="1503"/>
          <w:tab w:val="left" w:pos="3017"/>
        </w:tabs>
        <w:spacing w:before="0" w:after="0" w:line="278" w:lineRule="auto"/>
        <w:ind w:left="3017" w:right="580" w:hanging="2369"/>
        <w:jc w:val="left"/>
        <w:rPr>
          <w:sz w:val="21"/>
        </w:rPr>
      </w:pPr>
      <w:r>
        <w:rPr>
          <w:b/>
          <w:spacing w:val="-6"/>
          <w:sz w:val="21"/>
        </w:rPr>
        <w:t>减保</w:t>
      </w:r>
      <w:r>
        <w:rPr>
          <w:b/>
          <w:sz w:val="21"/>
        </w:rPr>
        <w:tab/>
      </w:r>
      <w:r>
        <w:rPr>
          <w:spacing w:val="-2"/>
          <w:sz w:val="21"/>
        </w:rPr>
        <w:t>本公司自收到申请之日起次日零时或申请载明的终止日期（以较晚者为</w:t>
      </w:r>
      <w:r>
        <w:rPr>
          <w:spacing w:val="40"/>
          <w:sz w:val="21"/>
        </w:rPr>
        <w:t xml:space="preserve"> </w:t>
      </w:r>
      <w:r>
        <w:rPr>
          <w:spacing w:val="-2"/>
          <w:sz w:val="21"/>
        </w:rPr>
        <w:t>准）二十四时起终止对相应被保险人的保险责任，并退还相应未满期保险费，</w:t>
      </w:r>
      <w:r>
        <w:rPr>
          <w:color w:val="000000"/>
          <w:spacing w:val="-2"/>
          <w:sz w:val="21"/>
          <w:shd w:val="clear" w:color="auto" w:fill="E4E4E4"/>
        </w:rPr>
        <w:t>本公司根据本合同已给付保险金或已承担给付保险金责任的，本合同</w:t>
      </w:r>
      <w:r>
        <w:rPr>
          <w:color w:val="000000"/>
          <w:spacing w:val="12915"/>
          <w:sz w:val="21"/>
          <w:shd w:val="clear" w:color="auto" w:fill="E4E4E4"/>
        </w:rPr>
        <w:t xml:space="preserve"> </w:t>
      </w:r>
      <w:r>
        <w:rPr>
          <w:color w:val="000000"/>
          <w:spacing w:val="-2"/>
          <w:sz w:val="21"/>
          <w:shd w:val="clear" w:color="auto" w:fill="E4E4E4"/>
        </w:rPr>
        <w:t>的未满期净保费降低为零。</w:t>
      </w:r>
    </w:p>
    <w:p>
      <w:pPr>
        <w:pStyle w:val="4"/>
        <w:spacing w:before="9"/>
        <w:rPr>
          <w:sz w:val="18"/>
        </w:rPr>
      </w:pPr>
    </w:p>
    <w:p>
      <w:pPr>
        <w:spacing w:after="0"/>
        <w:rPr>
          <w:sz w:val="18"/>
        </w:rPr>
        <w:sectPr>
          <w:pgSz w:w="11910" w:h="16840"/>
          <w:pgMar w:top="1400" w:right="680" w:bottom="280" w:left="900" w:header="720" w:footer="720" w:gutter="0"/>
          <w:cols w:space="720" w:num="1"/>
        </w:sectPr>
      </w:pPr>
    </w:p>
    <w:p>
      <w:pPr>
        <w:pStyle w:val="3"/>
        <w:numPr>
          <w:ilvl w:val="1"/>
          <w:numId w:val="4"/>
        </w:numPr>
        <w:tabs>
          <w:tab w:val="left" w:pos="1502"/>
          <w:tab w:val="left" w:pos="1503"/>
        </w:tabs>
        <w:spacing w:before="72" w:after="0" w:line="278" w:lineRule="auto"/>
        <w:ind w:left="1502" w:right="0" w:hanging="1066"/>
        <w:jc w:val="left"/>
      </w:pPr>
      <w:r>
        <w:rPr>
          <w:spacing w:val="-2"/>
        </w:rPr>
        <w:t>同意提供医疗</w:t>
      </w:r>
      <w:r>
        <w:rPr>
          <w:spacing w:val="-6"/>
        </w:rPr>
        <w:t>信息</w:t>
      </w:r>
    </w:p>
    <w:p>
      <w:pPr>
        <w:pStyle w:val="4"/>
        <w:spacing w:before="72" w:line="278" w:lineRule="auto"/>
        <w:ind w:left="174" w:right="449"/>
        <w:jc w:val="both"/>
      </w:pPr>
      <w:r>
        <w:br w:type="column"/>
      </w:r>
      <w:r>
        <w:rPr>
          <w:spacing w:val="-8"/>
        </w:rPr>
        <w:t>申请成为本合同的主被保险人，即意味着主被保险人及其代表的附属被保险</w:t>
      </w:r>
      <w:r>
        <w:rPr>
          <w:spacing w:val="-4"/>
        </w:rPr>
        <w:t>人同意任何医疗机构、医师、药剂师等向本公司提供本公司认为处理本合同</w:t>
      </w:r>
      <w:r>
        <w:rPr>
          <w:spacing w:val="-2"/>
        </w:rPr>
        <w:t>相关事宜所必要的医疗信息（包括完整医疗病历和诊断</w:t>
      </w:r>
      <w:r>
        <w:rPr>
          <w:spacing w:val="-104"/>
        </w:rPr>
        <w:t>）</w:t>
      </w:r>
      <w:r>
        <w:rPr>
          <w:spacing w:val="-2"/>
        </w:rPr>
        <w:t>。本公司将对这些信息保密。</w:t>
      </w:r>
    </w:p>
    <w:p>
      <w:pPr>
        <w:pStyle w:val="4"/>
        <w:spacing w:before="156" w:line="278" w:lineRule="auto"/>
        <w:ind w:left="174" w:right="581"/>
      </w:pPr>
      <w:r>
        <w:rPr>
          <w:spacing w:val="-2"/>
        </w:rPr>
        <w:t>申请成为本合同的主被保险人，也意味着主被保险人及其代表的附属被保</w:t>
      </w:r>
      <w:r>
        <w:rPr>
          <w:spacing w:val="-3"/>
        </w:rPr>
        <w:t>险人同意本公司将所有医疗信息提供给相关机构以处理本合同相关事宜。</w:t>
      </w:r>
    </w:p>
    <w:p>
      <w:pPr>
        <w:spacing w:after="0" w:line="278" w:lineRule="auto"/>
        <w:sectPr>
          <w:type w:val="continuous"/>
          <w:pgSz w:w="11910" w:h="16840"/>
          <w:pgMar w:top="480" w:right="680" w:bottom="280" w:left="900" w:header="720" w:footer="720" w:gutter="0"/>
          <w:cols w:equalWidth="0" w:num="2">
            <w:col w:w="2803" w:space="40"/>
            <w:col w:w="7487"/>
          </w:cols>
        </w:sectPr>
      </w:pPr>
    </w:p>
    <w:p>
      <w:pPr>
        <w:pStyle w:val="4"/>
        <w:spacing w:before="9"/>
        <w:rPr>
          <w:sz w:val="18"/>
        </w:rPr>
      </w:pPr>
    </w:p>
    <w:p>
      <w:pPr>
        <w:pStyle w:val="9"/>
        <w:numPr>
          <w:ilvl w:val="1"/>
          <w:numId w:val="4"/>
        </w:numPr>
        <w:tabs>
          <w:tab w:val="left" w:pos="1502"/>
          <w:tab w:val="left" w:pos="1503"/>
          <w:tab w:val="left" w:pos="3017"/>
        </w:tabs>
        <w:spacing w:before="72" w:after="0" w:line="278" w:lineRule="auto"/>
        <w:ind w:left="3017" w:right="581" w:hanging="2580"/>
        <w:jc w:val="left"/>
        <w:rPr>
          <w:sz w:val="21"/>
        </w:rPr>
      </w:pPr>
      <w:r>
        <w:rPr>
          <w:b/>
          <w:spacing w:val="-4"/>
          <w:sz w:val="21"/>
        </w:rPr>
        <w:t>未还款项</w:t>
      </w:r>
      <w:r>
        <w:rPr>
          <w:b/>
          <w:sz w:val="21"/>
        </w:rPr>
        <w:tab/>
      </w:r>
      <w:r>
        <w:rPr>
          <w:spacing w:val="-2"/>
          <w:sz w:val="21"/>
        </w:rPr>
        <w:t>本公司在给付各项保险金、退还未满期净保费或保险费等款项时，若投保人有欠交的保险费或其他未还清款项，本公司会在投保人偿清款项后给</w:t>
      </w:r>
      <w:r>
        <w:rPr>
          <w:spacing w:val="40"/>
          <w:sz w:val="21"/>
        </w:rPr>
        <w:t xml:space="preserve"> </w:t>
      </w:r>
      <w:r>
        <w:rPr>
          <w:spacing w:val="-6"/>
          <w:sz w:val="21"/>
        </w:rPr>
        <w:t>付。</w:t>
      </w:r>
    </w:p>
    <w:p>
      <w:pPr>
        <w:pStyle w:val="4"/>
        <w:spacing w:before="4"/>
        <w:rPr>
          <w:sz w:val="24"/>
        </w:rPr>
      </w:pPr>
    </w:p>
    <w:p>
      <w:pPr>
        <w:pStyle w:val="9"/>
        <w:numPr>
          <w:ilvl w:val="1"/>
          <w:numId w:val="4"/>
        </w:numPr>
        <w:tabs>
          <w:tab w:val="left" w:pos="1503"/>
        </w:tabs>
        <w:spacing w:before="0" w:after="0" w:line="278" w:lineRule="auto"/>
        <w:ind w:left="3017" w:right="581" w:hanging="2580"/>
        <w:jc w:val="both"/>
        <w:rPr>
          <w:sz w:val="21"/>
        </w:rPr>
      </w:pPr>
      <w:r>
        <w:rPr>
          <w:b/>
          <w:sz w:val="21"/>
        </w:rPr>
        <w:t xml:space="preserve">合同内容变更 </w:t>
      </w:r>
      <w:r>
        <w:rPr>
          <w:sz w:val="21"/>
        </w:rPr>
        <w:t>在本合同有效期内，经投保人与本公司协商一致，可以变更本合同的有关</w:t>
      </w:r>
      <w:r>
        <w:rPr>
          <w:spacing w:val="-2"/>
          <w:sz w:val="21"/>
        </w:rPr>
        <w:t>内容，并由本公司在保险单或其他保险凭证上批注或附贴批单，或由投保人与本公司订立书面的变更协议。</w:t>
      </w:r>
    </w:p>
    <w:p>
      <w:pPr>
        <w:pStyle w:val="4"/>
        <w:spacing w:before="156" w:line="278" w:lineRule="auto"/>
        <w:ind w:left="3017" w:right="448"/>
        <w:jc w:val="both"/>
      </w:pPr>
      <w:r>
        <w:rPr>
          <w:spacing w:val="-4"/>
        </w:rPr>
        <w:t>如果被保险人住址、工作、婚姻状态以及投保本保险时提供的其他信息等发生重大变化，或身故，投保人或被保险人应当及时通知本公司。</w:t>
      </w:r>
      <w:r>
        <w:rPr>
          <w:color w:val="000000"/>
          <w:spacing w:val="-4"/>
          <w:shd w:val="clear" w:color="auto" w:fill="E4E4E4"/>
        </w:rPr>
        <w:t>本公司有权</w:t>
      </w:r>
      <w:r>
        <w:rPr>
          <w:color w:val="000000"/>
          <w:spacing w:val="40"/>
          <w:shd w:val="clear" w:color="auto" w:fill="E4E4E4"/>
        </w:rPr>
        <w:t xml:space="preserve"> </w:t>
      </w:r>
      <w:r>
        <w:rPr>
          <w:color w:val="000000"/>
          <w:spacing w:val="-2"/>
          <w:shd w:val="clear" w:color="auto" w:fill="E4E4E4"/>
        </w:rPr>
        <w:t>调整承保条件或终止对相关被保险人的保险责任。</w:t>
      </w:r>
    </w:p>
    <w:p>
      <w:pPr>
        <w:pStyle w:val="4"/>
        <w:spacing w:before="4"/>
        <w:rPr>
          <w:sz w:val="24"/>
        </w:rPr>
      </w:pPr>
    </w:p>
    <w:p>
      <w:pPr>
        <w:pStyle w:val="9"/>
        <w:numPr>
          <w:ilvl w:val="1"/>
          <w:numId w:val="4"/>
        </w:numPr>
        <w:tabs>
          <w:tab w:val="left" w:pos="1503"/>
        </w:tabs>
        <w:spacing w:before="1" w:after="0" w:line="278" w:lineRule="auto"/>
        <w:ind w:left="3017" w:right="581" w:hanging="2580"/>
        <w:jc w:val="both"/>
        <w:rPr>
          <w:sz w:val="21"/>
        </w:rPr>
      </w:pPr>
      <w:r>
        <w:rPr>
          <w:b/>
          <w:sz w:val="21"/>
        </w:rPr>
        <w:t xml:space="preserve">联系方式变更 </w:t>
      </w:r>
      <w:r>
        <w:rPr>
          <w:sz w:val="21"/>
        </w:rPr>
        <w:t>为保障投保人的合法权益，投保人的住所、通讯地址或电话等联系方式变</w:t>
      </w:r>
      <w:r>
        <w:rPr>
          <w:spacing w:val="-2"/>
          <w:sz w:val="21"/>
        </w:rPr>
        <w:t>更时，请及时以书面形式或双方认可的其他形式通知本公司。若投保人未</w:t>
      </w:r>
    </w:p>
    <w:p>
      <w:pPr>
        <w:spacing w:after="0" w:line="278" w:lineRule="auto"/>
        <w:jc w:val="both"/>
        <w:rPr>
          <w:sz w:val="21"/>
        </w:rPr>
        <w:sectPr>
          <w:type w:val="continuous"/>
          <w:pgSz w:w="11910" w:h="16840"/>
          <w:pgMar w:top="480" w:right="680" w:bottom="280" w:left="900" w:header="720" w:footer="720" w:gutter="0"/>
          <w:cols w:space="720" w:num="1"/>
        </w:sectPr>
      </w:pPr>
    </w:p>
    <w:p>
      <w:pPr>
        <w:pStyle w:val="4"/>
        <w:spacing w:before="44" w:line="278" w:lineRule="auto"/>
        <w:ind w:left="3017" w:right="581"/>
      </w:pPr>
      <w:r>
        <w:rPr>
          <w:spacing w:val="-2"/>
        </w:rPr>
        <w:t>以书面形式或双方认可的其他形式通知本公司，本公司按本合同载明的最后住所或通讯地址所发送的有关通知，均视为已送达。</w:t>
      </w:r>
    </w:p>
    <w:p>
      <w:pPr>
        <w:pStyle w:val="4"/>
        <w:spacing w:before="5"/>
        <w:rPr>
          <w:sz w:val="24"/>
        </w:rPr>
      </w:pPr>
    </w:p>
    <w:p>
      <w:pPr>
        <w:pStyle w:val="9"/>
        <w:numPr>
          <w:ilvl w:val="1"/>
          <w:numId w:val="4"/>
        </w:numPr>
        <w:tabs>
          <w:tab w:val="left" w:pos="1503"/>
        </w:tabs>
        <w:spacing w:before="0" w:after="0" w:line="278" w:lineRule="auto"/>
        <w:ind w:left="3017" w:right="581" w:hanging="2580"/>
        <w:jc w:val="both"/>
        <w:rPr>
          <w:sz w:val="21"/>
        </w:rPr>
      </w:pPr>
      <w:r>
        <w:rPr>
          <w:b/>
          <w:sz w:val="21"/>
        </w:rPr>
        <w:t>争议处理</w:t>
      </w:r>
      <w:r>
        <w:rPr>
          <w:b/>
          <w:spacing w:val="536"/>
          <w:sz w:val="21"/>
        </w:rPr>
        <w:t xml:space="preserve"> </w:t>
      </w:r>
      <w:r>
        <w:rPr>
          <w:sz w:val="21"/>
        </w:rPr>
        <w:t>因履行本合同发生的争议，由当事人协商解决。协商不成的，可向本合同</w:t>
      </w:r>
      <w:r>
        <w:rPr>
          <w:spacing w:val="-2"/>
          <w:sz w:val="21"/>
        </w:rPr>
        <w:t>载明的仲裁机构提交仲裁；本合同未载明仲裁机构或者争议发生后未达成仲裁协议的，依法向人民法院起诉。</w:t>
      </w:r>
    </w:p>
    <w:p>
      <w:pPr>
        <w:pStyle w:val="4"/>
        <w:rPr>
          <w:sz w:val="20"/>
        </w:rPr>
      </w:pPr>
    </w:p>
    <w:p>
      <w:pPr>
        <w:pStyle w:val="4"/>
        <w:rPr>
          <w:sz w:val="20"/>
        </w:rPr>
      </w:pPr>
    </w:p>
    <w:p>
      <w:pPr>
        <w:pStyle w:val="4"/>
        <w:spacing w:before="5"/>
        <w:rPr>
          <w:sz w:val="27"/>
        </w:rPr>
      </w:pPr>
    </w:p>
    <w:p>
      <w:pPr>
        <w:spacing w:after="0"/>
        <w:rPr>
          <w:sz w:val="27"/>
        </w:rPr>
        <w:sectPr>
          <w:pgSz w:w="11910" w:h="16840"/>
          <w:pgMar w:top="1400" w:right="680" w:bottom="280" w:left="900" w:header="720" w:footer="720" w:gutter="0"/>
          <w:cols w:space="720" w:num="1"/>
        </w:sectPr>
      </w:pPr>
    </w:p>
    <w:p>
      <w:pPr>
        <w:pStyle w:val="3"/>
        <w:spacing w:before="72" w:line="278" w:lineRule="auto"/>
        <w:ind w:left="1157" w:hanging="870"/>
      </w:pPr>
      <w:r>
        <w:rPr>
          <w:spacing w:val="9"/>
        </w:rPr>
        <w:t>附表一 恶性肿瘤-重</w:t>
      </w:r>
      <w:r>
        <w:rPr>
          <w:spacing w:val="-10"/>
        </w:rPr>
        <w:t>度</w:t>
      </w:r>
    </w:p>
    <w:p>
      <w:pPr>
        <w:pStyle w:val="4"/>
        <w:spacing w:before="72" w:line="276" w:lineRule="auto"/>
        <w:ind w:left="173" w:right="113"/>
      </w:pPr>
      <w:r>
        <w:br w:type="column"/>
      </w:r>
      <w:r>
        <w:rPr>
          <w:spacing w:val="-8"/>
        </w:rPr>
        <w:t>指恶性细胞不受控制的进行性增长和扩散，浸润和破坏周围正常组织，可以经血管、</w:t>
      </w:r>
      <w:r>
        <w:t>淋巴管和体腔扩散转移到身体其它部位，病灶经</w:t>
      </w:r>
      <w:r>
        <w:rPr>
          <w:b/>
        </w:rPr>
        <w:t>组织病理学检查</w:t>
      </w:r>
      <w:r>
        <w:rPr>
          <w:b/>
          <w:position w:val="11"/>
          <w:sz w:val="11"/>
        </w:rPr>
        <w:t>50</w:t>
      </w:r>
      <w:r>
        <w:rPr>
          <w:b/>
          <w:spacing w:val="40"/>
          <w:position w:val="11"/>
          <w:sz w:val="11"/>
        </w:rPr>
        <w:t xml:space="preserve"> </w:t>
      </w:r>
      <w:r>
        <w:t>（涵盖骨髓病理</w:t>
      </w:r>
      <w:r>
        <w:rPr>
          <w:spacing w:val="24"/>
        </w:rPr>
        <w:t>学检查）</w:t>
      </w:r>
      <w:r>
        <w:rPr>
          <w:spacing w:val="22"/>
        </w:rPr>
        <w:t>结果明确诊断，临床诊断属于世界卫生组织</w:t>
      </w:r>
      <w:r>
        <w:t>（</w:t>
      </w:r>
      <w:r>
        <w:rPr>
          <w:spacing w:val="-71"/>
        </w:rPr>
        <w:t xml:space="preserve"> </w:t>
      </w:r>
      <w:r>
        <w:t>WHO</w:t>
      </w:r>
      <w:r>
        <w:rPr>
          <w:spacing w:val="-48"/>
        </w:rPr>
        <w:t xml:space="preserve"> ， </w:t>
      </w:r>
      <w:r>
        <w:t>World</w:t>
      </w:r>
      <w:r>
        <w:rPr>
          <w:spacing w:val="40"/>
        </w:rPr>
        <w:t xml:space="preserve"> </w:t>
      </w:r>
      <w:r>
        <w:t xml:space="preserve">Health </w:t>
      </w:r>
      <w:r>
        <w:rPr>
          <w:spacing w:val="6"/>
        </w:rPr>
        <w:t>Organ</w:t>
      </w:r>
      <w:r>
        <w:rPr>
          <w:spacing w:val="3"/>
        </w:rPr>
        <w:t>i</w:t>
      </w:r>
      <w:r>
        <w:rPr>
          <w:spacing w:val="6"/>
        </w:rPr>
        <w:t>zat</w:t>
      </w:r>
      <w:r>
        <w:rPr>
          <w:spacing w:val="3"/>
        </w:rPr>
        <w:t>i</w:t>
      </w:r>
      <w:r>
        <w:rPr>
          <w:spacing w:val="6"/>
        </w:rPr>
        <w:t>on</w:t>
      </w:r>
      <w:r>
        <w:rPr>
          <w:spacing w:val="-102"/>
        </w:rPr>
        <w:t>）</w:t>
      </w:r>
      <w:r>
        <w:rPr>
          <w:spacing w:val="-2"/>
        </w:rPr>
        <w:t>《疾病和有关健康问题的国际统计分类》第十次修订版（</w:t>
      </w:r>
      <w:r>
        <w:rPr>
          <w:b/>
          <w:spacing w:val="-2"/>
        </w:rPr>
        <w:t>ICD-10</w:t>
      </w:r>
      <w:r>
        <w:rPr>
          <w:b/>
          <w:spacing w:val="-2"/>
          <w:position w:val="11"/>
          <w:sz w:val="11"/>
        </w:rPr>
        <w:t>51</w:t>
      </w:r>
      <w:r>
        <w:rPr>
          <w:spacing w:val="-2"/>
        </w:rPr>
        <w:t>）的恶性肿瘤类别及《国际疾病分类肿瘤学专辑》第三版（ICD-O-3）的肿瘤形态学编</w:t>
      </w:r>
      <w:r>
        <w:rPr>
          <w:spacing w:val="-10"/>
        </w:rPr>
        <w:t xml:space="preserve">码属于 </w:t>
      </w:r>
      <w:r>
        <w:t>3、6、9（恶性肿瘤）范畴的疾病。</w:t>
      </w:r>
    </w:p>
    <w:p>
      <w:pPr>
        <w:spacing w:after="0" w:line="276" w:lineRule="auto"/>
        <w:sectPr>
          <w:type w:val="continuous"/>
          <w:pgSz w:w="11910" w:h="16840"/>
          <w:pgMar w:top="480" w:right="680" w:bottom="280" w:left="900" w:header="720" w:footer="720" w:gutter="0"/>
          <w:cols w:equalWidth="0" w:num="2">
            <w:col w:w="2341" w:space="40"/>
            <w:col w:w="7949"/>
          </w:cols>
        </w:sectPr>
      </w:pPr>
    </w:p>
    <w:p>
      <w:pPr>
        <w:pStyle w:val="4"/>
        <w:spacing w:before="152"/>
        <w:ind w:left="1810" w:right="1877"/>
        <w:jc w:val="center"/>
      </w:pPr>
      <w:r>
        <w:rPr>
          <w:color w:val="000000"/>
          <w:spacing w:val="-10"/>
          <w:shd w:val="clear" w:color="auto" w:fill="E4E4E4"/>
        </w:rPr>
        <w:t>下列疾病不属于“恶性肿瘤—重度”，不在保障范围内：</w:t>
      </w:r>
    </w:p>
    <w:p>
      <w:pPr>
        <w:pStyle w:val="4"/>
        <w:spacing w:before="12"/>
        <w:rPr>
          <w:sz w:val="9"/>
        </w:rPr>
      </w:pPr>
    </w:p>
    <w:p>
      <w:pPr>
        <w:pStyle w:val="9"/>
        <w:numPr>
          <w:ilvl w:val="0"/>
          <w:numId w:val="13"/>
        </w:numPr>
        <w:tabs>
          <w:tab w:val="left" w:pos="3274"/>
          <w:tab w:val="left" w:pos="3275"/>
        </w:tabs>
        <w:spacing w:before="72" w:after="0" w:line="278" w:lineRule="auto"/>
        <w:ind w:left="3274" w:right="218" w:hanging="721"/>
        <w:jc w:val="left"/>
        <w:rPr>
          <w:sz w:val="21"/>
        </w:rPr>
      </w:pPr>
      <w:r>
        <w:rPr>
          <w:color w:val="000000"/>
          <w:sz w:val="21"/>
          <w:shd w:val="clear" w:color="auto" w:fill="E4E4E4"/>
        </w:rPr>
        <w:t>ICD-O-3</w:t>
      </w:r>
      <w:r>
        <w:rPr>
          <w:color w:val="000000"/>
          <w:spacing w:val="-13"/>
          <w:sz w:val="21"/>
          <w:shd w:val="clear" w:color="auto" w:fill="E4E4E4"/>
        </w:rPr>
        <w:t xml:space="preserve"> 肿瘤形态学编码属于 </w:t>
      </w:r>
      <w:r>
        <w:rPr>
          <w:color w:val="000000"/>
          <w:sz w:val="21"/>
          <w:shd w:val="clear" w:color="auto" w:fill="E4E4E4"/>
        </w:rPr>
        <w:t>0（良性肿瘤</w:t>
      </w:r>
      <w:r>
        <w:rPr>
          <w:color w:val="000000"/>
          <w:spacing w:val="-108"/>
          <w:sz w:val="21"/>
          <w:shd w:val="clear" w:color="auto" w:fill="E4E4E4"/>
        </w:rPr>
        <w:t>）</w:t>
      </w:r>
      <w:r>
        <w:rPr>
          <w:color w:val="000000"/>
          <w:sz w:val="21"/>
          <w:shd w:val="clear" w:color="auto" w:fill="E4E4E4"/>
        </w:rPr>
        <w:t>、1（动态未定性肿瘤</w:t>
      </w:r>
      <w:r>
        <w:rPr>
          <w:color w:val="000000"/>
          <w:spacing w:val="-106"/>
          <w:sz w:val="21"/>
          <w:shd w:val="clear" w:color="auto" w:fill="E4E4E4"/>
        </w:rPr>
        <w:t>）</w:t>
      </w:r>
      <w:r>
        <w:rPr>
          <w:color w:val="000000"/>
          <w:sz w:val="21"/>
          <w:shd w:val="clear" w:color="auto" w:fill="E4E4E4"/>
        </w:rPr>
        <w:t>、2（原</w:t>
      </w:r>
      <w:r>
        <w:rPr>
          <w:color w:val="000000"/>
          <w:spacing w:val="13155"/>
          <w:sz w:val="21"/>
          <w:shd w:val="clear" w:color="auto" w:fill="E4E4E4"/>
        </w:rPr>
        <w:t xml:space="preserve"> </w:t>
      </w:r>
      <w:r>
        <w:rPr>
          <w:color w:val="000000"/>
          <w:spacing w:val="-2"/>
          <w:sz w:val="21"/>
          <w:shd w:val="clear" w:color="auto" w:fill="E4E4E4"/>
        </w:rPr>
        <w:t>位癌和非侵袭性癌）范畴的疾病，如：</w:t>
      </w:r>
    </w:p>
    <w:p>
      <w:pPr>
        <w:pStyle w:val="9"/>
        <w:numPr>
          <w:ilvl w:val="1"/>
          <w:numId w:val="13"/>
        </w:numPr>
        <w:tabs>
          <w:tab w:val="left" w:pos="3487"/>
        </w:tabs>
        <w:spacing w:before="0" w:after="0" w:line="278" w:lineRule="auto"/>
        <w:ind w:left="3274" w:right="115" w:firstLine="0"/>
        <w:jc w:val="left"/>
        <w:rPr>
          <w:sz w:val="21"/>
        </w:rPr>
      </w:pPr>
      <w:r>
        <w:rPr>
          <w:color w:val="000000"/>
          <w:spacing w:val="-2"/>
          <w:sz w:val="21"/>
          <w:shd w:val="clear" w:color="auto" w:fill="E4E4E4"/>
        </w:rPr>
        <w:t>原位癌，癌前病变，非浸润性癌，非侵袭性癌，肿瘤细胞未侵犯基底层，</w:t>
      </w:r>
      <w:r>
        <w:rPr>
          <w:color w:val="000000"/>
          <w:spacing w:val="13335"/>
          <w:sz w:val="21"/>
          <w:shd w:val="clear" w:color="auto" w:fill="E4E4E4"/>
        </w:rPr>
        <w:t xml:space="preserve"> </w:t>
      </w:r>
      <w:r>
        <w:rPr>
          <w:color w:val="000000"/>
          <w:spacing w:val="-2"/>
          <w:sz w:val="21"/>
          <w:shd w:val="clear" w:color="auto" w:fill="E4E4E4"/>
        </w:rPr>
        <w:t>上皮内瘤变，细胞不典型性增生等；</w:t>
      </w:r>
    </w:p>
    <w:p>
      <w:pPr>
        <w:pStyle w:val="9"/>
        <w:numPr>
          <w:ilvl w:val="1"/>
          <w:numId w:val="13"/>
        </w:numPr>
        <w:tabs>
          <w:tab w:val="left" w:pos="3487"/>
        </w:tabs>
        <w:spacing w:before="0" w:after="0" w:line="269" w:lineRule="exact"/>
        <w:ind w:left="3486" w:right="0" w:hanging="213"/>
        <w:jc w:val="left"/>
        <w:rPr>
          <w:sz w:val="21"/>
        </w:rPr>
      </w:pPr>
      <w:r>
        <w:rPr>
          <w:color w:val="000000"/>
          <w:spacing w:val="-3"/>
          <w:sz w:val="21"/>
          <w:shd w:val="clear" w:color="auto" w:fill="E4E4E4"/>
        </w:rPr>
        <w:t>交界性肿瘤，交界恶性肿瘤，肿瘤低度恶性潜能，潜在低度恶性肿瘤等；</w:t>
      </w:r>
    </w:p>
    <w:p>
      <w:pPr>
        <w:pStyle w:val="4"/>
        <w:spacing w:before="9"/>
        <w:rPr>
          <w:sz w:val="14"/>
        </w:rPr>
      </w:pPr>
    </w:p>
    <w:p>
      <w:pPr>
        <w:pStyle w:val="9"/>
        <w:numPr>
          <w:ilvl w:val="0"/>
          <w:numId w:val="13"/>
        </w:numPr>
        <w:tabs>
          <w:tab w:val="left" w:pos="3274"/>
          <w:tab w:val="left" w:pos="3275"/>
        </w:tabs>
        <w:spacing w:before="0" w:after="0" w:line="240" w:lineRule="auto"/>
        <w:ind w:left="3274" w:right="0" w:hanging="722"/>
        <w:jc w:val="left"/>
        <w:rPr>
          <w:sz w:val="21"/>
        </w:rPr>
      </w:pPr>
      <w:r>
        <w:rPr>
          <w:b/>
          <w:color w:val="000000"/>
          <w:w w:val="95"/>
          <w:sz w:val="21"/>
          <w:shd w:val="clear" w:color="auto" w:fill="E4E4E4"/>
        </w:rPr>
        <w:t>TNM</w:t>
      </w:r>
      <w:r>
        <w:rPr>
          <w:b/>
          <w:color w:val="000000"/>
          <w:spacing w:val="53"/>
          <w:w w:val="150"/>
          <w:sz w:val="21"/>
          <w:shd w:val="clear" w:color="auto" w:fill="E4E4E4"/>
        </w:rPr>
        <w:t xml:space="preserve"> </w:t>
      </w:r>
      <w:r>
        <w:rPr>
          <w:b/>
          <w:color w:val="000000"/>
          <w:w w:val="95"/>
          <w:sz w:val="21"/>
          <w:shd w:val="clear" w:color="auto" w:fill="E4E4E4"/>
        </w:rPr>
        <w:t>分期</w:t>
      </w:r>
      <w:r>
        <w:rPr>
          <w:b/>
          <w:color w:val="000000"/>
          <w:w w:val="95"/>
          <w:position w:val="11"/>
          <w:sz w:val="11"/>
        </w:rPr>
        <w:t>52</w:t>
      </w:r>
      <w:r>
        <w:rPr>
          <w:color w:val="000000"/>
          <w:w w:val="95"/>
          <w:sz w:val="21"/>
          <w:shd w:val="clear" w:color="auto" w:fill="E4E4E4"/>
        </w:rPr>
        <w:t>为Ⅰ期或更轻分期的甲状腺癌</w:t>
      </w:r>
      <w:r>
        <w:rPr>
          <w:color w:val="000000"/>
          <w:spacing w:val="-10"/>
          <w:w w:val="95"/>
          <w:sz w:val="21"/>
          <w:shd w:val="clear" w:color="auto" w:fill="E4E4E4"/>
        </w:rPr>
        <w:t>；</w:t>
      </w:r>
    </w:p>
    <w:p>
      <w:pPr>
        <w:pStyle w:val="4"/>
        <w:spacing w:before="12"/>
        <w:rPr>
          <w:sz w:val="9"/>
        </w:rPr>
      </w:pPr>
    </w:p>
    <w:p>
      <w:pPr>
        <w:pStyle w:val="9"/>
        <w:numPr>
          <w:ilvl w:val="0"/>
          <w:numId w:val="13"/>
        </w:numPr>
        <w:tabs>
          <w:tab w:val="left" w:pos="3274"/>
          <w:tab w:val="left" w:pos="3275"/>
        </w:tabs>
        <w:spacing w:before="72" w:after="0" w:line="240" w:lineRule="auto"/>
        <w:ind w:left="3274" w:right="0" w:hanging="722"/>
        <w:jc w:val="left"/>
        <w:rPr>
          <w:sz w:val="21"/>
        </w:rPr>
      </w:pPr>
      <w:r>
        <w:rPr>
          <w:color w:val="000000"/>
          <w:spacing w:val="-2"/>
          <w:sz w:val="21"/>
          <w:shd w:val="clear" w:color="auto" w:fill="E4E4E4"/>
        </w:rPr>
        <w:t>TNM</w:t>
      </w:r>
      <w:r>
        <w:rPr>
          <w:color w:val="000000"/>
          <w:spacing w:val="-21"/>
          <w:sz w:val="21"/>
          <w:shd w:val="clear" w:color="auto" w:fill="E4E4E4"/>
        </w:rPr>
        <w:t xml:space="preserve"> 分期为 </w:t>
      </w:r>
      <w:r>
        <w:rPr>
          <w:color w:val="000000"/>
          <w:spacing w:val="-2"/>
          <w:sz w:val="21"/>
          <w:shd w:val="clear" w:color="auto" w:fill="E4E4E4"/>
        </w:rPr>
        <w:t>T1N0M0</w:t>
      </w:r>
      <w:r>
        <w:rPr>
          <w:color w:val="000000"/>
          <w:spacing w:val="-10"/>
          <w:sz w:val="21"/>
          <w:shd w:val="clear" w:color="auto" w:fill="E4E4E4"/>
        </w:rPr>
        <w:t xml:space="preserve"> 期或更轻分期的前列腺癌；</w:t>
      </w:r>
    </w:p>
    <w:p>
      <w:pPr>
        <w:pStyle w:val="4"/>
        <w:spacing w:before="12"/>
        <w:rPr>
          <w:sz w:val="9"/>
        </w:rPr>
      </w:pPr>
    </w:p>
    <w:p>
      <w:pPr>
        <w:pStyle w:val="9"/>
        <w:numPr>
          <w:ilvl w:val="0"/>
          <w:numId w:val="13"/>
        </w:numPr>
        <w:tabs>
          <w:tab w:val="left" w:pos="3274"/>
          <w:tab w:val="left" w:pos="3275"/>
        </w:tabs>
        <w:spacing w:before="72" w:after="0" w:line="240" w:lineRule="auto"/>
        <w:ind w:left="3274" w:right="0" w:hanging="722"/>
        <w:jc w:val="left"/>
        <w:rPr>
          <w:sz w:val="21"/>
        </w:rPr>
      </w:pPr>
      <w:r>
        <w:rPr>
          <w:color w:val="000000"/>
          <w:spacing w:val="-3"/>
          <w:sz w:val="21"/>
          <w:shd w:val="clear" w:color="auto" w:fill="E4E4E4"/>
        </w:rPr>
        <w:t>黑色素瘤以外的未发生淋巴结和远处转移的皮肤恶性肿瘤；</w:t>
      </w:r>
    </w:p>
    <w:p>
      <w:pPr>
        <w:pStyle w:val="4"/>
        <w:spacing w:before="12"/>
        <w:rPr>
          <w:sz w:val="9"/>
        </w:rPr>
      </w:pPr>
    </w:p>
    <w:p>
      <w:pPr>
        <w:pStyle w:val="9"/>
        <w:numPr>
          <w:ilvl w:val="0"/>
          <w:numId w:val="13"/>
        </w:numPr>
        <w:tabs>
          <w:tab w:val="left" w:pos="3274"/>
          <w:tab w:val="left" w:pos="3275"/>
        </w:tabs>
        <w:spacing w:before="71" w:after="0" w:line="240" w:lineRule="auto"/>
        <w:ind w:left="3274" w:right="0" w:hanging="722"/>
        <w:jc w:val="left"/>
        <w:rPr>
          <w:sz w:val="21"/>
        </w:rPr>
      </w:pPr>
      <w:r>
        <w:rPr>
          <w:color w:val="000000"/>
          <w:spacing w:val="-14"/>
          <w:sz w:val="21"/>
          <w:shd w:val="clear" w:color="auto" w:fill="E4E4E4"/>
        </w:rPr>
        <w:t xml:space="preserve">相当于 </w:t>
      </w:r>
      <w:r>
        <w:rPr>
          <w:color w:val="000000"/>
          <w:spacing w:val="-2"/>
          <w:sz w:val="21"/>
          <w:shd w:val="clear" w:color="auto" w:fill="E4E4E4"/>
        </w:rPr>
        <w:t>Binet</w:t>
      </w:r>
      <w:r>
        <w:rPr>
          <w:color w:val="000000"/>
          <w:spacing w:val="-18"/>
          <w:sz w:val="21"/>
          <w:shd w:val="clear" w:color="auto" w:fill="E4E4E4"/>
        </w:rPr>
        <w:t xml:space="preserve"> 分期方案 </w:t>
      </w:r>
      <w:r>
        <w:rPr>
          <w:color w:val="000000"/>
          <w:spacing w:val="-2"/>
          <w:sz w:val="21"/>
          <w:shd w:val="clear" w:color="auto" w:fill="E4E4E4"/>
        </w:rPr>
        <w:t>A</w:t>
      </w:r>
      <w:r>
        <w:rPr>
          <w:color w:val="000000"/>
          <w:spacing w:val="-10"/>
          <w:sz w:val="21"/>
          <w:shd w:val="clear" w:color="auto" w:fill="E4E4E4"/>
        </w:rPr>
        <w:t xml:space="preserve"> 期程度的慢性淋巴细胞白血病；</w:t>
      </w:r>
    </w:p>
    <w:p>
      <w:pPr>
        <w:pStyle w:val="4"/>
        <w:spacing w:before="12"/>
        <w:rPr>
          <w:sz w:val="9"/>
        </w:rPr>
      </w:pPr>
    </w:p>
    <w:p>
      <w:pPr>
        <w:pStyle w:val="9"/>
        <w:numPr>
          <w:ilvl w:val="0"/>
          <w:numId w:val="13"/>
        </w:numPr>
        <w:tabs>
          <w:tab w:val="left" w:pos="3274"/>
          <w:tab w:val="left" w:pos="3275"/>
        </w:tabs>
        <w:spacing w:before="72" w:after="0" w:line="240" w:lineRule="auto"/>
        <w:ind w:left="3274" w:right="0" w:hanging="722"/>
        <w:jc w:val="left"/>
        <w:rPr>
          <w:sz w:val="21"/>
        </w:rPr>
      </w:pPr>
      <w:r>
        <w:rPr>
          <w:color w:val="000000"/>
          <w:spacing w:val="-14"/>
          <w:sz w:val="21"/>
          <w:shd w:val="clear" w:color="auto" w:fill="E4E4E4"/>
        </w:rPr>
        <w:t xml:space="preserve">相当于 </w:t>
      </w:r>
      <w:r>
        <w:rPr>
          <w:color w:val="000000"/>
          <w:spacing w:val="-2"/>
          <w:sz w:val="21"/>
          <w:shd w:val="clear" w:color="auto" w:fill="E4E4E4"/>
        </w:rPr>
        <w:t>Ann</w:t>
      </w:r>
      <w:r>
        <w:rPr>
          <w:color w:val="000000"/>
          <w:spacing w:val="10"/>
          <w:sz w:val="21"/>
          <w:shd w:val="clear" w:color="auto" w:fill="E4E4E4"/>
        </w:rPr>
        <w:t xml:space="preserve"> </w:t>
      </w:r>
      <w:r>
        <w:rPr>
          <w:color w:val="000000"/>
          <w:spacing w:val="-2"/>
          <w:sz w:val="21"/>
          <w:shd w:val="clear" w:color="auto" w:fill="E4E4E4"/>
        </w:rPr>
        <w:t>Arbor</w:t>
      </w:r>
      <w:r>
        <w:rPr>
          <w:color w:val="000000"/>
          <w:spacing w:val="-10"/>
          <w:sz w:val="21"/>
          <w:shd w:val="clear" w:color="auto" w:fill="E4E4E4"/>
        </w:rPr>
        <w:t xml:space="preserve"> 分期方案Ⅰ期程度的何杰金氏病；</w:t>
      </w:r>
    </w:p>
    <w:p>
      <w:pPr>
        <w:pStyle w:val="4"/>
        <w:spacing w:before="12"/>
        <w:rPr>
          <w:sz w:val="9"/>
        </w:rPr>
      </w:pPr>
    </w:p>
    <w:p>
      <w:pPr>
        <w:pStyle w:val="4"/>
        <w:spacing w:before="72"/>
        <w:ind w:left="2553"/>
      </w:pPr>
      <w:r>
        <w:rPr>
          <w:color w:val="000000"/>
          <w:spacing w:val="-6"/>
          <w:shd w:val="clear" w:color="auto" w:fill="E4E4E4"/>
        </w:rPr>
        <w:t xml:space="preserve">未发生淋巴结和远处转移且 </w:t>
      </w:r>
      <w:r>
        <w:rPr>
          <w:color w:val="000000"/>
          <w:spacing w:val="-2"/>
          <w:shd w:val="clear" w:color="auto" w:fill="E4E4E4"/>
        </w:rPr>
        <w:t>WHO</w:t>
      </w:r>
      <w:r>
        <w:rPr>
          <w:color w:val="000000"/>
          <w:spacing w:val="-21"/>
          <w:shd w:val="clear" w:color="auto" w:fill="E4E4E4"/>
        </w:rPr>
        <w:t xml:space="preserve"> 分级为 </w:t>
      </w:r>
      <w:r>
        <w:rPr>
          <w:color w:val="000000"/>
          <w:spacing w:val="-2"/>
          <w:shd w:val="clear" w:color="auto" w:fill="E4E4E4"/>
        </w:rPr>
        <w:t>G1</w:t>
      </w:r>
      <w:r>
        <w:rPr>
          <w:color w:val="000000"/>
          <w:spacing w:val="-18"/>
          <w:shd w:val="clear" w:color="auto" w:fill="E4E4E4"/>
        </w:rPr>
        <w:t xml:space="preserve"> 级别</w:t>
      </w:r>
      <w:r>
        <w:rPr>
          <w:color w:val="000000"/>
          <w:spacing w:val="-2"/>
          <w:shd w:val="clear" w:color="auto" w:fill="E4E4E4"/>
        </w:rPr>
        <w:t>（核分裂像＜10/50</w:t>
      </w:r>
      <w:r>
        <w:rPr>
          <w:color w:val="000000"/>
          <w:spacing w:val="-4"/>
          <w:shd w:val="clear" w:color="auto" w:fill="E4E4E4"/>
        </w:rPr>
        <w:t xml:space="preserve"> </w:t>
      </w:r>
      <w:r>
        <w:rPr>
          <w:color w:val="000000"/>
          <w:spacing w:val="-2"/>
          <w:shd w:val="clear" w:color="auto" w:fill="E4E4E4"/>
        </w:rPr>
        <w:t>HPF</w:t>
      </w:r>
      <w:r>
        <w:rPr>
          <w:color w:val="000000"/>
          <w:spacing w:val="-34"/>
          <w:shd w:val="clear" w:color="auto" w:fill="E4E4E4"/>
        </w:rPr>
        <w:t xml:space="preserve"> 和 </w:t>
      </w:r>
      <w:r>
        <w:rPr>
          <w:color w:val="000000"/>
          <w:spacing w:val="-2"/>
          <w:shd w:val="clear" w:color="auto" w:fill="E4E4E4"/>
        </w:rPr>
        <w:t>ki-</w:t>
      </w:r>
      <w:r>
        <w:rPr>
          <w:color w:val="000000"/>
          <w:spacing w:val="-5"/>
          <w:shd w:val="clear" w:color="auto" w:fill="E4E4E4"/>
        </w:rPr>
        <w:t>67≤</w:t>
      </w:r>
    </w:p>
    <w:p>
      <w:pPr>
        <w:pStyle w:val="4"/>
        <w:spacing w:before="42" w:line="424" w:lineRule="auto"/>
        <w:ind w:left="2553" w:right="4405"/>
      </w:pPr>
      <w:r>
        <w:rPr>
          <w:color w:val="000000"/>
          <w:spacing w:val="-2"/>
          <w:shd w:val="clear" w:color="auto" w:fill="E4E4E4"/>
        </w:rPr>
        <w:t>2%）或更轻分级的神经内分泌肿瘤。</w:t>
      </w:r>
      <w:r>
        <w:rPr>
          <w:color w:val="000000"/>
          <w:spacing w:val="-4"/>
        </w:rPr>
        <w:t xml:space="preserve">甲状腺癌的 </w:t>
      </w:r>
      <w:r>
        <w:rPr>
          <w:color w:val="000000"/>
        </w:rPr>
        <w:t>TNM</w:t>
      </w:r>
      <w:r>
        <w:rPr>
          <w:color w:val="000000"/>
          <w:spacing w:val="-7"/>
        </w:rPr>
        <w:t xml:space="preserve"> 分期：</w:t>
      </w:r>
    </w:p>
    <w:p>
      <w:pPr>
        <w:pStyle w:val="4"/>
        <w:rPr>
          <w:sz w:val="20"/>
        </w:rPr>
      </w:pPr>
    </w:p>
    <w:p>
      <w:pPr>
        <w:pStyle w:val="4"/>
        <w:spacing w:before="1"/>
        <w:rPr>
          <w:sz w:val="10"/>
        </w:rPr>
      </w:pPr>
      <w:r>
        <w:drawing>
          <wp:anchor distT="0" distB="0" distL="0" distR="0" simplePos="0" relativeHeight="251659264" behindDoc="0" locked="0" layoutInCell="1" allowOverlap="1">
            <wp:simplePos x="0" y="0"/>
            <wp:positionH relativeFrom="page">
              <wp:posOffset>685800</wp:posOffset>
            </wp:positionH>
            <wp:positionV relativeFrom="paragraph">
              <wp:posOffset>97790</wp:posOffset>
            </wp:positionV>
            <wp:extent cx="1829435" cy="6350"/>
            <wp:effectExtent l="0" t="0" r="0" b="0"/>
            <wp:wrapTopAndBottom/>
            <wp:docPr id="63"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6.png"/>
                    <pic:cNvPicPr>
                      <a:picLocks noChangeAspect="1"/>
                    </pic:cNvPicPr>
                  </pic:nvPicPr>
                  <pic:blipFill>
                    <a:blip r:embed="rId11" cstate="print"/>
                    <a:stretch>
                      <a:fillRect/>
                    </a:stretch>
                  </pic:blipFill>
                  <pic:spPr>
                    <a:xfrm>
                      <a:off x="0" y="0"/>
                      <a:ext cx="1829282" cy="6095"/>
                    </a:xfrm>
                    <a:prstGeom prst="rect">
                      <a:avLst/>
                    </a:prstGeom>
                  </pic:spPr>
                </pic:pic>
              </a:graphicData>
            </a:graphic>
          </wp:anchor>
        </w:drawing>
      </w:r>
    </w:p>
    <w:p>
      <w:pPr>
        <w:spacing w:before="91"/>
        <w:ind w:left="180" w:right="0" w:firstLine="0"/>
        <w:jc w:val="left"/>
        <w:rPr>
          <w:rFonts w:ascii="楷体" w:eastAsia="楷体"/>
          <w:sz w:val="18"/>
        </w:rPr>
      </w:pPr>
      <w:r>
        <w:rPr>
          <w:rFonts w:hint="eastAsia" w:ascii="楷体" w:eastAsia="楷体"/>
          <w:b/>
          <w:w w:val="95"/>
          <w:position w:val="9"/>
          <w:sz w:val="9"/>
        </w:rPr>
        <w:t>50</w:t>
      </w:r>
      <w:r>
        <w:rPr>
          <w:rFonts w:hint="eastAsia" w:ascii="楷体" w:eastAsia="楷体"/>
          <w:b/>
          <w:w w:val="95"/>
          <w:sz w:val="18"/>
        </w:rPr>
        <w:t>组织病理学检查</w:t>
      </w:r>
      <w:r>
        <w:rPr>
          <w:rFonts w:ascii="楷体" w:eastAsia="楷体"/>
          <w:w w:val="95"/>
          <w:sz w:val="18"/>
        </w:rPr>
        <w:t>：组织病理学检查是通过局部切除、钳取、穿刺等手术方法，从患者机体采取病变组织块，经过包埋、</w:t>
      </w:r>
      <w:r>
        <w:rPr>
          <w:rFonts w:ascii="楷体" w:eastAsia="楷体"/>
          <w:spacing w:val="-10"/>
          <w:w w:val="95"/>
          <w:sz w:val="18"/>
        </w:rPr>
        <w:t>切</w:t>
      </w:r>
    </w:p>
    <w:p>
      <w:pPr>
        <w:spacing w:before="2" w:line="242" w:lineRule="auto"/>
        <w:ind w:left="180" w:right="423" w:firstLine="0"/>
        <w:jc w:val="left"/>
        <w:rPr>
          <w:rFonts w:ascii="楷体" w:eastAsia="楷体"/>
          <w:sz w:val="18"/>
        </w:rPr>
      </w:pPr>
      <w:r>
        <w:rPr>
          <w:rFonts w:ascii="楷体" w:eastAsia="楷体"/>
          <w:spacing w:val="-2"/>
          <w:sz w:val="18"/>
        </w:rPr>
        <w:t>片后，进行病理检查的方法。通过采集病变部位脱落细胞、细针吸取病变部位细胞、体腔积液分离病变细胞等方式获取病变细胞，制成涂片，进行病理检查的方法，属于细胞病理学检查，不属于组织病理学检查。</w:t>
      </w:r>
    </w:p>
    <w:p>
      <w:pPr>
        <w:spacing w:before="0"/>
        <w:ind w:left="180" w:right="0" w:firstLine="0"/>
        <w:jc w:val="left"/>
        <w:rPr>
          <w:rFonts w:ascii="楷体" w:eastAsia="楷体"/>
          <w:sz w:val="18"/>
        </w:rPr>
      </w:pPr>
      <w:r>
        <w:rPr>
          <w:rFonts w:hint="eastAsia" w:ascii="楷体" w:eastAsia="楷体"/>
          <w:b/>
          <w:w w:val="95"/>
          <w:position w:val="9"/>
          <w:sz w:val="9"/>
        </w:rPr>
        <w:t>51</w:t>
      </w:r>
      <w:r>
        <w:rPr>
          <w:rFonts w:hint="eastAsia" w:ascii="楷体" w:eastAsia="楷体"/>
          <w:b/>
          <w:w w:val="95"/>
          <w:sz w:val="18"/>
        </w:rPr>
        <w:t>ICD-10</w:t>
      </w:r>
      <w:r>
        <w:rPr>
          <w:rFonts w:ascii="楷体" w:eastAsia="楷体"/>
          <w:w w:val="95"/>
          <w:sz w:val="18"/>
        </w:rPr>
        <w:t>:《疾病和有关健康问题的国际统计分类》第十次修订版（ICD-10）,是世界卫生组织（WHO）发布的国际通用的疾</w:t>
      </w:r>
      <w:r>
        <w:rPr>
          <w:rFonts w:ascii="楷体" w:eastAsia="楷体"/>
          <w:spacing w:val="-10"/>
          <w:w w:val="95"/>
          <w:sz w:val="18"/>
        </w:rPr>
        <w:t>病</w:t>
      </w:r>
    </w:p>
    <w:p>
      <w:pPr>
        <w:spacing w:before="5" w:line="242" w:lineRule="auto"/>
        <w:ind w:left="180" w:right="422" w:firstLine="0"/>
        <w:jc w:val="left"/>
        <w:rPr>
          <w:rFonts w:ascii="楷体" w:eastAsia="楷体"/>
          <w:sz w:val="18"/>
        </w:rPr>
      </w:pPr>
      <w:r>
        <w:rPr>
          <w:rFonts w:ascii="楷体" w:eastAsia="楷体"/>
          <w:spacing w:val="-10"/>
          <w:sz w:val="18"/>
        </w:rPr>
        <w:t>分类方法。《国际疾病分类肿瘤学专辑》第三版</w:t>
      </w:r>
      <w:r>
        <w:rPr>
          <w:rFonts w:ascii="楷体" w:eastAsia="楷体"/>
          <w:sz w:val="18"/>
        </w:rPr>
        <w:t>（ICD-O-3）</w:t>
      </w:r>
      <w:r>
        <w:rPr>
          <w:rFonts w:ascii="楷体" w:eastAsia="楷体"/>
          <w:spacing w:val="-9"/>
          <w:sz w:val="18"/>
        </w:rPr>
        <w:t xml:space="preserve">,是 </w:t>
      </w:r>
      <w:r>
        <w:rPr>
          <w:rFonts w:ascii="楷体" w:eastAsia="楷体"/>
          <w:sz w:val="18"/>
        </w:rPr>
        <w:t>WHO</w:t>
      </w:r>
      <w:r>
        <w:rPr>
          <w:rFonts w:ascii="楷体" w:eastAsia="楷体"/>
          <w:spacing w:val="3"/>
          <w:sz w:val="18"/>
        </w:rPr>
        <w:t xml:space="preserve"> 发布的针对</w:t>
      </w:r>
      <w:r>
        <w:rPr>
          <w:rFonts w:ascii="楷体" w:eastAsia="楷体"/>
          <w:sz w:val="18"/>
        </w:rPr>
        <w:t>ICD</w:t>
      </w:r>
      <w:r>
        <w:rPr>
          <w:rFonts w:ascii="楷体" w:eastAsia="楷体"/>
          <w:spacing w:val="-5"/>
          <w:sz w:val="18"/>
        </w:rPr>
        <w:t xml:space="preserve"> 中肿瘤形态学组织学细胞分类、动态、</w:t>
      </w:r>
      <w:r>
        <w:rPr>
          <w:rFonts w:ascii="楷体" w:eastAsia="楷体"/>
          <w:spacing w:val="-2"/>
          <w:sz w:val="18"/>
        </w:rPr>
        <w:t>分化程度的补充编码。其中形态学编码：0</w:t>
      </w:r>
      <w:r>
        <w:rPr>
          <w:rFonts w:ascii="楷体" w:eastAsia="楷体"/>
          <w:spacing w:val="-7"/>
          <w:sz w:val="18"/>
        </w:rPr>
        <w:t xml:space="preserve"> 代表良性肿瘤</w:t>
      </w:r>
      <w:r>
        <w:rPr>
          <w:rFonts w:ascii="楷体" w:eastAsia="楷体"/>
          <w:spacing w:val="-2"/>
          <w:sz w:val="18"/>
        </w:rPr>
        <w:t>；1</w:t>
      </w:r>
      <w:r>
        <w:rPr>
          <w:rFonts w:ascii="楷体" w:eastAsia="楷体"/>
          <w:spacing w:val="-7"/>
          <w:sz w:val="18"/>
        </w:rPr>
        <w:t xml:space="preserve"> 代表动态未定性肿瘤</w:t>
      </w:r>
      <w:r>
        <w:rPr>
          <w:rFonts w:ascii="楷体" w:eastAsia="楷体"/>
          <w:spacing w:val="-2"/>
          <w:sz w:val="18"/>
        </w:rPr>
        <w:t>；2</w:t>
      </w:r>
      <w:r>
        <w:rPr>
          <w:rFonts w:ascii="楷体" w:eastAsia="楷体"/>
          <w:spacing w:val="-7"/>
          <w:sz w:val="18"/>
        </w:rPr>
        <w:t xml:space="preserve"> 代表原位癌和非侵袭性癌</w:t>
      </w:r>
      <w:r>
        <w:rPr>
          <w:rFonts w:ascii="楷体" w:eastAsia="楷体"/>
          <w:spacing w:val="-2"/>
          <w:sz w:val="18"/>
        </w:rPr>
        <w:t>；3</w:t>
      </w:r>
      <w:r>
        <w:rPr>
          <w:rFonts w:ascii="楷体" w:eastAsia="楷体"/>
          <w:spacing w:val="-7"/>
          <w:sz w:val="18"/>
        </w:rPr>
        <w:t xml:space="preserve"> 代表恶性</w:t>
      </w:r>
      <w:r>
        <w:rPr>
          <w:rFonts w:ascii="楷体" w:eastAsia="楷体"/>
          <w:spacing w:val="-2"/>
          <w:sz w:val="18"/>
        </w:rPr>
        <w:t>肿瘤（原发性）；6</w:t>
      </w:r>
      <w:r>
        <w:rPr>
          <w:rFonts w:ascii="楷体" w:eastAsia="楷体"/>
          <w:spacing w:val="-10"/>
          <w:sz w:val="18"/>
        </w:rPr>
        <w:t xml:space="preserve"> 代表恶性肿瘤</w:t>
      </w:r>
      <w:r>
        <w:rPr>
          <w:rFonts w:ascii="楷体" w:eastAsia="楷体"/>
          <w:spacing w:val="-2"/>
          <w:sz w:val="18"/>
        </w:rPr>
        <w:t>（转移性）；9</w:t>
      </w:r>
      <w:r>
        <w:rPr>
          <w:rFonts w:ascii="楷体" w:eastAsia="楷体"/>
          <w:spacing w:val="-9"/>
          <w:sz w:val="18"/>
        </w:rPr>
        <w:t xml:space="preserve"> 代表恶性肿瘤</w:t>
      </w:r>
      <w:r>
        <w:rPr>
          <w:rFonts w:ascii="楷体" w:eastAsia="楷体"/>
          <w:spacing w:val="-2"/>
          <w:sz w:val="18"/>
        </w:rPr>
        <w:t>（原发性或转移性未肯定</w:t>
      </w:r>
      <w:r>
        <w:rPr>
          <w:rFonts w:ascii="楷体" w:eastAsia="楷体"/>
          <w:spacing w:val="-92"/>
          <w:sz w:val="18"/>
        </w:rPr>
        <w:t>）</w:t>
      </w:r>
      <w:r>
        <w:rPr>
          <w:rFonts w:ascii="楷体" w:eastAsia="楷体"/>
          <w:spacing w:val="-9"/>
          <w:sz w:val="18"/>
        </w:rPr>
        <w:t xml:space="preserve">。如果出现 </w:t>
      </w:r>
      <w:r>
        <w:rPr>
          <w:rFonts w:ascii="楷体" w:eastAsia="楷体"/>
          <w:spacing w:val="-2"/>
          <w:sz w:val="18"/>
        </w:rPr>
        <w:t>ICD-10</w:t>
      </w:r>
      <w:r>
        <w:rPr>
          <w:rFonts w:ascii="楷体" w:eastAsia="楷体"/>
          <w:spacing w:val="-31"/>
          <w:sz w:val="18"/>
        </w:rPr>
        <w:t xml:space="preserve"> 与 </w:t>
      </w:r>
      <w:r>
        <w:rPr>
          <w:rFonts w:ascii="楷体" w:eastAsia="楷体"/>
          <w:spacing w:val="-2"/>
          <w:sz w:val="18"/>
        </w:rPr>
        <w:t>ICD-0-3</w:t>
      </w:r>
      <w:r>
        <w:rPr>
          <w:rFonts w:ascii="楷体" w:eastAsia="楷体"/>
          <w:spacing w:val="-16"/>
          <w:sz w:val="18"/>
        </w:rPr>
        <w:t xml:space="preserve"> 不一</w:t>
      </w:r>
      <w:r>
        <w:rPr>
          <w:rFonts w:ascii="楷体" w:eastAsia="楷体"/>
          <w:spacing w:val="-3"/>
          <w:sz w:val="18"/>
        </w:rPr>
        <w:t xml:space="preserve">致的情况，以 </w:t>
      </w:r>
      <w:r>
        <w:rPr>
          <w:rFonts w:ascii="楷体" w:eastAsia="楷体"/>
          <w:sz w:val="18"/>
        </w:rPr>
        <w:t>ICD-0-3</w:t>
      </w:r>
      <w:r>
        <w:rPr>
          <w:rFonts w:ascii="楷体" w:eastAsia="楷体"/>
          <w:spacing w:val="-6"/>
          <w:sz w:val="18"/>
        </w:rPr>
        <w:t xml:space="preserve"> 为准。</w:t>
      </w:r>
    </w:p>
    <w:p>
      <w:pPr>
        <w:spacing w:before="2" w:line="242" w:lineRule="auto"/>
        <w:ind w:left="180" w:right="501" w:firstLine="0"/>
        <w:jc w:val="left"/>
        <w:rPr>
          <w:rFonts w:ascii="楷体" w:eastAsia="楷体"/>
          <w:sz w:val="18"/>
        </w:rPr>
      </w:pPr>
      <w:r>
        <w:rPr>
          <w:rFonts w:hint="eastAsia" w:ascii="楷体" w:eastAsia="楷体"/>
          <w:b/>
          <w:position w:val="9"/>
          <w:sz w:val="9"/>
        </w:rPr>
        <w:t>52</w:t>
      </w:r>
      <w:r>
        <w:rPr>
          <w:rFonts w:hint="eastAsia" w:ascii="楷体" w:eastAsia="楷体"/>
          <w:b/>
          <w:sz w:val="18"/>
        </w:rPr>
        <w:t>TNM</w:t>
      </w:r>
      <w:r>
        <w:rPr>
          <w:rFonts w:hint="eastAsia" w:ascii="楷体" w:eastAsia="楷体"/>
          <w:b/>
          <w:spacing w:val="-15"/>
          <w:sz w:val="18"/>
        </w:rPr>
        <w:t xml:space="preserve"> 分期</w:t>
      </w:r>
      <w:r>
        <w:rPr>
          <w:rFonts w:ascii="楷体" w:eastAsia="楷体"/>
          <w:sz w:val="18"/>
        </w:rPr>
        <w:t>：TNM</w:t>
      </w:r>
      <w:r>
        <w:rPr>
          <w:rFonts w:ascii="楷体" w:eastAsia="楷体"/>
          <w:spacing w:val="-1"/>
          <w:sz w:val="18"/>
        </w:rPr>
        <w:t xml:space="preserve"> 分期采用</w:t>
      </w:r>
      <w:r>
        <w:rPr>
          <w:rFonts w:ascii="楷体" w:eastAsia="楷体"/>
          <w:sz w:val="18"/>
        </w:rPr>
        <w:t>AJCC</w:t>
      </w:r>
      <w:r>
        <w:rPr>
          <w:rFonts w:ascii="楷体" w:eastAsia="楷体"/>
          <w:spacing w:val="-9"/>
          <w:sz w:val="18"/>
        </w:rPr>
        <w:t xml:space="preserve"> 癌症分期手册标准。该标准由美国癌症联合委员会与国际抗癌联合会 </w:t>
      </w:r>
      <w:r>
        <w:rPr>
          <w:rFonts w:ascii="楷体" w:eastAsia="楷体"/>
          <w:sz w:val="18"/>
        </w:rPr>
        <w:t>TNM</w:t>
      </w:r>
      <w:r>
        <w:rPr>
          <w:rFonts w:ascii="楷体" w:eastAsia="楷体"/>
          <w:spacing w:val="-7"/>
          <w:sz w:val="18"/>
        </w:rPr>
        <w:t xml:space="preserve"> 委员会联合制定，</w:t>
      </w:r>
      <w:r>
        <w:rPr>
          <w:rFonts w:ascii="楷体" w:eastAsia="楷体"/>
          <w:sz w:val="18"/>
        </w:rPr>
        <w:t>是目前肿瘤医学分期的国际通用标准。T</w:t>
      </w:r>
      <w:r>
        <w:rPr>
          <w:rFonts w:ascii="楷体" w:eastAsia="楷体"/>
          <w:spacing w:val="-3"/>
          <w:sz w:val="18"/>
        </w:rPr>
        <w:t xml:space="preserve"> 指原发肿瘤大小、形态等；</w:t>
      </w:r>
      <w:r>
        <w:rPr>
          <w:rFonts w:ascii="楷体" w:eastAsia="楷体"/>
          <w:sz w:val="18"/>
        </w:rPr>
        <w:t>N</w:t>
      </w:r>
      <w:r>
        <w:rPr>
          <w:rFonts w:ascii="楷体" w:eastAsia="楷体"/>
          <w:spacing w:val="-3"/>
          <w:sz w:val="18"/>
        </w:rPr>
        <w:t xml:space="preserve"> 指淋巴结的转移情况</w:t>
      </w:r>
      <w:r>
        <w:rPr>
          <w:rFonts w:ascii="楷体" w:eastAsia="楷体"/>
          <w:sz w:val="18"/>
        </w:rPr>
        <w:t>；M</w:t>
      </w:r>
      <w:r>
        <w:rPr>
          <w:rFonts w:ascii="楷体" w:eastAsia="楷体"/>
          <w:spacing w:val="-3"/>
          <w:sz w:val="18"/>
        </w:rPr>
        <w:t xml:space="preserve"> 指有无其他脏器的转移情</w:t>
      </w:r>
    </w:p>
    <w:p>
      <w:pPr>
        <w:spacing w:before="0" w:line="244" w:lineRule="auto"/>
        <w:ind w:left="180" w:right="420" w:firstLine="0"/>
        <w:jc w:val="left"/>
        <w:rPr>
          <w:rFonts w:ascii="楷体" w:eastAsia="楷体"/>
          <w:sz w:val="18"/>
        </w:rPr>
      </w:pPr>
      <w:r>
        <w:rPr>
          <w:rFonts w:ascii="楷体" w:eastAsia="楷体"/>
          <w:spacing w:val="-6"/>
          <w:sz w:val="18"/>
        </w:rPr>
        <w:t xml:space="preserve">况。甲状腺癌的 </w:t>
      </w:r>
      <w:r>
        <w:rPr>
          <w:rFonts w:ascii="楷体" w:eastAsia="楷体"/>
          <w:spacing w:val="-2"/>
          <w:sz w:val="18"/>
        </w:rPr>
        <w:t>TNM</w:t>
      </w:r>
      <w:r>
        <w:rPr>
          <w:rFonts w:ascii="楷体" w:eastAsia="楷体"/>
          <w:spacing w:val="-11"/>
          <w:sz w:val="18"/>
        </w:rPr>
        <w:t xml:space="preserve"> 分期采用目前现行的 </w:t>
      </w:r>
      <w:r>
        <w:rPr>
          <w:rFonts w:ascii="楷体" w:eastAsia="楷体"/>
          <w:spacing w:val="-2"/>
          <w:sz w:val="18"/>
        </w:rPr>
        <w:t>AJCC</w:t>
      </w:r>
      <w:r>
        <w:rPr>
          <w:rFonts w:ascii="楷体" w:eastAsia="楷体"/>
          <w:spacing w:val="-10"/>
          <w:sz w:val="18"/>
        </w:rPr>
        <w:t xml:space="preserve"> 第八版定义标准，我国国家卫生健康委员会 </w:t>
      </w:r>
      <w:r>
        <w:rPr>
          <w:rFonts w:ascii="楷体" w:eastAsia="楷体"/>
          <w:spacing w:val="-2"/>
          <w:sz w:val="18"/>
        </w:rPr>
        <w:t>2018</w:t>
      </w:r>
      <w:r>
        <w:rPr>
          <w:rFonts w:ascii="楷体" w:eastAsia="楷体"/>
          <w:spacing w:val="-8"/>
          <w:sz w:val="18"/>
        </w:rPr>
        <w:t xml:space="preserve"> 年发布的《甲状腺癌诊疗规</w:t>
      </w:r>
      <w:r>
        <w:rPr>
          <w:rFonts w:ascii="楷体" w:eastAsia="楷体"/>
          <w:sz w:val="18"/>
        </w:rPr>
        <w:t>范（2018</w:t>
      </w:r>
      <w:r>
        <w:rPr>
          <w:rFonts w:ascii="楷体" w:eastAsia="楷体"/>
          <w:spacing w:val="-13"/>
          <w:sz w:val="18"/>
        </w:rPr>
        <w:t xml:space="preserve"> 年版</w:t>
      </w:r>
      <w:r>
        <w:rPr>
          <w:rFonts w:ascii="楷体" w:eastAsia="楷体"/>
          <w:spacing w:val="-92"/>
          <w:sz w:val="18"/>
        </w:rPr>
        <w:t>）</w:t>
      </w:r>
      <w:r>
        <w:rPr>
          <w:rFonts w:ascii="楷体" w:eastAsia="楷体"/>
          <w:sz w:val="18"/>
        </w:rPr>
        <w:t>》也采用此定义标准。</w:t>
      </w:r>
    </w:p>
    <w:p>
      <w:pPr>
        <w:spacing w:after="0" w:line="244" w:lineRule="auto"/>
        <w:jc w:val="left"/>
        <w:rPr>
          <w:rFonts w:ascii="楷体" w:eastAsia="楷体"/>
          <w:sz w:val="18"/>
        </w:rPr>
        <w:sectPr>
          <w:type w:val="continuous"/>
          <w:pgSz w:w="11910" w:h="16840"/>
          <w:pgMar w:top="480" w:right="680" w:bottom="280" w:left="900" w:header="720" w:footer="720" w:gutter="0"/>
          <w:cols w:space="720" w:num="1"/>
        </w:sectPr>
      </w:pPr>
    </w:p>
    <w:p>
      <w:pPr>
        <w:pStyle w:val="4"/>
        <w:spacing w:before="60"/>
        <w:ind w:left="2553"/>
      </w:pPr>
      <w:r>
        <w:rPr>
          <w:spacing w:val="-2"/>
        </w:rPr>
        <w:t>甲状腺乳头状癌、滤泡癌、低分化癌、Hürthle</w:t>
      </w:r>
      <w:r>
        <w:rPr>
          <w:spacing w:val="-8"/>
        </w:rPr>
        <w:t xml:space="preserve"> 细胞癌和未分化癌</w:t>
      </w:r>
    </w:p>
    <w:p>
      <w:pPr>
        <w:pStyle w:val="4"/>
        <w:spacing w:before="7"/>
        <w:rPr>
          <w:sz w:val="15"/>
        </w:rPr>
      </w:pPr>
    </w:p>
    <w:p>
      <w:pPr>
        <w:pStyle w:val="4"/>
        <w:ind w:left="2553"/>
      </w:pPr>
      <w:r>
        <w:t>p</w:t>
      </w:r>
      <w:r>
        <w:rPr>
          <w:rFonts w:ascii="Cambria Math" w:eastAsia="Cambria Math"/>
        </w:rPr>
        <w:t>𝑇</w:t>
      </w:r>
      <w:r>
        <w:rPr>
          <w:rFonts w:ascii="Cambria Math" w:eastAsia="Cambria Math"/>
          <w:position w:val="-3"/>
          <w:sz w:val="15"/>
        </w:rPr>
        <w:t>𝑥</w:t>
      </w:r>
      <w:r>
        <w:rPr>
          <w:spacing w:val="-6"/>
        </w:rPr>
        <w:t>： 原发肿瘤不能评估</w:t>
      </w:r>
    </w:p>
    <w:p>
      <w:pPr>
        <w:pStyle w:val="4"/>
        <w:spacing w:before="185"/>
        <w:ind w:left="2553"/>
      </w:pPr>
      <w:r>
        <w:t>p</w:t>
      </w:r>
      <w:r>
        <w:rPr>
          <w:rFonts w:ascii="Cambria Math" w:eastAsia="Cambria Math"/>
        </w:rPr>
        <w:t>𝑇</w:t>
      </w:r>
      <w:r>
        <w:rPr>
          <w:rFonts w:ascii="Cambria Math" w:eastAsia="Cambria Math"/>
          <w:vertAlign w:val="subscript"/>
        </w:rPr>
        <w:t>0</w:t>
      </w:r>
      <w:r>
        <w:rPr>
          <w:spacing w:val="-4"/>
          <w:vertAlign w:val="baseline"/>
        </w:rPr>
        <w:t>： 无肿瘤证据</w:t>
      </w:r>
    </w:p>
    <w:p>
      <w:pPr>
        <w:pStyle w:val="4"/>
        <w:spacing w:before="199"/>
        <w:ind w:left="2553"/>
      </w:pPr>
      <w:r>
        <w:rPr>
          <w:spacing w:val="-2"/>
        </w:rPr>
        <w:t>p</w:t>
      </w:r>
      <w:r>
        <w:rPr>
          <w:rFonts w:ascii="Cambria Math" w:hAnsi="Cambria Math" w:eastAsia="Cambria Math"/>
          <w:spacing w:val="-2"/>
        </w:rPr>
        <w:t>𝑇</w:t>
      </w:r>
      <w:r>
        <w:rPr>
          <w:rFonts w:ascii="Cambria Math" w:hAnsi="Cambria Math" w:eastAsia="Cambria Math"/>
          <w:spacing w:val="-2"/>
          <w:vertAlign w:val="subscript"/>
        </w:rPr>
        <w:t>1</w:t>
      </w:r>
      <w:r>
        <w:rPr>
          <w:spacing w:val="-3"/>
          <w:vertAlign w:val="baseline"/>
        </w:rPr>
        <w:t>： 肿瘤局限在甲状腺内，最大径≤</w:t>
      </w:r>
      <w:r>
        <w:rPr>
          <w:spacing w:val="-4"/>
          <w:vertAlign w:val="baseline"/>
        </w:rPr>
        <w:t>2cm</w:t>
      </w:r>
    </w:p>
    <w:p>
      <w:pPr>
        <w:pStyle w:val="4"/>
        <w:spacing w:before="199"/>
        <w:ind w:left="3185"/>
      </w:pPr>
      <w:r>
        <w:rPr>
          <w:rFonts w:ascii="Cambria Math" w:hAnsi="Cambria Math" w:eastAsia="Cambria Math"/>
          <w:spacing w:val="-2"/>
        </w:rPr>
        <w:t>𝑇</w:t>
      </w:r>
      <w:r>
        <w:rPr>
          <w:rFonts w:ascii="Cambria Math" w:hAnsi="Cambria Math" w:eastAsia="Cambria Math"/>
          <w:spacing w:val="-2"/>
          <w:vertAlign w:val="subscript"/>
        </w:rPr>
        <w:t>1</w:t>
      </w:r>
      <w:r>
        <w:rPr>
          <w:rFonts w:ascii="Cambria Math" w:hAnsi="Cambria Math" w:eastAsia="Cambria Math"/>
          <w:spacing w:val="-2"/>
          <w:position w:val="-3"/>
          <w:sz w:val="15"/>
          <w:vertAlign w:val="baseline"/>
        </w:rPr>
        <w:t>𝑎</w:t>
      </w:r>
      <w:r>
        <w:rPr>
          <w:spacing w:val="-2"/>
          <w:vertAlign w:val="baseline"/>
        </w:rPr>
        <w:t>肿瘤最大径</w:t>
      </w:r>
      <w:r>
        <w:rPr>
          <w:spacing w:val="-4"/>
          <w:vertAlign w:val="baseline"/>
        </w:rPr>
        <w:t>≤1cm</w:t>
      </w:r>
    </w:p>
    <w:p>
      <w:pPr>
        <w:pStyle w:val="4"/>
        <w:spacing w:before="184"/>
        <w:ind w:left="3185"/>
      </w:pPr>
      <w:r>
        <w:rPr>
          <w:rFonts w:ascii="Cambria Math" w:hAnsi="Cambria Math" w:eastAsia="Cambria Math"/>
          <w:spacing w:val="-2"/>
        </w:rPr>
        <w:t>𝑇</w:t>
      </w:r>
      <w:r>
        <w:rPr>
          <w:rFonts w:ascii="Cambria Math" w:hAnsi="Cambria Math" w:eastAsia="Cambria Math"/>
          <w:spacing w:val="-2"/>
          <w:vertAlign w:val="subscript"/>
        </w:rPr>
        <w:t>1</w:t>
      </w:r>
      <w:r>
        <w:rPr>
          <w:rFonts w:ascii="Cambria Math" w:hAnsi="Cambria Math" w:eastAsia="Cambria Math"/>
          <w:spacing w:val="-2"/>
          <w:position w:val="-3"/>
          <w:sz w:val="15"/>
          <w:vertAlign w:val="baseline"/>
        </w:rPr>
        <w:t>𝑏</w:t>
      </w:r>
      <w:r>
        <w:rPr>
          <w:spacing w:val="-2"/>
          <w:vertAlign w:val="baseline"/>
        </w:rPr>
        <w:t>肿瘤最大径＞1cm，≤2cm</w:t>
      </w:r>
    </w:p>
    <w:p>
      <w:pPr>
        <w:pStyle w:val="4"/>
        <w:spacing w:before="185"/>
        <w:ind w:left="2553"/>
      </w:pPr>
      <w:r>
        <w:t>p</w:t>
      </w:r>
      <w:r>
        <w:rPr>
          <w:rFonts w:ascii="Cambria Math" w:eastAsia="Cambria Math"/>
        </w:rPr>
        <w:t>𝑇</w:t>
      </w:r>
      <w:r>
        <w:rPr>
          <w:rFonts w:ascii="Cambria Math" w:eastAsia="Cambria Math"/>
          <w:vertAlign w:val="subscript"/>
        </w:rPr>
        <w:t>2</w:t>
      </w:r>
      <w:r>
        <w:rPr>
          <w:spacing w:val="-13"/>
          <w:vertAlign w:val="baseline"/>
        </w:rPr>
        <w:t xml:space="preserve">： 肿瘤 </w:t>
      </w:r>
      <w:r>
        <w:rPr>
          <w:spacing w:val="-2"/>
          <w:vertAlign w:val="baseline"/>
        </w:rPr>
        <w:t>2～4cm</w:t>
      </w:r>
    </w:p>
    <w:p>
      <w:pPr>
        <w:pStyle w:val="4"/>
        <w:spacing w:before="199"/>
        <w:ind w:left="2553"/>
      </w:pPr>
      <w:r>
        <w:rPr>
          <w:spacing w:val="-2"/>
        </w:rPr>
        <w:t>p</w:t>
      </w:r>
      <w:r>
        <w:rPr>
          <w:rFonts w:ascii="Cambria Math" w:eastAsia="Cambria Math"/>
          <w:spacing w:val="-2"/>
        </w:rPr>
        <w:t>𝑇</w:t>
      </w:r>
      <w:r>
        <w:rPr>
          <w:rFonts w:ascii="Cambria Math" w:eastAsia="Cambria Math"/>
          <w:spacing w:val="-2"/>
          <w:vertAlign w:val="subscript"/>
        </w:rPr>
        <w:t>3</w:t>
      </w:r>
      <w:r>
        <w:rPr>
          <w:spacing w:val="1"/>
          <w:vertAlign w:val="baseline"/>
        </w:rPr>
        <w:t>： 肿瘤＞</w:t>
      </w:r>
      <w:r>
        <w:rPr>
          <w:spacing w:val="-2"/>
          <w:vertAlign w:val="baseline"/>
        </w:rPr>
        <w:t>4cm</w:t>
      </w:r>
      <w:r>
        <w:rPr>
          <w:spacing w:val="-3"/>
          <w:vertAlign w:val="baseline"/>
        </w:rPr>
        <w:t>，局限于甲状腺内或大体侵犯甲状腺外带状肌</w:t>
      </w:r>
    </w:p>
    <w:p>
      <w:pPr>
        <w:pStyle w:val="4"/>
        <w:spacing w:before="200"/>
        <w:ind w:left="2553"/>
      </w:pPr>
      <w:r>
        <w:rPr>
          <w:spacing w:val="-2"/>
        </w:rPr>
        <w:t>p</w:t>
      </w:r>
      <w:r>
        <w:rPr>
          <w:rFonts w:ascii="Cambria Math" w:eastAsia="Cambria Math"/>
          <w:spacing w:val="-2"/>
        </w:rPr>
        <w:t>𝑇</w:t>
      </w:r>
      <w:r>
        <w:rPr>
          <w:rFonts w:ascii="Cambria Math" w:eastAsia="Cambria Math"/>
          <w:spacing w:val="-2"/>
          <w:vertAlign w:val="subscript"/>
        </w:rPr>
        <w:t>3</w:t>
      </w:r>
      <w:r>
        <w:rPr>
          <w:rFonts w:ascii="Cambria Math" w:eastAsia="Cambria Math"/>
          <w:spacing w:val="-2"/>
          <w:position w:val="-3"/>
          <w:sz w:val="15"/>
          <w:vertAlign w:val="baseline"/>
        </w:rPr>
        <w:t>𝑎</w:t>
      </w:r>
      <w:r>
        <w:rPr>
          <w:spacing w:val="-2"/>
          <w:vertAlign w:val="baseline"/>
        </w:rPr>
        <w:t>：肿瘤＞4cm</w:t>
      </w:r>
      <w:r>
        <w:rPr>
          <w:spacing w:val="-4"/>
          <w:vertAlign w:val="baseline"/>
        </w:rPr>
        <w:t>，局限于甲状腺内</w:t>
      </w:r>
    </w:p>
    <w:p>
      <w:pPr>
        <w:pStyle w:val="4"/>
        <w:spacing w:before="184"/>
        <w:ind w:left="2553"/>
      </w:pPr>
      <w:r>
        <w:rPr>
          <w:spacing w:val="-2"/>
        </w:rPr>
        <w:t>p</w:t>
      </w:r>
      <w:r>
        <w:rPr>
          <w:rFonts w:ascii="Cambria Math" w:eastAsia="Cambria Math"/>
          <w:spacing w:val="-2"/>
        </w:rPr>
        <w:t>𝑇</w:t>
      </w:r>
      <w:r>
        <w:rPr>
          <w:rFonts w:ascii="Cambria Math" w:eastAsia="Cambria Math"/>
          <w:spacing w:val="-2"/>
          <w:position w:val="-3"/>
          <w:sz w:val="15"/>
        </w:rPr>
        <w:t>3𝑏</w:t>
      </w:r>
      <w:r>
        <w:rPr>
          <w:spacing w:val="-3"/>
        </w:rPr>
        <w:t>：大体侵犯甲状腺外带状肌，无论肿瘤大小</w:t>
      </w:r>
    </w:p>
    <w:p>
      <w:pPr>
        <w:pStyle w:val="4"/>
        <w:spacing w:before="185"/>
        <w:ind w:left="3185"/>
      </w:pPr>
      <w:r>
        <w:rPr>
          <w:spacing w:val="-3"/>
        </w:rPr>
        <w:t>带状肌包括：胸骨舌骨肌、胸骨甲状肌、甲状舌骨肌、肩胛舌骨肌</w:t>
      </w:r>
    </w:p>
    <w:p>
      <w:pPr>
        <w:pStyle w:val="4"/>
        <w:spacing w:before="7"/>
        <w:rPr>
          <w:sz w:val="15"/>
        </w:rPr>
      </w:pPr>
    </w:p>
    <w:p>
      <w:pPr>
        <w:pStyle w:val="4"/>
        <w:ind w:left="2553"/>
      </w:pPr>
      <w:r>
        <w:t>p</w:t>
      </w:r>
      <w:r>
        <w:rPr>
          <w:rFonts w:ascii="Cambria Math" w:eastAsia="Cambria Math"/>
        </w:rPr>
        <w:t>𝑇</w:t>
      </w:r>
      <w:r>
        <w:rPr>
          <w:rFonts w:ascii="Cambria Math" w:eastAsia="Cambria Math"/>
          <w:vertAlign w:val="subscript"/>
        </w:rPr>
        <w:t>4</w:t>
      </w:r>
      <w:r>
        <w:rPr>
          <w:spacing w:val="-6"/>
          <w:vertAlign w:val="baseline"/>
        </w:rPr>
        <w:t>： 大体侵犯甲状腺外带状肌外</w:t>
      </w:r>
    </w:p>
    <w:p>
      <w:pPr>
        <w:pStyle w:val="4"/>
        <w:spacing w:before="199" w:line="405" w:lineRule="auto"/>
        <w:ind w:left="2553" w:right="2964"/>
      </w:pPr>
      <w:r>
        <w:rPr>
          <w:spacing w:val="-2"/>
        </w:rPr>
        <w:t>p</w:t>
      </w:r>
      <w:r>
        <w:rPr>
          <w:rFonts w:ascii="Cambria Math" w:eastAsia="Cambria Math"/>
          <w:spacing w:val="-2"/>
        </w:rPr>
        <w:t>𝑇</w:t>
      </w:r>
      <w:r>
        <w:rPr>
          <w:rFonts w:ascii="Cambria Math" w:eastAsia="Cambria Math"/>
          <w:spacing w:val="-2"/>
          <w:position w:val="-3"/>
          <w:sz w:val="15"/>
        </w:rPr>
        <w:t>4𝑎</w:t>
      </w:r>
      <w:r>
        <w:rPr>
          <w:spacing w:val="-2"/>
        </w:rPr>
        <w:t>：侵犯喉、气管、食管、喉反神经及皮下软组织 p</w:t>
      </w:r>
      <w:r>
        <w:rPr>
          <w:rFonts w:ascii="Cambria Math" w:eastAsia="Cambria Math"/>
          <w:spacing w:val="-2"/>
        </w:rPr>
        <w:t>𝑇</w:t>
      </w:r>
      <w:r>
        <w:rPr>
          <w:rFonts w:ascii="Cambria Math" w:eastAsia="Cambria Math"/>
          <w:spacing w:val="-2"/>
          <w:position w:val="-3"/>
          <w:sz w:val="15"/>
        </w:rPr>
        <w:t>4𝑏</w:t>
      </w:r>
      <w:r>
        <w:rPr>
          <w:spacing w:val="-2"/>
        </w:rPr>
        <w:t>：侵犯椎前筋膜，或包裹颈动脉、纵隔血管</w:t>
      </w:r>
    </w:p>
    <w:p>
      <w:pPr>
        <w:pStyle w:val="4"/>
        <w:spacing w:line="267" w:lineRule="exact"/>
        <w:ind w:left="2553"/>
      </w:pPr>
      <w:r>
        <w:rPr>
          <w:spacing w:val="-4"/>
        </w:rPr>
        <w:t>甲状腺髓样癌</w:t>
      </w:r>
    </w:p>
    <w:p>
      <w:pPr>
        <w:pStyle w:val="4"/>
        <w:spacing w:before="6"/>
        <w:rPr>
          <w:sz w:val="15"/>
        </w:rPr>
      </w:pPr>
    </w:p>
    <w:p>
      <w:pPr>
        <w:pStyle w:val="4"/>
        <w:ind w:left="2553"/>
      </w:pPr>
      <w:r>
        <w:t>p</w:t>
      </w:r>
      <w:r>
        <w:rPr>
          <w:rFonts w:ascii="Cambria Math" w:eastAsia="Cambria Math"/>
        </w:rPr>
        <w:t>𝑇</w:t>
      </w:r>
      <w:r>
        <w:rPr>
          <w:rFonts w:ascii="Cambria Math" w:eastAsia="Cambria Math"/>
          <w:position w:val="-3"/>
          <w:sz w:val="15"/>
        </w:rPr>
        <w:t>𝑥</w:t>
      </w:r>
      <w:r>
        <w:rPr>
          <w:spacing w:val="-6"/>
        </w:rPr>
        <w:t>： 原发肿瘤不能评估</w:t>
      </w:r>
    </w:p>
    <w:p>
      <w:pPr>
        <w:pStyle w:val="4"/>
        <w:spacing w:before="185"/>
        <w:ind w:left="2553"/>
      </w:pPr>
      <w:r>
        <w:t>p</w:t>
      </w:r>
      <w:r>
        <w:rPr>
          <w:rFonts w:ascii="Cambria Math" w:eastAsia="Cambria Math"/>
        </w:rPr>
        <w:t>𝑇</w:t>
      </w:r>
      <w:r>
        <w:rPr>
          <w:rFonts w:ascii="Cambria Math" w:eastAsia="Cambria Math"/>
          <w:vertAlign w:val="subscript"/>
        </w:rPr>
        <w:t>0</w:t>
      </w:r>
      <w:r>
        <w:rPr>
          <w:spacing w:val="-4"/>
          <w:vertAlign w:val="baseline"/>
        </w:rPr>
        <w:t>： 无肿瘤证据</w:t>
      </w:r>
    </w:p>
    <w:p>
      <w:pPr>
        <w:pStyle w:val="4"/>
        <w:spacing w:before="199"/>
        <w:ind w:left="2553"/>
      </w:pPr>
      <w:r>
        <w:rPr>
          <w:spacing w:val="-2"/>
        </w:rPr>
        <w:t>p</w:t>
      </w:r>
      <w:r>
        <w:rPr>
          <w:rFonts w:ascii="Cambria Math" w:hAnsi="Cambria Math" w:eastAsia="Cambria Math"/>
          <w:spacing w:val="-2"/>
        </w:rPr>
        <w:t>𝑇</w:t>
      </w:r>
      <w:r>
        <w:rPr>
          <w:rFonts w:ascii="Cambria Math" w:hAnsi="Cambria Math" w:eastAsia="Cambria Math"/>
          <w:spacing w:val="-2"/>
          <w:vertAlign w:val="subscript"/>
        </w:rPr>
        <w:t>1</w:t>
      </w:r>
      <w:r>
        <w:rPr>
          <w:spacing w:val="-3"/>
          <w:vertAlign w:val="baseline"/>
        </w:rPr>
        <w:t>： 肿瘤局限在甲状腺内，最大径≤</w:t>
      </w:r>
      <w:r>
        <w:rPr>
          <w:spacing w:val="-4"/>
          <w:vertAlign w:val="baseline"/>
        </w:rPr>
        <w:t>2cm</w:t>
      </w:r>
    </w:p>
    <w:p>
      <w:pPr>
        <w:pStyle w:val="4"/>
        <w:spacing w:before="199"/>
        <w:ind w:left="3185"/>
      </w:pPr>
      <w:r>
        <w:rPr>
          <w:rFonts w:ascii="Cambria Math" w:hAnsi="Cambria Math" w:eastAsia="Cambria Math"/>
          <w:spacing w:val="-2"/>
        </w:rPr>
        <w:t>𝑇</w:t>
      </w:r>
      <w:r>
        <w:rPr>
          <w:rFonts w:ascii="Cambria Math" w:hAnsi="Cambria Math" w:eastAsia="Cambria Math"/>
          <w:spacing w:val="-2"/>
          <w:vertAlign w:val="subscript"/>
        </w:rPr>
        <w:t>1</w:t>
      </w:r>
      <w:r>
        <w:rPr>
          <w:rFonts w:ascii="Cambria Math" w:hAnsi="Cambria Math" w:eastAsia="Cambria Math"/>
          <w:spacing w:val="-2"/>
          <w:position w:val="-3"/>
          <w:sz w:val="15"/>
          <w:vertAlign w:val="baseline"/>
        </w:rPr>
        <w:t>𝑎</w:t>
      </w:r>
      <w:r>
        <w:rPr>
          <w:spacing w:val="-2"/>
          <w:vertAlign w:val="baseline"/>
        </w:rPr>
        <w:t>肿瘤最大径</w:t>
      </w:r>
      <w:r>
        <w:rPr>
          <w:spacing w:val="-4"/>
          <w:vertAlign w:val="baseline"/>
        </w:rPr>
        <w:t>≤1cm</w:t>
      </w:r>
    </w:p>
    <w:p>
      <w:pPr>
        <w:pStyle w:val="4"/>
        <w:spacing w:before="185"/>
        <w:ind w:left="3185"/>
      </w:pPr>
      <w:r>
        <w:rPr>
          <w:rFonts w:ascii="Cambria Math" w:hAnsi="Cambria Math" w:eastAsia="Cambria Math"/>
          <w:spacing w:val="-2"/>
        </w:rPr>
        <w:t>𝑇</w:t>
      </w:r>
      <w:r>
        <w:rPr>
          <w:rFonts w:ascii="Cambria Math" w:hAnsi="Cambria Math" w:eastAsia="Cambria Math"/>
          <w:spacing w:val="-2"/>
          <w:vertAlign w:val="subscript"/>
        </w:rPr>
        <w:t>1</w:t>
      </w:r>
      <w:r>
        <w:rPr>
          <w:rFonts w:ascii="Cambria Math" w:hAnsi="Cambria Math" w:eastAsia="Cambria Math"/>
          <w:spacing w:val="-2"/>
          <w:position w:val="-3"/>
          <w:sz w:val="15"/>
          <w:vertAlign w:val="baseline"/>
        </w:rPr>
        <w:t>𝑏</w:t>
      </w:r>
      <w:r>
        <w:rPr>
          <w:spacing w:val="-2"/>
          <w:vertAlign w:val="baseline"/>
        </w:rPr>
        <w:t>肿瘤最大径＞1cm，≤2cm</w:t>
      </w:r>
    </w:p>
    <w:p>
      <w:pPr>
        <w:pStyle w:val="4"/>
        <w:spacing w:before="185"/>
        <w:ind w:left="2553"/>
      </w:pPr>
      <w:r>
        <w:t>p</w:t>
      </w:r>
      <w:r>
        <w:rPr>
          <w:rFonts w:ascii="Cambria Math" w:eastAsia="Cambria Math"/>
        </w:rPr>
        <w:t>𝑇</w:t>
      </w:r>
      <w:r>
        <w:rPr>
          <w:rFonts w:ascii="Cambria Math" w:eastAsia="Cambria Math"/>
          <w:vertAlign w:val="subscript"/>
        </w:rPr>
        <w:t>2</w:t>
      </w:r>
      <w:r>
        <w:rPr>
          <w:spacing w:val="-13"/>
          <w:vertAlign w:val="baseline"/>
        </w:rPr>
        <w:t xml:space="preserve">： 肿瘤 </w:t>
      </w:r>
      <w:r>
        <w:rPr>
          <w:spacing w:val="-2"/>
          <w:vertAlign w:val="baseline"/>
        </w:rPr>
        <w:t>2～4cm</w:t>
      </w:r>
    </w:p>
    <w:p>
      <w:pPr>
        <w:pStyle w:val="4"/>
        <w:spacing w:before="199"/>
        <w:ind w:left="2553"/>
      </w:pPr>
      <w:r>
        <w:rPr>
          <w:spacing w:val="-2"/>
        </w:rPr>
        <w:t>p</w:t>
      </w:r>
      <w:r>
        <w:rPr>
          <w:rFonts w:ascii="Cambria Math" w:eastAsia="Cambria Math"/>
          <w:spacing w:val="-2"/>
        </w:rPr>
        <w:t>𝑇</w:t>
      </w:r>
      <w:r>
        <w:rPr>
          <w:rFonts w:ascii="Cambria Math" w:eastAsia="Cambria Math"/>
          <w:spacing w:val="-2"/>
          <w:vertAlign w:val="subscript"/>
        </w:rPr>
        <w:t>3</w:t>
      </w:r>
      <w:r>
        <w:rPr>
          <w:spacing w:val="1"/>
          <w:vertAlign w:val="baseline"/>
        </w:rPr>
        <w:t>： 肿瘤＞</w:t>
      </w:r>
      <w:r>
        <w:rPr>
          <w:spacing w:val="-2"/>
          <w:vertAlign w:val="baseline"/>
        </w:rPr>
        <w:t>4cm</w:t>
      </w:r>
      <w:r>
        <w:rPr>
          <w:spacing w:val="-3"/>
          <w:vertAlign w:val="baseline"/>
        </w:rPr>
        <w:t>，局限于甲状腺内或大体侵犯甲状腺外带状肌</w:t>
      </w:r>
    </w:p>
    <w:p>
      <w:pPr>
        <w:pStyle w:val="4"/>
        <w:spacing w:before="199"/>
        <w:ind w:left="2553"/>
      </w:pPr>
      <w:r>
        <w:rPr>
          <w:spacing w:val="-2"/>
        </w:rPr>
        <w:t>p</w:t>
      </w:r>
      <w:r>
        <w:rPr>
          <w:rFonts w:ascii="Cambria Math" w:eastAsia="Cambria Math"/>
          <w:spacing w:val="-2"/>
        </w:rPr>
        <w:t>𝑇</w:t>
      </w:r>
      <w:r>
        <w:rPr>
          <w:rFonts w:ascii="Cambria Math" w:eastAsia="Cambria Math"/>
          <w:spacing w:val="-2"/>
          <w:vertAlign w:val="subscript"/>
        </w:rPr>
        <w:t>3</w:t>
      </w:r>
      <w:r>
        <w:rPr>
          <w:rFonts w:ascii="Cambria Math" w:eastAsia="Cambria Math"/>
          <w:spacing w:val="-2"/>
          <w:position w:val="-3"/>
          <w:sz w:val="15"/>
          <w:vertAlign w:val="baseline"/>
        </w:rPr>
        <w:t>𝑎</w:t>
      </w:r>
      <w:r>
        <w:rPr>
          <w:spacing w:val="-2"/>
          <w:vertAlign w:val="baseline"/>
        </w:rPr>
        <w:t>：肿瘤＞4cm</w:t>
      </w:r>
      <w:r>
        <w:rPr>
          <w:spacing w:val="-4"/>
          <w:vertAlign w:val="baseline"/>
        </w:rPr>
        <w:t>，局限于甲状腺内</w:t>
      </w:r>
    </w:p>
    <w:p>
      <w:pPr>
        <w:pStyle w:val="4"/>
        <w:spacing w:before="184"/>
        <w:ind w:left="2553"/>
      </w:pPr>
      <w:r>
        <w:rPr>
          <w:spacing w:val="-2"/>
        </w:rPr>
        <w:t>p</w:t>
      </w:r>
      <w:r>
        <w:rPr>
          <w:rFonts w:ascii="Cambria Math" w:eastAsia="Cambria Math"/>
          <w:spacing w:val="-2"/>
        </w:rPr>
        <w:t>𝑇</w:t>
      </w:r>
      <w:r>
        <w:rPr>
          <w:rFonts w:ascii="Cambria Math" w:eastAsia="Cambria Math"/>
          <w:spacing w:val="-2"/>
          <w:position w:val="-3"/>
          <w:sz w:val="15"/>
        </w:rPr>
        <w:t>3𝑏</w:t>
      </w:r>
      <w:r>
        <w:rPr>
          <w:spacing w:val="-3"/>
        </w:rPr>
        <w:t>：大体侵犯甲状腺外带状肌，无论肿瘤大小</w:t>
      </w:r>
    </w:p>
    <w:p>
      <w:pPr>
        <w:pStyle w:val="4"/>
        <w:spacing w:before="185"/>
        <w:ind w:left="3185"/>
      </w:pPr>
      <w:r>
        <w:rPr>
          <w:spacing w:val="-3"/>
        </w:rPr>
        <w:t>带状肌包括：胸骨舌骨肌、胸骨甲状肌、甲状舌骨肌、肩胛舌骨肌</w:t>
      </w:r>
    </w:p>
    <w:p>
      <w:pPr>
        <w:pStyle w:val="4"/>
        <w:spacing w:before="7"/>
        <w:rPr>
          <w:sz w:val="15"/>
        </w:rPr>
      </w:pPr>
    </w:p>
    <w:p>
      <w:pPr>
        <w:pStyle w:val="4"/>
        <w:ind w:left="2553"/>
      </w:pPr>
      <w:r>
        <w:t>p</w:t>
      </w:r>
      <w:r>
        <w:rPr>
          <w:rFonts w:ascii="Cambria Math" w:eastAsia="Cambria Math"/>
        </w:rPr>
        <w:t>𝑇</w:t>
      </w:r>
      <w:r>
        <w:rPr>
          <w:rFonts w:ascii="Cambria Math" w:eastAsia="Cambria Math"/>
          <w:vertAlign w:val="subscript"/>
        </w:rPr>
        <w:t>4</w:t>
      </w:r>
      <w:r>
        <w:rPr>
          <w:spacing w:val="-5"/>
          <w:vertAlign w:val="baseline"/>
        </w:rPr>
        <w:t>： 进展期病变</w:t>
      </w:r>
    </w:p>
    <w:p>
      <w:pPr>
        <w:pStyle w:val="4"/>
        <w:spacing w:before="199" w:line="266" w:lineRule="auto"/>
        <w:ind w:left="2553" w:right="219"/>
      </w:pPr>
      <w:r>
        <w:rPr>
          <w:spacing w:val="-2"/>
        </w:rPr>
        <w:t>p</w:t>
      </w:r>
      <w:r>
        <w:rPr>
          <w:rFonts w:ascii="Cambria Math" w:eastAsia="Cambria Math"/>
          <w:spacing w:val="-2"/>
        </w:rPr>
        <w:t>𝑇</w:t>
      </w:r>
      <w:r>
        <w:rPr>
          <w:rFonts w:ascii="Cambria Math" w:eastAsia="Cambria Math"/>
          <w:spacing w:val="-2"/>
          <w:position w:val="-3"/>
          <w:sz w:val="15"/>
        </w:rPr>
        <w:t>4𝑎</w:t>
      </w:r>
      <w:r>
        <w:rPr>
          <w:spacing w:val="-2"/>
        </w:rPr>
        <w:t>：中度进展，任何大小的肿瘤，侵犯甲状腺外颈部周围器官和软组织，如喉、气管、食管、喉反神经及皮下软组织</w:t>
      </w:r>
    </w:p>
    <w:p>
      <w:pPr>
        <w:pStyle w:val="4"/>
        <w:spacing w:before="169"/>
        <w:ind w:left="2553"/>
      </w:pPr>
      <w:r>
        <w:rPr>
          <w:spacing w:val="-2"/>
        </w:rPr>
        <w:t>p</w:t>
      </w:r>
      <w:r>
        <w:rPr>
          <w:rFonts w:ascii="Cambria Math" w:eastAsia="Cambria Math"/>
          <w:spacing w:val="-2"/>
        </w:rPr>
        <w:t>𝑇</w:t>
      </w:r>
      <w:r>
        <w:rPr>
          <w:rFonts w:ascii="Cambria Math" w:eastAsia="Cambria Math"/>
          <w:spacing w:val="-2"/>
          <w:position w:val="-3"/>
          <w:sz w:val="15"/>
        </w:rPr>
        <w:t>4𝑏</w:t>
      </w:r>
      <w:r>
        <w:rPr>
          <w:spacing w:val="-3"/>
        </w:rPr>
        <w:t>：重度进展，任何大小的肿瘤，侵犯椎前筋膜，或包裹颈动脉、纵隔血管</w:t>
      </w:r>
    </w:p>
    <w:p>
      <w:pPr>
        <w:spacing w:after="0"/>
        <w:sectPr>
          <w:pgSz w:w="11910" w:h="16840"/>
          <w:pgMar w:top="1540" w:right="680" w:bottom="280" w:left="900" w:header="720" w:footer="720" w:gutter="0"/>
          <w:cols w:space="720" w:num="1"/>
        </w:sectPr>
      </w:pPr>
    </w:p>
    <w:p>
      <w:pPr>
        <w:pStyle w:val="4"/>
        <w:spacing w:before="44"/>
        <w:ind w:left="2553"/>
      </w:pPr>
      <w:r>
        <w:rPr>
          <w:spacing w:val="-3"/>
        </w:rPr>
        <w:t>区域淋巴结：适用于所有甲状腺癌</w:t>
      </w:r>
    </w:p>
    <w:p>
      <w:pPr>
        <w:pStyle w:val="4"/>
        <w:spacing w:before="7"/>
        <w:rPr>
          <w:sz w:val="15"/>
        </w:rPr>
      </w:pPr>
    </w:p>
    <w:p>
      <w:pPr>
        <w:pStyle w:val="4"/>
        <w:spacing w:line="410" w:lineRule="auto"/>
        <w:ind w:left="2553" w:right="5218"/>
      </w:pPr>
      <w:r>
        <w:t>p</w:t>
      </w:r>
      <w:r>
        <w:rPr>
          <w:rFonts w:ascii="Cambria Math" w:eastAsia="Cambria Math"/>
        </w:rPr>
        <w:t>𝑁</w:t>
      </w:r>
      <w:r>
        <w:rPr>
          <w:rFonts w:ascii="Cambria Math" w:eastAsia="Cambria Math"/>
          <w:position w:val="-3"/>
          <w:sz w:val="15"/>
        </w:rPr>
        <w:t>𝑥</w:t>
      </w:r>
      <w:r>
        <w:rPr>
          <w:spacing w:val="-5"/>
        </w:rPr>
        <w:t>： 区域淋巴结无法评估</w:t>
      </w:r>
      <w:r>
        <w:t xml:space="preserve"> p</w:t>
      </w:r>
      <w:r>
        <w:rPr>
          <w:rFonts w:ascii="Cambria Math" w:eastAsia="Cambria Math"/>
        </w:rPr>
        <w:t>𝑁</w:t>
      </w:r>
      <w:r>
        <w:rPr>
          <w:rFonts w:ascii="Cambria Math" w:eastAsia="Cambria Math"/>
          <w:vertAlign w:val="subscript"/>
        </w:rPr>
        <w:t>0</w:t>
      </w:r>
      <w:r>
        <w:rPr>
          <w:vertAlign w:val="baseline"/>
        </w:rPr>
        <w:t>： 无淋巴结转移证据 p</w:t>
      </w:r>
      <w:r>
        <w:rPr>
          <w:rFonts w:ascii="Cambria Math" w:eastAsia="Cambria Math"/>
          <w:vertAlign w:val="baseline"/>
        </w:rPr>
        <w:t>𝑁</w:t>
      </w:r>
      <w:r>
        <w:rPr>
          <w:rFonts w:ascii="Cambria Math" w:eastAsia="Cambria Math"/>
          <w:vertAlign w:val="subscript"/>
        </w:rPr>
        <w:t>1</w:t>
      </w:r>
      <w:r>
        <w:rPr>
          <w:vertAlign w:val="baseline"/>
        </w:rPr>
        <w:t>： 区域淋巴结转移</w:t>
      </w:r>
    </w:p>
    <w:p>
      <w:pPr>
        <w:pStyle w:val="4"/>
        <w:spacing w:before="10" w:line="266" w:lineRule="auto"/>
        <w:ind w:left="2553" w:right="113"/>
      </w:pPr>
      <w:r>
        <w:rPr>
          <w:spacing w:val="-2"/>
        </w:rPr>
        <w:t>p</w:t>
      </w:r>
      <w:r>
        <w:rPr>
          <w:rFonts w:ascii="Cambria Math" w:hAnsi="Cambria Math" w:eastAsia="Cambria Math"/>
          <w:spacing w:val="-2"/>
        </w:rPr>
        <w:t>𝑁</w:t>
      </w:r>
      <w:r>
        <w:rPr>
          <w:rFonts w:ascii="Cambria Math" w:hAnsi="Cambria Math" w:eastAsia="Cambria Math"/>
          <w:spacing w:val="-2"/>
          <w:vertAlign w:val="subscript"/>
        </w:rPr>
        <w:t>1</w:t>
      </w:r>
      <w:r>
        <w:rPr>
          <w:rFonts w:ascii="Cambria Math" w:hAnsi="Cambria Math" w:eastAsia="Cambria Math"/>
          <w:spacing w:val="-2"/>
          <w:position w:val="-3"/>
          <w:sz w:val="15"/>
          <w:vertAlign w:val="baseline"/>
        </w:rPr>
        <w:t>𝑎</w:t>
      </w:r>
      <w:r>
        <w:rPr>
          <w:spacing w:val="-2"/>
          <w:vertAlign w:val="baseline"/>
        </w:rPr>
        <w:t>：转移至Ⅵ、Ⅶ区（包括气管旁、气管前、喉前/Delphian</w:t>
      </w:r>
      <w:r>
        <w:rPr>
          <w:spacing w:val="-14"/>
          <w:vertAlign w:val="baseline"/>
        </w:rPr>
        <w:t xml:space="preserve"> 或上纵隔</w:t>
      </w:r>
      <w:r>
        <w:rPr>
          <w:spacing w:val="-2"/>
          <w:vertAlign w:val="baseline"/>
        </w:rPr>
        <w:t>）淋巴结，可以为单侧或双侧。</w:t>
      </w:r>
    </w:p>
    <w:p>
      <w:pPr>
        <w:pStyle w:val="4"/>
        <w:spacing w:before="168" w:line="266" w:lineRule="auto"/>
        <w:ind w:left="2553" w:right="218"/>
      </w:pPr>
      <w:r>
        <w:rPr>
          <w:spacing w:val="-2"/>
        </w:rPr>
        <w:t>p</w:t>
      </w:r>
      <w:r>
        <w:rPr>
          <w:rFonts w:ascii="Cambria Math" w:hAnsi="Cambria Math" w:eastAsia="Cambria Math"/>
          <w:spacing w:val="-2"/>
        </w:rPr>
        <w:t>𝑁</w:t>
      </w:r>
      <w:r>
        <w:rPr>
          <w:rFonts w:ascii="Cambria Math" w:hAnsi="Cambria Math" w:eastAsia="Cambria Math"/>
          <w:spacing w:val="-2"/>
          <w:position w:val="-3"/>
          <w:sz w:val="15"/>
        </w:rPr>
        <w:t>1𝑏</w:t>
      </w:r>
      <w:r>
        <w:rPr>
          <w:spacing w:val="-2"/>
        </w:rPr>
        <w:t>：单侧、双侧或对侧颈淋巴结转移（包括Ⅰ、Ⅱ、Ⅲ、Ⅳ或Ⅴ区）淋巴结或咽后淋巴结转移。</w:t>
      </w:r>
    </w:p>
    <w:p>
      <w:pPr>
        <w:pStyle w:val="4"/>
        <w:spacing w:before="169"/>
        <w:ind w:left="2553"/>
      </w:pPr>
      <w:r>
        <w:rPr>
          <w:spacing w:val="-3"/>
        </w:rPr>
        <w:t>远处转移：适用于所有甲状腺癌</w:t>
      </w:r>
    </w:p>
    <w:p>
      <w:pPr>
        <w:pStyle w:val="4"/>
        <w:spacing w:before="7"/>
        <w:rPr>
          <w:sz w:val="15"/>
        </w:rPr>
      </w:pPr>
    </w:p>
    <w:p>
      <w:pPr>
        <w:pStyle w:val="4"/>
        <w:ind w:left="2553"/>
      </w:pPr>
      <w:r>
        <w:rPr>
          <w:rFonts w:ascii="Cambria Math" w:eastAsia="Cambria Math"/>
          <w:spacing w:val="-2"/>
        </w:rPr>
        <w:t>𝑀</w:t>
      </w:r>
      <w:r>
        <w:rPr>
          <w:rFonts w:ascii="Cambria Math" w:eastAsia="Cambria Math"/>
          <w:spacing w:val="-2"/>
          <w:vertAlign w:val="subscript"/>
        </w:rPr>
        <w:t>0</w:t>
      </w:r>
      <w:r>
        <w:rPr>
          <w:spacing w:val="-4"/>
          <w:vertAlign w:val="baseline"/>
        </w:rPr>
        <w:t>：无远处转移</w:t>
      </w:r>
    </w:p>
    <w:p>
      <w:pPr>
        <w:pStyle w:val="4"/>
        <w:spacing w:before="199"/>
        <w:ind w:left="2553"/>
      </w:pPr>
      <w:r>
        <w:rPr>
          <w:rFonts w:ascii="Cambria Math" w:eastAsia="Cambria Math"/>
          <w:spacing w:val="-2"/>
        </w:rPr>
        <w:t>𝑀</w:t>
      </w:r>
      <w:r>
        <w:rPr>
          <w:rFonts w:ascii="Cambria Math" w:eastAsia="Cambria Math"/>
          <w:spacing w:val="-2"/>
          <w:vertAlign w:val="subscript"/>
        </w:rPr>
        <w:t>1</w:t>
      </w:r>
      <w:r>
        <w:rPr>
          <w:spacing w:val="-4"/>
          <w:vertAlign w:val="baseline"/>
        </w:rPr>
        <w:t>：有远处转移</w:t>
      </w:r>
    </w:p>
    <w:p>
      <w:pPr>
        <w:pStyle w:val="4"/>
        <w:spacing w:before="9"/>
        <w:rPr>
          <w:sz w:val="13"/>
        </w:rPr>
      </w:pPr>
    </w:p>
    <w:tbl>
      <w:tblPr>
        <w:tblStyle w:val="6"/>
        <w:tblW w:w="0" w:type="auto"/>
        <w:tblInd w:w="256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887"/>
        <w:gridCol w:w="1901"/>
        <w:gridCol w:w="1889"/>
        <w:gridCol w:w="186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7540" w:type="dxa"/>
            <w:gridSpan w:val="4"/>
          </w:tcPr>
          <w:p>
            <w:pPr>
              <w:pStyle w:val="10"/>
              <w:ind w:left="107"/>
              <w:rPr>
                <w:sz w:val="21"/>
              </w:rPr>
            </w:pPr>
            <w:r>
              <w:rPr>
                <w:spacing w:val="-2"/>
                <w:sz w:val="21"/>
              </w:rPr>
              <w:t>乳头状或滤泡状癌（分化型</w:t>
            </w:r>
            <w:r>
              <w:rPr>
                <w:spacing w:val="-10"/>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7540" w:type="dxa"/>
            <w:gridSpan w:val="4"/>
          </w:tcPr>
          <w:p>
            <w:pPr>
              <w:pStyle w:val="10"/>
              <w:ind w:left="107"/>
              <w:rPr>
                <w:sz w:val="21"/>
              </w:rPr>
            </w:pPr>
            <w:r>
              <w:rPr>
                <w:spacing w:val="-2"/>
                <w:sz w:val="21"/>
              </w:rPr>
              <w:t>年龄＜55</w:t>
            </w:r>
            <w:r>
              <w:rPr>
                <w:spacing w:val="-29"/>
                <w:sz w:val="21"/>
              </w:rPr>
              <w:t xml:space="preserve"> 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887" w:type="dxa"/>
          </w:tcPr>
          <w:p>
            <w:pPr>
              <w:pStyle w:val="10"/>
              <w:spacing w:before="0"/>
              <w:rPr>
                <w:rFonts w:ascii="Times New Roman"/>
                <w:sz w:val="20"/>
              </w:rPr>
            </w:pPr>
          </w:p>
        </w:tc>
        <w:tc>
          <w:tcPr>
            <w:tcW w:w="1901" w:type="dxa"/>
          </w:tcPr>
          <w:p>
            <w:pPr>
              <w:pStyle w:val="10"/>
              <w:ind w:left="9"/>
              <w:jc w:val="center"/>
              <w:rPr>
                <w:sz w:val="21"/>
              </w:rPr>
            </w:pPr>
            <w:r>
              <w:rPr>
                <w:w w:val="100"/>
                <w:sz w:val="21"/>
              </w:rPr>
              <w:t>T</w:t>
            </w:r>
          </w:p>
        </w:tc>
        <w:tc>
          <w:tcPr>
            <w:tcW w:w="1889" w:type="dxa"/>
          </w:tcPr>
          <w:p>
            <w:pPr>
              <w:pStyle w:val="10"/>
              <w:ind w:left="12"/>
              <w:jc w:val="center"/>
              <w:rPr>
                <w:sz w:val="21"/>
              </w:rPr>
            </w:pPr>
            <w:r>
              <w:rPr>
                <w:w w:val="100"/>
                <w:sz w:val="21"/>
              </w:rPr>
              <w:t>N</w:t>
            </w:r>
          </w:p>
        </w:tc>
        <w:tc>
          <w:tcPr>
            <w:tcW w:w="1863" w:type="dxa"/>
          </w:tcPr>
          <w:p>
            <w:pPr>
              <w:pStyle w:val="10"/>
              <w:ind w:right="866"/>
              <w:jc w:val="right"/>
              <w:rPr>
                <w:sz w:val="21"/>
              </w:rPr>
            </w:pPr>
            <w:r>
              <w:rPr>
                <w:w w:val="100"/>
                <w:sz w:val="21"/>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1887" w:type="dxa"/>
          </w:tcPr>
          <w:p>
            <w:pPr>
              <w:pStyle w:val="10"/>
              <w:spacing w:before="25"/>
              <w:ind w:left="640" w:right="630"/>
              <w:jc w:val="center"/>
              <w:rPr>
                <w:sz w:val="21"/>
              </w:rPr>
            </w:pPr>
            <w:r>
              <w:rPr>
                <w:spacing w:val="-5"/>
                <w:sz w:val="21"/>
              </w:rPr>
              <w:t>Ⅰ期</w:t>
            </w:r>
          </w:p>
        </w:tc>
        <w:tc>
          <w:tcPr>
            <w:tcW w:w="1901" w:type="dxa"/>
          </w:tcPr>
          <w:p>
            <w:pPr>
              <w:pStyle w:val="10"/>
              <w:spacing w:before="25"/>
              <w:ind w:left="620" w:right="611"/>
              <w:jc w:val="center"/>
              <w:rPr>
                <w:sz w:val="21"/>
              </w:rPr>
            </w:pPr>
            <w:r>
              <w:rPr>
                <w:spacing w:val="-5"/>
                <w:sz w:val="21"/>
              </w:rPr>
              <w:t>任何</w:t>
            </w:r>
          </w:p>
        </w:tc>
        <w:tc>
          <w:tcPr>
            <w:tcW w:w="1889" w:type="dxa"/>
          </w:tcPr>
          <w:p>
            <w:pPr>
              <w:pStyle w:val="10"/>
              <w:spacing w:before="25"/>
              <w:ind w:left="723" w:right="706"/>
              <w:jc w:val="center"/>
              <w:rPr>
                <w:sz w:val="21"/>
              </w:rPr>
            </w:pPr>
            <w:r>
              <w:rPr>
                <w:spacing w:val="-5"/>
                <w:sz w:val="21"/>
              </w:rPr>
              <w:t>任何</w:t>
            </w:r>
          </w:p>
        </w:tc>
        <w:tc>
          <w:tcPr>
            <w:tcW w:w="1863" w:type="dxa"/>
          </w:tcPr>
          <w:p>
            <w:pPr>
              <w:pStyle w:val="10"/>
              <w:spacing w:before="25"/>
              <w:ind w:right="866"/>
              <w:jc w:val="right"/>
              <w:rPr>
                <w:sz w:val="21"/>
              </w:rPr>
            </w:pPr>
            <w:r>
              <w:rPr>
                <w:w w:val="100"/>
                <w:sz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887" w:type="dxa"/>
          </w:tcPr>
          <w:p>
            <w:pPr>
              <w:pStyle w:val="10"/>
              <w:ind w:left="640" w:right="630"/>
              <w:jc w:val="center"/>
              <w:rPr>
                <w:sz w:val="21"/>
              </w:rPr>
            </w:pPr>
            <w:r>
              <w:rPr>
                <w:spacing w:val="-5"/>
                <w:sz w:val="21"/>
              </w:rPr>
              <w:t>Ⅱ期</w:t>
            </w:r>
          </w:p>
        </w:tc>
        <w:tc>
          <w:tcPr>
            <w:tcW w:w="1901" w:type="dxa"/>
          </w:tcPr>
          <w:p>
            <w:pPr>
              <w:pStyle w:val="10"/>
              <w:ind w:left="620" w:right="611"/>
              <w:jc w:val="center"/>
              <w:rPr>
                <w:sz w:val="21"/>
              </w:rPr>
            </w:pPr>
            <w:r>
              <w:rPr>
                <w:spacing w:val="-5"/>
                <w:sz w:val="21"/>
              </w:rPr>
              <w:t>任何</w:t>
            </w:r>
          </w:p>
        </w:tc>
        <w:tc>
          <w:tcPr>
            <w:tcW w:w="1889" w:type="dxa"/>
          </w:tcPr>
          <w:p>
            <w:pPr>
              <w:pStyle w:val="10"/>
              <w:ind w:left="723" w:right="706"/>
              <w:jc w:val="center"/>
              <w:rPr>
                <w:sz w:val="21"/>
              </w:rPr>
            </w:pPr>
            <w:r>
              <w:rPr>
                <w:spacing w:val="-5"/>
                <w:sz w:val="21"/>
              </w:rPr>
              <w:t>任何</w:t>
            </w:r>
          </w:p>
        </w:tc>
        <w:tc>
          <w:tcPr>
            <w:tcW w:w="1863" w:type="dxa"/>
          </w:tcPr>
          <w:p>
            <w:pPr>
              <w:pStyle w:val="10"/>
              <w:ind w:right="866"/>
              <w:jc w:val="right"/>
              <w:rPr>
                <w:sz w:val="21"/>
              </w:rPr>
            </w:pPr>
            <w:r>
              <w:rPr>
                <w:w w:val="100"/>
                <w:sz w:val="21"/>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7540" w:type="dxa"/>
            <w:gridSpan w:val="4"/>
          </w:tcPr>
          <w:p>
            <w:pPr>
              <w:pStyle w:val="10"/>
              <w:ind w:left="107"/>
              <w:rPr>
                <w:sz w:val="21"/>
              </w:rPr>
            </w:pPr>
            <w:r>
              <w:rPr>
                <w:spacing w:val="-2"/>
                <w:sz w:val="21"/>
              </w:rPr>
              <w:t>年龄≥55</w:t>
            </w:r>
            <w:r>
              <w:rPr>
                <w:spacing w:val="-29"/>
                <w:sz w:val="21"/>
              </w:rPr>
              <w:t xml:space="preserve"> 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887" w:type="dxa"/>
            <w:vMerge w:val="restart"/>
          </w:tcPr>
          <w:p>
            <w:pPr>
              <w:pStyle w:val="10"/>
              <w:ind w:left="640" w:right="630"/>
              <w:jc w:val="center"/>
              <w:rPr>
                <w:sz w:val="21"/>
              </w:rPr>
            </w:pPr>
            <w:r>
              <w:rPr>
                <w:spacing w:val="-5"/>
                <w:sz w:val="21"/>
              </w:rPr>
              <w:t>Ⅰ期</w:t>
            </w:r>
          </w:p>
        </w:tc>
        <w:tc>
          <w:tcPr>
            <w:tcW w:w="1901" w:type="dxa"/>
          </w:tcPr>
          <w:p>
            <w:pPr>
              <w:pStyle w:val="10"/>
              <w:ind w:left="9"/>
              <w:jc w:val="center"/>
              <w:rPr>
                <w:sz w:val="21"/>
              </w:rPr>
            </w:pPr>
            <w:r>
              <w:rPr>
                <w:w w:val="100"/>
                <w:sz w:val="21"/>
              </w:rPr>
              <w:t>1</w:t>
            </w:r>
          </w:p>
        </w:tc>
        <w:tc>
          <w:tcPr>
            <w:tcW w:w="1889" w:type="dxa"/>
          </w:tcPr>
          <w:p>
            <w:pPr>
              <w:pStyle w:val="10"/>
              <w:ind w:left="723" w:right="706"/>
              <w:jc w:val="center"/>
              <w:rPr>
                <w:sz w:val="21"/>
              </w:rPr>
            </w:pPr>
            <w:r>
              <w:rPr>
                <w:spacing w:val="-5"/>
                <w:sz w:val="21"/>
              </w:rPr>
              <w:t>0/x</w:t>
            </w:r>
          </w:p>
        </w:tc>
        <w:tc>
          <w:tcPr>
            <w:tcW w:w="1863" w:type="dxa"/>
          </w:tcPr>
          <w:p>
            <w:pPr>
              <w:pStyle w:val="10"/>
              <w:ind w:right="866"/>
              <w:jc w:val="right"/>
              <w:rPr>
                <w:sz w:val="21"/>
              </w:rPr>
            </w:pPr>
            <w:r>
              <w:rPr>
                <w:w w:val="100"/>
                <w:sz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887" w:type="dxa"/>
            <w:vMerge w:val="continue"/>
            <w:tcBorders>
              <w:top w:val="nil"/>
            </w:tcBorders>
          </w:tcPr>
          <w:p>
            <w:pPr>
              <w:rPr>
                <w:sz w:val="2"/>
                <w:szCs w:val="2"/>
              </w:rPr>
            </w:pPr>
          </w:p>
        </w:tc>
        <w:tc>
          <w:tcPr>
            <w:tcW w:w="1901" w:type="dxa"/>
          </w:tcPr>
          <w:p>
            <w:pPr>
              <w:pStyle w:val="10"/>
              <w:ind w:left="9"/>
              <w:jc w:val="center"/>
              <w:rPr>
                <w:sz w:val="21"/>
              </w:rPr>
            </w:pPr>
            <w:r>
              <w:rPr>
                <w:w w:val="100"/>
                <w:sz w:val="21"/>
              </w:rPr>
              <w:t>2</w:t>
            </w:r>
          </w:p>
        </w:tc>
        <w:tc>
          <w:tcPr>
            <w:tcW w:w="1889" w:type="dxa"/>
          </w:tcPr>
          <w:p>
            <w:pPr>
              <w:pStyle w:val="10"/>
              <w:ind w:left="723" w:right="706"/>
              <w:jc w:val="center"/>
              <w:rPr>
                <w:sz w:val="21"/>
              </w:rPr>
            </w:pPr>
            <w:r>
              <w:rPr>
                <w:spacing w:val="-5"/>
                <w:sz w:val="21"/>
              </w:rPr>
              <w:t>0/x</w:t>
            </w:r>
          </w:p>
        </w:tc>
        <w:tc>
          <w:tcPr>
            <w:tcW w:w="1863" w:type="dxa"/>
          </w:tcPr>
          <w:p>
            <w:pPr>
              <w:pStyle w:val="10"/>
              <w:ind w:right="866"/>
              <w:jc w:val="right"/>
              <w:rPr>
                <w:sz w:val="21"/>
              </w:rPr>
            </w:pPr>
            <w:r>
              <w:rPr>
                <w:w w:val="100"/>
                <w:sz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887" w:type="dxa"/>
            <w:vMerge w:val="restart"/>
          </w:tcPr>
          <w:p>
            <w:pPr>
              <w:pStyle w:val="10"/>
              <w:ind w:left="640" w:right="630"/>
              <w:jc w:val="center"/>
              <w:rPr>
                <w:sz w:val="21"/>
              </w:rPr>
            </w:pPr>
            <w:r>
              <w:rPr>
                <w:spacing w:val="-5"/>
                <w:sz w:val="21"/>
              </w:rPr>
              <w:t>Ⅱ期</w:t>
            </w:r>
          </w:p>
        </w:tc>
        <w:tc>
          <w:tcPr>
            <w:tcW w:w="1901" w:type="dxa"/>
          </w:tcPr>
          <w:p>
            <w:pPr>
              <w:pStyle w:val="10"/>
              <w:ind w:left="620" w:right="611"/>
              <w:jc w:val="center"/>
              <w:rPr>
                <w:sz w:val="21"/>
              </w:rPr>
            </w:pPr>
            <w:r>
              <w:rPr>
                <w:spacing w:val="-5"/>
                <w:sz w:val="21"/>
              </w:rPr>
              <w:t>1～2</w:t>
            </w:r>
          </w:p>
        </w:tc>
        <w:tc>
          <w:tcPr>
            <w:tcW w:w="1889" w:type="dxa"/>
          </w:tcPr>
          <w:p>
            <w:pPr>
              <w:pStyle w:val="10"/>
              <w:ind w:left="12"/>
              <w:jc w:val="center"/>
              <w:rPr>
                <w:sz w:val="21"/>
              </w:rPr>
            </w:pPr>
            <w:r>
              <w:rPr>
                <w:w w:val="100"/>
                <w:sz w:val="21"/>
              </w:rPr>
              <w:t>1</w:t>
            </w:r>
          </w:p>
        </w:tc>
        <w:tc>
          <w:tcPr>
            <w:tcW w:w="1863" w:type="dxa"/>
          </w:tcPr>
          <w:p>
            <w:pPr>
              <w:pStyle w:val="10"/>
              <w:ind w:right="866"/>
              <w:jc w:val="right"/>
              <w:rPr>
                <w:sz w:val="21"/>
              </w:rPr>
            </w:pPr>
            <w:r>
              <w:rPr>
                <w:w w:val="100"/>
                <w:sz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1887" w:type="dxa"/>
            <w:vMerge w:val="continue"/>
            <w:tcBorders>
              <w:top w:val="nil"/>
            </w:tcBorders>
          </w:tcPr>
          <w:p>
            <w:pPr>
              <w:rPr>
                <w:sz w:val="2"/>
                <w:szCs w:val="2"/>
              </w:rPr>
            </w:pPr>
          </w:p>
        </w:tc>
        <w:tc>
          <w:tcPr>
            <w:tcW w:w="1901" w:type="dxa"/>
          </w:tcPr>
          <w:p>
            <w:pPr>
              <w:pStyle w:val="10"/>
              <w:spacing w:before="25"/>
              <w:ind w:left="620" w:right="611"/>
              <w:jc w:val="center"/>
              <w:rPr>
                <w:sz w:val="21"/>
              </w:rPr>
            </w:pPr>
            <w:r>
              <w:rPr>
                <w:spacing w:val="-2"/>
                <w:sz w:val="21"/>
              </w:rPr>
              <w:t>3a～3b</w:t>
            </w:r>
          </w:p>
        </w:tc>
        <w:tc>
          <w:tcPr>
            <w:tcW w:w="1889" w:type="dxa"/>
          </w:tcPr>
          <w:p>
            <w:pPr>
              <w:pStyle w:val="10"/>
              <w:spacing w:before="25"/>
              <w:ind w:left="723" w:right="706"/>
              <w:jc w:val="center"/>
              <w:rPr>
                <w:sz w:val="21"/>
              </w:rPr>
            </w:pPr>
            <w:r>
              <w:rPr>
                <w:spacing w:val="-5"/>
                <w:sz w:val="21"/>
              </w:rPr>
              <w:t>任何</w:t>
            </w:r>
          </w:p>
        </w:tc>
        <w:tc>
          <w:tcPr>
            <w:tcW w:w="1863" w:type="dxa"/>
          </w:tcPr>
          <w:p>
            <w:pPr>
              <w:pStyle w:val="10"/>
              <w:spacing w:before="25"/>
              <w:ind w:right="866"/>
              <w:jc w:val="right"/>
              <w:rPr>
                <w:sz w:val="21"/>
              </w:rPr>
            </w:pPr>
            <w:r>
              <w:rPr>
                <w:w w:val="100"/>
                <w:sz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887" w:type="dxa"/>
          </w:tcPr>
          <w:p>
            <w:pPr>
              <w:pStyle w:val="10"/>
              <w:ind w:left="640" w:right="630"/>
              <w:jc w:val="center"/>
              <w:rPr>
                <w:sz w:val="21"/>
              </w:rPr>
            </w:pPr>
            <w:r>
              <w:rPr>
                <w:spacing w:val="-5"/>
                <w:sz w:val="21"/>
              </w:rPr>
              <w:t>Ⅲ期</w:t>
            </w:r>
          </w:p>
        </w:tc>
        <w:tc>
          <w:tcPr>
            <w:tcW w:w="1901" w:type="dxa"/>
          </w:tcPr>
          <w:p>
            <w:pPr>
              <w:pStyle w:val="10"/>
              <w:ind w:left="620" w:right="611"/>
              <w:jc w:val="center"/>
              <w:rPr>
                <w:sz w:val="21"/>
              </w:rPr>
            </w:pPr>
            <w:r>
              <w:rPr>
                <w:spacing w:val="-5"/>
                <w:sz w:val="21"/>
              </w:rPr>
              <w:t>4a</w:t>
            </w:r>
          </w:p>
        </w:tc>
        <w:tc>
          <w:tcPr>
            <w:tcW w:w="1889" w:type="dxa"/>
          </w:tcPr>
          <w:p>
            <w:pPr>
              <w:pStyle w:val="10"/>
              <w:ind w:left="723" w:right="706"/>
              <w:jc w:val="center"/>
              <w:rPr>
                <w:sz w:val="21"/>
              </w:rPr>
            </w:pPr>
            <w:r>
              <w:rPr>
                <w:spacing w:val="-5"/>
                <w:sz w:val="21"/>
              </w:rPr>
              <w:t>任何</w:t>
            </w:r>
          </w:p>
        </w:tc>
        <w:tc>
          <w:tcPr>
            <w:tcW w:w="1863" w:type="dxa"/>
          </w:tcPr>
          <w:p>
            <w:pPr>
              <w:pStyle w:val="10"/>
              <w:ind w:right="866"/>
              <w:jc w:val="right"/>
              <w:rPr>
                <w:sz w:val="21"/>
              </w:rPr>
            </w:pPr>
            <w:r>
              <w:rPr>
                <w:w w:val="100"/>
                <w:sz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887" w:type="dxa"/>
          </w:tcPr>
          <w:p>
            <w:pPr>
              <w:pStyle w:val="10"/>
              <w:ind w:left="640" w:right="630"/>
              <w:jc w:val="center"/>
              <w:rPr>
                <w:sz w:val="21"/>
              </w:rPr>
            </w:pPr>
            <w:r>
              <w:rPr>
                <w:sz w:val="21"/>
              </w:rPr>
              <w:t>ⅣA</w:t>
            </w:r>
            <w:r>
              <w:rPr>
                <w:spacing w:val="-32"/>
                <w:sz w:val="21"/>
              </w:rPr>
              <w:t xml:space="preserve"> 期</w:t>
            </w:r>
          </w:p>
        </w:tc>
        <w:tc>
          <w:tcPr>
            <w:tcW w:w="1901" w:type="dxa"/>
          </w:tcPr>
          <w:p>
            <w:pPr>
              <w:pStyle w:val="10"/>
              <w:ind w:left="620" w:right="611"/>
              <w:jc w:val="center"/>
              <w:rPr>
                <w:sz w:val="21"/>
              </w:rPr>
            </w:pPr>
            <w:r>
              <w:rPr>
                <w:spacing w:val="-5"/>
                <w:sz w:val="21"/>
              </w:rPr>
              <w:t>4b</w:t>
            </w:r>
          </w:p>
        </w:tc>
        <w:tc>
          <w:tcPr>
            <w:tcW w:w="1889" w:type="dxa"/>
          </w:tcPr>
          <w:p>
            <w:pPr>
              <w:pStyle w:val="10"/>
              <w:ind w:left="723" w:right="706"/>
              <w:jc w:val="center"/>
              <w:rPr>
                <w:sz w:val="21"/>
              </w:rPr>
            </w:pPr>
            <w:r>
              <w:rPr>
                <w:spacing w:val="-5"/>
                <w:sz w:val="21"/>
              </w:rPr>
              <w:t>任何</w:t>
            </w:r>
          </w:p>
        </w:tc>
        <w:tc>
          <w:tcPr>
            <w:tcW w:w="1863" w:type="dxa"/>
          </w:tcPr>
          <w:p>
            <w:pPr>
              <w:pStyle w:val="10"/>
              <w:ind w:right="866"/>
              <w:jc w:val="right"/>
              <w:rPr>
                <w:sz w:val="21"/>
              </w:rPr>
            </w:pPr>
            <w:r>
              <w:rPr>
                <w:w w:val="100"/>
                <w:sz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887" w:type="dxa"/>
          </w:tcPr>
          <w:p>
            <w:pPr>
              <w:pStyle w:val="10"/>
              <w:ind w:left="640" w:right="630"/>
              <w:jc w:val="center"/>
              <w:rPr>
                <w:sz w:val="21"/>
              </w:rPr>
            </w:pPr>
            <w:r>
              <w:rPr>
                <w:sz w:val="21"/>
              </w:rPr>
              <w:t>ⅣB</w:t>
            </w:r>
            <w:r>
              <w:rPr>
                <w:spacing w:val="-32"/>
                <w:sz w:val="21"/>
              </w:rPr>
              <w:t xml:space="preserve"> 期</w:t>
            </w:r>
          </w:p>
        </w:tc>
        <w:tc>
          <w:tcPr>
            <w:tcW w:w="1901" w:type="dxa"/>
          </w:tcPr>
          <w:p>
            <w:pPr>
              <w:pStyle w:val="10"/>
              <w:ind w:left="620" w:right="611"/>
              <w:jc w:val="center"/>
              <w:rPr>
                <w:sz w:val="21"/>
              </w:rPr>
            </w:pPr>
            <w:r>
              <w:rPr>
                <w:spacing w:val="-5"/>
                <w:sz w:val="21"/>
              </w:rPr>
              <w:t>任何</w:t>
            </w:r>
          </w:p>
        </w:tc>
        <w:tc>
          <w:tcPr>
            <w:tcW w:w="1889" w:type="dxa"/>
          </w:tcPr>
          <w:p>
            <w:pPr>
              <w:pStyle w:val="10"/>
              <w:ind w:left="723" w:right="706"/>
              <w:jc w:val="center"/>
              <w:rPr>
                <w:sz w:val="21"/>
              </w:rPr>
            </w:pPr>
            <w:r>
              <w:rPr>
                <w:spacing w:val="-5"/>
                <w:sz w:val="21"/>
              </w:rPr>
              <w:t>任何</w:t>
            </w:r>
          </w:p>
        </w:tc>
        <w:tc>
          <w:tcPr>
            <w:tcW w:w="1863" w:type="dxa"/>
          </w:tcPr>
          <w:p>
            <w:pPr>
              <w:pStyle w:val="10"/>
              <w:ind w:right="866"/>
              <w:jc w:val="right"/>
              <w:rPr>
                <w:sz w:val="21"/>
              </w:rPr>
            </w:pPr>
            <w:r>
              <w:rPr>
                <w:w w:val="100"/>
                <w:sz w:val="21"/>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7540" w:type="dxa"/>
            <w:gridSpan w:val="4"/>
          </w:tcPr>
          <w:p>
            <w:pPr>
              <w:pStyle w:val="10"/>
              <w:ind w:left="107"/>
              <w:rPr>
                <w:sz w:val="21"/>
              </w:rPr>
            </w:pPr>
            <w:r>
              <w:rPr>
                <w:spacing w:val="-2"/>
                <w:sz w:val="21"/>
              </w:rPr>
              <w:t>髓样癌（所有年龄组</w:t>
            </w:r>
            <w:r>
              <w:rPr>
                <w:spacing w:val="-10"/>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887" w:type="dxa"/>
          </w:tcPr>
          <w:p>
            <w:pPr>
              <w:pStyle w:val="10"/>
              <w:ind w:left="640" w:right="630"/>
              <w:jc w:val="center"/>
              <w:rPr>
                <w:sz w:val="21"/>
              </w:rPr>
            </w:pPr>
            <w:r>
              <w:rPr>
                <w:spacing w:val="-5"/>
                <w:sz w:val="21"/>
              </w:rPr>
              <w:t>Ⅰ期</w:t>
            </w:r>
          </w:p>
        </w:tc>
        <w:tc>
          <w:tcPr>
            <w:tcW w:w="1901" w:type="dxa"/>
          </w:tcPr>
          <w:p>
            <w:pPr>
              <w:pStyle w:val="10"/>
              <w:ind w:left="9"/>
              <w:jc w:val="center"/>
              <w:rPr>
                <w:sz w:val="21"/>
              </w:rPr>
            </w:pPr>
            <w:r>
              <w:rPr>
                <w:w w:val="100"/>
                <w:sz w:val="21"/>
              </w:rPr>
              <w:t>1</w:t>
            </w:r>
          </w:p>
        </w:tc>
        <w:tc>
          <w:tcPr>
            <w:tcW w:w="1889" w:type="dxa"/>
          </w:tcPr>
          <w:p>
            <w:pPr>
              <w:pStyle w:val="10"/>
              <w:ind w:left="12"/>
              <w:jc w:val="center"/>
              <w:rPr>
                <w:sz w:val="21"/>
              </w:rPr>
            </w:pPr>
            <w:r>
              <w:rPr>
                <w:w w:val="100"/>
                <w:sz w:val="21"/>
              </w:rPr>
              <w:t>0</w:t>
            </w:r>
          </w:p>
        </w:tc>
        <w:tc>
          <w:tcPr>
            <w:tcW w:w="1863" w:type="dxa"/>
          </w:tcPr>
          <w:p>
            <w:pPr>
              <w:pStyle w:val="10"/>
              <w:ind w:right="866"/>
              <w:jc w:val="right"/>
              <w:rPr>
                <w:sz w:val="21"/>
              </w:rPr>
            </w:pPr>
            <w:r>
              <w:rPr>
                <w:w w:val="100"/>
                <w:sz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1887" w:type="dxa"/>
          </w:tcPr>
          <w:p>
            <w:pPr>
              <w:pStyle w:val="10"/>
              <w:spacing w:before="25"/>
              <w:ind w:left="640" w:right="630"/>
              <w:jc w:val="center"/>
              <w:rPr>
                <w:sz w:val="21"/>
              </w:rPr>
            </w:pPr>
            <w:r>
              <w:rPr>
                <w:spacing w:val="-5"/>
                <w:sz w:val="21"/>
              </w:rPr>
              <w:t>Ⅱ期</w:t>
            </w:r>
          </w:p>
        </w:tc>
        <w:tc>
          <w:tcPr>
            <w:tcW w:w="1901" w:type="dxa"/>
          </w:tcPr>
          <w:p>
            <w:pPr>
              <w:pStyle w:val="10"/>
              <w:spacing w:before="25"/>
              <w:ind w:left="620" w:right="611"/>
              <w:jc w:val="center"/>
              <w:rPr>
                <w:sz w:val="21"/>
              </w:rPr>
            </w:pPr>
            <w:r>
              <w:rPr>
                <w:spacing w:val="-5"/>
                <w:sz w:val="21"/>
              </w:rPr>
              <w:t>2～3</w:t>
            </w:r>
          </w:p>
        </w:tc>
        <w:tc>
          <w:tcPr>
            <w:tcW w:w="1889" w:type="dxa"/>
          </w:tcPr>
          <w:p>
            <w:pPr>
              <w:pStyle w:val="10"/>
              <w:spacing w:before="25"/>
              <w:ind w:left="12"/>
              <w:jc w:val="center"/>
              <w:rPr>
                <w:sz w:val="21"/>
              </w:rPr>
            </w:pPr>
            <w:r>
              <w:rPr>
                <w:w w:val="100"/>
                <w:sz w:val="21"/>
              </w:rPr>
              <w:t>0</w:t>
            </w:r>
          </w:p>
        </w:tc>
        <w:tc>
          <w:tcPr>
            <w:tcW w:w="1863" w:type="dxa"/>
          </w:tcPr>
          <w:p>
            <w:pPr>
              <w:pStyle w:val="10"/>
              <w:spacing w:before="25"/>
              <w:ind w:right="866"/>
              <w:jc w:val="right"/>
              <w:rPr>
                <w:sz w:val="21"/>
              </w:rPr>
            </w:pPr>
            <w:r>
              <w:rPr>
                <w:w w:val="100"/>
                <w:sz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887" w:type="dxa"/>
          </w:tcPr>
          <w:p>
            <w:pPr>
              <w:pStyle w:val="10"/>
              <w:ind w:left="640" w:right="630"/>
              <w:jc w:val="center"/>
              <w:rPr>
                <w:sz w:val="21"/>
              </w:rPr>
            </w:pPr>
            <w:r>
              <w:rPr>
                <w:spacing w:val="-5"/>
                <w:sz w:val="21"/>
              </w:rPr>
              <w:t>Ⅲ期</w:t>
            </w:r>
          </w:p>
        </w:tc>
        <w:tc>
          <w:tcPr>
            <w:tcW w:w="1901" w:type="dxa"/>
          </w:tcPr>
          <w:p>
            <w:pPr>
              <w:pStyle w:val="10"/>
              <w:ind w:left="620" w:right="611"/>
              <w:jc w:val="center"/>
              <w:rPr>
                <w:sz w:val="21"/>
              </w:rPr>
            </w:pPr>
            <w:r>
              <w:rPr>
                <w:spacing w:val="-5"/>
                <w:sz w:val="21"/>
              </w:rPr>
              <w:t>1～3</w:t>
            </w:r>
          </w:p>
        </w:tc>
        <w:tc>
          <w:tcPr>
            <w:tcW w:w="1889" w:type="dxa"/>
          </w:tcPr>
          <w:p>
            <w:pPr>
              <w:pStyle w:val="10"/>
              <w:ind w:left="718" w:right="706"/>
              <w:jc w:val="center"/>
              <w:rPr>
                <w:sz w:val="21"/>
              </w:rPr>
            </w:pPr>
            <w:r>
              <w:rPr>
                <w:spacing w:val="-5"/>
                <w:sz w:val="21"/>
              </w:rPr>
              <w:t>1a</w:t>
            </w:r>
          </w:p>
        </w:tc>
        <w:tc>
          <w:tcPr>
            <w:tcW w:w="1863" w:type="dxa"/>
          </w:tcPr>
          <w:p>
            <w:pPr>
              <w:pStyle w:val="10"/>
              <w:ind w:right="866"/>
              <w:jc w:val="right"/>
              <w:rPr>
                <w:sz w:val="21"/>
              </w:rPr>
            </w:pPr>
            <w:r>
              <w:rPr>
                <w:w w:val="100"/>
                <w:sz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887" w:type="dxa"/>
            <w:vMerge w:val="restart"/>
          </w:tcPr>
          <w:p>
            <w:pPr>
              <w:pStyle w:val="10"/>
              <w:ind w:left="640" w:right="630"/>
              <w:jc w:val="center"/>
              <w:rPr>
                <w:sz w:val="21"/>
              </w:rPr>
            </w:pPr>
            <w:r>
              <w:rPr>
                <w:sz w:val="21"/>
              </w:rPr>
              <w:t>ⅣA</w:t>
            </w:r>
            <w:r>
              <w:rPr>
                <w:spacing w:val="-32"/>
                <w:sz w:val="21"/>
              </w:rPr>
              <w:t xml:space="preserve"> 期</w:t>
            </w:r>
          </w:p>
        </w:tc>
        <w:tc>
          <w:tcPr>
            <w:tcW w:w="1901" w:type="dxa"/>
          </w:tcPr>
          <w:p>
            <w:pPr>
              <w:pStyle w:val="10"/>
              <w:ind w:left="620" w:right="611"/>
              <w:jc w:val="center"/>
              <w:rPr>
                <w:sz w:val="21"/>
              </w:rPr>
            </w:pPr>
            <w:r>
              <w:rPr>
                <w:spacing w:val="-5"/>
                <w:sz w:val="21"/>
              </w:rPr>
              <w:t>4a</w:t>
            </w:r>
          </w:p>
        </w:tc>
        <w:tc>
          <w:tcPr>
            <w:tcW w:w="1889" w:type="dxa"/>
          </w:tcPr>
          <w:p>
            <w:pPr>
              <w:pStyle w:val="10"/>
              <w:ind w:left="723" w:right="706"/>
              <w:jc w:val="center"/>
              <w:rPr>
                <w:sz w:val="21"/>
              </w:rPr>
            </w:pPr>
            <w:r>
              <w:rPr>
                <w:spacing w:val="-5"/>
                <w:sz w:val="21"/>
              </w:rPr>
              <w:t>任何</w:t>
            </w:r>
          </w:p>
        </w:tc>
        <w:tc>
          <w:tcPr>
            <w:tcW w:w="1863" w:type="dxa"/>
          </w:tcPr>
          <w:p>
            <w:pPr>
              <w:pStyle w:val="10"/>
              <w:ind w:right="866"/>
              <w:jc w:val="right"/>
              <w:rPr>
                <w:sz w:val="21"/>
              </w:rPr>
            </w:pPr>
            <w:r>
              <w:rPr>
                <w:w w:val="100"/>
                <w:sz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887" w:type="dxa"/>
            <w:vMerge w:val="continue"/>
            <w:tcBorders>
              <w:top w:val="nil"/>
            </w:tcBorders>
          </w:tcPr>
          <w:p>
            <w:pPr>
              <w:rPr>
                <w:sz w:val="2"/>
                <w:szCs w:val="2"/>
              </w:rPr>
            </w:pPr>
          </w:p>
        </w:tc>
        <w:tc>
          <w:tcPr>
            <w:tcW w:w="1901" w:type="dxa"/>
          </w:tcPr>
          <w:p>
            <w:pPr>
              <w:pStyle w:val="10"/>
              <w:ind w:left="620" w:right="611"/>
              <w:jc w:val="center"/>
              <w:rPr>
                <w:sz w:val="21"/>
              </w:rPr>
            </w:pPr>
            <w:r>
              <w:rPr>
                <w:spacing w:val="-5"/>
                <w:sz w:val="21"/>
              </w:rPr>
              <w:t>1～3</w:t>
            </w:r>
          </w:p>
        </w:tc>
        <w:tc>
          <w:tcPr>
            <w:tcW w:w="1889" w:type="dxa"/>
          </w:tcPr>
          <w:p>
            <w:pPr>
              <w:pStyle w:val="10"/>
              <w:ind w:left="718" w:right="706"/>
              <w:jc w:val="center"/>
              <w:rPr>
                <w:sz w:val="21"/>
              </w:rPr>
            </w:pPr>
            <w:r>
              <w:rPr>
                <w:spacing w:val="-5"/>
                <w:sz w:val="21"/>
              </w:rPr>
              <w:t>1b</w:t>
            </w:r>
          </w:p>
        </w:tc>
        <w:tc>
          <w:tcPr>
            <w:tcW w:w="1863" w:type="dxa"/>
          </w:tcPr>
          <w:p>
            <w:pPr>
              <w:pStyle w:val="10"/>
              <w:ind w:right="866"/>
              <w:jc w:val="right"/>
              <w:rPr>
                <w:sz w:val="21"/>
              </w:rPr>
            </w:pPr>
            <w:r>
              <w:rPr>
                <w:w w:val="100"/>
                <w:sz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887" w:type="dxa"/>
          </w:tcPr>
          <w:p>
            <w:pPr>
              <w:pStyle w:val="10"/>
              <w:ind w:left="640" w:right="630"/>
              <w:jc w:val="center"/>
              <w:rPr>
                <w:sz w:val="21"/>
              </w:rPr>
            </w:pPr>
            <w:r>
              <w:rPr>
                <w:sz w:val="21"/>
              </w:rPr>
              <w:t>ⅣB</w:t>
            </w:r>
            <w:r>
              <w:rPr>
                <w:spacing w:val="-32"/>
                <w:sz w:val="21"/>
              </w:rPr>
              <w:t xml:space="preserve"> 期</w:t>
            </w:r>
          </w:p>
        </w:tc>
        <w:tc>
          <w:tcPr>
            <w:tcW w:w="1901" w:type="dxa"/>
          </w:tcPr>
          <w:p>
            <w:pPr>
              <w:pStyle w:val="10"/>
              <w:ind w:left="620" w:right="611"/>
              <w:jc w:val="center"/>
              <w:rPr>
                <w:sz w:val="21"/>
              </w:rPr>
            </w:pPr>
            <w:r>
              <w:rPr>
                <w:spacing w:val="-5"/>
                <w:sz w:val="21"/>
              </w:rPr>
              <w:t>4b</w:t>
            </w:r>
          </w:p>
        </w:tc>
        <w:tc>
          <w:tcPr>
            <w:tcW w:w="1889" w:type="dxa"/>
          </w:tcPr>
          <w:p>
            <w:pPr>
              <w:pStyle w:val="10"/>
              <w:ind w:left="723" w:right="706"/>
              <w:jc w:val="center"/>
              <w:rPr>
                <w:sz w:val="21"/>
              </w:rPr>
            </w:pPr>
            <w:r>
              <w:rPr>
                <w:spacing w:val="-5"/>
                <w:sz w:val="21"/>
              </w:rPr>
              <w:t>任何</w:t>
            </w:r>
          </w:p>
        </w:tc>
        <w:tc>
          <w:tcPr>
            <w:tcW w:w="1863" w:type="dxa"/>
          </w:tcPr>
          <w:p>
            <w:pPr>
              <w:pStyle w:val="10"/>
              <w:ind w:right="866"/>
              <w:jc w:val="right"/>
              <w:rPr>
                <w:sz w:val="21"/>
              </w:rPr>
            </w:pPr>
            <w:r>
              <w:rPr>
                <w:w w:val="100"/>
                <w:sz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887" w:type="dxa"/>
          </w:tcPr>
          <w:p>
            <w:pPr>
              <w:pStyle w:val="10"/>
              <w:ind w:left="640" w:right="630"/>
              <w:jc w:val="center"/>
              <w:rPr>
                <w:sz w:val="21"/>
              </w:rPr>
            </w:pPr>
            <w:r>
              <w:rPr>
                <w:sz w:val="21"/>
              </w:rPr>
              <w:t>ⅣC</w:t>
            </w:r>
            <w:r>
              <w:rPr>
                <w:spacing w:val="-32"/>
                <w:sz w:val="21"/>
              </w:rPr>
              <w:t xml:space="preserve"> 期</w:t>
            </w:r>
          </w:p>
        </w:tc>
        <w:tc>
          <w:tcPr>
            <w:tcW w:w="1901" w:type="dxa"/>
          </w:tcPr>
          <w:p>
            <w:pPr>
              <w:pStyle w:val="10"/>
              <w:ind w:left="620" w:right="611"/>
              <w:jc w:val="center"/>
              <w:rPr>
                <w:sz w:val="21"/>
              </w:rPr>
            </w:pPr>
            <w:r>
              <w:rPr>
                <w:spacing w:val="-5"/>
                <w:sz w:val="21"/>
              </w:rPr>
              <w:t>任何</w:t>
            </w:r>
          </w:p>
        </w:tc>
        <w:tc>
          <w:tcPr>
            <w:tcW w:w="1889" w:type="dxa"/>
          </w:tcPr>
          <w:p>
            <w:pPr>
              <w:pStyle w:val="10"/>
              <w:ind w:left="723" w:right="706"/>
              <w:jc w:val="center"/>
              <w:rPr>
                <w:sz w:val="21"/>
              </w:rPr>
            </w:pPr>
            <w:r>
              <w:rPr>
                <w:spacing w:val="-5"/>
                <w:sz w:val="21"/>
              </w:rPr>
              <w:t>任何</w:t>
            </w:r>
          </w:p>
        </w:tc>
        <w:tc>
          <w:tcPr>
            <w:tcW w:w="1863" w:type="dxa"/>
          </w:tcPr>
          <w:p>
            <w:pPr>
              <w:pStyle w:val="10"/>
              <w:ind w:right="866"/>
              <w:jc w:val="right"/>
              <w:rPr>
                <w:sz w:val="21"/>
              </w:rPr>
            </w:pPr>
            <w:r>
              <w:rPr>
                <w:w w:val="100"/>
                <w:sz w:val="21"/>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7540" w:type="dxa"/>
            <w:gridSpan w:val="4"/>
          </w:tcPr>
          <w:p>
            <w:pPr>
              <w:pStyle w:val="10"/>
              <w:spacing w:before="25"/>
              <w:ind w:left="107"/>
              <w:rPr>
                <w:sz w:val="21"/>
              </w:rPr>
            </w:pPr>
            <w:r>
              <w:rPr>
                <w:spacing w:val="-2"/>
                <w:sz w:val="21"/>
              </w:rPr>
              <w:t>未分化癌（所有年龄组</w:t>
            </w:r>
            <w:r>
              <w:rPr>
                <w:spacing w:val="-10"/>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887" w:type="dxa"/>
          </w:tcPr>
          <w:p>
            <w:pPr>
              <w:pStyle w:val="10"/>
              <w:ind w:left="640" w:right="630"/>
              <w:jc w:val="center"/>
              <w:rPr>
                <w:sz w:val="21"/>
              </w:rPr>
            </w:pPr>
            <w:r>
              <w:rPr>
                <w:sz w:val="21"/>
              </w:rPr>
              <w:t>ⅣA</w:t>
            </w:r>
            <w:r>
              <w:rPr>
                <w:spacing w:val="-32"/>
                <w:sz w:val="21"/>
              </w:rPr>
              <w:t xml:space="preserve"> 期</w:t>
            </w:r>
          </w:p>
        </w:tc>
        <w:tc>
          <w:tcPr>
            <w:tcW w:w="1901" w:type="dxa"/>
          </w:tcPr>
          <w:p>
            <w:pPr>
              <w:pStyle w:val="10"/>
              <w:ind w:left="620" w:right="611"/>
              <w:jc w:val="center"/>
              <w:rPr>
                <w:sz w:val="21"/>
              </w:rPr>
            </w:pPr>
            <w:r>
              <w:rPr>
                <w:spacing w:val="-4"/>
                <w:sz w:val="21"/>
              </w:rPr>
              <w:t>1～3a</w:t>
            </w:r>
          </w:p>
        </w:tc>
        <w:tc>
          <w:tcPr>
            <w:tcW w:w="1889" w:type="dxa"/>
          </w:tcPr>
          <w:p>
            <w:pPr>
              <w:pStyle w:val="10"/>
              <w:ind w:left="723" w:right="706"/>
              <w:jc w:val="center"/>
              <w:rPr>
                <w:sz w:val="21"/>
              </w:rPr>
            </w:pPr>
            <w:r>
              <w:rPr>
                <w:spacing w:val="-5"/>
                <w:sz w:val="21"/>
              </w:rPr>
              <w:t>0/x</w:t>
            </w:r>
          </w:p>
        </w:tc>
        <w:tc>
          <w:tcPr>
            <w:tcW w:w="1863" w:type="dxa"/>
          </w:tcPr>
          <w:p>
            <w:pPr>
              <w:pStyle w:val="10"/>
              <w:ind w:right="866"/>
              <w:jc w:val="right"/>
              <w:rPr>
                <w:sz w:val="21"/>
              </w:rPr>
            </w:pPr>
            <w:r>
              <w:rPr>
                <w:w w:val="100"/>
                <w:sz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887" w:type="dxa"/>
            <w:vMerge w:val="restart"/>
          </w:tcPr>
          <w:p>
            <w:pPr>
              <w:pStyle w:val="10"/>
              <w:ind w:left="640" w:right="630"/>
              <w:jc w:val="center"/>
              <w:rPr>
                <w:sz w:val="21"/>
              </w:rPr>
            </w:pPr>
            <w:r>
              <w:rPr>
                <w:sz w:val="21"/>
              </w:rPr>
              <w:t>ⅣB</w:t>
            </w:r>
            <w:r>
              <w:rPr>
                <w:spacing w:val="-32"/>
                <w:sz w:val="21"/>
              </w:rPr>
              <w:t xml:space="preserve"> 期</w:t>
            </w:r>
          </w:p>
        </w:tc>
        <w:tc>
          <w:tcPr>
            <w:tcW w:w="1901" w:type="dxa"/>
          </w:tcPr>
          <w:p>
            <w:pPr>
              <w:pStyle w:val="10"/>
              <w:ind w:left="620" w:right="611"/>
              <w:jc w:val="center"/>
              <w:rPr>
                <w:sz w:val="21"/>
              </w:rPr>
            </w:pPr>
            <w:r>
              <w:rPr>
                <w:spacing w:val="-4"/>
                <w:sz w:val="21"/>
              </w:rPr>
              <w:t>1～3a</w:t>
            </w:r>
          </w:p>
        </w:tc>
        <w:tc>
          <w:tcPr>
            <w:tcW w:w="1889" w:type="dxa"/>
          </w:tcPr>
          <w:p>
            <w:pPr>
              <w:pStyle w:val="10"/>
              <w:ind w:left="12"/>
              <w:jc w:val="center"/>
              <w:rPr>
                <w:sz w:val="21"/>
              </w:rPr>
            </w:pPr>
            <w:r>
              <w:rPr>
                <w:w w:val="100"/>
                <w:sz w:val="21"/>
              </w:rPr>
              <w:t>1</w:t>
            </w:r>
          </w:p>
        </w:tc>
        <w:tc>
          <w:tcPr>
            <w:tcW w:w="1863" w:type="dxa"/>
          </w:tcPr>
          <w:p>
            <w:pPr>
              <w:pStyle w:val="10"/>
              <w:ind w:right="866"/>
              <w:jc w:val="right"/>
              <w:rPr>
                <w:sz w:val="21"/>
              </w:rPr>
            </w:pPr>
            <w:r>
              <w:rPr>
                <w:w w:val="100"/>
                <w:sz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887" w:type="dxa"/>
            <w:vMerge w:val="continue"/>
            <w:tcBorders>
              <w:top w:val="nil"/>
            </w:tcBorders>
          </w:tcPr>
          <w:p>
            <w:pPr>
              <w:rPr>
                <w:sz w:val="2"/>
                <w:szCs w:val="2"/>
              </w:rPr>
            </w:pPr>
          </w:p>
        </w:tc>
        <w:tc>
          <w:tcPr>
            <w:tcW w:w="1901" w:type="dxa"/>
          </w:tcPr>
          <w:p>
            <w:pPr>
              <w:pStyle w:val="10"/>
              <w:ind w:left="620" w:right="611"/>
              <w:jc w:val="center"/>
              <w:rPr>
                <w:sz w:val="21"/>
              </w:rPr>
            </w:pPr>
            <w:r>
              <w:rPr>
                <w:spacing w:val="-4"/>
                <w:sz w:val="21"/>
              </w:rPr>
              <w:t>3b～4</w:t>
            </w:r>
          </w:p>
        </w:tc>
        <w:tc>
          <w:tcPr>
            <w:tcW w:w="1889" w:type="dxa"/>
          </w:tcPr>
          <w:p>
            <w:pPr>
              <w:pStyle w:val="10"/>
              <w:ind w:left="723" w:right="706"/>
              <w:jc w:val="center"/>
              <w:rPr>
                <w:sz w:val="21"/>
              </w:rPr>
            </w:pPr>
            <w:r>
              <w:rPr>
                <w:spacing w:val="-5"/>
                <w:sz w:val="21"/>
              </w:rPr>
              <w:t>任何</w:t>
            </w:r>
          </w:p>
        </w:tc>
        <w:tc>
          <w:tcPr>
            <w:tcW w:w="1863" w:type="dxa"/>
          </w:tcPr>
          <w:p>
            <w:pPr>
              <w:pStyle w:val="10"/>
              <w:ind w:right="866"/>
              <w:jc w:val="right"/>
              <w:rPr>
                <w:sz w:val="21"/>
              </w:rPr>
            </w:pPr>
            <w:r>
              <w:rPr>
                <w:w w:val="100"/>
                <w:sz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887" w:type="dxa"/>
          </w:tcPr>
          <w:p>
            <w:pPr>
              <w:pStyle w:val="10"/>
              <w:ind w:left="640" w:right="630"/>
              <w:jc w:val="center"/>
              <w:rPr>
                <w:sz w:val="21"/>
              </w:rPr>
            </w:pPr>
            <w:r>
              <w:rPr>
                <w:sz w:val="21"/>
              </w:rPr>
              <w:t>ⅣC</w:t>
            </w:r>
            <w:r>
              <w:rPr>
                <w:spacing w:val="-32"/>
                <w:sz w:val="21"/>
              </w:rPr>
              <w:t xml:space="preserve"> 期</w:t>
            </w:r>
          </w:p>
        </w:tc>
        <w:tc>
          <w:tcPr>
            <w:tcW w:w="1901" w:type="dxa"/>
          </w:tcPr>
          <w:p>
            <w:pPr>
              <w:pStyle w:val="10"/>
              <w:ind w:left="620" w:right="611"/>
              <w:jc w:val="center"/>
              <w:rPr>
                <w:sz w:val="21"/>
              </w:rPr>
            </w:pPr>
            <w:r>
              <w:rPr>
                <w:spacing w:val="-5"/>
                <w:sz w:val="21"/>
              </w:rPr>
              <w:t>任何</w:t>
            </w:r>
          </w:p>
        </w:tc>
        <w:tc>
          <w:tcPr>
            <w:tcW w:w="1889" w:type="dxa"/>
          </w:tcPr>
          <w:p>
            <w:pPr>
              <w:pStyle w:val="10"/>
              <w:ind w:left="723" w:right="706"/>
              <w:jc w:val="center"/>
              <w:rPr>
                <w:sz w:val="21"/>
              </w:rPr>
            </w:pPr>
            <w:r>
              <w:rPr>
                <w:spacing w:val="-5"/>
                <w:sz w:val="21"/>
              </w:rPr>
              <w:t>任何</w:t>
            </w:r>
          </w:p>
        </w:tc>
        <w:tc>
          <w:tcPr>
            <w:tcW w:w="1863" w:type="dxa"/>
          </w:tcPr>
          <w:p>
            <w:pPr>
              <w:pStyle w:val="10"/>
              <w:ind w:right="866"/>
              <w:jc w:val="right"/>
              <w:rPr>
                <w:sz w:val="21"/>
              </w:rPr>
            </w:pPr>
            <w:r>
              <w:rPr>
                <w:w w:val="100"/>
                <w:sz w:val="21"/>
              </w:rPr>
              <w:t>1</w:t>
            </w:r>
          </w:p>
        </w:tc>
      </w:tr>
    </w:tbl>
    <w:p>
      <w:pPr>
        <w:pStyle w:val="4"/>
        <w:spacing w:before="193"/>
        <w:ind w:left="2553"/>
      </w:pPr>
      <w:r>
        <w:rPr>
          <w:spacing w:val="-3"/>
        </w:rPr>
        <w:t>注：以上表格中“年龄”指患者病理组织标本获取日期时的年龄。</w:t>
      </w:r>
    </w:p>
    <w:p>
      <w:pPr>
        <w:spacing w:after="0"/>
        <w:sectPr>
          <w:pgSz w:w="11910" w:h="16840"/>
          <w:pgMar w:top="1400" w:right="680" w:bottom="280" w:left="900" w:header="720" w:footer="720" w:gutter="0"/>
          <w:cols w:space="720" w:num="1"/>
        </w:sectPr>
      </w:pPr>
    </w:p>
    <w:p>
      <w:pPr>
        <w:pStyle w:val="4"/>
        <w:spacing w:before="5"/>
        <w:rPr>
          <w:sz w:val="20"/>
        </w:rPr>
      </w:pPr>
    </w:p>
    <w:p>
      <w:pPr>
        <w:pStyle w:val="3"/>
        <w:tabs>
          <w:tab w:val="left" w:pos="2553"/>
        </w:tabs>
        <w:spacing w:before="73"/>
        <w:ind w:left="287" w:firstLine="0"/>
      </w:pPr>
      <w:r>
        <w:rPr>
          <w:position w:val="1"/>
        </w:rPr>
        <w:t>附表二</w:t>
      </w:r>
      <w:r>
        <w:rPr>
          <w:spacing w:val="75"/>
          <w:w w:val="150"/>
          <w:position w:val="1"/>
        </w:rPr>
        <w:t xml:space="preserve"> </w:t>
      </w:r>
      <w:r>
        <w:rPr>
          <w:position w:val="1"/>
        </w:rPr>
        <w:t>特定疾</w:t>
      </w:r>
      <w:r>
        <w:rPr>
          <w:spacing w:val="-10"/>
          <w:position w:val="1"/>
        </w:rPr>
        <w:t>病</w:t>
      </w:r>
      <w:r>
        <w:rPr>
          <w:position w:val="1"/>
        </w:rPr>
        <w:tab/>
      </w:r>
      <w:r>
        <w:t>（1）</w:t>
      </w:r>
      <w:r>
        <w:rPr>
          <w:spacing w:val="83"/>
        </w:rPr>
        <w:t xml:space="preserve"> </w:t>
      </w:r>
      <w:r>
        <w:t>严重阿尔茨海默</w:t>
      </w:r>
      <w:r>
        <w:rPr>
          <w:spacing w:val="-10"/>
        </w:rPr>
        <w:t>病</w:t>
      </w:r>
    </w:p>
    <w:p>
      <w:pPr>
        <w:pStyle w:val="4"/>
        <w:spacing w:before="6"/>
        <w:rPr>
          <w:b/>
          <w:sz w:val="16"/>
        </w:rPr>
      </w:pPr>
    </w:p>
    <w:p>
      <w:pPr>
        <w:pStyle w:val="4"/>
        <w:spacing w:line="278" w:lineRule="auto"/>
        <w:ind w:left="2553" w:right="204"/>
        <w:jc w:val="both"/>
      </w:pPr>
      <w:r>
        <w:rPr>
          <w:spacing w:val="-2"/>
        </w:rPr>
        <w:t>指因大脑进行性、不可逆性改变导致智能严重衰退或丧失，临床表现为严重的认知功能障碍、精神行为异常和社交能力减退等，其日常生活必须持续受到他人监护。</w:t>
      </w:r>
      <w:r>
        <w:rPr>
          <w:spacing w:val="-6"/>
        </w:rPr>
        <w:t>须由头颅断层扫描</w:t>
      </w:r>
      <w:r>
        <w:rPr>
          <w:spacing w:val="18"/>
        </w:rPr>
        <w:t>（</w:t>
      </w:r>
      <w:r>
        <w:rPr>
          <w:spacing w:val="21"/>
        </w:rPr>
        <w:t>CT</w:t>
      </w:r>
      <w:r>
        <w:rPr>
          <w:spacing w:val="-87"/>
        </w:rPr>
        <w:t>）</w:t>
      </w:r>
      <w:r>
        <w:rPr>
          <w:spacing w:val="-6"/>
        </w:rPr>
        <w:t>、核磁共振检查（MRI）或正电子发射断层扫描（PET）等影</w:t>
      </w:r>
      <w:r>
        <w:rPr>
          <w:spacing w:val="-2"/>
        </w:rPr>
        <w:t>像学检查证实，并经相关专科医生确诊，且须满足下列至少一项条件：</w:t>
      </w:r>
    </w:p>
    <w:p>
      <w:pPr>
        <w:pStyle w:val="9"/>
        <w:numPr>
          <w:ilvl w:val="0"/>
          <w:numId w:val="14"/>
        </w:numPr>
        <w:tabs>
          <w:tab w:val="left" w:pos="2914"/>
        </w:tabs>
        <w:spacing w:before="156" w:after="0" w:line="278" w:lineRule="auto"/>
        <w:ind w:left="2914" w:right="218" w:hanging="360"/>
        <w:jc w:val="both"/>
        <w:rPr>
          <w:sz w:val="21"/>
        </w:rPr>
      </w:pPr>
      <w:r>
        <w:rPr>
          <w:sz w:val="21"/>
        </w:rPr>
        <w:t>由具有评估资格的专科医生根据临床痴呆评定量表（CDR，Clinical Dementia Rating）</w:t>
      </w:r>
      <w:r>
        <w:rPr>
          <w:spacing w:val="-4"/>
          <w:sz w:val="21"/>
        </w:rPr>
        <w:t xml:space="preserve">评估结果为 </w:t>
      </w:r>
      <w:r>
        <w:rPr>
          <w:sz w:val="21"/>
        </w:rPr>
        <w:t>3</w:t>
      </w:r>
      <w:r>
        <w:rPr>
          <w:spacing w:val="-8"/>
          <w:sz w:val="21"/>
        </w:rPr>
        <w:t xml:space="preserve"> 分；</w:t>
      </w:r>
    </w:p>
    <w:p>
      <w:pPr>
        <w:pStyle w:val="9"/>
        <w:numPr>
          <w:ilvl w:val="0"/>
          <w:numId w:val="14"/>
        </w:numPr>
        <w:tabs>
          <w:tab w:val="left" w:pos="2914"/>
        </w:tabs>
        <w:spacing w:before="146" w:after="0" w:line="278" w:lineRule="auto"/>
        <w:ind w:left="2914" w:right="215" w:hanging="360"/>
        <w:jc w:val="both"/>
        <w:rPr>
          <w:sz w:val="21"/>
        </w:rPr>
      </w:pPr>
      <w:r>
        <w:rPr>
          <w:spacing w:val="-9"/>
          <w:sz w:val="21"/>
        </w:rPr>
        <w:t>自主生活能力完全丧失，无法独立完成</w:t>
      </w:r>
      <w:r>
        <w:rPr>
          <w:b/>
          <w:spacing w:val="-2"/>
          <w:sz w:val="21"/>
        </w:rPr>
        <w:t>六项基本日常生活活动</w:t>
      </w:r>
      <w:r>
        <w:rPr>
          <w:b/>
          <w:spacing w:val="-2"/>
          <w:position w:val="11"/>
          <w:sz w:val="11"/>
        </w:rPr>
        <w:t>53</w:t>
      </w:r>
      <w:r>
        <w:rPr>
          <w:spacing w:val="-2"/>
          <w:sz w:val="21"/>
        </w:rPr>
        <w:t>中的三项或三项</w:t>
      </w:r>
      <w:r>
        <w:rPr>
          <w:spacing w:val="-4"/>
          <w:sz w:val="21"/>
        </w:rPr>
        <w:t>以上。</w:t>
      </w:r>
    </w:p>
    <w:p>
      <w:pPr>
        <w:pStyle w:val="4"/>
        <w:spacing w:before="156"/>
        <w:ind w:left="2553"/>
      </w:pPr>
      <w:r>
        <w:rPr>
          <w:color w:val="000000"/>
          <w:spacing w:val="-3"/>
          <w:shd w:val="clear" w:color="auto" w:fill="E4E4E4"/>
        </w:rPr>
        <w:t>阿尔茨海默病之外的其它类型痴呆不在保障范围内。</w:t>
      </w:r>
    </w:p>
    <w:p>
      <w:pPr>
        <w:pStyle w:val="4"/>
        <w:spacing w:before="6"/>
        <w:rPr>
          <w:sz w:val="16"/>
        </w:rPr>
      </w:pPr>
    </w:p>
    <w:p>
      <w:pPr>
        <w:pStyle w:val="3"/>
        <w:numPr>
          <w:ilvl w:val="0"/>
          <w:numId w:val="15"/>
        </w:numPr>
        <w:tabs>
          <w:tab w:val="left" w:pos="3275"/>
        </w:tabs>
        <w:spacing w:before="0" w:after="0" w:line="240" w:lineRule="auto"/>
        <w:ind w:left="3274" w:right="0" w:hanging="722"/>
        <w:jc w:val="left"/>
      </w:pPr>
      <w:r>
        <w:rPr>
          <w:spacing w:val="-2"/>
        </w:rPr>
        <w:t>严重原发性帕金森病</w:t>
      </w:r>
    </w:p>
    <w:p>
      <w:pPr>
        <w:pStyle w:val="4"/>
        <w:spacing w:before="8"/>
        <w:rPr>
          <w:b/>
          <w:sz w:val="16"/>
        </w:rPr>
      </w:pPr>
    </w:p>
    <w:p>
      <w:pPr>
        <w:pStyle w:val="4"/>
        <w:spacing w:line="278" w:lineRule="auto"/>
        <w:ind w:left="2553" w:right="204"/>
        <w:jc w:val="both"/>
      </w:pPr>
      <w:r>
        <w:rPr>
          <w:spacing w:val="-2"/>
        </w:rPr>
        <w:t>一种中枢神经系统的退行性疾病，临床表现为运动迟缓、静止性震颤或肌强直等。经相关专科医生确诊，且须满足自主生活能力完全丧失，无法独立完成六项基本日常生活活动中的三项或三项以上。</w:t>
      </w:r>
    </w:p>
    <w:p>
      <w:pPr>
        <w:pStyle w:val="4"/>
        <w:spacing w:line="269" w:lineRule="exact"/>
        <w:ind w:left="2553"/>
      </w:pPr>
      <w:r>
        <w:rPr>
          <w:color w:val="000000"/>
          <w:spacing w:val="-3"/>
          <w:shd w:val="clear" w:color="auto" w:fill="E4E4E4"/>
        </w:rPr>
        <w:t>继发性帕金森综合征、帕金森叠加综合征不在保障范围内。</w:t>
      </w:r>
    </w:p>
    <w:p>
      <w:pPr>
        <w:pStyle w:val="4"/>
        <w:spacing w:before="6"/>
        <w:rPr>
          <w:sz w:val="16"/>
        </w:rPr>
      </w:pPr>
    </w:p>
    <w:p>
      <w:pPr>
        <w:pStyle w:val="3"/>
        <w:numPr>
          <w:ilvl w:val="0"/>
          <w:numId w:val="15"/>
        </w:numPr>
        <w:tabs>
          <w:tab w:val="left" w:pos="3275"/>
        </w:tabs>
        <w:spacing w:before="0" w:after="0" w:line="240" w:lineRule="auto"/>
        <w:ind w:left="3274" w:right="0" w:hanging="722"/>
        <w:jc w:val="left"/>
      </w:pPr>
      <w:r>
        <w:rPr>
          <w:spacing w:val="-2"/>
        </w:rPr>
        <w:t>重型再生障碍性贫血</w:t>
      </w:r>
    </w:p>
    <w:p>
      <w:pPr>
        <w:pStyle w:val="4"/>
        <w:spacing w:before="6"/>
        <w:rPr>
          <w:b/>
          <w:sz w:val="16"/>
        </w:rPr>
      </w:pPr>
    </w:p>
    <w:p>
      <w:pPr>
        <w:pStyle w:val="4"/>
        <w:spacing w:line="278" w:lineRule="auto"/>
        <w:ind w:left="2553" w:right="216"/>
      </w:pPr>
      <w:r>
        <w:rPr>
          <w:spacing w:val="-2"/>
        </w:rPr>
        <w:t>指因骨髓造血功能慢性持续性衰竭导致的贫血、中性粒细胞减少及血小板减少。须满足下列全部条件：</w:t>
      </w:r>
    </w:p>
    <w:p>
      <w:pPr>
        <w:pStyle w:val="9"/>
        <w:numPr>
          <w:ilvl w:val="0"/>
          <w:numId w:val="16"/>
        </w:numPr>
        <w:tabs>
          <w:tab w:val="left" w:pos="2914"/>
        </w:tabs>
        <w:spacing w:before="156" w:after="0" w:line="278" w:lineRule="auto"/>
        <w:ind w:left="2914" w:right="218" w:hanging="360"/>
        <w:jc w:val="left"/>
        <w:rPr>
          <w:sz w:val="21"/>
        </w:rPr>
      </w:pPr>
      <w:r>
        <w:rPr>
          <w:spacing w:val="-8"/>
          <w:sz w:val="21"/>
        </w:rPr>
        <w:t xml:space="preserve">骨髓穿刺检查或骨髓活检结果支持诊断：骨髓细胞增生程度＜正常的 </w:t>
      </w:r>
      <w:r>
        <w:rPr>
          <w:spacing w:val="-2"/>
          <w:sz w:val="21"/>
        </w:rPr>
        <w:t>25%；如≥</w:t>
      </w:r>
      <w:r>
        <w:rPr>
          <w:spacing w:val="-10"/>
          <w:sz w:val="21"/>
        </w:rPr>
        <w:t xml:space="preserve">正常的 </w:t>
      </w:r>
      <w:r>
        <w:rPr>
          <w:sz w:val="21"/>
        </w:rPr>
        <w:t>25%但＜50%，则残存的造血细胞应＜30%；</w:t>
      </w:r>
    </w:p>
    <w:p>
      <w:pPr>
        <w:pStyle w:val="9"/>
        <w:numPr>
          <w:ilvl w:val="0"/>
          <w:numId w:val="16"/>
        </w:numPr>
        <w:tabs>
          <w:tab w:val="left" w:pos="2914"/>
        </w:tabs>
        <w:spacing w:before="156" w:after="0" w:line="240" w:lineRule="auto"/>
        <w:ind w:left="2914" w:right="0" w:hanging="361"/>
        <w:jc w:val="left"/>
        <w:rPr>
          <w:sz w:val="21"/>
        </w:rPr>
      </w:pPr>
      <w:r>
        <w:rPr>
          <w:spacing w:val="-3"/>
          <w:sz w:val="21"/>
        </w:rPr>
        <w:t>外周血象须具备以下三项条件中的两项：</w:t>
      </w:r>
    </w:p>
    <w:p>
      <w:pPr>
        <w:pStyle w:val="4"/>
        <w:spacing w:before="9"/>
        <w:rPr>
          <w:sz w:val="14"/>
        </w:rPr>
      </w:pPr>
    </w:p>
    <w:p>
      <w:pPr>
        <w:pStyle w:val="4"/>
        <w:spacing w:before="1"/>
        <w:ind w:left="2553"/>
      </w:pPr>
      <w:r>
        <w:rPr>
          <w:spacing w:val="-2"/>
        </w:rPr>
        <w:t>3）</w:t>
      </w:r>
      <w:r>
        <w:rPr>
          <w:spacing w:val="-10"/>
        </w:rPr>
        <w:t xml:space="preserve"> 中性粒细胞绝对值＜</w:t>
      </w:r>
      <w:r>
        <w:rPr>
          <w:spacing w:val="-2"/>
        </w:rPr>
        <w:t>0.5×10</w:t>
      </w:r>
      <w:r>
        <w:rPr>
          <w:spacing w:val="-2"/>
          <w:position w:val="11"/>
          <w:sz w:val="11"/>
        </w:rPr>
        <w:t>9</w:t>
      </w:r>
      <w:r>
        <w:rPr>
          <w:spacing w:val="-2"/>
        </w:rPr>
        <w:t>/L；</w:t>
      </w:r>
    </w:p>
    <w:p>
      <w:pPr>
        <w:pStyle w:val="4"/>
        <w:spacing w:before="188"/>
        <w:ind w:left="2553"/>
      </w:pPr>
      <w:r>
        <w:rPr>
          <w:spacing w:val="-2"/>
        </w:rPr>
        <w:t>4）</w:t>
      </w:r>
      <w:r>
        <w:rPr>
          <w:spacing w:val="-10"/>
        </w:rPr>
        <w:t xml:space="preserve"> 网织红细胞计数</w:t>
      </w:r>
      <w:r>
        <w:rPr>
          <w:spacing w:val="-2"/>
        </w:rPr>
        <w:t>＜20×10</w:t>
      </w:r>
      <w:r>
        <w:rPr>
          <w:spacing w:val="-2"/>
          <w:position w:val="11"/>
          <w:sz w:val="11"/>
        </w:rPr>
        <w:t>9</w:t>
      </w:r>
      <w:r>
        <w:rPr>
          <w:spacing w:val="-2"/>
        </w:rPr>
        <w:t>/L；</w:t>
      </w:r>
    </w:p>
    <w:p>
      <w:pPr>
        <w:pStyle w:val="4"/>
        <w:spacing w:before="189"/>
        <w:ind w:left="2553"/>
      </w:pPr>
      <w:r>
        <w:rPr>
          <w:spacing w:val="-2"/>
        </w:rPr>
        <w:t>5）</w:t>
      </w:r>
      <w:r>
        <w:rPr>
          <w:spacing w:val="-9"/>
        </w:rPr>
        <w:t xml:space="preserve"> 血小板绝对值＜</w:t>
      </w:r>
      <w:r>
        <w:rPr>
          <w:spacing w:val="-2"/>
        </w:rPr>
        <w:t>20×10</w:t>
      </w:r>
      <w:r>
        <w:rPr>
          <w:spacing w:val="-2"/>
          <w:position w:val="11"/>
          <w:sz w:val="11"/>
        </w:rPr>
        <w:t>9</w:t>
      </w:r>
      <w:r>
        <w:rPr>
          <w:spacing w:val="-2"/>
        </w:rPr>
        <w:t>/L</w:t>
      </w:r>
      <w:r>
        <w:rPr>
          <w:spacing w:val="-10"/>
        </w:rPr>
        <w:t>。</w:t>
      </w:r>
    </w:p>
    <w:p>
      <w:pPr>
        <w:pStyle w:val="4"/>
        <w:spacing w:before="6"/>
        <w:rPr>
          <w:sz w:val="16"/>
        </w:rPr>
      </w:pPr>
    </w:p>
    <w:p>
      <w:pPr>
        <w:pStyle w:val="3"/>
        <w:numPr>
          <w:ilvl w:val="0"/>
          <w:numId w:val="15"/>
        </w:numPr>
        <w:tabs>
          <w:tab w:val="left" w:pos="3275"/>
        </w:tabs>
        <w:spacing w:before="0" w:after="0" w:line="240" w:lineRule="auto"/>
        <w:ind w:left="3274" w:right="0" w:hanging="722"/>
        <w:jc w:val="left"/>
      </w:pPr>
      <w:r>
        <w:rPr>
          <w:spacing w:val="-2"/>
        </w:rPr>
        <w:t>严重克罗恩病</w:t>
      </w:r>
    </w:p>
    <w:p>
      <w:pPr>
        <w:pStyle w:val="4"/>
        <w:spacing w:before="6"/>
        <w:rPr>
          <w:b/>
          <w:sz w:val="16"/>
        </w:rPr>
      </w:pPr>
    </w:p>
    <w:p>
      <w:pPr>
        <w:pStyle w:val="4"/>
        <w:spacing w:line="278" w:lineRule="auto"/>
        <w:ind w:left="2553" w:right="216"/>
      </w:pPr>
      <w:r>
        <w:t>指一种慢性肉芽肿性肠炎，具有特征性的克罗恩病（Crohn</w:t>
      </w:r>
      <w:r>
        <w:rPr>
          <w:spacing w:val="-14"/>
        </w:rPr>
        <w:t xml:space="preserve"> 病</w:t>
      </w:r>
      <w:r>
        <w:t>）病理组织学变化，</w:t>
      </w:r>
      <w:r>
        <w:rPr>
          <w:spacing w:val="-2"/>
        </w:rPr>
        <w:t>须根据组织病理学特点诊断，且已经造成瘘管形成并伴有肠梗阻或肠穿孔。</w:t>
      </w:r>
    </w:p>
    <w:p>
      <w:pPr>
        <w:pStyle w:val="3"/>
        <w:numPr>
          <w:ilvl w:val="0"/>
          <w:numId w:val="15"/>
        </w:numPr>
        <w:tabs>
          <w:tab w:val="left" w:pos="3275"/>
        </w:tabs>
        <w:spacing w:before="169" w:after="0" w:line="240" w:lineRule="auto"/>
        <w:ind w:left="3274" w:right="0" w:hanging="722"/>
        <w:jc w:val="left"/>
      </w:pPr>
      <w:r>
        <w:rPr>
          <w:spacing w:val="-2"/>
        </w:rPr>
        <w:t>系统性硬皮病</w:t>
      </w:r>
    </w:p>
    <w:p>
      <w:pPr>
        <w:pStyle w:val="4"/>
        <w:spacing w:before="5"/>
        <w:rPr>
          <w:b/>
          <w:sz w:val="16"/>
        </w:rPr>
      </w:pPr>
    </w:p>
    <w:p>
      <w:pPr>
        <w:pStyle w:val="4"/>
        <w:spacing w:before="1" w:line="278" w:lineRule="auto"/>
        <w:ind w:left="2553" w:right="216"/>
      </w:pPr>
      <w:r>
        <w:rPr>
          <w:spacing w:val="-2"/>
        </w:rPr>
        <w:t>指一种全身性的胶原血管性疾病，可以导致皮肤、血管及内脏器官进行性弥漫性纤</w:t>
      </w:r>
      <w:r>
        <w:rPr>
          <w:spacing w:val="-3"/>
        </w:rPr>
        <w:t>维化。诊断必须经活检及血清学检查证实，疾病必须是全身性，且须满足下列至少</w:t>
      </w:r>
    </w:p>
    <w:p>
      <w:pPr>
        <w:pStyle w:val="4"/>
        <w:rPr>
          <w:sz w:val="20"/>
        </w:rPr>
      </w:pPr>
    </w:p>
    <w:p>
      <w:pPr>
        <w:pStyle w:val="4"/>
        <w:spacing w:before="7"/>
        <w:rPr>
          <w:sz w:val="19"/>
        </w:rPr>
      </w:pPr>
      <w:r>
        <w:drawing>
          <wp:anchor distT="0" distB="0" distL="0" distR="0" simplePos="0" relativeHeight="251659264" behindDoc="0" locked="0" layoutInCell="1" allowOverlap="1">
            <wp:simplePos x="0" y="0"/>
            <wp:positionH relativeFrom="page">
              <wp:posOffset>685800</wp:posOffset>
            </wp:positionH>
            <wp:positionV relativeFrom="paragraph">
              <wp:posOffset>174625</wp:posOffset>
            </wp:positionV>
            <wp:extent cx="1829435" cy="6350"/>
            <wp:effectExtent l="0" t="0" r="0" b="0"/>
            <wp:wrapTopAndBottom/>
            <wp:docPr id="65"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6.png"/>
                    <pic:cNvPicPr>
                      <a:picLocks noChangeAspect="1"/>
                    </pic:cNvPicPr>
                  </pic:nvPicPr>
                  <pic:blipFill>
                    <a:blip r:embed="rId11" cstate="print"/>
                    <a:stretch>
                      <a:fillRect/>
                    </a:stretch>
                  </pic:blipFill>
                  <pic:spPr>
                    <a:xfrm>
                      <a:off x="0" y="0"/>
                      <a:ext cx="1829511" cy="6096"/>
                    </a:xfrm>
                    <a:prstGeom prst="rect">
                      <a:avLst/>
                    </a:prstGeom>
                  </pic:spPr>
                </pic:pic>
              </a:graphicData>
            </a:graphic>
          </wp:anchor>
        </w:drawing>
      </w:r>
    </w:p>
    <w:p>
      <w:pPr>
        <w:spacing w:before="91"/>
        <w:ind w:left="180" w:right="0" w:firstLine="0"/>
        <w:jc w:val="left"/>
        <w:rPr>
          <w:rFonts w:ascii="楷体" w:eastAsia="楷体"/>
          <w:sz w:val="18"/>
        </w:rPr>
      </w:pPr>
      <w:r>
        <w:rPr>
          <w:rFonts w:hint="eastAsia" w:ascii="楷体" w:eastAsia="楷体"/>
          <w:b/>
          <w:w w:val="95"/>
          <w:position w:val="9"/>
          <w:sz w:val="9"/>
        </w:rPr>
        <w:t>53</w:t>
      </w:r>
      <w:r>
        <w:rPr>
          <w:rFonts w:hint="eastAsia" w:ascii="楷体" w:eastAsia="楷体"/>
          <w:b/>
          <w:w w:val="95"/>
          <w:sz w:val="18"/>
        </w:rPr>
        <w:t>六项基本日常生活活动:</w:t>
      </w:r>
      <w:r>
        <w:rPr>
          <w:rFonts w:ascii="楷体" w:eastAsia="楷体"/>
          <w:w w:val="95"/>
          <w:sz w:val="18"/>
        </w:rPr>
        <w:t>（1）穿衣：自己能够穿衣及脱衣；（2）移动：自己从一个房间到另一个房间；（3）行动：自己</w:t>
      </w:r>
      <w:r>
        <w:rPr>
          <w:rFonts w:ascii="楷体" w:eastAsia="楷体"/>
          <w:spacing w:val="-10"/>
          <w:w w:val="95"/>
          <w:sz w:val="18"/>
        </w:rPr>
        <w:t>上</w:t>
      </w:r>
    </w:p>
    <w:p>
      <w:pPr>
        <w:spacing w:before="2" w:line="244" w:lineRule="auto"/>
        <w:ind w:left="180" w:right="422" w:firstLine="0"/>
        <w:jc w:val="left"/>
        <w:rPr>
          <w:rFonts w:ascii="楷体" w:eastAsia="楷体"/>
          <w:sz w:val="18"/>
        </w:rPr>
      </w:pPr>
      <w:r>
        <w:rPr>
          <w:rFonts w:ascii="楷体" w:eastAsia="楷体"/>
          <w:spacing w:val="-6"/>
          <w:sz w:val="18"/>
        </w:rPr>
        <w:t>下床或上下轮椅；（4）如厕：自己控制进行大小便；（5）进食：自己从已准备好的碗或碟中取食物放入口中；（6）洗澡：自</w:t>
      </w:r>
      <w:r>
        <w:rPr>
          <w:rFonts w:ascii="楷体" w:eastAsia="楷体"/>
          <w:sz w:val="18"/>
        </w:rPr>
        <w:t>己进行淋浴或盆浴。六项基本日常生活活动能力的鉴定不适用于 0-3 周岁幼儿。</w:t>
      </w:r>
    </w:p>
    <w:p>
      <w:pPr>
        <w:spacing w:after="0" w:line="244" w:lineRule="auto"/>
        <w:jc w:val="left"/>
        <w:rPr>
          <w:rFonts w:ascii="楷体" w:eastAsia="楷体"/>
          <w:sz w:val="18"/>
        </w:rPr>
        <w:sectPr>
          <w:pgSz w:w="11910" w:h="16840"/>
          <w:pgMar w:top="1580" w:right="680" w:bottom="280" w:left="900" w:header="720" w:footer="720" w:gutter="0"/>
          <w:cols w:space="720" w:num="1"/>
        </w:sectPr>
      </w:pPr>
    </w:p>
    <w:p>
      <w:pPr>
        <w:pStyle w:val="4"/>
        <w:spacing w:before="44"/>
        <w:ind w:left="2553"/>
      </w:pPr>
      <w:r>
        <w:rPr>
          <w:spacing w:val="-4"/>
        </w:rPr>
        <w:t>一项条件：</w:t>
      </w:r>
    </w:p>
    <w:p>
      <w:pPr>
        <w:pStyle w:val="4"/>
        <w:spacing w:before="7"/>
        <w:rPr>
          <w:sz w:val="15"/>
        </w:rPr>
      </w:pPr>
    </w:p>
    <w:p>
      <w:pPr>
        <w:pStyle w:val="9"/>
        <w:numPr>
          <w:ilvl w:val="0"/>
          <w:numId w:val="17"/>
        </w:numPr>
        <w:tabs>
          <w:tab w:val="left" w:pos="2974"/>
        </w:tabs>
        <w:spacing w:before="0" w:after="0" w:line="240" w:lineRule="auto"/>
        <w:ind w:left="2974" w:right="0" w:hanging="421"/>
        <w:jc w:val="left"/>
        <w:rPr>
          <w:sz w:val="21"/>
        </w:rPr>
      </w:pPr>
      <w:r>
        <w:rPr>
          <w:spacing w:val="-3"/>
          <w:sz w:val="21"/>
        </w:rPr>
        <w:t>肺脏：肺部病变进而发展为肺间质纤维化和肺动脉高压；</w:t>
      </w:r>
    </w:p>
    <w:p>
      <w:pPr>
        <w:pStyle w:val="4"/>
        <w:spacing w:before="7"/>
        <w:rPr>
          <w:sz w:val="15"/>
        </w:rPr>
      </w:pPr>
    </w:p>
    <w:p>
      <w:pPr>
        <w:pStyle w:val="9"/>
        <w:numPr>
          <w:ilvl w:val="0"/>
          <w:numId w:val="17"/>
        </w:numPr>
        <w:tabs>
          <w:tab w:val="left" w:pos="2974"/>
        </w:tabs>
        <w:spacing w:before="0" w:after="0" w:line="240" w:lineRule="auto"/>
        <w:ind w:left="2974" w:right="0" w:hanging="421"/>
        <w:jc w:val="left"/>
        <w:rPr>
          <w:sz w:val="21"/>
        </w:rPr>
      </w:pPr>
      <w:r>
        <w:rPr>
          <w:spacing w:val="-3"/>
          <w:sz w:val="21"/>
        </w:rPr>
        <w:t>心脏：心功能受损达到美国纽约心脏病学会心功能状态分级Ⅳ级；</w:t>
      </w:r>
    </w:p>
    <w:p>
      <w:pPr>
        <w:pStyle w:val="4"/>
        <w:spacing w:before="7"/>
        <w:rPr>
          <w:sz w:val="15"/>
        </w:rPr>
      </w:pPr>
    </w:p>
    <w:p>
      <w:pPr>
        <w:pStyle w:val="9"/>
        <w:numPr>
          <w:ilvl w:val="0"/>
          <w:numId w:val="17"/>
        </w:numPr>
        <w:tabs>
          <w:tab w:val="left" w:pos="2974"/>
        </w:tabs>
        <w:spacing w:before="0" w:after="0" w:line="240" w:lineRule="auto"/>
        <w:ind w:left="2974" w:right="0" w:hanging="421"/>
        <w:jc w:val="left"/>
        <w:rPr>
          <w:sz w:val="21"/>
        </w:rPr>
      </w:pPr>
      <w:r>
        <w:rPr>
          <w:spacing w:val="-3"/>
          <w:sz w:val="21"/>
        </w:rPr>
        <w:t>肾脏：肾脏受损导致双肾功能慢性不可逆衰竭，达到尿毒症期。</w:t>
      </w:r>
    </w:p>
    <w:p>
      <w:pPr>
        <w:pStyle w:val="4"/>
        <w:spacing w:before="5"/>
        <w:rPr>
          <w:sz w:val="16"/>
        </w:rPr>
      </w:pPr>
    </w:p>
    <w:p>
      <w:pPr>
        <w:pStyle w:val="3"/>
        <w:numPr>
          <w:ilvl w:val="0"/>
          <w:numId w:val="15"/>
        </w:numPr>
        <w:tabs>
          <w:tab w:val="left" w:pos="3275"/>
        </w:tabs>
        <w:spacing w:before="1" w:after="0" w:line="240" w:lineRule="auto"/>
        <w:ind w:left="3274" w:right="0" w:hanging="722"/>
        <w:jc w:val="left"/>
      </w:pPr>
      <w:r>
        <w:rPr>
          <w:spacing w:val="-2"/>
        </w:rPr>
        <w:t>重症肌无力</w:t>
      </w:r>
    </w:p>
    <w:p>
      <w:pPr>
        <w:pStyle w:val="4"/>
        <w:spacing w:before="5"/>
        <w:rPr>
          <w:b/>
          <w:sz w:val="16"/>
        </w:rPr>
      </w:pPr>
    </w:p>
    <w:p>
      <w:pPr>
        <w:pStyle w:val="4"/>
        <w:spacing w:before="1" w:line="278" w:lineRule="auto"/>
        <w:ind w:left="2553" w:right="216"/>
        <w:jc w:val="both"/>
      </w:pPr>
      <w:r>
        <w:rPr>
          <w:spacing w:val="-2"/>
        </w:rPr>
        <w:t>指一种神经肌肉接头传递障碍所致的疾病，表现为局部或全身骨骼肌（特别是眼外肌）极易疲劳。疾病可以累及呼吸肌、上肢或下肢的近端肌群或全身肌肉，必须满足下列全部条件：</w:t>
      </w:r>
    </w:p>
    <w:p>
      <w:pPr>
        <w:pStyle w:val="9"/>
        <w:numPr>
          <w:ilvl w:val="0"/>
          <w:numId w:val="18"/>
        </w:numPr>
        <w:tabs>
          <w:tab w:val="left" w:pos="2914"/>
        </w:tabs>
        <w:spacing w:before="155" w:after="0" w:line="240" w:lineRule="auto"/>
        <w:ind w:left="2914" w:right="0" w:hanging="361"/>
        <w:jc w:val="both"/>
        <w:rPr>
          <w:sz w:val="21"/>
        </w:rPr>
      </w:pPr>
      <w:r>
        <w:rPr>
          <w:spacing w:val="-3"/>
          <w:sz w:val="21"/>
        </w:rPr>
        <w:t>经药物治疗和胸腺切除治疗一年以上仍无法控制病情；</w:t>
      </w:r>
    </w:p>
    <w:p>
      <w:pPr>
        <w:pStyle w:val="4"/>
        <w:spacing w:before="7"/>
        <w:rPr>
          <w:sz w:val="15"/>
        </w:rPr>
      </w:pPr>
    </w:p>
    <w:p>
      <w:pPr>
        <w:pStyle w:val="9"/>
        <w:numPr>
          <w:ilvl w:val="0"/>
          <w:numId w:val="18"/>
        </w:numPr>
        <w:tabs>
          <w:tab w:val="left" w:pos="2914"/>
        </w:tabs>
        <w:spacing w:before="1" w:after="0" w:line="278" w:lineRule="auto"/>
        <w:ind w:left="2914" w:right="223" w:hanging="360"/>
        <w:jc w:val="left"/>
        <w:rPr>
          <w:sz w:val="21"/>
        </w:rPr>
      </w:pPr>
      <w:r>
        <w:rPr>
          <w:spacing w:val="-2"/>
          <w:sz w:val="21"/>
        </w:rPr>
        <w:t>自主生活能力完全丧失，无法独立完成六项基本日常生活活动中的三项或三项</w:t>
      </w:r>
      <w:r>
        <w:rPr>
          <w:spacing w:val="-4"/>
          <w:sz w:val="21"/>
        </w:rPr>
        <w:t>以上。</w:t>
      </w:r>
    </w:p>
    <w:p>
      <w:pPr>
        <w:pStyle w:val="3"/>
        <w:numPr>
          <w:ilvl w:val="0"/>
          <w:numId w:val="15"/>
        </w:numPr>
        <w:tabs>
          <w:tab w:val="left" w:pos="3275"/>
        </w:tabs>
        <w:spacing w:before="167" w:after="0" w:line="240" w:lineRule="auto"/>
        <w:ind w:left="3274" w:right="0" w:hanging="722"/>
        <w:jc w:val="both"/>
      </w:pPr>
      <w:r>
        <w:rPr>
          <w:w w:val="95"/>
        </w:rPr>
        <w:t>肝豆状核变性（Wilson</w:t>
      </w:r>
      <w:r>
        <w:rPr>
          <w:spacing w:val="52"/>
        </w:rPr>
        <w:t xml:space="preserve"> </w:t>
      </w:r>
      <w:r>
        <w:rPr>
          <w:w w:val="95"/>
        </w:rPr>
        <w:t>病</w:t>
      </w:r>
      <w:r>
        <w:rPr>
          <w:spacing w:val="-10"/>
          <w:w w:val="95"/>
        </w:rPr>
        <w:t>）</w:t>
      </w:r>
    </w:p>
    <w:p>
      <w:pPr>
        <w:pStyle w:val="4"/>
        <w:spacing w:before="9"/>
        <w:rPr>
          <w:b/>
          <w:sz w:val="16"/>
        </w:rPr>
      </w:pPr>
    </w:p>
    <w:p>
      <w:pPr>
        <w:pStyle w:val="4"/>
        <w:spacing w:line="278" w:lineRule="auto"/>
        <w:ind w:left="2553" w:right="216"/>
      </w:pPr>
      <w:r>
        <w:rPr>
          <w:spacing w:val="-2"/>
        </w:rPr>
        <w:t>指一种常染色体隐性遗传的铜代谢缺陷病，以不同程度的肝细胞损害、脑退行性病变和角膜边缘有铜盐沉着环为其临床特征，并须满足下列全部条件：</w:t>
      </w:r>
    </w:p>
    <w:p>
      <w:pPr>
        <w:pStyle w:val="9"/>
        <w:numPr>
          <w:ilvl w:val="0"/>
          <w:numId w:val="19"/>
        </w:numPr>
        <w:tabs>
          <w:tab w:val="left" w:pos="2914"/>
        </w:tabs>
        <w:spacing w:before="156" w:after="0" w:line="240" w:lineRule="auto"/>
        <w:ind w:left="2914" w:right="0" w:hanging="361"/>
        <w:jc w:val="left"/>
        <w:rPr>
          <w:sz w:val="21"/>
        </w:rPr>
      </w:pPr>
      <w:r>
        <w:rPr>
          <w:spacing w:val="-4"/>
          <w:sz w:val="21"/>
        </w:rPr>
        <w:t>典型症状；</w:t>
      </w:r>
    </w:p>
    <w:p>
      <w:pPr>
        <w:pStyle w:val="4"/>
        <w:spacing w:before="6"/>
        <w:rPr>
          <w:sz w:val="15"/>
        </w:rPr>
      </w:pPr>
    </w:p>
    <w:p>
      <w:pPr>
        <w:pStyle w:val="9"/>
        <w:numPr>
          <w:ilvl w:val="0"/>
          <w:numId w:val="19"/>
        </w:numPr>
        <w:tabs>
          <w:tab w:val="left" w:pos="2914"/>
        </w:tabs>
        <w:spacing w:before="0" w:after="0" w:line="240" w:lineRule="auto"/>
        <w:ind w:left="2914" w:right="0" w:hanging="361"/>
        <w:jc w:val="both"/>
        <w:rPr>
          <w:sz w:val="21"/>
        </w:rPr>
      </w:pPr>
      <w:r>
        <w:rPr>
          <w:spacing w:val="-2"/>
          <w:sz w:val="21"/>
        </w:rPr>
        <w:t>角膜色素环（K-F</w:t>
      </w:r>
      <w:r>
        <w:rPr>
          <w:spacing w:val="-25"/>
          <w:sz w:val="21"/>
        </w:rPr>
        <w:t xml:space="preserve"> 环</w:t>
      </w:r>
      <w:r>
        <w:rPr>
          <w:spacing w:val="-111"/>
          <w:sz w:val="21"/>
        </w:rPr>
        <w:t>）</w:t>
      </w:r>
      <w:r>
        <w:rPr>
          <w:spacing w:val="-5"/>
          <w:sz w:val="21"/>
        </w:rPr>
        <w:t>；</w:t>
      </w:r>
    </w:p>
    <w:p>
      <w:pPr>
        <w:pStyle w:val="4"/>
        <w:spacing w:before="7"/>
        <w:rPr>
          <w:sz w:val="15"/>
        </w:rPr>
      </w:pPr>
    </w:p>
    <w:p>
      <w:pPr>
        <w:pStyle w:val="9"/>
        <w:numPr>
          <w:ilvl w:val="0"/>
          <w:numId w:val="19"/>
        </w:numPr>
        <w:tabs>
          <w:tab w:val="left" w:pos="2914"/>
        </w:tabs>
        <w:spacing w:before="0" w:after="0" w:line="240" w:lineRule="auto"/>
        <w:ind w:left="2914" w:right="0" w:hanging="361"/>
        <w:jc w:val="both"/>
        <w:rPr>
          <w:sz w:val="21"/>
        </w:rPr>
      </w:pPr>
      <w:r>
        <w:rPr>
          <w:spacing w:val="-3"/>
          <w:sz w:val="21"/>
        </w:rPr>
        <w:t>血清铜和血清铜蛋白降低，尿铜增加；</w:t>
      </w:r>
    </w:p>
    <w:p>
      <w:pPr>
        <w:pStyle w:val="4"/>
        <w:spacing w:before="7"/>
        <w:rPr>
          <w:sz w:val="15"/>
        </w:rPr>
      </w:pPr>
    </w:p>
    <w:p>
      <w:pPr>
        <w:pStyle w:val="9"/>
        <w:numPr>
          <w:ilvl w:val="0"/>
          <w:numId w:val="19"/>
        </w:numPr>
        <w:tabs>
          <w:tab w:val="left" w:pos="2914"/>
        </w:tabs>
        <w:spacing w:before="0" w:after="0" w:line="240" w:lineRule="auto"/>
        <w:ind w:left="2914" w:right="0" w:hanging="361"/>
        <w:jc w:val="both"/>
        <w:rPr>
          <w:sz w:val="21"/>
        </w:rPr>
      </w:pPr>
      <w:r>
        <w:rPr>
          <w:spacing w:val="-3"/>
          <w:sz w:val="21"/>
        </w:rPr>
        <w:t>经皮做肝脏活检来定量分析肝脏铜的含量。</w:t>
      </w:r>
    </w:p>
    <w:p>
      <w:pPr>
        <w:pStyle w:val="4"/>
        <w:spacing w:before="7"/>
        <w:rPr>
          <w:sz w:val="15"/>
        </w:rPr>
      </w:pPr>
    </w:p>
    <w:p>
      <w:pPr>
        <w:pStyle w:val="4"/>
        <w:spacing w:line="278" w:lineRule="auto"/>
        <w:ind w:left="2553" w:right="110"/>
      </w:pPr>
      <w:r>
        <w:rPr>
          <w:spacing w:val="-4"/>
        </w:rPr>
        <w:t>本项疾病责任不受合同责任免除中“遗传性疾病，先天性畸形、变形或染色体异常”的限制。</w:t>
      </w:r>
    </w:p>
    <w:p>
      <w:pPr>
        <w:pStyle w:val="3"/>
        <w:numPr>
          <w:ilvl w:val="0"/>
          <w:numId w:val="15"/>
        </w:numPr>
        <w:tabs>
          <w:tab w:val="left" w:pos="3275"/>
        </w:tabs>
        <w:spacing w:before="168" w:after="0" w:line="240" w:lineRule="auto"/>
        <w:ind w:left="3274" w:right="0" w:hanging="722"/>
        <w:jc w:val="both"/>
      </w:pPr>
      <w:r>
        <w:rPr>
          <w:spacing w:val="-3"/>
        </w:rPr>
        <w:t>严重的类风湿性关节炎</w:t>
      </w:r>
    </w:p>
    <w:p>
      <w:pPr>
        <w:pStyle w:val="4"/>
        <w:spacing w:before="5"/>
        <w:rPr>
          <w:b/>
          <w:sz w:val="16"/>
        </w:rPr>
      </w:pPr>
    </w:p>
    <w:p>
      <w:pPr>
        <w:pStyle w:val="4"/>
        <w:spacing w:before="1" w:line="278" w:lineRule="auto"/>
        <w:ind w:left="2553" w:right="216"/>
        <w:jc w:val="both"/>
      </w:pPr>
      <w:r>
        <w:rPr>
          <w:spacing w:val="-2"/>
        </w:rPr>
        <w:t>类风湿性关节炎为广泛分布的慢性进行性多关节病变，表现为关节严重变形，侵犯至少三个主要关节或关节组（如：双手（多手指）关节、双足（多足趾）关节、双</w:t>
      </w:r>
      <w:r>
        <w:rPr>
          <w:spacing w:val="-10"/>
        </w:rPr>
        <w:t>腕关节、双膝关节和双髋关节</w:t>
      </w:r>
      <w:r>
        <w:rPr>
          <w:spacing w:val="-108"/>
        </w:rPr>
        <w:t>）</w:t>
      </w:r>
      <w:r>
        <w:rPr>
          <w:spacing w:val="-10"/>
        </w:rPr>
        <w:t>。类风湿性关节炎必须明确诊断并且已经达到类风湿</w:t>
      </w:r>
      <w:r>
        <w:rPr>
          <w:spacing w:val="-2"/>
        </w:rPr>
        <w:t>性关节炎功能分级Ⅲ级以上的功能障碍（关节活动严重限制，不能完成大部分的日常工作和活动）并且满足下列全部条件：</w:t>
      </w:r>
    </w:p>
    <w:p>
      <w:pPr>
        <w:pStyle w:val="9"/>
        <w:numPr>
          <w:ilvl w:val="0"/>
          <w:numId w:val="20"/>
        </w:numPr>
        <w:tabs>
          <w:tab w:val="left" w:pos="2914"/>
        </w:tabs>
        <w:spacing w:before="155" w:after="0" w:line="240" w:lineRule="auto"/>
        <w:ind w:left="2914" w:right="0" w:hanging="361"/>
        <w:jc w:val="both"/>
        <w:rPr>
          <w:sz w:val="21"/>
        </w:rPr>
      </w:pPr>
      <w:r>
        <w:rPr>
          <w:spacing w:val="-4"/>
          <w:sz w:val="21"/>
        </w:rPr>
        <w:t>晨僵；</w:t>
      </w:r>
    </w:p>
    <w:p>
      <w:pPr>
        <w:pStyle w:val="4"/>
        <w:spacing w:before="7"/>
        <w:rPr>
          <w:sz w:val="15"/>
        </w:rPr>
      </w:pPr>
    </w:p>
    <w:p>
      <w:pPr>
        <w:pStyle w:val="9"/>
        <w:numPr>
          <w:ilvl w:val="0"/>
          <w:numId w:val="20"/>
        </w:numPr>
        <w:tabs>
          <w:tab w:val="left" w:pos="2914"/>
        </w:tabs>
        <w:spacing w:before="0" w:after="0" w:line="240" w:lineRule="auto"/>
        <w:ind w:left="2914" w:right="0" w:hanging="361"/>
        <w:jc w:val="both"/>
        <w:rPr>
          <w:sz w:val="21"/>
        </w:rPr>
      </w:pPr>
      <w:r>
        <w:rPr>
          <w:spacing w:val="-4"/>
          <w:sz w:val="21"/>
        </w:rPr>
        <w:t>对称性关节炎；</w:t>
      </w:r>
    </w:p>
    <w:p>
      <w:pPr>
        <w:pStyle w:val="4"/>
        <w:spacing w:before="7"/>
        <w:rPr>
          <w:sz w:val="15"/>
        </w:rPr>
      </w:pPr>
    </w:p>
    <w:p>
      <w:pPr>
        <w:pStyle w:val="9"/>
        <w:numPr>
          <w:ilvl w:val="0"/>
          <w:numId w:val="20"/>
        </w:numPr>
        <w:tabs>
          <w:tab w:val="left" w:pos="2914"/>
        </w:tabs>
        <w:spacing w:before="0" w:after="0" w:line="240" w:lineRule="auto"/>
        <w:ind w:left="2914" w:right="0" w:hanging="361"/>
        <w:jc w:val="both"/>
        <w:rPr>
          <w:sz w:val="21"/>
        </w:rPr>
      </w:pPr>
      <w:r>
        <w:rPr>
          <w:spacing w:val="-3"/>
          <w:sz w:val="21"/>
        </w:rPr>
        <w:t>类风湿性皮下结节；</w:t>
      </w:r>
    </w:p>
    <w:p>
      <w:pPr>
        <w:pStyle w:val="4"/>
        <w:spacing w:before="7"/>
        <w:rPr>
          <w:sz w:val="15"/>
        </w:rPr>
      </w:pPr>
    </w:p>
    <w:p>
      <w:pPr>
        <w:pStyle w:val="9"/>
        <w:numPr>
          <w:ilvl w:val="0"/>
          <w:numId w:val="20"/>
        </w:numPr>
        <w:tabs>
          <w:tab w:val="left" w:pos="2914"/>
        </w:tabs>
        <w:spacing w:before="0" w:after="0" w:line="240" w:lineRule="auto"/>
        <w:ind w:left="2914" w:right="0" w:hanging="361"/>
        <w:jc w:val="both"/>
        <w:rPr>
          <w:sz w:val="21"/>
        </w:rPr>
      </w:pPr>
      <w:r>
        <w:rPr>
          <w:spacing w:val="-3"/>
          <w:sz w:val="21"/>
        </w:rPr>
        <w:t>类风湿因子滴度升高；</w:t>
      </w:r>
    </w:p>
    <w:p>
      <w:pPr>
        <w:pStyle w:val="4"/>
        <w:spacing w:before="6"/>
        <w:rPr>
          <w:sz w:val="15"/>
        </w:rPr>
      </w:pPr>
    </w:p>
    <w:p>
      <w:pPr>
        <w:pStyle w:val="9"/>
        <w:numPr>
          <w:ilvl w:val="0"/>
          <w:numId w:val="20"/>
        </w:numPr>
        <w:tabs>
          <w:tab w:val="left" w:pos="2914"/>
        </w:tabs>
        <w:spacing w:before="1" w:after="0" w:line="240" w:lineRule="auto"/>
        <w:ind w:left="2914" w:right="0" w:hanging="361"/>
        <w:jc w:val="both"/>
        <w:rPr>
          <w:sz w:val="21"/>
        </w:rPr>
      </w:pPr>
      <w:r>
        <w:rPr>
          <w:spacing w:val="-2"/>
          <w:sz w:val="21"/>
        </w:rPr>
        <w:t>X</w:t>
      </w:r>
      <w:r>
        <w:rPr>
          <w:spacing w:val="-8"/>
          <w:sz w:val="21"/>
        </w:rPr>
        <w:t xml:space="preserve"> 线显示严重的关节</w:t>
      </w:r>
      <w:r>
        <w:rPr>
          <w:spacing w:val="-2"/>
          <w:sz w:val="21"/>
        </w:rPr>
        <w:t>（软骨和骨）</w:t>
      </w:r>
      <w:r>
        <w:rPr>
          <w:spacing w:val="-3"/>
          <w:sz w:val="21"/>
        </w:rPr>
        <w:t>破坏和关节畸形。</w:t>
      </w:r>
    </w:p>
    <w:p>
      <w:pPr>
        <w:pStyle w:val="4"/>
        <w:spacing w:before="5"/>
        <w:rPr>
          <w:sz w:val="16"/>
        </w:rPr>
      </w:pPr>
    </w:p>
    <w:p>
      <w:pPr>
        <w:pStyle w:val="3"/>
        <w:numPr>
          <w:ilvl w:val="0"/>
          <w:numId w:val="15"/>
        </w:numPr>
        <w:tabs>
          <w:tab w:val="left" w:pos="3275"/>
        </w:tabs>
        <w:spacing w:before="1" w:after="0" w:line="240" w:lineRule="auto"/>
        <w:ind w:left="3274" w:right="0" w:hanging="722"/>
        <w:jc w:val="both"/>
      </w:pPr>
      <w:r>
        <w:rPr>
          <w:spacing w:val="-3"/>
        </w:rPr>
        <w:t>严重甲型及乙型血友病</w:t>
      </w:r>
    </w:p>
    <w:p>
      <w:pPr>
        <w:spacing w:after="0" w:line="240" w:lineRule="auto"/>
        <w:jc w:val="both"/>
        <w:sectPr>
          <w:pgSz w:w="11910" w:h="16840"/>
          <w:pgMar w:top="1400" w:right="680" w:bottom="280" w:left="900" w:header="720" w:footer="720" w:gutter="0"/>
          <w:cols w:space="720" w:num="1"/>
        </w:sectPr>
      </w:pPr>
    </w:p>
    <w:p>
      <w:pPr>
        <w:pStyle w:val="4"/>
        <w:spacing w:before="44" w:line="278" w:lineRule="auto"/>
        <w:ind w:left="2553" w:right="218"/>
        <w:jc w:val="both"/>
      </w:pPr>
      <w:r>
        <w:rPr>
          <w:spacing w:val="-2"/>
        </w:rPr>
        <w:t xml:space="preserve">被保险人必须是患上严重甲型血友病（缺乏Ⅷ凝血因子）或严重乙型血友病（缺乏 </w:t>
      </w:r>
      <w:r>
        <w:rPr>
          <w:w w:val="95"/>
        </w:rPr>
        <w:t>IX</w:t>
      </w:r>
      <w:r>
        <w:t xml:space="preserve"> </w:t>
      </w:r>
      <w:r>
        <w:rPr>
          <w:w w:val="95"/>
        </w:rPr>
        <w:t>凝血因子</w:t>
      </w:r>
      <w:r>
        <w:rPr>
          <w:spacing w:val="-70"/>
          <w:w w:val="95"/>
        </w:rPr>
        <w:t>）</w:t>
      </w:r>
      <w:r>
        <w:rPr>
          <w:spacing w:val="-12"/>
          <w:w w:val="95"/>
        </w:rPr>
        <w:t>，而凝血因子Ⅷ</w:t>
      </w:r>
      <w:r>
        <w:rPr>
          <w:w w:val="95"/>
        </w:rPr>
        <w:t>或凝血因子</w:t>
      </w:r>
      <w:r>
        <w:t xml:space="preserve"> </w:t>
      </w:r>
      <w:r>
        <w:rPr>
          <w:w w:val="95"/>
        </w:rPr>
        <w:t>IX</w:t>
      </w:r>
      <w:r>
        <w:t xml:space="preserve"> </w:t>
      </w:r>
      <w:r>
        <w:rPr>
          <w:w w:val="95"/>
        </w:rPr>
        <w:t>的活性水平少于百分之一。诊断必须由</w:t>
      </w:r>
      <w:r>
        <w:rPr>
          <w:spacing w:val="-2"/>
        </w:rPr>
        <w:t>本公司指定或认可的医疗机构的血液病专科医生确认。</w:t>
      </w:r>
    </w:p>
    <w:p>
      <w:pPr>
        <w:pStyle w:val="4"/>
        <w:spacing w:line="278" w:lineRule="auto"/>
        <w:ind w:left="2553" w:right="216"/>
      </w:pPr>
      <w:r>
        <w:rPr>
          <w:spacing w:val="-2"/>
        </w:rPr>
        <w:t>本公司承担本项疾病责任不受本合同责任免除中“遗传性疾病、先天性畸形、变形或染色体异常”的限制。</w:t>
      </w:r>
    </w:p>
    <w:p>
      <w:pPr>
        <w:pStyle w:val="3"/>
        <w:numPr>
          <w:ilvl w:val="0"/>
          <w:numId w:val="15"/>
        </w:numPr>
        <w:tabs>
          <w:tab w:val="left" w:pos="3275"/>
        </w:tabs>
        <w:spacing w:before="168" w:after="0" w:line="240" w:lineRule="auto"/>
        <w:ind w:left="3274" w:right="0" w:hanging="722"/>
        <w:jc w:val="both"/>
      </w:pPr>
      <w:r>
        <w:rPr>
          <w:spacing w:val="-2"/>
        </w:rPr>
        <w:t>严重强直性脊柱炎</w:t>
      </w:r>
    </w:p>
    <w:p>
      <w:pPr>
        <w:pStyle w:val="4"/>
        <w:spacing w:before="6"/>
        <w:rPr>
          <w:b/>
          <w:sz w:val="16"/>
        </w:rPr>
      </w:pPr>
    </w:p>
    <w:p>
      <w:pPr>
        <w:pStyle w:val="4"/>
        <w:spacing w:line="278" w:lineRule="auto"/>
        <w:ind w:left="2553" w:right="216"/>
        <w:jc w:val="both"/>
      </w:pPr>
      <w:r>
        <w:rPr>
          <w:spacing w:val="-4"/>
          <w:w w:val="100"/>
        </w:rPr>
        <w:t>强直性脊柱炎指一种慢性、全身性、炎性疾病，主要侵犯脊柱导致脊柱畸形。严重</w:t>
      </w:r>
      <w:r>
        <w:rPr>
          <w:spacing w:val="2"/>
          <w:w w:val="100"/>
        </w:rPr>
        <w:t>强直性脊柱炎须经本公司认可的医院的专科医生明确诊断，并须满足下列全部条</w:t>
      </w:r>
      <w:r>
        <w:rPr>
          <w:w w:val="100"/>
        </w:rPr>
        <w:t>件：</w:t>
      </w:r>
    </w:p>
    <w:p>
      <w:pPr>
        <w:pStyle w:val="9"/>
        <w:numPr>
          <w:ilvl w:val="0"/>
          <w:numId w:val="21"/>
        </w:numPr>
        <w:tabs>
          <w:tab w:val="left" w:pos="2914"/>
        </w:tabs>
        <w:spacing w:before="156" w:after="0" w:line="240" w:lineRule="auto"/>
        <w:ind w:left="2914" w:right="0" w:hanging="361"/>
        <w:jc w:val="both"/>
        <w:rPr>
          <w:sz w:val="21"/>
        </w:rPr>
      </w:pPr>
      <w:r>
        <w:rPr>
          <w:spacing w:val="-4"/>
          <w:sz w:val="21"/>
        </w:rPr>
        <w:t>严重脊柱畸形；</w:t>
      </w:r>
    </w:p>
    <w:p>
      <w:pPr>
        <w:pStyle w:val="4"/>
        <w:spacing w:before="6"/>
        <w:rPr>
          <w:sz w:val="15"/>
        </w:rPr>
      </w:pPr>
    </w:p>
    <w:p>
      <w:pPr>
        <w:pStyle w:val="9"/>
        <w:numPr>
          <w:ilvl w:val="0"/>
          <w:numId w:val="21"/>
        </w:numPr>
        <w:tabs>
          <w:tab w:val="left" w:pos="2914"/>
        </w:tabs>
        <w:spacing w:before="0" w:after="0" w:line="278" w:lineRule="auto"/>
        <w:ind w:left="2914" w:right="223" w:hanging="360"/>
        <w:jc w:val="left"/>
        <w:rPr>
          <w:sz w:val="21"/>
        </w:rPr>
      </w:pPr>
      <w:r>
        <w:rPr>
          <w:spacing w:val="-2"/>
          <w:sz w:val="21"/>
        </w:rPr>
        <w:t>自主生活能力完全丧失，无法独立完成六项基本日常生活活动中的三项或三项</w:t>
      </w:r>
      <w:r>
        <w:rPr>
          <w:spacing w:val="-4"/>
          <w:sz w:val="21"/>
        </w:rPr>
        <w:t>以上。</w:t>
      </w:r>
    </w:p>
    <w:p>
      <w:pPr>
        <w:pStyle w:val="3"/>
        <w:numPr>
          <w:ilvl w:val="0"/>
          <w:numId w:val="15"/>
        </w:numPr>
        <w:tabs>
          <w:tab w:val="left" w:pos="3275"/>
        </w:tabs>
        <w:spacing w:before="157" w:after="0" w:line="240" w:lineRule="auto"/>
        <w:ind w:left="3274" w:right="0" w:hanging="722"/>
        <w:jc w:val="both"/>
      </w:pPr>
      <w:r>
        <w:rPr>
          <w:spacing w:val="-4"/>
        </w:rPr>
        <w:t>银屑病</w:t>
      </w:r>
    </w:p>
    <w:p>
      <w:pPr>
        <w:pStyle w:val="4"/>
        <w:spacing w:before="6"/>
        <w:rPr>
          <w:b/>
          <w:sz w:val="15"/>
        </w:rPr>
      </w:pPr>
    </w:p>
    <w:p>
      <w:pPr>
        <w:pStyle w:val="4"/>
        <w:spacing w:line="278" w:lineRule="auto"/>
        <w:ind w:left="2553" w:right="216"/>
        <w:jc w:val="both"/>
      </w:pPr>
      <w:r>
        <w:rPr>
          <w:spacing w:val="-2"/>
        </w:rPr>
        <w:t>银屑病是一种遗传与环境共同作用诱发的免疫介导的慢性、复发性、炎症性、系统</w:t>
      </w:r>
      <w:r>
        <w:rPr>
          <w:spacing w:val="-4"/>
        </w:rPr>
        <w:t>性疾 病，典型临床表现为鳞屑性红斑或斑块，局限或广泛分布，无传染性，治疗困</w:t>
      </w:r>
      <w:r>
        <w:rPr>
          <w:spacing w:val="-7"/>
        </w:rPr>
        <w:t xml:space="preserve">难，常罹患终身。银屑病 的病因涉及遗传、免疫、环境等多种因素，通过以 </w:t>
      </w:r>
      <w:r>
        <w:rPr>
          <w:spacing w:val="-6"/>
        </w:rPr>
        <w:t>T</w:t>
      </w:r>
      <w:r>
        <w:rPr>
          <w:spacing w:val="-12"/>
        </w:rPr>
        <w:t xml:space="preserve"> 淋巴</w:t>
      </w:r>
      <w:r>
        <w:rPr>
          <w:spacing w:val="-2"/>
        </w:rPr>
        <w:t>细胞介导为主、多种免疫细胞共同参与的免疫反应引起角质形成细胞过度增殖或关节滑膜细胞与软骨细胞发生炎症。</w:t>
      </w:r>
    </w:p>
    <w:p>
      <w:pPr>
        <w:pStyle w:val="3"/>
        <w:numPr>
          <w:ilvl w:val="0"/>
          <w:numId w:val="15"/>
        </w:numPr>
        <w:tabs>
          <w:tab w:val="left" w:pos="3275"/>
        </w:tabs>
        <w:spacing w:before="156" w:after="0" w:line="240" w:lineRule="auto"/>
        <w:ind w:left="3274" w:right="0" w:hanging="722"/>
        <w:jc w:val="both"/>
      </w:pPr>
      <w:r>
        <w:rPr>
          <w:spacing w:val="-2"/>
        </w:rPr>
        <w:t>地中海贫血</w:t>
      </w:r>
    </w:p>
    <w:p>
      <w:pPr>
        <w:pStyle w:val="4"/>
        <w:spacing w:before="6"/>
        <w:rPr>
          <w:b/>
          <w:sz w:val="15"/>
        </w:rPr>
      </w:pPr>
    </w:p>
    <w:p>
      <w:pPr>
        <w:pStyle w:val="4"/>
        <w:spacing w:before="1" w:line="278" w:lineRule="auto"/>
        <w:ind w:left="2553" w:right="215"/>
        <w:jc w:val="both"/>
      </w:pPr>
      <w:r>
        <w:rPr>
          <w:spacing w:val="-2"/>
        </w:rPr>
        <w:t>是一组遗传性</w:t>
      </w:r>
      <w:r>
        <w:fldChar w:fldCharType="begin"/>
      </w:r>
      <w:r>
        <w:instrText xml:space="preserve"> HYPERLINK "https://baike.baidu.com/item/%E6%BA%B6%E8%A1%80%E6%80%A7%E8%B4%AB%E8%A1%80/88088" \h </w:instrText>
      </w:r>
      <w:r>
        <w:fldChar w:fldCharType="separate"/>
      </w:r>
      <w:r>
        <w:rPr>
          <w:spacing w:val="-2"/>
        </w:rPr>
        <w:t>溶血性贫血</w:t>
      </w:r>
      <w:r>
        <w:rPr>
          <w:spacing w:val="-2"/>
        </w:rPr>
        <w:fldChar w:fldCharType="end"/>
      </w:r>
      <w:r>
        <w:rPr>
          <w:spacing w:val="-2"/>
        </w:rPr>
        <w:t>疾病。由于遗传的基因缺陷致使血红蛋白中一种或一种以上珠蛋白链合成缺如或不足所导致的贫血或病理状态。缘于基因缺陷的复杂性与多样性，使缺乏的珠蛋白链类型、数量及临床症状变异性较大。根据所缺乏的珠蛋白链种类及缺乏程度予以命名和分类。</w:t>
      </w:r>
    </w:p>
    <w:p>
      <w:pPr>
        <w:pStyle w:val="4"/>
        <w:spacing w:before="156" w:line="278" w:lineRule="auto"/>
        <w:ind w:left="2553" w:right="216"/>
      </w:pPr>
      <w:r>
        <w:rPr>
          <w:spacing w:val="-2"/>
        </w:rPr>
        <w:t>本公司承担本项疾病责任不受本合同责任免除中“遗传性疾病、先天性畸形、变形或染色体异常”的限制。</w:t>
      </w:r>
    </w:p>
    <w:p>
      <w:pPr>
        <w:pStyle w:val="3"/>
        <w:numPr>
          <w:ilvl w:val="0"/>
          <w:numId w:val="15"/>
        </w:numPr>
        <w:tabs>
          <w:tab w:val="left" w:pos="3275"/>
        </w:tabs>
        <w:spacing w:before="155" w:after="0" w:line="240" w:lineRule="auto"/>
        <w:ind w:left="3274" w:right="0" w:hanging="722"/>
        <w:jc w:val="left"/>
        <w:rPr>
          <w:color w:val="333333"/>
        </w:rPr>
      </w:pPr>
      <w:r>
        <w:rPr>
          <w:spacing w:val="-3"/>
        </w:rPr>
        <w:t>丙型肝炎</w:t>
      </w:r>
    </w:p>
    <w:p>
      <w:pPr>
        <w:pStyle w:val="4"/>
        <w:spacing w:before="199"/>
        <w:ind w:left="2553"/>
      </w:pPr>
      <w:r>
        <w:rPr>
          <w:spacing w:val="-2"/>
        </w:rPr>
        <w:t>一种由丙型肝炎病毒（HCV）</w:t>
      </w:r>
      <w:r>
        <w:rPr>
          <w:spacing w:val="-3"/>
        </w:rPr>
        <w:t>感染引起的病毒性肝炎。</w:t>
      </w:r>
    </w:p>
    <w:p>
      <w:pPr>
        <w:pStyle w:val="4"/>
        <w:spacing w:before="7"/>
        <w:rPr>
          <w:sz w:val="15"/>
        </w:rPr>
      </w:pPr>
    </w:p>
    <w:p>
      <w:pPr>
        <w:pStyle w:val="3"/>
        <w:numPr>
          <w:ilvl w:val="0"/>
          <w:numId w:val="15"/>
        </w:numPr>
        <w:tabs>
          <w:tab w:val="left" w:pos="3275"/>
        </w:tabs>
        <w:spacing w:before="0" w:after="0" w:line="240" w:lineRule="auto"/>
        <w:ind w:left="3274" w:right="0" w:hanging="722"/>
        <w:jc w:val="left"/>
      </w:pPr>
      <w:r>
        <w:rPr>
          <w:spacing w:val="-2"/>
        </w:rPr>
        <w:t>慢性阻塞性肺炎：</w:t>
      </w:r>
    </w:p>
    <w:p>
      <w:pPr>
        <w:pStyle w:val="4"/>
        <w:spacing w:before="7"/>
        <w:rPr>
          <w:b/>
          <w:sz w:val="15"/>
        </w:rPr>
      </w:pPr>
    </w:p>
    <w:p>
      <w:pPr>
        <w:pStyle w:val="4"/>
        <w:spacing w:line="278" w:lineRule="auto"/>
        <w:ind w:left="2553" w:right="216"/>
      </w:pPr>
      <w:r>
        <w:rPr>
          <w:spacing w:val="-2"/>
        </w:rPr>
        <w:t>慢性阻塞性肺炎又称阻塞性肺气肿，系终末细支气管远端部分（包括呼吸性细支气</w:t>
      </w:r>
      <w:r>
        <w:t>管、肺泡管、 肺泡囊和肺泡）膨胀，并伴有气腔壁的破坏。</w:t>
      </w:r>
    </w:p>
    <w:p>
      <w:pPr>
        <w:pStyle w:val="3"/>
        <w:numPr>
          <w:ilvl w:val="0"/>
          <w:numId w:val="15"/>
        </w:numPr>
        <w:tabs>
          <w:tab w:val="left" w:pos="3275"/>
        </w:tabs>
        <w:spacing w:before="156" w:after="0" w:line="240" w:lineRule="auto"/>
        <w:ind w:left="3274" w:right="0" w:hanging="722"/>
        <w:jc w:val="left"/>
      </w:pPr>
      <w:r>
        <w:rPr>
          <w:spacing w:val="-2"/>
        </w:rPr>
        <w:t>肺动脉高压</w:t>
      </w:r>
    </w:p>
    <w:p>
      <w:pPr>
        <w:pStyle w:val="4"/>
        <w:spacing w:before="7"/>
        <w:rPr>
          <w:b/>
          <w:sz w:val="15"/>
        </w:rPr>
      </w:pPr>
    </w:p>
    <w:p>
      <w:pPr>
        <w:pStyle w:val="4"/>
        <w:spacing w:line="278" w:lineRule="auto"/>
        <w:ind w:left="2553" w:right="216"/>
        <w:jc w:val="both"/>
      </w:pPr>
      <w:r>
        <w:rPr>
          <w:spacing w:val="-2"/>
        </w:rPr>
        <w:t>指肺动脉压力升高超过一定界值的一种血流动力学和病理生理状态，可导致右心衰竭，可以是一种独立的疾病，也可以是并发症，还可以是综合征。其血流动力学诊断标准为：海平面静息状态下，右心导管检测肺动脉平均压≥25mmHg。</w:t>
      </w:r>
    </w:p>
    <w:p>
      <w:pPr>
        <w:pStyle w:val="3"/>
        <w:numPr>
          <w:ilvl w:val="0"/>
          <w:numId w:val="15"/>
        </w:numPr>
        <w:tabs>
          <w:tab w:val="left" w:pos="3275"/>
        </w:tabs>
        <w:spacing w:before="168" w:after="0" w:line="240" w:lineRule="auto"/>
        <w:ind w:left="3274" w:right="0" w:hanging="722"/>
        <w:jc w:val="left"/>
      </w:pPr>
      <w:r>
        <w:rPr>
          <w:spacing w:val="-2"/>
        </w:rPr>
        <w:t>多发性硬化症</w:t>
      </w:r>
    </w:p>
    <w:p>
      <w:pPr>
        <w:pStyle w:val="4"/>
        <w:spacing w:before="8"/>
        <w:rPr>
          <w:b/>
          <w:sz w:val="16"/>
        </w:rPr>
      </w:pPr>
    </w:p>
    <w:p>
      <w:pPr>
        <w:pStyle w:val="4"/>
        <w:ind w:left="2553"/>
      </w:pPr>
      <w:r>
        <w:rPr>
          <w:spacing w:val="-5"/>
        </w:rPr>
        <w:t>指被保险人因脑及脊髓内的脱髓鞘病变而出现神经系统多灶性</w:t>
      </w:r>
      <w:r>
        <w:rPr>
          <w:spacing w:val="-2"/>
        </w:rPr>
        <w:t>（多发性</w:t>
      </w:r>
      <w:r>
        <w:rPr>
          <w:spacing w:val="-77"/>
        </w:rPr>
        <w:t>）</w:t>
      </w:r>
      <w:r>
        <w:rPr>
          <w:spacing w:val="-27"/>
        </w:rPr>
        <w:t>多时相</w:t>
      </w:r>
      <w:r>
        <w:rPr>
          <w:spacing w:val="-2"/>
        </w:rPr>
        <w:t>（</w:t>
      </w:r>
      <w:r>
        <w:rPr>
          <w:spacing w:val="-10"/>
        </w:rPr>
        <w:t>至</w:t>
      </w:r>
    </w:p>
    <w:p>
      <w:pPr>
        <w:spacing w:after="0"/>
        <w:sectPr>
          <w:pgSz w:w="11910" w:h="16840"/>
          <w:pgMar w:top="1400" w:right="680" w:bottom="280" w:left="900" w:header="720" w:footer="720" w:gutter="0"/>
          <w:cols w:space="720" w:num="1"/>
        </w:sectPr>
      </w:pPr>
    </w:p>
    <w:p>
      <w:pPr>
        <w:pStyle w:val="4"/>
        <w:spacing w:before="44" w:line="278" w:lineRule="auto"/>
        <w:ind w:left="2553" w:right="215"/>
        <w:jc w:val="both"/>
      </w:pPr>
      <w:r>
        <w:rPr>
          <w:spacing w:val="-12"/>
        </w:rPr>
        <w:t>少六个月以内有一次以上</w:t>
      </w:r>
      <w:r>
        <w:rPr>
          <w:spacing w:val="-4"/>
        </w:rPr>
        <w:t>（不包含一次</w:t>
      </w:r>
      <w:r>
        <w:rPr>
          <w:spacing w:val="-87"/>
        </w:rPr>
        <w:t>）</w:t>
      </w:r>
      <w:r>
        <w:rPr>
          <w:spacing w:val="-4"/>
        </w:rPr>
        <w:t>的发作</w:t>
      </w:r>
      <w:r>
        <w:rPr>
          <w:spacing w:val="-87"/>
        </w:rPr>
        <w:t>）</w:t>
      </w:r>
      <w:r>
        <w:rPr>
          <w:spacing w:val="-20"/>
        </w:rPr>
        <w:t>的病变，须由计算机断层扫描</w:t>
      </w:r>
      <w:r>
        <w:rPr>
          <w:spacing w:val="23"/>
        </w:rPr>
        <w:t>（</w:t>
      </w:r>
      <w:r>
        <w:rPr>
          <w:spacing w:val="20"/>
        </w:rPr>
        <w:t>C</w:t>
      </w:r>
      <w:r>
        <w:rPr>
          <w:spacing w:val="23"/>
        </w:rPr>
        <w:t>T</w:t>
      </w:r>
      <w:r>
        <w:rPr>
          <w:spacing w:val="-83"/>
        </w:rPr>
        <w:t>）</w:t>
      </w:r>
      <w:r>
        <w:rPr>
          <w:spacing w:val="-106"/>
        </w:rPr>
        <w:t>、</w:t>
      </w:r>
      <w:r>
        <w:rPr>
          <w:spacing w:val="-2"/>
        </w:rPr>
        <w:t>核磁共振检查（MRI）或正电子发射断层扫描（PET）等影像学检查证实，且已经造成自主生活能力严重丧失，无法独立完成六项基本日常生活活动中的二项或二项以</w:t>
      </w:r>
      <w:r>
        <w:rPr>
          <w:spacing w:val="-3"/>
        </w:rPr>
        <w:t xml:space="preserve">上，持续至少 </w:t>
      </w:r>
      <w:r>
        <w:t>180</w:t>
      </w:r>
      <w:r>
        <w:rPr>
          <w:spacing w:val="-8"/>
        </w:rPr>
        <w:t xml:space="preserve"> 天。</w:t>
      </w:r>
    </w:p>
    <w:p>
      <w:pPr>
        <w:pStyle w:val="3"/>
        <w:numPr>
          <w:ilvl w:val="0"/>
          <w:numId w:val="15"/>
        </w:numPr>
        <w:tabs>
          <w:tab w:val="left" w:pos="3275"/>
        </w:tabs>
        <w:spacing w:before="168" w:after="0" w:line="240" w:lineRule="auto"/>
        <w:ind w:left="3274" w:right="0" w:hanging="722"/>
        <w:jc w:val="left"/>
      </w:pPr>
      <w:r>
        <w:rPr>
          <w:w w:val="95"/>
        </w:rPr>
        <w:t>C</w:t>
      </w:r>
      <w:r>
        <w:rPr>
          <w:spacing w:val="13"/>
        </w:rPr>
        <w:t xml:space="preserve"> </w:t>
      </w:r>
      <w:r>
        <w:rPr>
          <w:w w:val="95"/>
        </w:rPr>
        <w:t>型尼曼匹克氏</w:t>
      </w:r>
      <w:r>
        <w:rPr>
          <w:spacing w:val="-10"/>
          <w:w w:val="95"/>
        </w:rPr>
        <w:t>症</w:t>
      </w:r>
    </w:p>
    <w:p>
      <w:pPr>
        <w:pStyle w:val="4"/>
        <w:spacing w:before="6"/>
        <w:rPr>
          <w:b/>
          <w:sz w:val="16"/>
        </w:rPr>
      </w:pPr>
    </w:p>
    <w:p>
      <w:pPr>
        <w:pStyle w:val="4"/>
        <w:spacing w:line="278" w:lineRule="auto"/>
        <w:ind w:left="2553" w:right="215"/>
        <w:jc w:val="both"/>
      </w:pPr>
      <w:r>
        <w:rPr>
          <w:spacing w:val="-2"/>
        </w:rPr>
        <w:t>是一种遗传、不可逆性然而是可治疗的慢性恶化性脑脊髓交感神经疾病。本公司承担本项疾病责任不受本合同责任免除中“遗传性疾病、先天性畸形、变形或染色体异常”的限制。</w:t>
      </w:r>
    </w:p>
    <w:p>
      <w:pPr>
        <w:pStyle w:val="3"/>
        <w:numPr>
          <w:ilvl w:val="0"/>
          <w:numId w:val="15"/>
        </w:numPr>
        <w:tabs>
          <w:tab w:val="left" w:pos="3275"/>
        </w:tabs>
        <w:spacing w:before="168" w:after="0" w:line="240" w:lineRule="auto"/>
        <w:ind w:left="3274" w:right="0" w:hanging="722"/>
        <w:jc w:val="left"/>
      </w:pPr>
      <w:r>
        <w:rPr>
          <w:spacing w:val="-2"/>
        </w:rPr>
        <w:t>特发性肺纤维化</w:t>
      </w:r>
    </w:p>
    <w:p>
      <w:pPr>
        <w:pStyle w:val="4"/>
        <w:spacing w:before="8"/>
        <w:rPr>
          <w:b/>
          <w:sz w:val="16"/>
        </w:rPr>
      </w:pPr>
    </w:p>
    <w:p>
      <w:pPr>
        <w:pStyle w:val="4"/>
        <w:spacing w:line="278" w:lineRule="auto"/>
        <w:ind w:left="2553" w:right="211"/>
        <w:jc w:val="both"/>
      </w:pPr>
      <w:r>
        <w:rPr>
          <w:spacing w:val="2"/>
          <w:w w:val="100"/>
        </w:rPr>
        <w:t>是一种病因未明,以弥漫性肺泡炎和肺泡结构紊乱,最终导致肺间质纤维化为特征</w:t>
      </w:r>
      <w:r>
        <w:rPr>
          <w:spacing w:val="-11"/>
          <w:w w:val="100"/>
        </w:rPr>
        <w:t>的疾病。临床上以进行性呼吸困难,限制性通气功能障碍和弥散功能降低为特征。最</w:t>
      </w:r>
      <w:r>
        <w:rPr>
          <w:spacing w:val="-6"/>
          <w:w w:val="100"/>
        </w:rPr>
        <w:t>终发展为呼吸衰竭和右心衰竭。</w:t>
      </w:r>
    </w:p>
    <w:p>
      <w:pPr>
        <w:pStyle w:val="3"/>
        <w:numPr>
          <w:ilvl w:val="0"/>
          <w:numId w:val="15"/>
        </w:numPr>
        <w:tabs>
          <w:tab w:val="left" w:pos="3275"/>
        </w:tabs>
        <w:spacing w:before="168" w:after="0" w:line="240" w:lineRule="auto"/>
        <w:ind w:left="3274" w:right="0" w:hanging="722"/>
        <w:jc w:val="left"/>
      </w:pPr>
      <w:r>
        <w:rPr>
          <w:spacing w:val="-3"/>
        </w:rPr>
        <w:t>戈谢病：</w:t>
      </w:r>
    </w:p>
    <w:p>
      <w:pPr>
        <w:pStyle w:val="4"/>
        <w:spacing w:before="6"/>
        <w:rPr>
          <w:b/>
          <w:sz w:val="16"/>
        </w:rPr>
      </w:pPr>
    </w:p>
    <w:p>
      <w:pPr>
        <w:pStyle w:val="4"/>
        <w:spacing w:line="278" w:lineRule="auto"/>
        <w:ind w:left="2553" w:right="216"/>
        <w:jc w:val="both"/>
      </w:pPr>
      <w:r>
        <w:rPr>
          <w:spacing w:val="-2"/>
        </w:rPr>
        <w:t>戈谢病即葡糖脑苷脂病，是一种家族性糖脂代谢疾病，为染色体隐性遗传，是溶酶体沉积病中最常见的一种。本公司承担本项疾病责任不受本合同责任免除中“遗传性疾病、先天性畸形、变形或染色体异常”的限制。</w:t>
      </w:r>
    </w:p>
    <w:p>
      <w:pPr>
        <w:pStyle w:val="3"/>
        <w:numPr>
          <w:ilvl w:val="0"/>
          <w:numId w:val="15"/>
        </w:numPr>
        <w:tabs>
          <w:tab w:val="left" w:pos="3275"/>
        </w:tabs>
        <w:spacing w:before="168" w:after="0" w:line="240" w:lineRule="auto"/>
        <w:ind w:left="3274" w:right="0" w:hanging="722"/>
        <w:jc w:val="left"/>
      </w:pPr>
      <w:r>
        <w:rPr>
          <w:spacing w:val="-4"/>
        </w:rPr>
        <w:t>肺结核</w:t>
      </w:r>
    </w:p>
    <w:p>
      <w:pPr>
        <w:pStyle w:val="4"/>
        <w:spacing w:before="6"/>
        <w:rPr>
          <w:b/>
          <w:sz w:val="16"/>
        </w:rPr>
      </w:pPr>
    </w:p>
    <w:p>
      <w:pPr>
        <w:pStyle w:val="4"/>
        <w:ind w:left="2553"/>
      </w:pPr>
      <w:r>
        <w:rPr>
          <w:spacing w:val="-3"/>
        </w:rPr>
        <w:t>结核病是由结核杆菌感染引起的慢性传染病，肺结核指结核菌侵入肺脏的疾病。</w:t>
      </w:r>
    </w:p>
    <w:p>
      <w:pPr>
        <w:pStyle w:val="4"/>
        <w:rPr>
          <w:sz w:val="20"/>
        </w:rPr>
      </w:pPr>
    </w:p>
    <w:p>
      <w:pPr>
        <w:pStyle w:val="4"/>
        <w:rPr>
          <w:sz w:val="20"/>
        </w:rPr>
      </w:pPr>
    </w:p>
    <w:p>
      <w:pPr>
        <w:pStyle w:val="4"/>
        <w:spacing w:before="3"/>
        <w:rPr>
          <w:sz w:val="24"/>
        </w:rPr>
      </w:pPr>
    </w:p>
    <w:p>
      <w:pPr>
        <w:spacing w:before="0"/>
        <w:ind w:left="0" w:right="960" w:firstLine="0"/>
        <w:jc w:val="right"/>
        <w:rPr>
          <w:b/>
          <w:sz w:val="21"/>
        </w:rPr>
      </w:pPr>
      <w:r>
        <w:rPr>
          <w:b/>
          <w:w w:val="95"/>
          <w:sz w:val="21"/>
        </w:rPr>
        <w:t>[本页内容结束</w:t>
      </w:r>
      <w:r>
        <w:rPr>
          <w:b/>
          <w:spacing w:val="-10"/>
          <w:w w:val="95"/>
          <w:sz w:val="21"/>
        </w:rPr>
        <w:t>]</w:t>
      </w:r>
    </w:p>
    <w:sectPr>
      <w:pgSz w:w="11910" w:h="16840"/>
      <w:pgMar w:top="1400" w:right="680" w:bottom="280" w:left="90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Wingdings 2">
    <w:panose1 w:val="05020102010507070707"/>
    <w:charset w:val="02"/>
    <w:family w:val="roman"/>
    <w:pitch w:val="default"/>
    <w:sig w:usb0="00000000" w:usb1="00000000" w:usb2="00000000" w:usb3="00000000" w:csb0="80000000" w:csb1="00000000"/>
  </w:font>
  <w:font w:name="楷体">
    <w:panose1 w:val="02010609060101010101"/>
    <w:charset w:val="86"/>
    <w:family w:val="modern"/>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Cambria Math">
    <w:panose1 w:val="02040503050406030204"/>
    <w:charset w:val="00"/>
    <w:family w:val="roman"/>
    <w:pitch w:val="default"/>
    <w:sig w:usb0="E00006FF" w:usb1="420024FF" w:usb2="02000000"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39341B"/>
    <w:multiLevelType w:val="multilevel"/>
    <w:tmpl w:val="9239341B"/>
    <w:lvl w:ilvl="0" w:tentative="0">
      <w:start w:val="1"/>
      <w:numFmt w:val="decimal"/>
      <w:lvlText w:val="（%1）"/>
      <w:lvlJc w:val="left"/>
      <w:pPr>
        <w:ind w:left="3737" w:hanging="721"/>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4398" w:hanging="721"/>
      </w:pPr>
      <w:rPr>
        <w:rFonts w:hint="default"/>
        <w:lang w:val="en-US" w:eastAsia="zh-CN" w:bidi="ar-SA"/>
      </w:rPr>
    </w:lvl>
    <w:lvl w:ilvl="2" w:tentative="0">
      <w:start w:val="0"/>
      <w:numFmt w:val="bullet"/>
      <w:lvlText w:val="•"/>
      <w:lvlJc w:val="left"/>
      <w:pPr>
        <w:ind w:left="5057" w:hanging="721"/>
      </w:pPr>
      <w:rPr>
        <w:rFonts w:hint="default"/>
        <w:lang w:val="en-US" w:eastAsia="zh-CN" w:bidi="ar-SA"/>
      </w:rPr>
    </w:lvl>
    <w:lvl w:ilvl="3" w:tentative="0">
      <w:start w:val="0"/>
      <w:numFmt w:val="bullet"/>
      <w:lvlText w:val="•"/>
      <w:lvlJc w:val="left"/>
      <w:pPr>
        <w:ind w:left="5715" w:hanging="721"/>
      </w:pPr>
      <w:rPr>
        <w:rFonts w:hint="default"/>
        <w:lang w:val="en-US" w:eastAsia="zh-CN" w:bidi="ar-SA"/>
      </w:rPr>
    </w:lvl>
    <w:lvl w:ilvl="4" w:tentative="0">
      <w:start w:val="0"/>
      <w:numFmt w:val="bullet"/>
      <w:lvlText w:val="•"/>
      <w:lvlJc w:val="left"/>
      <w:pPr>
        <w:ind w:left="6374" w:hanging="721"/>
      </w:pPr>
      <w:rPr>
        <w:rFonts w:hint="default"/>
        <w:lang w:val="en-US" w:eastAsia="zh-CN" w:bidi="ar-SA"/>
      </w:rPr>
    </w:lvl>
    <w:lvl w:ilvl="5" w:tentative="0">
      <w:start w:val="0"/>
      <w:numFmt w:val="bullet"/>
      <w:lvlText w:val="•"/>
      <w:lvlJc w:val="left"/>
      <w:pPr>
        <w:ind w:left="7033" w:hanging="721"/>
      </w:pPr>
      <w:rPr>
        <w:rFonts w:hint="default"/>
        <w:lang w:val="en-US" w:eastAsia="zh-CN" w:bidi="ar-SA"/>
      </w:rPr>
    </w:lvl>
    <w:lvl w:ilvl="6" w:tentative="0">
      <w:start w:val="0"/>
      <w:numFmt w:val="bullet"/>
      <w:lvlText w:val="•"/>
      <w:lvlJc w:val="left"/>
      <w:pPr>
        <w:ind w:left="7691" w:hanging="721"/>
      </w:pPr>
      <w:rPr>
        <w:rFonts w:hint="default"/>
        <w:lang w:val="en-US" w:eastAsia="zh-CN" w:bidi="ar-SA"/>
      </w:rPr>
    </w:lvl>
    <w:lvl w:ilvl="7" w:tentative="0">
      <w:start w:val="0"/>
      <w:numFmt w:val="bullet"/>
      <w:lvlText w:val="•"/>
      <w:lvlJc w:val="left"/>
      <w:pPr>
        <w:ind w:left="8350" w:hanging="721"/>
      </w:pPr>
      <w:rPr>
        <w:rFonts w:hint="default"/>
        <w:lang w:val="en-US" w:eastAsia="zh-CN" w:bidi="ar-SA"/>
      </w:rPr>
    </w:lvl>
    <w:lvl w:ilvl="8" w:tentative="0">
      <w:start w:val="0"/>
      <w:numFmt w:val="bullet"/>
      <w:lvlText w:val="•"/>
      <w:lvlJc w:val="left"/>
      <w:pPr>
        <w:ind w:left="9009" w:hanging="721"/>
      </w:pPr>
      <w:rPr>
        <w:rFonts w:hint="default"/>
        <w:lang w:val="en-US" w:eastAsia="zh-CN" w:bidi="ar-SA"/>
      </w:rPr>
    </w:lvl>
  </w:abstractNum>
  <w:abstractNum w:abstractNumId="1">
    <w:nsid w:val="9C8AC8EF"/>
    <w:multiLevelType w:val="multilevel"/>
    <w:tmpl w:val="9C8AC8EF"/>
    <w:lvl w:ilvl="0" w:tentative="0">
      <w:start w:val="1"/>
      <w:numFmt w:val="decimal"/>
      <w:lvlText w:val="%1）"/>
      <w:lvlJc w:val="left"/>
      <w:pPr>
        <w:ind w:left="2914" w:hanging="360"/>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3660" w:hanging="360"/>
      </w:pPr>
      <w:rPr>
        <w:rFonts w:hint="default"/>
        <w:lang w:val="en-US" w:eastAsia="zh-CN" w:bidi="ar-SA"/>
      </w:rPr>
    </w:lvl>
    <w:lvl w:ilvl="2" w:tentative="0">
      <w:start w:val="0"/>
      <w:numFmt w:val="bullet"/>
      <w:lvlText w:val="•"/>
      <w:lvlJc w:val="left"/>
      <w:pPr>
        <w:ind w:left="4401" w:hanging="360"/>
      </w:pPr>
      <w:rPr>
        <w:rFonts w:hint="default"/>
        <w:lang w:val="en-US" w:eastAsia="zh-CN" w:bidi="ar-SA"/>
      </w:rPr>
    </w:lvl>
    <w:lvl w:ilvl="3" w:tentative="0">
      <w:start w:val="0"/>
      <w:numFmt w:val="bullet"/>
      <w:lvlText w:val="•"/>
      <w:lvlJc w:val="left"/>
      <w:pPr>
        <w:ind w:left="5141" w:hanging="360"/>
      </w:pPr>
      <w:rPr>
        <w:rFonts w:hint="default"/>
        <w:lang w:val="en-US" w:eastAsia="zh-CN" w:bidi="ar-SA"/>
      </w:rPr>
    </w:lvl>
    <w:lvl w:ilvl="4" w:tentative="0">
      <w:start w:val="0"/>
      <w:numFmt w:val="bullet"/>
      <w:lvlText w:val="•"/>
      <w:lvlJc w:val="left"/>
      <w:pPr>
        <w:ind w:left="5882" w:hanging="360"/>
      </w:pPr>
      <w:rPr>
        <w:rFonts w:hint="default"/>
        <w:lang w:val="en-US" w:eastAsia="zh-CN" w:bidi="ar-SA"/>
      </w:rPr>
    </w:lvl>
    <w:lvl w:ilvl="5" w:tentative="0">
      <w:start w:val="0"/>
      <w:numFmt w:val="bullet"/>
      <w:lvlText w:val="•"/>
      <w:lvlJc w:val="left"/>
      <w:pPr>
        <w:ind w:left="6623" w:hanging="360"/>
      </w:pPr>
      <w:rPr>
        <w:rFonts w:hint="default"/>
        <w:lang w:val="en-US" w:eastAsia="zh-CN" w:bidi="ar-SA"/>
      </w:rPr>
    </w:lvl>
    <w:lvl w:ilvl="6" w:tentative="0">
      <w:start w:val="0"/>
      <w:numFmt w:val="bullet"/>
      <w:lvlText w:val="•"/>
      <w:lvlJc w:val="left"/>
      <w:pPr>
        <w:ind w:left="7363" w:hanging="360"/>
      </w:pPr>
      <w:rPr>
        <w:rFonts w:hint="default"/>
        <w:lang w:val="en-US" w:eastAsia="zh-CN" w:bidi="ar-SA"/>
      </w:rPr>
    </w:lvl>
    <w:lvl w:ilvl="7" w:tentative="0">
      <w:start w:val="0"/>
      <w:numFmt w:val="bullet"/>
      <w:lvlText w:val="•"/>
      <w:lvlJc w:val="left"/>
      <w:pPr>
        <w:ind w:left="8104" w:hanging="360"/>
      </w:pPr>
      <w:rPr>
        <w:rFonts w:hint="default"/>
        <w:lang w:val="en-US" w:eastAsia="zh-CN" w:bidi="ar-SA"/>
      </w:rPr>
    </w:lvl>
    <w:lvl w:ilvl="8" w:tentative="0">
      <w:start w:val="0"/>
      <w:numFmt w:val="bullet"/>
      <w:lvlText w:val="•"/>
      <w:lvlJc w:val="left"/>
      <w:pPr>
        <w:ind w:left="8845" w:hanging="360"/>
      </w:pPr>
      <w:rPr>
        <w:rFonts w:hint="default"/>
        <w:lang w:val="en-US" w:eastAsia="zh-CN" w:bidi="ar-SA"/>
      </w:rPr>
    </w:lvl>
  </w:abstractNum>
  <w:abstractNum w:abstractNumId="2">
    <w:nsid w:val="B5E306ED"/>
    <w:multiLevelType w:val="multilevel"/>
    <w:tmpl w:val="B5E306ED"/>
    <w:lvl w:ilvl="0" w:tentative="0">
      <w:start w:val="1"/>
      <w:numFmt w:val="decimal"/>
      <w:lvlText w:val="%1."/>
      <w:lvlJc w:val="left"/>
      <w:pPr>
        <w:ind w:left="3017" w:hanging="213"/>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3750" w:hanging="213"/>
      </w:pPr>
      <w:rPr>
        <w:rFonts w:hint="default"/>
        <w:lang w:val="en-US" w:eastAsia="zh-CN" w:bidi="ar-SA"/>
      </w:rPr>
    </w:lvl>
    <w:lvl w:ilvl="2" w:tentative="0">
      <w:start w:val="0"/>
      <w:numFmt w:val="bullet"/>
      <w:lvlText w:val="•"/>
      <w:lvlJc w:val="left"/>
      <w:pPr>
        <w:ind w:left="4481" w:hanging="213"/>
      </w:pPr>
      <w:rPr>
        <w:rFonts w:hint="default"/>
        <w:lang w:val="en-US" w:eastAsia="zh-CN" w:bidi="ar-SA"/>
      </w:rPr>
    </w:lvl>
    <w:lvl w:ilvl="3" w:tentative="0">
      <w:start w:val="0"/>
      <w:numFmt w:val="bullet"/>
      <w:lvlText w:val="•"/>
      <w:lvlJc w:val="left"/>
      <w:pPr>
        <w:ind w:left="5211" w:hanging="213"/>
      </w:pPr>
      <w:rPr>
        <w:rFonts w:hint="default"/>
        <w:lang w:val="en-US" w:eastAsia="zh-CN" w:bidi="ar-SA"/>
      </w:rPr>
    </w:lvl>
    <w:lvl w:ilvl="4" w:tentative="0">
      <w:start w:val="0"/>
      <w:numFmt w:val="bullet"/>
      <w:lvlText w:val="•"/>
      <w:lvlJc w:val="left"/>
      <w:pPr>
        <w:ind w:left="5942" w:hanging="213"/>
      </w:pPr>
      <w:rPr>
        <w:rFonts w:hint="default"/>
        <w:lang w:val="en-US" w:eastAsia="zh-CN" w:bidi="ar-SA"/>
      </w:rPr>
    </w:lvl>
    <w:lvl w:ilvl="5" w:tentative="0">
      <w:start w:val="0"/>
      <w:numFmt w:val="bullet"/>
      <w:lvlText w:val="•"/>
      <w:lvlJc w:val="left"/>
      <w:pPr>
        <w:ind w:left="6673" w:hanging="213"/>
      </w:pPr>
      <w:rPr>
        <w:rFonts w:hint="default"/>
        <w:lang w:val="en-US" w:eastAsia="zh-CN" w:bidi="ar-SA"/>
      </w:rPr>
    </w:lvl>
    <w:lvl w:ilvl="6" w:tentative="0">
      <w:start w:val="0"/>
      <w:numFmt w:val="bullet"/>
      <w:lvlText w:val="•"/>
      <w:lvlJc w:val="left"/>
      <w:pPr>
        <w:ind w:left="7403" w:hanging="213"/>
      </w:pPr>
      <w:rPr>
        <w:rFonts w:hint="default"/>
        <w:lang w:val="en-US" w:eastAsia="zh-CN" w:bidi="ar-SA"/>
      </w:rPr>
    </w:lvl>
    <w:lvl w:ilvl="7" w:tentative="0">
      <w:start w:val="0"/>
      <w:numFmt w:val="bullet"/>
      <w:lvlText w:val="•"/>
      <w:lvlJc w:val="left"/>
      <w:pPr>
        <w:ind w:left="8134" w:hanging="213"/>
      </w:pPr>
      <w:rPr>
        <w:rFonts w:hint="default"/>
        <w:lang w:val="en-US" w:eastAsia="zh-CN" w:bidi="ar-SA"/>
      </w:rPr>
    </w:lvl>
    <w:lvl w:ilvl="8" w:tentative="0">
      <w:start w:val="0"/>
      <w:numFmt w:val="bullet"/>
      <w:lvlText w:val="•"/>
      <w:lvlJc w:val="left"/>
      <w:pPr>
        <w:ind w:left="8865" w:hanging="213"/>
      </w:pPr>
      <w:rPr>
        <w:rFonts w:hint="default"/>
        <w:lang w:val="en-US" w:eastAsia="zh-CN" w:bidi="ar-SA"/>
      </w:rPr>
    </w:lvl>
  </w:abstractNum>
  <w:abstractNum w:abstractNumId="3">
    <w:nsid w:val="BF205925"/>
    <w:multiLevelType w:val="multilevel"/>
    <w:tmpl w:val="BF205925"/>
    <w:lvl w:ilvl="0" w:tentative="0">
      <w:start w:val="1"/>
      <w:numFmt w:val="decimal"/>
      <w:lvlText w:val="%1"/>
      <w:lvlJc w:val="left"/>
      <w:pPr>
        <w:ind w:left="1502" w:hanging="1066"/>
        <w:jc w:val="left"/>
      </w:pPr>
      <w:rPr>
        <w:rFonts w:hint="default" w:ascii="宋体" w:hAnsi="宋体" w:eastAsia="宋体" w:cs="宋体"/>
        <w:b/>
        <w:bCs/>
        <w:i w:val="0"/>
        <w:iCs w:val="0"/>
        <w:w w:val="99"/>
        <w:position w:val="-5"/>
        <w:sz w:val="40"/>
        <w:szCs w:val="40"/>
        <w:lang w:val="en-US" w:eastAsia="zh-CN" w:bidi="ar-SA"/>
      </w:rPr>
    </w:lvl>
    <w:lvl w:ilvl="1" w:tentative="0">
      <w:start w:val="1"/>
      <w:numFmt w:val="decimal"/>
      <w:lvlText w:val="%1.%2"/>
      <w:lvlJc w:val="left"/>
      <w:pPr>
        <w:ind w:left="3017" w:hanging="1066"/>
        <w:jc w:val="left"/>
      </w:pPr>
      <w:rPr>
        <w:rFonts w:hint="default" w:ascii="宋体" w:hAnsi="宋体" w:eastAsia="宋体" w:cs="宋体"/>
        <w:b/>
        <w:bCs/>
        <w:i w:val="0"/>
        <w:iCs w:val="0"/>
        <w:w w:val="99"/>
        <w:sz w:val="21"/>
        <w:szCs w:val="21"/>
        <w:lang w:val="en-US" w:eastAsia="zh-CN" w:bidi="ar-SA"/>
      </w:rPr>
    </w:lvl>
    <w:lvl w:ilvl="2" w:tentative="0">
      <w:start w:val="1"/>
      <w:numFmt w:val="decimal"/>
      <w:lvlText w:val="%1.%2.%3"/>
      <w:lvlJc w:val="left"/>
      <w:pPr>
        <w:ind w:left="1502" w:hanging="855"/>
        <w:jc w:val="left"/>
      </w:pPr>
      <w:rPr>
        <w:rFonts w:hint="default" w:ascii="宋体" w:hAnsi="宋体" w:eastAsia="宋体" w:cs="宋体"/>
        <w:b/>
        <w:bCs/>
        <w:i w:val="0"/>
        <w:iCs w:val="0"/>
        <w:w w:val="99"/>
        <w:sz w:val="21"/>
        <w:szCs w:val="21"/>
        <w:lang w:val="en-US" w:eastAsia="zh-CN" w:bidi="ar-SA"/>
      </w:rPr>
    </w:lvl>
    <w:lvl w:ilvl="3" w:tentative="0">
      <w:start w:val="1"/>
      <w:numFmt w:val="decimal"/>
      <w:lvlText w:val="%4."/>
      <w:lvlJc w:val="left"/>
      <w:pPr>
        <w:ind w:left="3229" w:hanging="213"/>
        <w:jc w:val="left"/>
      </w:pPr>
      <w:rPr>
        <w:rFonts w:hint="default"/>
        <w:w w:val="100"/>
        <w:lang w:val="en-US" w:eastAsia="zh-CN" w:bidi="ar-SA"/>
      </w:rPr>
    </w:lvl>
    <w:lvl w:ilvl="4" w:tentative="0">
      <w:start w:val="0"/>
      <w:numFmt w:val="bullet"/>
      <w:lvlText w:val="•"/>
      <w:lvlJc w:val="left"/>
      <w:pPr>
        <w:ind w:left="3107" w:hanging="213"/>
      </w:pPr>
      <w:rPr>
        <w:rFonts w:hint="default"/>
        <w:lang w:val="en-US" w:eastAsia="zh-CN" w:bidi="ar-SA"/>
      </w:rPr>
    </w:lvl>
    <w:lvl w:ilvl="5" w:tentative="0">
      <w:start w:val="0"/>
      <w:numFmt w:val="bullet"/>
      <w:lvlText w:val="•"/>
      <w:lvlJc w:val="left"/>
      <w:pPr>
        <w:ind w:left="3051" w:hanging="213"/>
      </w:pPr>
      <w:rPr>
        <w:rFonts w:hint="default"/>
        <w:lang w:val="en-US" w:eastAsia="zh-CN" w:bidi="ar-SA"/>
      </w:rPr>
    </w:lvl>
    <w:lvl w:ilvl="6" w:tentative="0">
      <w:start w:val="0"/>
      <w:numFmt w:val="bullet"/>
      <w:lvlText w:val="•"/>
      <w:lvlJc w:val="left"/>
      <w:pPr>
        <w:ind w:left="2995" w:hanging="213"/>
      </w:pPr>
      <w:rPr>
        <w:rFonts w:hint="default"/>
        <w:lang w:val="en-US" w:eastAsia="zh-CN" w:bidi="ar-SA"/>
      </w:rPr>
    </w:lvl>
    <w:lvl w:ilvl="7" w:tentative="0">
      <w:start w:val="0"/>
      <w:numFmt w:val="bullet"/>
      <w:lvlText w:val="•"/>
      <w:lvlJc w:val="left"/>
      <w:pPr>
        <w:ind w:left="2938" w:hanging="213"/>
      </w:pPr>
      <w:rPr>
        <w:rFonts w:hint="default"/>
        <w:lang w:val="en-US" w:eastAsia="zh-CN" w:bidi="ar-SA"/>
      </w:rPr>
    </w:lvl>
    <w:lvl w:ilvl="8" w:tentative="0">
      <w:start w:val="0"/>
      <w:numFmt w:val="bullet"/>
      <w:lvlText w:val="•"/>
      <w:lvlJc w:val="left"/>
      <w:pPr>
        <w:ind w:left="2882" w:hanging="213"/>
      </w:pPr>
      <w:rPr>
        <w:rFonts w:hint="default"/>
        <w:lang w:val="en-US" w:eastAsia="zh-CN" w:bidi="ar-SA"/>
      </w:rPr>
    </w:lvl>
  </w:abstractNum>
  <w:abstractNum w:abstractNumId="4">
    <w:nsid w:val="C8879AEF"/>
    <w:multiLevelType w:val="multilevel"/>
    <w:tmpl w:val="C8879AEF"/>
    <w:lvl w:ilvl="0" w:tentative="0">
      <w:start w:val="1"/>
      <w:numFmt w:val="decimal"/>
      <w:lvlText w:val="%1)"/>
      <w:lvlJc w:val="left"/>
      <w:pPr>
        <w:ind w:left="3274" w:hanging="721"/>
        <w:jc w:val="left"/>
      </w:pPr>
      <w:rPr>
        <w:rFonts w:hint="default" w:ascii="宋体" w:hAnsi="宋体" w:eastAsia="宋体" w:cs="宋体"/>
        <w:b w:val="0"/>
        <w:bCs w:val="0"/>
        <w:i w:val="0"/>
        <w:iCs w:val="0"/>
        <w:w w:val="100"/>
        <w:sz w:val="21"/>
        <w:szCs w:val="21"/>
        <w:lang w:val="en-US" w:eastAsia="zh-CN" w:bidi="ar-SA"/>
      </w:rPr>
    </w:lvl>
    <w:lvl w:ilvl="1" w:tentative="0">
      <w:start w:val="1"/>
      <w:numFmt w:val="lowerLetter"/>
      <w:lvlText w:val="%2."/>
      <w:lvlJc w:val="left"/>
      <w:pPr>
        <w:ind w:left="3274" w:hanging="213"/>
        <w:jc w:val="left"/>
      </w:pPr>
      <w:rPr>
        <w:rFonts w:hint="default" w:ascii="宋体" w:hAnsi="宋体" w:eastAsia="宋体" w:cs="宋体"/>
        <w:b w:val="0"/>
        <w:bCs w:val="0"/>
        <w:i w:val="0"/>
        <w:iCs w:val="0"/>
        <w:w w:val="100"/>
        <w:sz w:val="19"/>
        <w:szCs w:val="19"/>
        <w:shd w:val="clear" w:color="auto" w:fill="E4E4E4"/>
        <w:lang w:val="en-US" w:eastAsia="zh-CN" w:bidi="ar-SA"/>
      </w:rPr>
    </w:lvl>
    <w:lvl w:ilvl="2" w:tentative="0">
      <w:start w:val="0"/>
      <w:numFmt w:val="bullet"/>
      <w:lvlText w:val="•"/>
      <w:lvlJc w:val="left"/>
      <w:pPr>
        <w:ind w:left="4689" w:hanging="213"/>
      </w:pPr>
      <w:rPr>
        <w:rFonts w:hint="default"/>
        <w:lang w:val="en-US" w:eastAsia="zh-CN" w:bidi="ar-SA"/>
      </w:rPr>
    </w:lvl>
    <w:lvl w:ilvl="3" w:tentative="0">
      <w:start w:val="0"/>
      <w:numFmt w:val="bullet"/>
      <w:lvlText w:val="•"/>
      <w:lvlJc w:val="left"/>
      <w:pPr>
        <w:ind w:left="5393" w:hanging="213"/>
      </w:pPr>
      <w:rPr>
        <w:rFonts w:hint="default"/>
        <w:lang w:val="en-US" w:eastAsia="zh-CN" w:bidi="ar-SA"/>
      </w:rPr>
    </w:lvl>
    <w:lvl w:ilvl="4" w:tentative="0">
      <w:start w:val="0"/>
      <w:numFmt w:val="bullet"/>
      <w:lvlText w:val="•"/>
      <w:lvlJc w:val="left"/>
      <w:pPr>
        <w:ind w:left="6098" w:hanging="213"/>
      </w:pPr>
      <w:rPr>
        <w:rFonts w:hint="default"/>
        <w:lang w:val="en-US" w:eastAsia="zh-CN" w:bidi="ar-SA"/>
      </w:rPr>
    </w:lvl>
    <w:lvl w:ilvl="5" w:tentative="0">
      <w:start w:val="0"/>
      <w:numFmt w:val="bullet"/>
      <w:lvlText w:val="•"/>
      <w:lvlJc w:val="left"/>
      <w:pPr>
        <w:ind w:left="6803" w:hanging="213"/>
      </w:pPr>
      <w:rPr>
        <w:rFonts w:hint="default"/>
        <w:lang w:val="en-US" w:eastAsia="zh-CN" w:bidi="ar-SA"/>
      </w:rPr>
    </w:lvl>
    <w:lvl w:ilvl="6" w:tentative="0">
      <w:start w:val="0"/>
      <w:numFmt w:val="bullet"/>
      <w:lvlText w:val="•"/>
      <w:lvlJc w:val="left"/>
      <w:pPr>
        <w:ind w:left="7507" w:hanging="213"/>
      </w:pPr>
      <w:rPr>
        <w:rFonts w:hint="default"/>
        <w:lang w:val="en-US" w:eastAsia="zh-CN" w:bidi="ar-SA"/>
      </w:rPr>
    </w:lvl>
    <w:lvl w:ilvl="7" w:tentative="0">
      <w:start w:val="0"/>
      <w:numFmt w:val="bullet"/>
      <w:lvlText w:val="•"/>
      <w:lvlJc w:val="left"/>
      <w:pPr>
        <w:ind w:left="8212" w:hanging="213"/>
      </w:pPr>
      <w:rPr>
        <w:rFonts w:hint="default"/>
        <w:lang w:val="en-US" w:eastAsia="zh-CN" w:bidi="ar-SA"/>
      </w:rPr>
    </w:lvl>
    <w:lvl w:ilvl="8" w:tentative="0">
      <w:start w:val="0"/>
      <w:numFmt w:val="bullet"/>
      <w:lvlText w:val="•"/>
      <w:lvlJc w:val="left"/>
      <w:pPr>
        <w:ind w:left="8917" w:hanging="213"/>
      </w:pPr>
      <w:rPr>
        <w:rFonts w:hint="default"/>
        <w:lang w:val="en-US" w:eastAsia="zh-CN" w:bidi="ar-SA"/>
      </w:rPr>
    </w:lvl>
  </w:abstractNum>
  <w:abstractNum w:abstractNumId="5">
    <w:nsid w:val="CF092B84"/>
    <w:multiLevelType w:val="multilevel"/>
    <w:tmpl w:val="CF092B84"/>
    <w:lvl w:ilvl="0" w:tentative="0">
      <w:start w:val="2"/>
      <w:numFmt w:val="decimal"/>
      <w:lvlText w:val="%1."/>
      <w:lvlJc w:val="left"/>
      <w:pPr>
        <w:ind w:left="980" w:hanging="213"/>
        <w:jc w:val="left"/>
      </w:pPr>
      <w:rPr>
        <w:rFonts w:hint="default" w:ascii="宋体" w:hAnsi="宋体" w:eastAsia="宋体" w:cs="宋体"/>
        <w:b/>
        <w:bCs/>
        <w:i w:val="0"/>
        <w:iCs w:val="0"/>
        <w:w w:val="99"/>
        <w:sz w:val="19"/>
        <w:szCs w:val="19"/>
        <w:lang w:val="en-US" w:eastAsia="zh-CN" w:bidi="ar-SA"/>
      </w:rPr>
    </w:lvl>
    <w:lvl w:ilvl="1" w:tentative="0">
      <w:start w:val="1"/>
      <w:numFmt w:val="decimal"/>
      <w:lvlText w:val="%1.%2"/>
      <w:lvlJc w:val="left"/>
      <w:pPr>
        <w:ind w:left="1402" w:hanging="423"/>
        <w:jc w:val="left"/>
      </w:pPr>
      <w:rPr>
        <w:rFonts w:hint="default" w:ascii="宋体" w:hAnsi="宋体" w:eastAsia="宋体" w:cs="宋体"/>
        <w:b w:val="0"/>
        <w:bCs w:val="0"/>
        <w:i w:val="0"/>
        <w:iCs w:val="0"/>
        <w:w w:val="100"/>
        <w:sz w:val="21"/>
        <w:szCs w:val="21"/>
        <w:lang w:val="en-US" w:eastAsia="zh-CN" w:bidi="ar-SA"/>
      </w:rPr>
    </w:lvl>
    <w:lvl w:ilvl="2" w:tentative="0">
      <w:start w:val="0"/>
      <w:numFmt w:val="bullet"/>
      <w:lvlText w:val="•"/>
      <w:lvlJc w:val="left"/>
      <w:pPr>
        <w:ind w:left="1056" w:hanging="423"/>
      </w:pPr>
      <w:rPr>
        <w:rFonts w:hint="default"/>
        <w:lang w:val="en-US" w:eastAsia="zh-CN" w:bidi="ar-SA"/>
      </w:rPr>
    </w:lvl>
    <w:lvl w:ilvl="3" w:tentative="0">
      <w:start w:val="0"/>
      <w:numFmt w:val="bullet"/>
      <w:lvlText w:val="•"/>
      <w:lvlJc w:val="left"/>
      <w:pPr>
        <w:ind w:left="712" w:hanging="423"/>
      </w:pPr>
      <w:rPr>
        <w:rFonts w:hint="default"/>
        <w:lang w:val="en-US" w:eastAsia="zh-CN" w:bidi="ar-SA"/>
      </w:rPr>
    </w:lvl>
    <w:lvl w:ilvl="4" w:tentative="0">
      <w:start w:val="0"/>
      <w:numFmt w:val="bullet"/>
      <w:lvlText w:val="•"/>
      <w:lvlJc w:val="left"/>
      <w:pPr>
        <w:ind w:left="369" w:hanging="423"/>
      </w:pPr>
      <w:rPr>
        <w:rFonts w:hint="default"/>
        <w:lang w:val="en-US" w:eastAsia="zh-CN" w:bidi="ar-SA"/>
      </w:rPr>
    </w:lvl>
    <w:lvl w:ilvl="5" w:tentative="0">
      <w:start w:val="0"/>
      <w:numFmt w:val="bullet"/>
      <w:lvlText w:val="•"/>
      <w:lvlJc w:val="left"/>
      <w:pPr>
        <w:ind w:left="25" w:hanging="423"/>
      </w:pPr>
      <w:rPr>
        <w:rFonts w:hint="default"/>
        <w:lang w:val="en-US" w:eastAsia="zh-CN" w:bidi="ar-SA"/>
      </w:rPr>
    </w:lvl>
    <w:lvl w:ilvl="6" w:tentative="0">
      <w:start w:val="0"/>
      <w:numFmt w:val="bullet"/>
      <w:lvlText w:val="•"/>
      <w:lvlJc w:val="left"/>
      <w:pPr>
        <w:ind w:left="-319" w:hanging="423"/>
      </w:pPr>
      <w:rPr>
        <w:rFonts w:hint="default"/>
        <w:lang w:val="en-US" w:eastAsia="zh-CN" w:bidi="ar-SA"/>
      </w:rPr>
    </w:lvl>
    <w:lvl w:ilvl="7" w:tentative="0">
      <w:start w:val="0"/>
      <w:numFmt w:val="bullet"/>
      <w:lvlText w:val="•"/>
      <w:lvlJc w:val="left"/>
      <w:pPr>
        <w:ind w:left="-662" w:hanging="423"/>
      </w:pPr>
      <w:rPr>
        <w:rFonts w:hint="default"/>
        <w:lang w:val="en-US" w:eastAsia="zh-CN" w:bidi="ar-SA"/>
      </w:rPr>
    </w:lvl>
    <w:lvl w:ilvl="8" w:tentative="0">
      <w:start w:val="0"/>
      <w:numFmt w:val="bullet"/>
      <w:lvlText w:val="•"/>
      <w:lvlJc w:val="left"/>
      <w:pPr>
        <w:ind w:left="-1006" w:hanging="423"/>
      </w:pPr>
      <w:rPr>
        <w:rFonts w:hint="default"/>
        <w:lang w:val="en-US" w:eastAsia="zh-CN" w:bidi="ar-SA"/>
      </w:rPr>
    </w:lvl>
  </w:abstractNum>
  <w:abstractNum w:abstractNumId="6">
    <w:nsid w:val="D7F9FE59"/>
    <w:multiLevelType w:val="multilevel"/>
    <w:tmpl w:val="D7F9FE59"/>
    <w:lvl w:ilvl="0" w:tentative="0">
      <w:start w:val="1"/>
      <w:numFmt w:val="decimal"/>
      <w:lvlText w:val="%1）"/>
      <w:lvlJc w:val="left"/>
      <w:pPr>
        <w:ind w:left="2914" w:hanging="360"/>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3660" w:hanging="360"/>
      </w:pPr>
      <w:rPr>
        <w:rFonts w:hint="default"/>
        <w:lang w:val="en-US" w:eastAsia="zh-CN" w:bidi="ar-SA"/>
      </w:rPr>
    </w:lvl>
    <w:lvl w:ilvl="2" w:tentative="0">
      <w:start w:val="0"/>
      <w:numFmt w:val="bullet"/>
      <w:lvlText w:val="•"/>
      <w:lvlJc w:val="left"/>
      <w:pPr>
        <w:ind w:left="4401" w:hanging="360"/>
      </w:pPr>
      <w:rPr>
        <w:rFonts w:hint="default"/>
        <w:lang w:val="en-US" w:eastAsia="zh-CN" w:bidi="ar-SA"/>
      </w:rPr>
    </w:lvl>
    <w:lvl w:ilvl="3" w:tentative="0">
      <w:start w:val="0"/>
      <w:numFmt w:val="bullet"/>
      <w:lvlText w:val="•"/>
      <w:lvlJc w:val="left"/>
      <w:pPr>
        <w:ind w:left="5141" w:hanging="360"/>
      </w:pPr>
      <w:rPr>
        <w:rFonts w:hint="default"/>
        <w:lang w:val="en-US" w:eastAsia="zh-CN" w:bidi="ar-SA"/>
      </w:rPr>
    </w:lvl>
    <w:lvl w:ilvl="4" w:tentative="0">
      <w:start w:val="0"/>
      <w:numFmt w:val="bullet"/>
      <w:lvlText w:val="•"/>
      <w:lvlJc w:val="left"/>
      <w:pPr>
        <w:ind w:left="5882" w:hanging="360"/>
      </w:pPr>
      <w:rPr>
        <w:rFonts w:hint="default"/>
        <w:lang w:val="en-US" w:eastAsia="zh-CN" w:bidi="ar-SA"/>
      </w:rPr>
    </w:lvl>
    <w:lvl w:ilvl="5" w:tentative="0">
      <w:start w:val="0"/>
      <w:numFmt w:val="bullet"/>
      <w:lvlText w:val="•"/>
      <w:lvlJc w:val="left"/>
      <w:pPr>
        <w:ind w:left="6623" w:hanging="360"/>
      </w:pPr>
      <w:rPr>
        <w:rFonts w:hint="default"/>
        <w:lang w:val="en-US" w:eastAsia="zh-CN" w:bidi="ar-SA"/>
      </w:rPr>
    </w:lvl>
    <w:lvl w:ilvl="6" w:tentative="0">
      <w:start w:val="0"/>
      <w:numFmt w:val="bullet"/>
      <w:lvlText w:val="•"/>
      <w:lvlJc w:val="left"/>
      <w:pPr>
        <w:ind w:left="7363" w:hanging="360"/>
      </w:pPr>
      <w:rPr>
        <w:rFonts w:hint="default"/>
        <w:lang w:val="en-US" w:eastAsia="zh-CN" w:bidi="ar-SA"/>
      </w:rPr>
    </w:lvl>
    <w:lvl w:ilvl="7" w:tentative="0">
      <w:start w:val="0"/>
      <w:numFmt w:val="bullet"/>
      <w:lvlText w:val="•"/>
      <w:lvlJc w:val="left"/>
      <w:pPr>
        <w:ind w:left="8104" w:hanging="360"/>
      </w:pPr>
      <w:rPr>
        <w:rFonts w:hint="default"/>
        <w:lang w:val="en-US" w:eastAsia="zh-CN" w:bidi="ar-SA"/>
      </w:rPr>
    </w:lvl>
    <w:lvl w:ilvl="8" w:tentative="0">
      <w:start w:val="0"/>
      <w:numFmt w:val="bullet"/>
      <w:lvlText w:val="•"/>
      <w:lvlJc w:val="left"/>
      <w:pPr>
        <w:ind w:left="8845" w:hanging="360"/>
      </w:pPr>
      <w:rPr>
        <w:rFonts w:hint="default"/>
        <w:lang w:val="en-US" w:eastAsia="zh-CN" w:bidi="ar-SA"/>
      </w:rPr>
    </w:lvl>
  </w:abstractNum>
  <w:abstractNum w:abstractNumId="7">
    <w:nsid w:val="DCBA6B53"/>
    <w:multiLevelType w:val="multilevel"/>
    <w:tmpl w:val="DCBA6B53"/>
    <w:lvl w:ilvl="0" w:tentative="0">
      <w:start w:val="1"/>
      <w:numFmt w:val="decimal"/>
      <w:lvlText w:val="%1）"/>
      <w:lvlJc w:val="left"/>
      <w:pPr>
        <w:ind w:left="2974" w:hanging="420"/>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3714" w:hanging="420"/>
      </w:pPr>
      <w:rPr>
        <w:rFonts w:hint="default"/>
        <w:lang w:val="en-US" w:eastAsia="zh-CN" w:bidi="ar-SA"/>
      </w:rPr>
    </w:lvl>
    <w:lvl w:ilvl="2" w:tentative="0">
      <w:start w:val="0"/>
      <w:numFmt w:val="bullet"/>
      <w:lvlText w:val="•"/>
      <w:lvlJc w:val="left"/>
      <w:pPr>
        <w:ind w:left="4449" w:hanging="420"/>
      </w:pPr>
      <w:rPr>
        <w:rFonts w:hint="default"/>
        <w:lang w:val="en-US" w:eastAsia="zh-CN" w:bidi="ar-SA"/>
      </w:rPr>
    </w:lvl>
    <w:lvl w:ilvl="3" w:tentative="0">
      <w:start w:val="0"/>
      <w:numFmt w:val="bullet"/>
      <w:lvlText w:val="•"/>
      <w:lvlJc w:val="left"/>
      <w:pPr>
        <w:ind w:left="5183" w:hanging="420"/>
      </w:pPr>
      <w:rPr>
        <w:rFonts w:hint="default"/>
        <w:lang w:val="en-US" w:eastAsia="zh-CN" w:bidi="ar-SA"/>
      </w:rPr>
    </w:lvl>
    <w:lvl w:ilvl="4" w:tentative="0">
      <w:start w:val="0"/>
      <w:numFmt w:val="bullet"/>
      <w:lvlText w:val="•"/>
      <w:lvlJc w:val="left"/>
      <w:pPr>
        <w:ind w:left="5918" w:hanging="420"/>
      </w:pPr>
      <w:rPr>
        <w:rFonts w:hint="default"/>
        <w:lang w:val="en-US" w:eastAsia="zh-CN" w:bidi="ar-SA"/>
      </w:rPr>
    </w:lvl>
    <w:lvl w:ilvl="5" w:tentative="0">
      <w:start w:val="0"/>
      <w:numFmt w:val="bullet"/>
      <w:lvlText w:val="•"/>
      <w:lvlJc w:val="left"/>
      <w:pPr>
        <w:ind w:left="6653" w:hanging="420"/>
      </w:pPr>
      <w:rPr>
        <w:rFonts w:hint="default"/>
        <w:lang w:val="en-US" w:eastAsia="zh-CN" w:bidi="ar-SA"/>
      </w:rPr>
    </w:lvl>
    <w:lvl w:ilvl="6" w:tentative="0">
      <w:start w:val="0"/>
      <w:numFmt w:val="bullet"/>
      <w:lvlText w:val="•"/>
      <w:lvlJc w:val="left"/>
      <w:pPr>
        <w:ind w:left="7387" w:hanging="420"/>
      </w:pPr>
      <w:rPr>
        <w:rFonts w:hint="default"/>
        <w:lang w:val="en-US" w:eastAsia="zh-CN" w:bidi="ar-SA"/>
      </w:rPr>
    </w:lvl>
    <w:lvl w:ilvl="7" w:tentative="0">
      <w:start w:val="0"/>
      <w:numFmt w:val="bullet"/>
      <w:lvlText w:val="•"/>
      <w:lvlJc w:val="left"/>
      <w:pPr>
        <w:ind w:left="8122" w:hanging="420"/>
      </w:pPr>
      <w:rPr>
        <w:rFonts w:hint="default"/>
        <w:lang w:val="en-US" w:eastAsia="zh-CN" w:bidi="ar-SA"/>
      </w:rPr>
    </w:lvl>
    <w:lvl w:ilvl="8" w:tentative="0">
      <w:start w:val="0"/>
      <w:numFmt w:val="bullet"/>
      <w:lvlText w:val="•"/>
      <w:lvlJc w:val="left"/>
      <w:pPr>
        <w:ind w:left="8857" w:hanging="420"/>
      </w:pPr>
      <w:rPr>
        <w:rFonts w:hint="default"/>
        <w:lang w:val="en-US" w:eastAsia="zh-CN" w:bidi="ar-SA"/>
      </w:rPr>
    </w:lvl>
  </w:abstractNum>
  <w:abstractNum w:abstractNumId="8">
    <w:nsid w:val="F4B5D9F5"/>
    <w:multiLevelType w:val="multilevel"/>
    <w:tmpl w:val="F4B5D9F5"/>
    <w:lvl w:ilvl="0" w:tentative="0">
      <w:start w:val="2"/>
      <w:numFmt w:val="decimal"/>
      <w:lvlText w:val="（%1）"/>
      <w:lvlJc w:val="left"/>
      <w:pPr>
        <w:ind w:left="3274" w:hanging="721"/>
        <w:jc w:val="left"/>
      </w:pPr>
      <w:rPr>
        <w:rFonts w:hint="default"/>
        <w:w w:val="99"/>
        <w:lang w:val="en-US" w:eastAsia="zh-CN" w:bidi="ar-SA"/>
      </w:rPr>
    </w:lvl>
    <w:lvl w:ilvl="1" w:tentative="0">
      <w:start w:val="0"/>
      <w:numFmt w:val="bullet"/>
      <w:lvlText w:val="•"/>
      <w:lvlJc w:val="left"/>
      <w:pPr>
        <w:ind w:left="3984" w:hanging="721"/>
      </w:pPr>
      <w:rPr>
        <w:rFonts w:hint="default"/>
        <w:lang w:val="en-US" w:eastAsia="zh-CN" w:bidi="ar-SA"/>
      </w:rPr>
    </w:lvl>
    <w:lvl w:ilvl="2" w:tentative="0">
      <w:start w:val="0"/>
      <w:numFmt w:val="bullet"/>
      <w:lvlText w:val="•"/>
      <w:lvlJc w:val="left"/>
      <w:pPr>
        <w:ind w:left="4689" w:hanging="721"/>
      </w:pPr>
      <w:rPr>
        <w:rFonts w:hint="default"/>
        <w:lang w:val="en-US" w:eastAsia="zh-CN" w:bidi="ar-SA"/>
      </w:rPr>
    </w:lvl>
    <w:lvl w:ilvl="3" w:tentative="0">
      <w:start w:val="0"/>
      <w:numFmt w:val="bullet"/>
      <w:lvlText w:val="•"/>
      <w:lvlJc w:val="left"/>
      <w:pPr>
        <w:ind w:left="5393" w:hanging="721"/>
      </w:pPr>
      <w:rPr>
        <w:rFonts w:hint="default"/>
        <w:lang w:val="en-US" w:eastAsia="zh-CN" w:bidi="ar-SA"/>
      </w:rPr>
    </w:lvl>
    <w:lvl w:ilvl="4" w:tentative="0">
      <w:start w:val="0"/>
      <w:numFmt w:val="bullet"/>
      <w:lvlText w:val="•"/>
      <w:lvlJc w:val="left"/>
      <w:pPr>
        <w:ind w:left="6098" w:hanging="721"/>
      </w:pPr>
      <w:rPr>
        <w:rFonts w:hint="default"/>
        <w:lang w:val="en-US" w:eastAsia="zh-CN" w:bidi="ar-SA"/>
      </w:rPr>
    </w:lvl>
    <w:lvl w:ilvl="5" w:tentative="0">
      <w:start w:val="0"/>
      <w:numFmt w:val="bullet"/>
      <w:lvlText w:val="•"/>
      <w:lvlJc w:val="left"/>
      <w:pPr>
        <w:ind w:left="6803" w:hanging="721"/>
      </w:pPr>
      <w:rPr>
        <w:rFonts w:hint="default"/>
        <w:lang w:val="en-US" w:eastAsia="zh-CN" w:bidi="ar-SA"/>
      </w:rPr>
    </w:lvl>
    <w:lvl w:ilvl="6" w:tentative="0">
      <w:start w:val="0"/>
      <w:numFmt w:val="bullet"/>
      <w:lvlText w:val="•"/>
      <w:lvlJc w:val="left"/>
      <w:pPr>
        <w:ind w:left="7507" w:hanging="721"/>
      </w:pPr>
      <w:rPr>
        <w:rFonts w:hint="default"/>
        <w:lang w:val="en-US" w:eastAsia="zh-CN" w:bidi="ar-SA"/>
      </w:rPr>
    </w:lvl>
    <w:lvl w:ilvl="7" w:tentative="0">
      <w:start w:val="0"/>
      <w:numFmt w:val="bullet"/>
      <w:lvlText w:val="•"/>
      <w:lvlJc w:val="left"/>
      <w:pPr>
        <w:ind w:left="8212" w:hanging="721"/>
      </w:pPr>
      <w:rPr>
        <w:rFonts w:hint="default"/>
        <w:lang w:val="en-US" w:eastAsia="zh-CN" w:bidi="ar-SA"/>
      </w:rPr>
    </w:lvl>
    <w:lvl w:ilvl="8" w:tentative="0">
      <w:start w:val="0"/>
      <w:numFmt w:val="bullet"/>
      <w:lvlText w:val="•"/>
      <w:lvlJc w:val="left"/>
      <w:pPr>
        <w:ind w:left="8917" w:hanging="721"/>
      </w:pPr>
      <w:rPr>
        <w:rFonts w:hint="default"/>
        <w:lang w:val="en-US" w:eastAsia="zh-CN" w:bidi="ar-SA"/>
      </w:rPr>
    </w:lvl>
  </w:abstractNum>
  <w:abstractNum w:abstractNumId="9">
    <w:nsid w:val="0053208E"/>
    <w:multiLevelType w:val="multilevel"/>
    <w:tmpl w:val="0053208E"/>
    <w:lvl w:ilvl="0" w:tentative="0">
      <w:start w:val="0"/>
      <w:numFmt w:val="bullet"/>
      <w:lvlText w:val=""/>
      <w:lvlJc w:val="left"/>
      <w:pPr>
        <w:ind w:left="1066" w:hanging="420"/>
      </w:pPr>
      <w:rPr>
        <w:rFonts w:hint="default" w:ascii="Wingdings" w:hAnsi="Wingdings" w:eastAsia="Wingdings" w:cs="Wingdings"/>
        <w:b w:val="0"/>
        <w:bCs w:val="0"/>
        <w:i w:val="0"/>
        <w:iCs w:val="0"/>
        <w:w w:val="100"/>
        <w:sz w:val="21"/>
        <w:szCs w:val="21"/>
        <w:lang w:val="en-US" w:eastAsia="zh-CN" w:bidi="ar-SA"/>
      </w:rPr>
    </w:lvl>
    <w:lvl w:ilvl="1" w:tentative="0">
      <w:start w:val="0"/>
      <w:numFmt w:val="bullet"/>
      <w:lvlText w:val="•"/>
      <w:lvlJc w:val="left"/>
      <w:pPr>
        <w:ind w:left="1986" w:hanging="420"/>
      </w:pPr>
      <w:rPr>
        <w:rFonts w:hint="default"/>
        <w:lang w:val="en-US" w:eastAsia="zh-CN" w:bidi="ar-SA"/>
      </w:rPr>
    </w:lvl>
    <w:lvl w:ilvl="2" w:tentative="0">
      <w:start w:val="0"/>
      <w:numFmt w:val="bullet"/>
      <w:lvlText w:val="•"/>
      <w:lvlJc w:val="left"/>
      <w:pPr>
        <w:ind w:left="2913" w:hanging="420"/>
      </w:pPr>
      <w:rPr>
        <w:rFonts w:hint="default"/>
        <w:lang w:val="en-US" w:eastAsia="zh-CN" w:bidi="ar-SA"/>
      </w:rPr>
    </w:lvl>
    <w:lvl w:ilvl="3" w:tentative="0">
      <w:start w:val="0"/>
      <w:numFmt w:val="bullet"/>
      <w:lvlText w:val="•"/>
      <w:lvlJc w:val="left"/>
      <w:pPr>
        <w:ind w:left="3839" w:hanging="420"/>
      </w:pPr>
      <w:rPr>
        <w:rFonts w:hint="default"/>
        <w:lang w:val="en-US" w:eastAsia="zh-CN" w:bidi="ar-SA"/>
      </w:rPr>
    </w:lvl>
    <w:lvl w:ilvl="4" w:tentative="0">
      <w:start w:val="0"/>
      <w:numFmt w:val="bullet"/>
      <w:lvlText w:val="•"/>
      <w:lvlJc w:val="left"/>
      <w:pPr>
        <w:ind w:left="4766" w:hanging="420"/>
      </w:pPr>
      <w:rPr>
        <w:rFonts w:hint="default"/>
        <w:lang w:val="en-US" w:eastAsia="zh-CN" w:bidi="ar-SA"/>
      </w:rPr>
    </w:lvl>
    <w:lvl w:ilvl="5" w:tentative="0">
      <w:start w:val="0"/>
      <w:numFmt w:val="bullet"/>
      <w:lvlText w:val="•"/>
      <w:lvlJc w:val="left"/>
      <w:pPr>
        <w:ind w:left="5693" w:hanging="420"/>
      </w:pPr>
      <w:rPr>
        <w:rFonts w:hint="default"/>
        <w:lang w:val="en-US" w:eastAsia="zh-CN" w:bidi="ar-SA"/>
      </w:rPr>
    </w:lvl>
    <w:lvl w:ilvl="6" w:tentative="0">
      <w:start w:val="0"/>
      <w:numFmt w:val="bullet"/>
      <w:lvlText w:val="•"/>
      <w:lvlJc w:val="left"/>
      <w:pPr>
        <w:ind w:left="6619" w:hanging="420"/>
      </w:pPr>
      <w:rPr>
        <w:rFonts w:hint="default"/>
        <w:lang w:val="en-US" w:eastAsia="zh-CN" w:bidi="ar-SA"/>
      </w:rPr>
    </w:lvl>
    <w:lvl w:ilvl="7" w:tentative="0">
      <w:start w:val="0"/>
      <w:numFmt w:val="bullet"/>
      <w:lvlText w:val="•"/>
      <w:lvlJc w:val="left"/>
      <w:pPr>
        <w:ind w:left="7546" w:hanging="420"/>
      </w:pPr>
      <w:rPr>
        <w:rFonts w:hint="default"/>
        <w:lang w:val="en-US" w:eastAsia="zh-CN" w:bidi="ar-SA"/>
      </w:rPr>
    </w:lvl>
    <w:lvl w:ilvl="8" w:tentative="0">
      <w:start w:val="0"/>
      <w:numFmt w:val="bullet"/>
      <w:lvlText w:val="•"/>
      <w:lvlJc w:val="left"/>
      <w:pPr>
        <w:ind w:left="8473" w:hanging="420"/>
      </w:pPr>
      <w:rPr>
        <w:rFonts w:hint="default"/>
        <w:lang w:val="en-US" w:eastAsia="zh-CN" w:bidi="ar-SA"/>
      </w:rPr>
    </w:lvl>
  </w:abstractNum>
  <w:abstractNum w:abstractNumId="10">
    <w:nsid w:val="0248C179"/>
    <w:multiLevelType w:val="multilevel"/>
    <w:tmpl w:val="0248C179"/>
    <w:lvl w:ilvl="0" w:tentative="0">
      <w:start w:val="1"/>
      <w:numFmt w:val="decimal"/>
      <w:lvlText w:val="%1."/>
      <w:lvlJc w:val="left"/>
      <w:pPr>
        <w:ind w:left="3017" w:hanging="213"/>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3750" w:hanging="213"/>
      </w:pPr>
      <w:rPr>
        <w:rFonts w:hint="default"/>
        <w:lang w:val="en-US" w:eastAsia="zh-CN" w:bidi="ar-SA"/>
      </w:rPr>
    </w:lvl>
    <w:lvl w:ilvl="2" w:tentative="0">
      <w:start w:val="0"/>
      <w:numFmt w:val="bullet"/>
      <w:lvlText w:val="•"/>
      <w:lvlJc w:val="left"/>
      <w:pPr>
        <w:ind w:left="4481" w:hanging="213"/>
      </w:pPr>
      <w:rPr>
        <w:rFonts w:hint="default"/>
        <w:lang w:val="en-US" w:eastAsia="zh-CN" w:bidi="ar-SA"/>
      </w:rPr>
    </w:lvl>
    <w:lvl w:ilvl="3" w:tentative="0">
      <w:start w:val="0"/>
      <w:numFmt w:val="bullet"/>
      <w:lvlText w:val="•"/>
      <w:lvlJc w:val="left"/>
      <w:pPr>
        <w:ind w:left="5211" w:hanging="213"/>
      </w:pPr>
      <w:rPr>
        <w:rFonts w:hint="default"/>
        <w:lang w:val="en-US" w:eastAsia="zh-CN" w:bidi="ar-SA"/>
      </w:rPr>
    </w:lvl>
    <w:lvl w:ilvl="4" w:tentative="0">
      <w:start w:val="0"/>
      <w:numFmt w:val="bullet"/>
      <w:lvlText w:val="•"/>
      <w:lvlJc w:val="left"/>
      <w:pPr>
        <w:ind w:left="5942" w:hanging="213"/>
      </w:pPr>
      <w:rPr>
        <w:rFonts w:hint="default"/>
        <w:lang w:val="en-US" w:eastAsia="zh-CN" w:bidi="ar-SA"/>
      </w:rPr>
    </w:lvl>
    <w:lvl w:ilvl="5" w:tentative="0">
      <w:start w:val="0"/>
      <w:numFmt w:val="bullet"/>
      <w:lvlText w:val="•"/>
      <w:lvlJc w:val="left"/>
      <w:pPr>
        <w:ind w:left="6673" w:hanging="213"/>
      </w:pPr>
      <w:rPr>
        <w:rFonts w:hint="default"/>
        <w:lang w:val="en-US" w:eastAsia="zh-CN" w:bidi="ar-SA"/>
      </w:rPr>
    </w:lvl>
    <w:lvl w:ilvl="6" w:tentative="0">
      <w:start w:val="0"/>
      <w:numFmt w:val="bullet"/>
      <w:lvlText w:val="•"/>
      <w:lvlJc w:val="left"/>
      <w:pPr>
        <w:ind w:left="7403" w:hanging="213"/>
      </w:pPr>
      <w:rPr>
        <w:rFonts w:hint="default"/>
        <w:lang w:val="en-US" w:eastAsia="zh-CN" w:bidi="ar-SA"/>
      </w:rPr>
    </w:lvl>
    <w:lvl w:ilvl="7" w:tentative="0">
      <w:start w:val="0"/>
      <w:numFmt w:val="bullet"/>
      <w:lvlText w:val="•"/>
      <w:lvlJc w:val="left"/>
      <w:pPr>
        <w:ind w:left="8134" w:hanging="213"/>
      </w:pPr>
      <w:rPr>
        <w:rFonts w:hint="default"/>
        <w:lang w:val="en-US" w:eastAsia="zh-CN" w:bidi="ar-SA"/>
      </w:rPr>
    </w:lvl>
    <w:lvl w:ilvl="8" w:tentative="0">
      <w:start w:val="0"/>
      <w:numFmt w:val="bullet"/>
      <w:lvlText w:val="•"/>
      <w:lvlJc w:val="left"/>
      <w:pPr>
        <w:ind w:left="8865" w:hanging="213"/>
      </w:pPr>
      <w:rPr>
        <w:rFonts w:hint="default"/>
        <w:lang w:val="en-US" w:eastAsia="zh-CN" w:bidi="ar-SA"/>
      </w:rPr>
    </w:lvl>
  </w:abstractNum>
  <w:abstractNum w:abstractNumId="11">
    <w:nsid w:val="03D62ECE"/>
    <w:multiLevelType w:val="multilevel"/>
    <w:tmpl w:val="03D62ECE"/>
    <w:lvl w:ilvl="0" w:tentative="0">
      <w:start w:val="1"/>
      <w:numFmt w:val="decimal"/>
      <w:lvlText w:val="%1."/>
      <w:lvlJc w:val="left"/>
      <w:pPr>
        <w:ind w:left="3229" w:hanging="213"/>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3930" w:hanging="213"/>
      </w:pPr>
      <w:rPr>
        <w:rFonts w:hint="default"/>
        <w:lang w:val="en-US" w:eastAsia="zh-CN" w:bidi="ar-SA"/>
      </w:rPr>
    </w:lvl>
    <w:lvl w:ilvl="2" w:tentative="0">
      <w:start w:val="0"/>
      <w:numFmt w:val="bullet"/>
      <w:lvlText w:val="•"/>
      <w:lvlJc w:val="left"/>
      <w:pPr>
        <w:ind w:left="4641" w:hanging="213"/>
      </w:pPr>
      <w:rPr>
        <w:rFonts w:hint="default"/>
        <w:lang w:val="en-US" w:eastAsia="zh-CN" w:bidi="ar-SA"/>
      </w:rPr>
    </w:lvl>
    <w:lvl w:ilvl="3" w:tentative="0">
      <w:start w:val="0"/>
      <w:numFmt w:val="bullet"/>
      <w:lvlText w:val="•"/>
      <w:lvlJc w:val="left"/>
      <w:pPr>
        <w:ind w:left="5351" w:hanging="213"/>
      </w:pPr>
      <w:rPr>
        <w:rFonts w:hint="default"/>
        <w:lang w:val="en-US" w:eastAsia="zh-CN" w:bidi="ar-SA"/>
      </w:rPr>
    </w:lvl>
    <w:lvl w:ilvl="4" w:tentative="0">
      <w:start w:val="0"/>
      <w:numFmt w:val="bullet"/>
      <w:lvlText w:val="•"/>
      <w:lvlJc w:val="left"/>
      <w:pPr>
        <w:ind w:left="6062" w:hanging="213"/>
      </w:pPr>
      <w:rPr>
        <w:rFonts w:hint="default"/>
        <w:lang w:val="en-US" w:eastAsia="zh-CN" w:bidi="ar-SA"/>
      </w:rPr>
    </w:lvl>
    <w:lvl w:ilvl="5" w:tentative="0">
      <w:start w:val="0"/>
      <w:numFmt w:val="bullet"/>
      <w:lvlText w:val="•"/>
      <w:lvlJc w:val="left"/>
      <w:pPr>
        <w:ind w:left="6773" w:hanging="213"/>
      </w:pPr>
      <w:rPr>
        <w:rFonts w:hint="default"/>
        <w:lang w:val="en-US" w:eastAsia="zh-CN" w:bidi="ar-SA"/>
      </w:rPr>
    </w:lvl>
    <w:lvl w:ilvl="6" w:tentative="0">
      <w:start w:val="0"/>
      <w:numFmt w:val="bullet"/>
      <w:lvlText w:val="•"/>
      <w:lvlJc w:val="left"/>
      <w:pPr>
        <w:ind w:left="7483" w:hanging="213"/>
      </w:pPr>
      <w:rPr>
        <w:rFonts w:hint="default"/>
        <w:lang w:val="en-US" w:eastAsia="zh-CN" w:bidi="ar-SA"/>
      </w:rPr>
    </w:lvl>
    <w:lvl w:ilvl="7" w:tentative="0">
      <w:start w:val="0"/>
      <w:numFmt w:val="bullet"/>
      <w:lvlText w:val="•"/>
      <w:lvlJc w:val="left"/>
      <w:pPr>
        <w:ind w:left="8194" w:hanging="213"/>
      </w:pPr>
      <w:rPr>
        <w:rFonts w:hint="default"/>
        <w:lang w:val="en-US" w:eastAsia="zh-CN" w:bidi="ar-SA"/>
      </w:rPr>
    </w:lvl>
    <w:lvl w:ilvl="8" w:tentative="0">
      <w:start w:val="0"/>
      <w:numFmt w:val="bullet"/>
      <w:lvlText w:val="•"/>
      <w:lvlJc w:val="left"/>
      <w:pPr>
        <w:ind w:left="8905" w:hanging="213"/>
      </w:pPr>
      <w:rPr>
        <w:rFonts w:hint="default"/>
        <w:lang w:val="en-US" w:eastAsia="zh-CN" w:bidi="ar-SA"/>
      </w:rPr>
    </w:lvl>
  </w:abstractNum>
  <w:abstractNum w:abstractNumId="12">
    <w:nsid w:val="2470EC97"/>
    <w:multiLevelType w:val="multilevel"/>
    <w:tmpl w:val="2470EC97"/>
    <w:lvl w:ilvl="0" w:tentative="0">
      <w:start w:val="1"/>
      <w:numFmt w:val="decimal"/>
      <w:lvlText w:val="%1）"/>
      <w:lvlJc w:val="left"/>
      <w:pPr>
        <w:ind w:left="2914" w:hanging="360"/>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3660" w:hanging="360"/>
      </w:pPr>
      <w:rPr>
        <w:rFonts w:hint="default"/>
        <w:lang w:val="en-US" w:eastAsia="zh-CN" w:bidi="ar-SA"/>
      </w:rPr>
    </w:lvl>
    <w:lvl w:ilvl="2" w:tentative="0">
      <w:start w:val="0"/>
      <w:numFmt w:val="bullet"/>
      <w:lvlText w:val="•"/>
      <w:lvlJc w:val="left"/>
      <w:pPr>
        <w:ind w:left="4401" w:hanging="360"/>
      </w:pPr>
      <w:rPr>
        <w:rFonts w:hint="default"/>
        <w:lang w:val="en-US" w:eastAsia="zh-CN" w:bidi="ar-SA"/>
      </w:rPr>
    </w:lvl>
    <w:lvl w:ilvl="3" w:tentative="0">
      <w:start w:val="0"/>
      <w:numFmt w:val="bullet"/>
      <w:lvlText w:val="•"/>
      <w:lvlJc w:val="left"/>
      <w:pPr>
        <w:ind w:left="5141" w:hanging="360"/>
      </w:pPr>
      <w:rPr>
        <w:rFonts w:hint="default"/>
        <w:lang w:val="en-US" w:eastAsia="zh-CN" w:bidi="ar-SA"/>
      </w:rPr>
    </w:lvl>
    <w:lvl w:ilvl="4" w:tentative="0">
      <w:start w:val="0"/>
      <w:numFmt w:val="bullet"/>
      <w:lvlText w:val="•"/>
      <w:lvlJc w:val="left"/>
      <w:pPr>
        <w:ind w:left="5882" w:hanging="360"/>
      </w:pPr>
      <w:rPr>
        <w:rFonts w:hint="default"/>
        <w:lang w:val="en-US" w:eastAsia="zh-CN" w:bidi="ar-SA"/>
      </w:rPr>
    </w:lvl>
    <w:lvl w:ilvl="5" w:tentative="0">
      <w:start w:val="0"/>
      <w:numFmt w:val="bullet"/>
      <w:lvlText w:val="•"/>
      <w:lvlJc w:val="left"/>
      <w:pPr>
        <w:ind w:left="6623" w:hanging="360"/>
      </w:pPr>
      <w:rPr>
        <w:rFonts w:hint="default"/>
        <w:lang w:val="en-US" w:eastAsia="zh-CN" w:bidi="ar-SA"/>
      </w:rPr>
    </w:lvl>
    <w:lvl w:ilvl="6" w:tentative="0">
      <w:start w:val="0"/>
      <w:numFmt w:val="bullet"/>
      <w:lvlText w:val="•"/>
      <w:lvlJc w:val="left"/>
      <w:pPr>
        <w:ind w:left="7363" w:hanging="360"/>
      </w:pPr>
      <w:rPr>
        <w:rFonts w:hint="default"/>
        <w:lang w:val="en-US" w:eastAsia="zh-CN" w:bidi="ar-SA"/>
      </w:rPr>
    </w:lvl>
    <w:lvl w:ilvl="7" w:tentative="0">
      <w:start w:val="0"/>
      <w:numFmt w:val="bullet"/>
      <w:lvlText w:val="•"/>
      <w:lvlJc w:val="left"/>
      <w:pPr>
        <w:ind w:left="8104" w:hanging="360"/>
      </w:pPr>
      <w:rPr>
        <w:rFonts w:hint="default"/>
        <w:lang w:val="en-US" w:eastAsia="zh-CN" w:bidi="ar-SA"/>
      </w:rPr>
    </w:lvl>
    <w:lvl w:ilvl="8" w:tentative="0">
      <w:start w:val="0"/>
      <w:numFmt w:val="bullet"/>
      <w:lvlText w:val="•"/>
      <w:lvlJc w:val="left"/>
      <w:pPr>
        <w:ind w:left="8845" w:hanging="360"/>
      </w:pPr>
      <w:rPr>
        <w:rFonts w:hint="default"/>
        <w:lang w:val="en-US" w:eastAsia="zh-CN" w:bidi="ar-SA"/>
      </w:rPr>
    </w:lvl>
  </w:abstractNum>
  <w:abstractNum w:abstractNumId="13">
    <w:nsid w:val="25B654F3"/>
    <w:multiLevelType w:val="multilevel"/>
    <w:tmpl w:val="25B654F3"/>
    <w:lvl w:ilvl="0" w:tentative="0">
      <w:start w:val="1"/>
      <w:numFmt w:val="decimal"/>
      <w:lvlText w:val="%1."/>
      <w:lvlJc w:val="left"/>
      <w:pPr>
        <w:ind w:left="3229" w:hanging="213"/>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3930" w:hanging="213"/>
      </w:pPr>
      <w:rPr>
        <w:rFonts w:hint="default"/>
        <w:lang w:val="en-US" w:eastAsia="zh-CN" w:bidi="ar-SA"/>
      </w:rPr>
    </w:lvl>
    <w:lvl w:ilvl="2" w:tentative="0">
      <w:start w:val="0"/>
      <w:numFmt w:val="bullet"/>
      <w:lvlText w:val="•"/>
      <w:lvlJc w:val="left"/>
      <w:pPr>
        <w:ind w:left="4641" w:hanging="213"/>
      </w:pPr>
      <w:rPr>
        <w:rFonts w:hint="default"/>
        <w:lang w:val="en-US" w:eastAsia="zh-CN" w:bidi="ar-SA"/>
      </w:rPr>
    </w:lvl>
    <w:lvl w:ilvl="3" w:tentative="0">
      <w:start w:val="0"/>
      <w:numFmt w:val="bullet"/>
      <w:lvlText w:val="•"/>
      <w:lvlJc w:val="left"/>
      <w:pPr>
        <w:ind w:left="5351" w:hanging="213"/>
      </w:pPr>
      <w:rPr>
        <w:rFonts w:hint="default"/>
        <w:lang w:val="en-US" w:eastAsia="zh-CN" w:bidi="ar-SA"/>
      </w:rPr>
    </w:lvl>
    <w:lvl w:ilvl="4" w:tentative="0">
      <w:start w:val="0"/>
      <w:numFmt w:val="bullet"/>
      <w:lvlText w:val="•"/>
      <w:lvlJc w:val="left"/>
      <w:pPr>
        <w:ind w:left="6062" w:hanging="213"/>
      </w:pPr>
      <w:rPr>
        <w:rFonts w:hint="default"/>
        <w:lang w:val="en-US" w:eastAsia="zh-CN" w:bidi="ar-SA"/>
      </w:rPr>
    </w:lvl>
    <w:lvl w:ilvl="5" w:tentative="0">
      <w:start w:val="0"/>
      <w:numFmt w:val="bullet"/>
      <w:lvlText w:val="•"/>
      <w:lvlJc w:val="left"/>
      <w:pPr>
        <w:ind w:left="6773" w:hanging="213"/>
      </w:pPr>
      <w:rPr>
        <w:rFonts w:hint="default"/>
        <w:lang w:val="en-US" w:eastAsia="zh-CN" w:bidi="ar-SA"/>
      </w:rPr>
    </w:lvl>
    <w:lvl w:ilvl="6" w:tentative="0">
      <w:start w:val="0"/>
      <w:numFmt w:val="bullet"/>
      <w:lvlText w:val="•"/>
      <w:lvlJc w:val="left"/>
      <w:pPr>
        <w:ind w:left="7483" w:hanging="213"/>
      </w:pPr>
      <w:rPr>
        <w:rFonts w:hint="default"/>
        <w:lang w:val="en-US" w:eastAsia="zh-CN" w:bidi="ar-SA"/>
      </w:rPr>
    </w:lvl>
    <w:lvl w:ilvl="7" w:tentative="0">
      <w:start w:val="0"/>
      <w:numFmt w:val="bullet"/>
      <w:lvlText w:val="•"/>
      <w:lvlJc w:val="left"/>
      <w:pPr>
        <w:ind w:left="8194" w:hanging="213"/>
      </w:pPr>
      <w:rPr>
        <w:rFonts w:hint="default"/>
        <w:lang w:val="en-US" w:eastAsia="zh-CN" w:bidi="ar-SA"/>
      </w:rPr>
    </w:lvl>
    <w:lvl w:ilvl="8" w:tentative="0">
      <w:start w:val="0"/>
      <w:numFmt w:val="bullet"/>
      <w:lvlText w:val="•"/>
      <w:lvlJc w:val="left"/>
      <w:pPr>
        <w:ind w:left="8905" w:hanging="213"/>
      </w:pPr>
      <w:rPr>
        <w:rFonts w:hint="default"/>
        <w:lang w:val="en-US" w:eastAsia="zh-CN" w:bidi="ar-SA"/>
      </w:rPr>
    </w:lvl>
  </w:abstractNum>
  <w:abstractNum w:abstractNumId="14">
    <w:nsid w:val="2A8F537B"/>
    <w:multiLevelType w:val="multilevel"/>
    <w:tmpl w:val="2A8F537B"/>
    <w:lvl w:ilvl="0" w:tentative="0">
      <w:start w:val="1"/>
      <w:numFmt w:val="decimal"/>
      <w:lvlText w:val="（%1）"/>
      <w:lvlJc w:val="left"/>
      <w:pPr>
        <w:ind w:left="704" w:hanging="530"/>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378" w:hanging="530"/>
      </w:pPr>
      <w:rPr>
        <w:rFonts w:hint="default"/>
        <w:lang w:val="en-US" w:eastAsia="zh-CN" w:bidi="ar-SA"/>
      </w:rPr>
    </w:lvl>
    <w:lvl w:ilvl="2" w:tentative="0">
      <w:start w:val="0"/>
      <w:numFmt w:val="bullet"/>
      <w:lvlText w:val="•"/>
      <w:lvlJc w:val="left"/>
      <w:pPr>
        <w:ind w:left="2056" w:hanging="530"/>
      </w:pPr>
      <w:rPr>
        <w:rFonts w:hint="default"/>
        <w:lang w:val="en-US" w:eastAsia="zh-CN" w:bidi="ar-SA"/>
      </w:rPr>
    </w:lvl>
    <w:lvl w:ilvl="3" w:tentative="0">
      <w:start w:val="0"/>
      <w:numFmt w:val="bullet"/>
      <w:lvlText w:val="•"/>
      <w:lvlJc w:val="left"/>
      <w:pPr>
        <w:ind w:left="2735" w:hanging="530"/>
      </w:pPr>
      <w:rPr>
        <w:rFonts w:hint="default"/>
        <w:lang w:val="en-US" w:eastAsia="zh-CN" w:bidi="ar-SA"/>
      </w:rPr>
    </w:lvl>
    <w:lvl w:ilvl="4" w:tentative="0">
      <w:start w:val="0"/>
      <w:numFmt w:val="bullet"/>
      <w:lvlText w:val="•"/>
      <w:lvlJc w:val="left"/>
      <w:pPr>
        <w:ind w:left="3413" w:hanging="530"/>
      </w:pPr>
      <w:rPr>
        <w:rFonts w:hint="default"/>
        <w:lang w:val="en-US" w:eastAsia="zh-CN" w:bidi="ar-SA"/>
      </w:rPr>
    </w:lvl>
    <w:lvl w:ilvl="5" w:tentative="0">
      <w:start w:val="0"/>
      <w:numFmt w:val="bullet"/>
      <w:lvlText w:val="•"/>
      <w:lvlJc w:val="left"/>
      <w:pPr>
        <w:ind w:left="4091" w:hanging="530"/>
      </w:pPr>
      <w:rPr>
        <w:rFonts w:hint="default"/>
        <w:lang w:val="en-US" w:eastAsia="zh-CN" w:bidi="ar-SA"/>
      </w:rPr>
    </w:lvl>
    <w:lvl w:ilvl="6" w:tentative="0">
      <w:start w:val="0"/>
      <w:numFmt w:val="bullet"/>
      <w:lvlText w:val="•"/>
      <w:lvlJc w:val="left"/>
      <w:pPr>
        <w:ind w:left="4770" w:hanging="530"/>
      </w:pPr>
      <w:rPr>
        <w:rFonts w:hint="default"/>
        <w:lang w:val="en-US" w:eastAsia="zh-CN" w:bidi="ar-SA"/>
      </w:rPr>
    </w:lvl>
    <w:lvl w:ilvl="7" w:tentative="0">
      <w:start w:val="0"/>
      <w:numFmt w:val="bullet"/>
      <w:lvlText w:val="•"/>
      <w:lvlJc w:val="left"/>
      <w:pPr>
        <w:ind w:left="5448" w:hanging="530"/>
      </w:pPr>
      <w:rPr>
        <w:rFonts w:hint="default"/>
        <w:lang w:val="en-US" w:eastAsia="zh-CN" w:bidi="ar-SA"/>
      </w:rPr>
    </w:lvl>
    <w:lvl w:ilvl="8" w:tentative="0">
      <w:start w:val="0"/>
      <w:numFmt w:val="bullet"/>
      <w:lvlText w:val="•"/>
      <w:lvlJc w:val="left"/>
      <w:pPr>
        <w:ind w:left="6127" w:hanging="530"/>
      </w:pPr>
      <w:rPr>
        <w:rFonts w:hint="default"/>
        <w:lang w:val="en-US" w:eastAsia="zh-CN" w:bidi="ar-SA"/>
      </w:rPr>
    </w:lvl>
  </w:abstractNum>
  <w:abstractNum w:abstractNumId="15">
    <w:nsid w:val="4C1BAE26"/>
    <w:multiLevelType w:val="multilevel"/>
    <w:tmpl w:val="4C1BAE26"/>
    <w:lvl w:ilvl="0" w:tentative="0">
      <w:start w:val="1"/>
      <w:numFmt w:val="decimal"/>
      <w:lvlText w:val="%1）"/>
      <w:lvlJc w:val="left"/>
      <w:pPr>
        <w:ind w:left="2914" w:hanging="360"/>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3660" w:hanging="360"/>
      </w:pPr>
      <w:rPr>
        <w:rFonts w:hint="default"/>
        <w:lang w:val="en-US" w:eastAsia="zh-CN" w:bidi="ar-SA"/>
      </w:rPr>
    </w:lvl>
    <w:lvl w:ilvl="2" w:tentative="0">
      <w:start w:val="0"/>
      <w:numFmt w:val="bullet"/>
      <w:lvlText w:val="•"/>
      <w:lvlJc w:val="left"/>
      <w:pPr>
        <w:ind w:left="4401" w:hanging="360"/>
      </w:pPr>
      <w:rPr>
        <w:rFonts w:hint="default"/>
        <w:lang w:val="en-US" w:eastAsia="zh-CN" w:bidi="ar-SA"/>
      </w:rPr>
    </w:lvl>
    <w:lvl w:ilvl="3" w:tentative="0">
      <w:start w:val="0"/>
      <w:numFmt w:val="bullet"/>
      <w:lvlText w:val="•"/>
      <w:lvlJc w:val="left"/>
      <w:pPr>
        <w:ind w:left="5141" w:hanging="360"/>
      </w:pPr>
      <w:rPr>
        <w:rFonts w:hint="default"/>
        <w:lang w:val="en-US" w:eastAsia="zh-CN" w:bidi="ar-SA"/>
      </w:rPr>
    </w:lvl>
    <w:lvl w:ilvl="4" w:tentative="0">
      <w:start w:val="0"/>
      <w:numFmt w:val="bullet"/>
      <w:lvlText w:val="•"/>
      <w:lvlJc w:val="left"/>
      <w:pPr>
        <w:ind w:left="5882" w:hanging="360"/>
      </w:pPr>
      <w:rPr>
        <w:rFonts w:hint="default"/>
        <w:lang w:val="en-US" w:eastAsia="zh-CN" w:bidi="ar-SA"/>
      </w:rPr>
    </w:lvl>
    <w:lvl w:ilvl="5" w:tentative="0">
      <w:start w:val="0"/>
      <w:numFmt w:val="bullet"/>
      <w:lvlText w:val="•"/>
      <w:lvlJc w:val="left"/>
      <w:pPr>
        <w:ind w:left="6623" w:hanging="360"/>
      </w:pPr>
      <w:rPr>
        <w:rFonts w:hint="default"/>
        <w:lang w:val="en-US" w:eastAsia="zh-CN" w:bidi="ar-SA"/>
      </w:rPr>
    </w:lvl>
    <w:lvl w:ilvl="6" w:tentative="0">
      <w:start w:val="0"/>
      <w:numFmt w:val="bullet"/>
      <w:lvlText w:val="•"/>
      <w:lvlJc w:val="left"/>
      <w:pPr>
        <w:ind w:left="7363" w:hanging="360"/>
      </w:pPr>
      <w:rPr>
        <w:rFonts w:hint="default"/>
        <w:lang w:val="en-US" w:eastAsia="zh-CN" w:bidi="ar-SA"/>
      </w:rPr>
    </w:lvl>
    <w:lvl w:ilvl="7" w:tentative="0">
      <w:start w:val="0"/>
      <w:numFmt w:val="bullet"/>
      <w:lvlText w:val="•"/>
      <w:lvlJc w:val="left"/>
      <w:pPr>
        <w:ind w:left="8104" w:hanging="360"/>
      </w:pPr>
      <w:rPr>
        <w:rFonts w:hint="default"/>
        <w:lang w:val="en-US" w:eastAsia="zh-CN" w:bidi="ar-SA"/>
      </w:rPr>
    </w:lvl>
    <w:lvl w:ilvl="8" w:tentative="0">
      <w:start w:val="0"/>
      <w:numFmt w:val="bullet"/>
      <w:lvlText w:val="•"/>
      <w:lvlJc w:val="left"/>
      <w:pPr>
        <w:ind w:left="8845" w:hanging="360"/>
      </w:pPr>
      <w:rPr>
        <w:rFonts w:hint="default"/>
        <w:lang w:val="en-US" w:eastAsia="zh-CN" w:bidi="ar-SA"/>
      </w:rPr>
    </w:lvl>
  </w:abstractNum>
  <w:abstractNum w:abstractNumId="16">
    <w:nsid w:val="4D4DC07F"/>
    <w:multiLevelType w:val="multilevel"/>
    <w:tmpl w:val="4D4DC07F"/>
    <w:lvl w:ilvl="0" w:tentative="0">
      <w:start w:val="1"/>
      <w:numFmt w:val="decimal"/>
      <w:lvlText w:val="%1）"/>
      <w:lvlJc w:val="left"/>
      <w:pPr>
        <w:ind w:left="2914" w:hanging="360"/>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3660" w:hanging="360"/>
      </w:pPr>
      <w:rPr>
        <w:rFonts w:hint="default"/>
        <w:lang w:val="en-US" w:eastAsia="zh-CN" w:bidi="ar-SA"/>
      </w:rPr>
    </w:lvl>
    <w:lvl w:ilvl="2" w:tentative="0">
      <w:start w:val="0"/>
      <w:numFmt w:val="bullet"/>
      <w:lvlText w:val="•"/>
      <w:lvlJc w:val="left"/>
      <w:pPr>
        <w:ind w:left="4401" w:hanging="360"/>
      </w:pPr>
      <w:rPr>
        <w:rFonts w:hint="default"/>
        <w:lang w:val="en-US" w:eastAsia="zh-CN" w:bidi="ar-SA"/>
      </w:rPr>
    </w:lvl>
    <w:lvl w:ilvl="3" w:tentative="0">
      <w:start w:val="0"/>
      <w:numFmt w:val="bullet"/>
      <w:lvlText w:val="•"/>
      <w:lvlJc w:val="left"/>
      <w:pPr>
        <w:ind w:left="5141" w:hanging="360"/>
      </w:pPr>
      <w:rPr>
        <w:rFonts w:hint="default"/>
        <w:lang w:val="en-US" w:eastAsia="zh-CN" w:bidi="ar-SA"/>
      </w:rPr>
    </w:lvl>
    <w:lvl w:ilvl="4" w:tentative="0">
      <w:start w:val="0"/>
      <w:numFmt w:val="bullet"/>
      <w:lvlText w:val="•"/>
      <w:lvlJc w:val="left"/>
      <w:pPr>
        <w:ind w:left="5882" w:hanging="360"/>
      </w:pPr>
      <w:rPr>
        <w:rFonts w:hint="default"/>
        <w:lang w:val="en-US" w:eastAsia="zh-CN" w:bidi="ar-SA"/>
      </w:rPr>
    </w:lvl>
    <w:lvl w:ilvl="5" w:tentative="0">
      <w:start w:val="0"/>
      <w:numFmt w:val="bullet"/>
      <w:lvlText w:val="•"/>
      <w:lvlJc w:val="left"/>
      <w:pPr>
        <w:ind w:left="6623" w:hanging="360"/>
      </w:pPr>
      <w:rPr>
        <w:rFonts w:hint="default"/>
        <w:lang w:val="en-US" w:eastAsia="zh-CN" w:bidi="ar-SA"/>
      </w:rPr>
    </w:lvl>
    <w:lvl w:ilvl="6" w:tentative="0">
      <w:start w:val="0"/>
      <w:numFmt w:val="bullet"/>
      <w:lvlText w:val="•"/>
      <w:lvlJc w:val="left"/>
      <w:pPr>
        <w:ind w:left="7363" w:hanging="360"/>
      </w:pPr>
      <w:rPr>
        <w:rFonts w:hint="default"/>
        <w:lang w:val="en-US" w:eastAsia="zh-CN" w:bidi="ar-SA"/>
      </w:rPr>
    </w:lvl>
    <w:lvl w:ilvl="7" w:tentative="0">
      <w:start w:val="0"/>
      <w:numFmt w:val="bullet"/>
      <w:lvlText w:val="•"/>
      <w:lvlJc w:val="left"/>
      <w:pPr>
        <w:ind w:left="8104" w:hanging="360"/>
      </w:pPr>
      <w:rPr>
        <w:rFonts w:hint="default"/>
        <w:lang w:val="en-US" w:eastAsia="zh-CN" w:bidi="ar-SA"/>
      </w:rPr>
    </w:lvl>
    <w:lvl w:ilvl="8" w:tentative="0">
      <w:start w:val="0"/>
      <w:numFmt w:val="bullet"/>
      <w:lvlText w:val="•"/>
      <w:lvlJc w:val="left"/>
      <w:pPr>
        <w:ind w:left="8845" w:hanging="360"/>
      </w:pPr>
      <w:rPr>
        <w:rFonts w:hint="default"/>
        <w:lang w:val="en-US" w:eastAsia="zh-CN" w:bidi="ar-SA"/>
      </w:rPr>
    </w:lvl>
  </w:abstractNum>
  <w:abstractNum w:abstractNumId="17">
    <w:nsid w:val="59ADCABA"/>
    <w:multiLevelType w:val="multilevel"/>
    <w:tmpl w:val="59ADCABA"/>
    <w:lvl w:ilvl="0" w:tentative="0">
      <w:start w:val="3"/>
      <w:numFmt w:val="decimal"/>
      <w:lvlText w:val="%1"/>
      <w:lvlJc w:val="left"/>
      <w:pPr>
        <w:ind w:left="1505" w:hanging="526"/>
        <w:jc w:val="left"/>
      </w:pPr>
      <w:rPr>
        <w:rFonts w:hint="default"/>
        <w:lang w:val="en-US" w:eastAsia="zh-CN" w:bidi="ar-SA"/>
      </w:rPr>
    </w:lvl>
    <w:lvl w:ilvl="1" w:tentative="0">
      <w:start w:val="10"/>
      <w:numFmt w:val="decimal"/>
      <w:lvlText w:val="%1.%2"/>
      <w:lvlJc w:val="left"/>
      <w:pPr>
        <w:ind w:left="1505" w:hanging="526"/>
        <w:jc w:val="left"/>
      </w:pPr>
      <w:rPr>
        <w:rFonts w:hint="default" w:ascii="宋体" w:hAnsi="宋体" w:eastAsia="宋体" w:cs="宋体"/>
        <w:b w:val="0"/>
        <w:bCs w:val="0"/>
        <w:i w:val="0"/>
        <w:iCs w:val="0"/>
        <w:w w:val="100"/>
        <w:sz w:val="21"/>
        <w:szCs w:val="21"/>
        <w:lang w:val="en-US" w:eastAsia="zh-CN" w:bidi="ar-SA"/>
      </w:rPr>
    </w:lvl>
    <w:lvl w:ilvl="2" w:tentative="0">
      <w:start w:val="0"/>
      <w:numFmt w:val="bullet"/>
      <w:lvlText w:val="•"/>
      <w:lvlJc w:val="left"/>
      <w:pPr>
        <w:ind w:left="2386" w:hanging="526"/>
      </w:pPr>
      <w:rPr>
        <w:rFonts w:hint="default"/>
        <w:lang w:val="en-US" w:eastAsia="zh-CN" w:bidi="ar-SA"/>
      </w:rPr>
    </w:lvl>
    <w:lvl w:ilvl="3" w:tentative="0">
      <w:start w:val="0"/>
      <w:numFmt w:val="bullet"/>
      <w:lvlText w:val="•"/>
      <w:lvlJc w:val="left"/>
      <w:pPr>
        <w:ind w:left="2829" w:hanging="526"/>
      </w:pPr>
      <w:rPr>
        <w:rFonts w:hint="default"/>
        <w:lang w:val="en-US" w:eastAsia="zh-CN" w:bidi="ar-SA"/>
      </w:rPr>
    </w:lvl>
    <w:lvl w:ilvl="4" w:tentative="0">
      <w:start w:val="0"/>
      <w:numFmt w:val="bullet"/>
      <w:lvlText w:val="•"/>
      <w:lvlJc w:val="left"/>
      <w:pPr>
        <w:ind w:left="3272" w:hanging="526"/>
      </w:pPr>
      <w:rPr>
        <w:rFonts w:hint="default"/>
        <w:lang w:val="en-US" w:eastAsia="zh-CN" w:bidi="ar-SA"/>
      </w:rPr>
    </w:lvl>
    <w:lvl w:ilvl="5" w:tentative="0">
      <w:start w:val="0"/>
      <w:numFmt w:val="bullet"/>
      <w:lvlText w:val="•"/>
      <w:lvlJc w:val="left"/>
      <w:pPr>
        <w:ind w:left="3715" w:hanging="526"/>
      </w:pPr>
      <w:rPr>
        <w:rFonts w:hint="default"/>
        <w:lang w:val="en-US" w:eastAsia="zh-CN" w:bidi="ar-SA"/>
      </w:rPr>
    </w:lvl>
    <w:lvl w:ilvl="6" w:tentative="0">
      <w:start w:val="0"/>
      <w:numFmt w:val="bullet"/>
      <w:lvlText w:val="•"/>
      <w:lvlJc w:val="left"/>
      <w:pPr>
        <w:ind w:left="4158" w:hanging="526"/>
      </w:pPr>
      <w:rPr>
        <w:rFonts w:hint="default"/>
        <w:lang w:val="en-US" w:eastAsia="zh-CN" w:bidi="ar-SA"/>
      </w:rPr>
    </w:lvl>
    <w:lvl w:ilvl="7" w:tentative="0">
      <w:start w:val="0"/>
      <w:numFmt w:val="bullet"/>
      <w:lvlText w:val="•"/>
      <w:lvlJc w:val="left"/>
      <w:pPr>
        <w:ind w:left="4602" w:hanging="526"/>
      </w:pPr>
      <w:rPr>
        <w:rFonts w:hint="default"/>
        <w:lang w:val="en-US" w:eastAsia="zh-CN" w:bidi="ar-SA"/>
      </w:rPr>
    </w:lvl>
    <w:lvl w:ilvl="8" w:tentative="0">
      <w:start w:val="0"/>
      <w:numFmt w:val="bullet"/>
      <w:lvlText w:val="•"/>
      <w:lvlJc w:val="left"/>
      <w:pPr>
        <w:ind w:left="5045" w:hanging="526"/>
      </w:pPr>
      <w:rPr>
        <w:rFonts w:hint="default"/>
        <w:lang w:val="en-US" w:eastAsia="zh-CN" w:bidi="ar-SA"/>
      </w:rPr>
    </w:lvl>
  </w:abstractNum>
  <w:abstractNum w:abstractNumId="18">
    <w:nsid w:val="5A241D34"/>
    <w:multiLevelType w:val="multilevel"/>
    <w:tmpl w:val="5A241D34"/>
    <w:lvl w:ilvl="0" w:tentative="0">
      <w:start w:val="1"/>
      <w:numFmt w:val="decimal"/>
      <w:lvlText w:val="（%1）"/>
      <w:lvlJc w:val="left"/>
      <w:pPr>
        <w:ind w:left="3017" w:hanging="530"/>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3750" w:hanging="530"/>
      </w:pPr>
      <w:rPr>
        <w:rFonts w:hint="default"/>
        <w:lang w:val="en-US" w:eastAsia="zh-CN" w:bidi="ar-SA"/>
      </w:rPr>
    </w:lvl>
    <w:lvl w:ilvl="2" w:tentative="0">
      <w:start w:val="0"/>
      <w:numFmt w:val="bullet"/>
      <w:lvlText w:val="•"/>
      <w:lvlJc w:val="left"/>
      <w:pPr>
        <w:ind w:left="4481" w:hanging="530"/>
      </w:pPr>
      <w:rPr>
        <w:rFonts w:hint="default"/>
        <w:lang w:val="en-US" w:eastAsia="zh-CN" w:bidi="ar-SA"/>
      </w:rPr>
    </w:lvl>
    <w:lvl w:ilvl="3" w:tentative="0">
      <w:start w:val="0"/>
      <w:numFmt w:val="bullet"/>
      <w:lvlText w:val="•"/>
      <w:lvlJc w:val="left"/>
      <w:pPr>
        <w:ind w:left="5211" w:hanging="530"/>
      </w:pPr>
      <w:rPr>
        <w:rFonts w:hint="default"/>
        <w:lang w:val="en-US" w:eastAsia="zh-CN" w:bidi="ar-SA"/>
      </w:rPr>
    </w:lvl>
    <w:lvl w:ilvl="4" w:tentative="0">
      <w:start w:val="0"/>
      <w:numFmt w:val="bullet"/>
      <w:lvlText w:val="•"/>
      <w:lvlJc w:val="left"/>
      <w:pPr>
        <w:ind w:left="5942" w:hanging="530"/>
      </w:pPr>
      <w:rPr>
        <w:rFonts w:hint="default"/>
        <w:lang w:val="en-US" w:eastAsia="zh-CN" w:bidi="ar-SA"/>
      </w:rPr>
    </w:lvl>
    <w:lvl w:ilvl="5" w:tentative="0">
      <w:start w:val="0"/>
      <w:numFmt w:val="bullet"/>
      <w:lvlText w:val="•"/>
      <w:lvlJc w:val="left"/>
      <w:pPr>
        <w:ind w:left="6673" w:hanging="530"/>
      </w:pPr>
      <w:rPr>
        <w:rFonts w:hint="default"/>
        <w:lang w:val="en-US" w:eastAsia="zh-CN" w:bidi="ar-SA"/>
      </w:rPr>
    </w:lvl>
    <w:lvl w:ilvl="6" w:tentative="0">
      <w:start w:val="0"/>
      <w:numFmt w:val="bullet"/>
      <w:lvlText w:val="•"/>
      <w:lvlJc w:val="left"/>
      <w:pPr>
        <w:ind w:left="7403" w:hanging="530"/>
      </w:pPr>
      <w:rPr>
        <w:rFonts w:hint="default"/>
        <w:lang w:val="en-US" w:eastAsia="zh-CN" w:bidi="ar-SA"/>
      </w:rPr>
    </w:lvl>
    <w:lvl w:ilvl="7" w:tentative="0">
      <w:start w:val="0"/>
      <w:numFmt w:val="bullet"/>
      <w:lvlText w:val="•"/>
      <w:lvlJc w:val="left"/>
      <w:pPr>
        <w:ind w:left="8134" w:hanging="530"/>
      </w:pPr>
      <w:rPr>
        <w:rFonts w:hint="default"/>
        <w:lang w:val="en-US" w:eastAsia="zh-CN" w:bidi="ar-SA"/>
      </w:rPr>
    </w:lvl>
    <w:lvl w:ilvl="8" w:tentative="0">
      <w:start w:val="0"/>
      <w:numFmt w:val="bullet"/>
      <w:lvlText w:val="•"/>
      <w:lvlJc w:val="left"/>
      <w:pPr>
        <w:ind w:left="8865" w:hanging="530"/>
      </w:pPr>
      <w:rPr>
        <w:rFonts w:hint="default"/>
        <w:lang w:val="en-US" w:eastAsia="zh-CN" w:bidi="ar-SA"/>
      </w:rPr>
    </w:lvl>
  </w:abstractNum>
  <w:abstractNum w:abstractNumId="19">
    <w:nsid w:val="60382F6E"/>
    <w:multiLevelType w:val="multilevel"/>
    <w:tmpl w:val="60382F6E"/>
    <w:lvl w:ilvl="0" w:tentative="0">
      <w:start w:val="1"/>
      <w:numFmt w:val="decimal"/>
      <w:lvlText w:val="%1）"/>
      <w:lvlJc w:val="left"/>
      <w:pPr>
        <w:ind w:left="2914" w:hanging="360"/>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3660" w:hanging="360"/>
      </w:pPr>
      <w:rPr>
        <w:rFonts w:hint="default"/>
        <w:lang w:val="en-US" w:eastAsia="zh-CN" w:bidi="ar-SA"/>
      </w:rPr>
    </w:lvl>
    <w:lvl w:ilvl="2" w:tentative="0">
      <w:start w:val="0"/>
      <w:numFmt w:val="bullet"/>
      <w:lvlText w:val="•"/>
      <w:lvlJc w:val="left"/>
      <w:pPr>
        <w:ind w:left="4401" w:hanging="360"/>
      </w:pPr>
      <w:rPr>
        <w:rFonts w:hint="default"/>
        <w:lang w:val="en-US" w:eastAsia="zh-CN" w:bidi="ar-SA"/>
      </w:rPr>
    </w:lvl>
    <w:lvl w:ilvl="3" w:tentative="0">
      <w:start w:val="0"/>
      <w:numFmt w:val="bullet"/>
      <w:lvlText w:val="•"/>
      <w:lvlJc w:val="left"/>
      <w:pPr>
        <w:ind w:left="5141" w:hanging="360"/>
      </w:pPr>
      <w:rPr>
        <w:rFonts w:hint="default"/>
        <w:lang w:val="en-US" w:eastAsia="zh-CN" w:bidi="ar-SA"/>
      </w:rPr>
    </w:lvl>
    <w:lvl w:ilvl="4" w:tentative="0">
      <w:start w:val="0"/>
      <w:numFmt w:val="bullet"/>
      <w:lvlText w:val="•"/>
      <w:lvlJc w:val="left"/>
      <w:pPr>
        <w:ind w:left="5882" w:hanging="360"/>
      </w:pPr>
      <w:rPr>
        <w:rFonts w:hint="default"/>
        <w:lang w:val="en-US" w:eastAsia="zh-CN" w:bidi="ar-SA"/>
      </w:rPr>
    </w:lvl>
    <w:lvl w:ilvl="5" w:tentative="0">
      <w:start w:val="0"/>
      <w:numFmt w:val="bullet"/>
      <w:lvlText w:val="•"/>
      <w:lvlJc w:val="left"/>
      <w:pPr>
        <w:ind w:left="6623" w:hanging="360"/>
      </w:pPr>
      <w:rPr>
        <w:rFonts w:hint="default"/>
        <w:lang w:val="en-US" w:eastAsia="zh-CN" w:bidi="ar-SA"/>
      </w:rPr>
    </w:lvl>
    <w:lvl w:ilvl="6" w:tentative="0">
      <w:start w:val="0"/>
      <w:numFmt w:val="bullet"/>
      <w:lvlText w:val="•"/>
      <w:lvlJc w:val="left"/>
      <w:pPr>
        <w:ind w:left="7363" w:hanging="360"/>
      </w:pPr>
      <w:rPr>
        <w:rFonts w:hint="default"/>
        <w:lang w:val="en-US" w:eastAsia="zh-CN" w:bidi="ar-SA"/>
      </w:rPr>
    </w:lvl>
    <w:lvl w:ilvl="7" w:tentative="0">
      <w:start w:val="0"/>
      <w:numFmt w:val="bullet"/>
      <w:lvlText w:val="•"/>
      <w:lvlJc w:val="left"/>
      <w:pPr>
        <w:ind w:left="8104" w:hanging="360"/>
      </w:pPr>
      <w:rPr>
        <w:rFonts w:hint="default"/>
        <w:lang w:val="en-US" w:eastAsia="zh-CN" w:bidi="ar-SA"/>
      </w:rPr>
    </w:lvl>
    <w:lvl w:ilvl="8" w:tentative="0">
      <w:start w:val="0"/>
      <w:numFmt w:val="bullet"/>
      <w:lvlText w:val="•"/>
      <w:lvlJc w:val="left"/>
      <w:pPr>
        <w:ind w:left="8845" w:hanging="360"/>
      </w:pPr>
      <w:rPr>
        <w:rFonts w:hint="default"/>
        <w:lang w:val="en-US" w:eastAsia="zh-CN" w:bidi="ar-SA"/>
      </w:rPr>
    </w:lvl>
  </w:abstractNum>
  <w:abstractNum w:abstractNumId="20">
    <w:nsid w:val="72183CF9"/>
    <w:multiLevelType w:val="multilevel"/>
    <w:tmpl w:val="72183CF9"/>
    <w:lvl w:ilvl="0" w:tentative="0">
      <w:start w:val="1"/>
      <w:numFmt w:val="decimal"/>
      <w:lvlText w:val="%1."/>
      <w:lvlJc w:val="left"/>
      <w:pPr>
        <w:ind w:left="3229" w:hanging="213"/>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3930" w:hanging="213"/>
      </w:pPr>
      <w:rPr>
        <w:rFonts w:hint="default"/>
        <w:lang w:val="en-US" w:eastAsia="zh-CN" w:bidi="ar-SA"/>
      </w:rPr>
    </w:lvl>
    <w:lvl w:ilvl="2" w:tentative="0">
      <w:start w:val="0"/>
      <w:numFmt w:val="bullet"/>
      <w:lvlText w:val="•"/>
      <w:lvlJc w:val="left"/>
      <w:pPr>
        <w:ind w:left="4641" w:hanging="213"/>
      </w:pPr>
      <w:rPr>
        <w:rFonts w:hint="default"/>
        <w:lang w:val="en-US" w:eastAsia="zh-CN" w:bidi="ar-SA"/>
      </w:rPr>
    </w:lvl>
    <w:lvl w:ilvl="3" w:tentative="0">
      <w:start w:val="0"/>
      <w:numFmt w:val="bullet"/>
      <w:lvlText w:val="•"/>
      <w:lvlJc w:val="left"/>
      <w:pPr>
        <w:ind w:left="5351" w:hanging="213"/>
      </w:pPr>
      <w:rPr>
        <w:rFonts w:hint="default"/>
        <w:lang w:val="en-US" w:eastAsia="zh-CN" w:bidi="ar-SA"/>
      </w:rPr>
    </w:lvl>
    <w:lvl w:ilvl="4" w:tentative="0">
      <w:start w:val="0"/>
      <w:numFmt w:val="bullet"/>
      <w:lvlText w:val="•"/>
      <w:lvlJc w:val="left"/>
      <w:pPr>
        <w:ind w:left="6062" w:hanging="213"/>
      </w:pPr>
      <w:rPr>
        <w:rFonts w:hint="default"/>
        <w:lang w:val="en-US" w:eastAsia="zh-CN" w:bidi="ar-SA"/>
      </w:rPr>
    </w:lvl>
    <w:lvl w:ilvl="5" w:tentative="0">
      <w:start w:val="0"/>
      <w:numFmt w:val="bullet"/>
      <w:lvlText w:val="•"/>
      <w:lvlJc w:val="left"/>
      <w:pPr>
        <w:ind w:left="6773" w:hanging="213"/>
      </w:pPr>
      <w:rPr>
        <w:rFonts w:hint="default"/>
        <w:lang w:val="en-US" w:eastAsia="zh-CN" w:bidi="ar-SA"/>
      </w:rPr>
    </w:lvl>
    <w:lvl w:ilvl="6" w:tentative="0">
      <w:start w:val="0"/>
      <w:numFmt w:val="bullet"/>
      <w:lvlText w:val="•"/>
      <w:lvlJc w:val="left"/>
      <w:pPr>
        <w:ind w:left="7483" w:hanging="213"/>
      </w:pPr>
      <w:rPr>
        <w:rFonts w:hint="default"/>
        <w:lang w:val="en-US" w:eastAsia="zh-CN" w:bidi="ar-SA"/>
      </w:rPr>
    </w:lvl>
    <w:lvl w:ilvl="7" w:tentative="0">
      <w:start w:val="0"/>
      <w:numFmt w:val="bullet"/>
      <w:lvlText w:val="•"/>
      <w:lvlJc w:val="left"/>
      <w:pPr>
        <w:ind w:left="8194" w:hanging="213"/>
      </w:pPr>
      <w:rPr>
        <w:rFonts w:hint="default"/>
        <w:lang w:val="en-US" w:eastAsia="zh-CN" w:bidi="ar-SA"/>
      </w:rPr>
    </w:lvl>
    <w:lvl w:ilvl="8" w:tentative="0">
      <w:start w:val="0"/>
      <w:numFmt w:val="bullet"/>
      <w:lvlText w:val="•"/>
      <w:lvlJc w:val="left"/>
      <w:pPr>
        <w:ind w:left="8905" w:hanging="213"/>
      </w:pPr>
      <w:rPr>
        <w:rFonts w:hint="default"/>
        <w:lang w:val="en-US" w:eastAsia="zh-CN" w:bidi="ar-SA"/>
      </w:rPr>
    </w:lvl>
  </w:abstractNum>
  <w:num w:numId="1">
    <w:abstractNumId w:val="9"/>
  </w:num>
  <w:num w:numId="2">
    <w:abstractNumId w:val="5"/>
  </w:num>
  <w:num w:numId="3">
    <w:abstractNumId w:val="17"/>
  </w:num>
  <w:num w:numId="4">
    <w:abstractNumId w:val="3"/>
  </w:num>
  <w:num w:numId="5">
    <w:abstractNumId w:val="2"/>
  </w:num>
  <w:num w:numId="6">
    <w:abstractNumId w:val="11"/>
  </w:num>
  <w:num w:numId="7">
    <w:abstractNumId w:val="13"/>
  </w:num>
  <w:num w:numId="8">
    <w:abstractNumId w:val="20"/>
  </w:num>
  <w:num w:numId="9">
    <w:abstractNumId w:val="10"/>
  </w:num>
  <w:num w:numId="10">
    <w:abstractNumId w:val="0"/>
  </w:num>
  <w:num w:numId="11">
    <w:abstractNumId w:val="14"/>
  </w:num>
  <w:num w:numId="12">
    <w:abstractNumId w:val="18"/>
  </w:num>
  <w:num w:numId="13">
    <w:abstractNumId w:val="4"/>
  </w:num>
  <w:num w:numId="14">
    <w:abstractNumId w:val="16"/>
  </w:num>
  <w:num w:numId="15">
    <w:abstractNumId w:val="8"/>
  </w:num>
  <w:num w:numId="16">
    <w:abstractNumId w:val="12"/>
  </w:num>
  <w:num w:numId="17">
    <w:abstractNumId w:val="7"/>
  </w:num>
  <w:num w:numId="18">
    <w:abstractNumId w:val="6"/>
  </w:num>
  <w:num w:numId="19">
    <w:abstractNumId w:val="1"/>
  </w:num>
  <w:num w:numId="20">
    <w:abstractNumId w:val="15"/>
  </w:num>
  <w:num w:numId="2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2"/>
  </w:compat>
  <w:docVars>
    <w:docVar w:name="commondata" w:val="eyJoZGlkIjoiNDA5YjcwNjgxNzNhYjExMDgzZWI2NGI0YmE1ODUyYmMifQ=="/>
  </w:docVars>
  <w:rsids>
    <w:rsidRoot w:val="00000000"/>
    <w:rsid w:val="1107264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zh-CN" w:bidi="ar-SA"/>
    </w:rPr>
  </w:style>
  <w:style w:type="paragraph" w:styleId="2">
    <w:name w:val="heading 1"/>
    <w:basedOn w:val="1"/>
    <w:next w:val="1"/>
    <w:qFormat/>
    <w:uiPriority w:val="1"/>
    <w:pPr>
      <w:ind w:left="1502" w:hanging="1066"/>
      <w:outlineLvl w:val="1"/>
    </w:pPr>
    <w:rPr>
      <w:rFonts w:ascii="宋体" w:hAnsi="宋体" w:eastAsia="宋体" w:cs="宋体"/>
      <w:b/>
      <w:bCs/>
      <w:sz w:val="24"/>
      <w:szCs w:val="24"/>
      <w:lang w:val="en-US" w:eastAsia="zh-CN" w:bidi="ar-SA"/>
    </w:rPr>
  </w:style>
  <w:style w:type="paragraph" w:styleId="3">
    <w:name w:val="heading 2"/>
    <w:basedOn w:val="1"/>
    <w:next w:val="1"/>
    <w:qFormat/>
    <w:uiPriority w:val="1"/>
    <w:pPr>
      <w:ind w:left="1502" w:hanging="722"/>
      <w:outlineLvl w:val="2"/>
    </w:pPr>
    <w:rPr>
      <w:rFonts w:ascii="宋体" w:hAnsi="宋体" w:eastAsia="宋体" w:cs="宋体"/>
      <w:b/>
      <w:bCs/>
      <w:sz w:val="21"/>
      <w:szCs w:val="21"/>
      <w:lang w:val="en-US" w:eastAsia="zh-CN" w:bidi="ar-SA"/>
    </w:rPr>
  </w:style>
  <w:style w:type="character" w:default="1" w:styleId="7">
    <w:name w:val="Default Paragraph Font"/>
    <w:semiHidden/>
    <w:unhideWhenUsed/>
    <w:uiPriority w:val="1"/>
  </w:style>
  <w:style w:type="table" w:default="1" w:styleId="6">
    <w:name w:val="Normal Table"/>
    <w:semiHidden/>
    <w:uiPriority w:val="0"/>
    <w:tblPr>
      <w:tblCellMar>
        <w:top w:w="0" w:type="dxa"/>
        <w:left w:w="108" w:type="dxa"/>
        <w:bottom w:w="0" w:type="dxa"/>
        <w:right w:w="108" w:type="dxa"/>
      </w:tblCellMar>
    </w:tblPr>
  </w:style>
  <w:style w:type="paragraph" w:styleId="4">
    <w:name w:val="Body Text"/>
    <w:basedOn w:val="1"/>
    <w:qFormat/>
    <w:uiPriority w:val="1"/>
    <w:rPr>
      <w:rFonts w:ascii="宋体" w:hAnsi="宋体" w:eastAsia="宋体" w:cs="宋体"/>
      <w:sz w:val="21"/>
      <w:szCs w:val="21"/>
      <w:lang w:val="en-US" w:eastAsia="zh-CN" w:bidi="ar-SA"/>
    </w:rPr>
  </w:style>
  <w:style w:type="paragraph" w:styleId="5">
    <w:name w:val="Title"/>
    <w:basedOn w:val="1"/>
    <w:qFormat/>
    <w:uiPriority w:val="1"/>
    <w:pPr>
      <w:spacing w:before="110"/>
      <w:ind w:left="1808" w:right="2026"/>
      <w:jc w:val="center"/>
    </w:pPr>
    <w:rPr>
      <w:rFonts w:ascii="宋体" w:hAnsi="宋体" w:eastAsia="宋体" w:cs="宋体"/>
      <w:b/>
      <w:bCs/>
      <w:sz w:val="32"/>
      <w:szCs w:val="32"/>
      <w:lang w:val="en-US" w:eastAsia="zh-CN" w:bidi="ar-SA"/>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ind w:left="3017" w:hanging="213"/>
    </w:pPr>
    <w:rPr>
      <w:rFonts w:ascii="宋体" w:hAnsi="宋体" w:eastAsia="宋体" w:cs="宋体"/>
      <w:lang w:val="en-US" w:eastAsia="zh-CN" w:bidi="ar-SA"/>
    </w:rPr>
  </w:style>
  <w:style w:type="paragraph" w:customStyle="1" w:styleId="10">
    <w:name w:val="Table Paragraph"/>
    <w:basedOn w:val="1"/>
    <w:qFormat/>
    <w:uiPriority w:val="1"/>
    <w:pPr>
      <w:spacing w:before="22"/>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Info spid="_x0000_s1027"/>
    <customShpInfo spid="_x0000_s1028"/>
    <customShpInfo spid="_x0000_s1029"/>
    <customShpInfo spid="_x0000_s1030"/>
    <customShpInfo spid="_x0000_s1031"/>
    <customShpInfo spid="_x0000_s1032"/>
    <customShpInfo spid="_x0000_s1033"/>
    <customShpInfo spid="_x0000_s1034"/>
    <customShpInfo spid="_x0000_s1035"/>
    <customShpInfo spid="_x0000_s1036"/>
    <customShpInfo spid="_x0000_s1037"/>
    <customShpInfo spid="_x0000_s1038"/>
    <customShpInfo spid="_x0000_s1039"/>
    <customShpInfo spid="_x0000_s1040"/>
    <customShpInfo spid="_x0000_s1041"/>
    <customShpInfo spid="_x0000_s1042"/>
    <customShpInfo spid="_x0000_s1043"/>
    <customShpInfo spid="_x0000_s1044"/>
    <customShpInfo spid="_x0000_s1045"/>
    <customShpInfo spid="_x0000_s1046"/>
    <customShpInfo spid="_x0000_s1047"/>
    <customShpInfo spid="_x0000_s1048"/>
    <customShpInfo spid="_x0000_s104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31</Pages>
  <Words>28722</Words>
  <Characters>29271</Characters>
  <TotalTime>0</TotalTime>
  <ScaleCrop>false</ScaleCrop>
  <LinksUpToDate>false</LinksUpToDate>
  <CharactersWithSpaces>30769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2023-06-02T06:07:00Z</dcterms:created>
  <dc:creator>木木</dc:creator>
  <cp:lastModifiedBy>木木</cp:lastModifiedBy>
  <dcterms:modified xsi:type="dcterms:W3CDTF">2023-06-02T06:42:53Z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y fmtid="{D5CDD505-2E9C-101B-9397-08002B2CF9AE}" pid="5" name="KSOProductBuildVer">
    <vt:lpwstr>2052-11.1.0.14309</vt:lpwstr>
  </property>
  <property fmtid="{D5CDD505-2E9C-101B-9397-08002B2CF9AE}" pid="6" name="ICV">
    <vt:lpwstr>02CB611EB39A4C41BF5178504204AA45_12</vt:lpwstr>
  </property>
</Properties>
</file>