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5"/>
        <w:ind w:left="6547" w:right="0" w:firstLine="0"/>
        <w:jc w:val="left"/>
        <w:rPr>
          <w:sz w:val="18"/>
        </w:rPr>
      </w:pPr>
      <w:r>
        <w:rPr/>
        <w:drawing>
          <wp:anchor distT="0" distB="0" distL="0" distR="0" allowOverlap="1" layoutInCell="1" locked="0" behindDoc="0" simplePos="0" relativeHeight="0">
            <wp:simplePos x="0" y="0"/>
            <wp:positionH relativeFrom="page">
              <wp:posOffset>6150864</wp:posOffset>
            </wp:positionH>
            <wp:positionV relativeFrom="paragraph">
              <wp:posOffset>202818</wp:posOffset>
            </wp:positionV>
            <wp:extent cx="723899"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899" cy="723900"/>
                    </a:xfrm>
                    <a:prstGeom prst="rect">
                      <a:avLst/>
                    </a:prstGeom>
                  </pic:spPr>
                </pic:pic>
              </a:graphicData>
            </a:graphic>
          </wp:anchor>
        </w:drawing>
      </w:r>
      <w:r>
        <w:rPr>
          <w:sz w:val="18"/>
        </w:rPr>
        <w:t>复星联合健康保险（</w:t>
      </w:r>
      <w:r>
        <w:rPr>
          <w:rFonts w:ascii="Times New Roman" w:eastAsia="Times New Roman"/>
          <w:sz w:val="18"/>
        </w:rPr>
        <w:t>2020</w:t>
      </w:r>
      <w:r>
        <w:rPr>
          <w:sz w:val="18"/>
        </w:rPr>
        <w:t>）</w:t>
      </w:r>
      <w:r>
        <w:rPr>
          <w:spacing w:val="-9"/>
          <w:sz w:val="18"/>
        </w:rPr>
        <w:t>医疗保险 </w:t>
      </w:r>
      <w:r>
        <w:rPr>
          <w:rFonts w:ascii="Times New Roman" w:eastAsia="Times New Roman"/>
          <w:sz w:val="18"/>
        </w:rPr>
        <w:t>037</w:t>
      </w:r>
      <w:r>
        <w:rPr>
          <w:rFonts w:ascii="Times New Roman" w:eastAsia="Times New Roman"/>
          <w:spacing w:val="-1"/>
          <w:sz w:val="18"/>
        </w:rPr>
        <w:t> </w:t>
      </w:r>
      <w:r>
        <w:rPr>
          <w:spacing w:val="-10"/>
          <w:sz w:val="18"/>
        </w:rPr>
        <w:t>号</w:t>
      </w:r>
    </w:p>
    <w:p>
      <w:pPr>
        <w:spacing w:before="34"/>
        <w:ind w:left="0" w:right="596" w:firstLine="0"/>
        <w:jc w:val="right"/>
        <w:rPr>
          <w:sz w:val="18"/>
        </w:rPr>
      </w:pPr>
      <w:r>
        <w:rPr>
          <w:spacing w:val="-1"/>
          <w:sz w:val="18"/>
        </w:rPr>
        <w:t>请扫描以查询验证条款</w:t>
      </w:r>
    </w:p>
    <w:p>
      <w:pPr>
        <w:pStyle w:val="Heading1"/>
        <w:spacing w:line="290" w:lineRule="auto" w:before="67"/>
        <w:ind w:left="4531" w:right="3362"/>
      </w:pPr>
      <w:r>
        <w:rPr>
          <w:spacing w:val="-2"/>
        </w:rPr>
        <w:t>复星联合团体合家欢医疗保险条款</w:t>
      </w:r>
      <w:r>
        <w:rPr>
          <w:spacing w:val="-4"/>
        </w:rPr>
        <w:t>阅读指引</w:t>
      </w:r>
    </w:p>
    <w:p>
      <w:pPr>
        <w:pStyle w:val="BodyText"/>
        <w:spacing w:line="248" w:lineRule="exact"/>
        <w:ind w:left="642"/>
      </w:pPr>
      <w:r>
        <w:rPr>
          <w:spacing w:val="-2"/>
        </w:rPr>
        <w:t>本阅读指引助您理解复星联合健康保险股份有限公司（以下简称“本公司”）</w:t>
      </w:r>
      <w:r>
        <w:rPr>
          <w:spacing w:val="-3"/>
        </w:rPr>
        <w:t>《复星联合团体合家欢</w:t>
      </w:r>
    </w:p>
    <w:p>
      <w:pPr>
        <w:pStyle w:val="BodyText"/>
        <w:spacing w:before="43"/>
        <w:ind w:left="220"/>
      </w:pPr>
      <w:r>
        <w:rPr>
          <w:spacing w:val="-2"/>
        </w:rPr>
        <w:t>医疗保险》（以下简称“本保险条款</w:t>
      </w:r>
      <w:r>
        <w:rPr>
          <w:spacing w:val="-5"/>
        </w:rPr>
        <w:t>”）</w:t>
      </w:r>
    </w:p>
    <w:p>
      <w:pPr>
        <w:pStyle w:val="Heading3"/>
        <w:spacing w:before="56"/>
        <w:ind w:left="220"/>
      </w:pPr>
      <w:r>
        <w:rPr>
          <w:rFonts w:ascii="Wingdings 2" w:hAnsi="Wingdings 2" w:eastAsia="Wingdings 2"/>
          <w:spacing w:val="-2"/>
          <w:position w:val="-11"/>
          <w:sz w:val="52"/>
        </w:rPr>
        <w:t></w:t>
      </w:r>
      <w:r>
        <w:rPr>
          <w:spacing w:val="-4"/>
        </w:rPr>
        <w:t>拥有的重要权益</w:t>
      </w:r>
    </w:p>
    <w:p>
      <w:pPr>
        <w:pStyle w:val="ListParagraph"/>
        <w:numPr>
          <w:ilvl w:val="0"/>
          <w:numId w:val="1"/>
        </w:numPr>
        <w:tabs>
          <w:tab w:pos="1168" w:val="left" w:leader="none"/>
          <w:tab w:pos="1169" w:val="left" w:leader="none"/>
          <w:tab w:pos="9680" w:val="right" w:leader="dot"/>
        </w:tabs>
        <w:spacing w:line="240" w:lineRule="auto" w:before="62" w:after="0"/>
        <w:ind w:left="1168" w:right="0" w:hanging="421"/>
        <w:jc w:val="left"/>
        <w:rPr>
          <w:sz w:val="21"/>
        </w:rPr>
      </w:pPr>
      <w:r>
        <w:rPr>
          <w:spacing w:val="-2"/>
          <w:sz w:val="21"/>
        </w:rPr>
        <w:t>被</w:t>
      </w:r>
      <w:r>
        <w:rPr>
          <w:spacing w:val="-2"/>
          <w:sz w:val="21"/>
        </w:rPr>
        <w:t>保</w:t>
      </w:r>
      <w:r>
        <w:rPr>
          <w:spacing w:val="-2"/>
          <w:sz w:val="21"/>
        </w:rPr>
        <w:t>险人享有的保险</w:t>
      </w:r>
      <w:r>
        <w:rPr>
          <w:spacing w:val="-2"/>
          <w:sz w:val="21"/>
        </w:rPr>
        <w:t>保</w:t>
      </w:r>
      <w:r>
        <w:rPr>
          <w:spacing w:val="-10"/>
          <w:sz w:val="21"/>
        </w:rPr>
        <w:t>障</w:t>
      </w:r>
      <w:r>
        <w:rPr>
          <w:rFonts w:ascii="Times New Roman" w:hAnsi="Times New Roman" w:eastAsia="Times New Roman"/>
          <w:sz w:val="21"/>
        </w:rPr>
        <w:tab/>
      </w:r>
      <w:r>
        <w:rPr>
          <w:spacing w:val="-5"/>
          <w:sz w:val="21"/>
        </w:rPr>
        <w:t>2.3</w:t>
      </w:r>
    </w:p>
    <w:p>
      <w:pPr>
        <w:pStyle w:val="ListParagraph"/>
        <w:numPr>
          <w:ilvl w:val="0"/>
          <w:numId w:val="1"/>
        </w:numPr>
        <w:tabs>
          <w:tab w:pos="1168" w:val="left" w:leader="none"/>
          <w:tab w:pos="1169" w:val="left" w:leader="none"/>
          <w:tab w:pos="9677" w:val="right" w:leader="dot"/>
        </w:tabs>
        <w:spacing w:line="240" w:lineRule="auto" w:before="43" w:after="0"/>
        <w:ind w:left="1168" w:right="0" w:hanging="421"/>
        <w:jc w:val="left"/>
        <w:rPr>
          <w:sz w:val="21"/>
        </w:rPr>
      </w:pPr>
      <w:r>
        <w:rPr>
          <w:spacing w:val="-2"/>
          <w:sz w:val="21"/>
        </w:rPr>
        <w:t>投</w:t>
      </w:r>
      <w:r>
        <w:rPr>
          <w:spacing w:val="-2"/>
          <w:sz w:val="21"/>
        </w:rPr>
        <w:t>保</w:t>
      </w:r>
      <w:r>
        <w:rPr>
          <w:spacing w:val="-2"/>
          <w:sz w:val="21"/>
        </w:rPr>
        <w:t>人有解除合同的</w:t>
      </w:r>
      <w:r>
        <w:rPr>
          <w:spacing w:val="-2"/>
          <w:sz w:val="21"/>
        </w:rPr>
        <w:t>权</w:t>
      </w:r>
      <w:r>
        <w:rPr>
          <w:spacing w:val="-10"/>
          <w:sz w:val="21"/>
        </w:rPr>
        <w:t>利</w:t>
      </w:r>
      <w:r>
        <w:rPr>
          <w:rFonts w:ascii="Times New Roman" w:hAnsi="Times New Roman" w:eastAsia="Times New Roman"/>
          <w:sz w:val="21"/>
        </w:rPr>
        <w:tab/>
      </w:r>
      <w:r>
        <w:rPr>
          <w:spacing w:val="-5"/>
          <w:sz w:val="21"/>
        </w:rPr>
        <w:t>5.1</w:t>
      </w:r>
    </w:p>
    <w:p>
      <w:pPr>
        <w:pStyle w:val="Heading3"/>
        <w:spacing w:before="58"/>
        <w:ind w:left="220"/>
      </w:pPr>
      <w:r>
        <w:rPr>
          <w:rFonts w:ascii="Wingdings 2" w:hAnsi="Wingdings 2" w:eastAsia="Wingdings 2"/>
          <w:spacing w:val="-2"/>
          <w:position w:val="-11"/>
          <w:sz w:val="52"/>
        </w:rPr>
        <w:t></w:t>
      </w:r>
      <w:r>
        <w:rPr>
          <w:spacing w:val="-3"/>
        </w:rPr>
        <w:t>应当特别注意的事项</w:t>
      </w:r>
    </w:p>
    <w:p>
      <w:pPr>
        <w:pStyle w:val="ListParagraph"/>
        <w:numPr>
          <w:ilvl w:val="0"/>
          <w:numId w:val="1"/>
        </w:numPr>
        <w:tabs>
          <w:tab w:pos="1165" w:val="left" w:leader="none"/>
          <w:tab w:pos="1166" w:val="left" w:leader="none"/>
          <w:tab w:pos="9677" w:val="right" w:leader="dot"/>
        </w:tabs>
        <w:spacing w:line="240" w:lineRule="auto" w:before="62" w:after="0"/>
        <w:ind w:left="1166" w:right="0" w:hanging="420"/>
        <w:jc w:val="left"/>
        <w:rPr>
          <w:sz w:val="21"/>
        </w:rPr>
      </w:pPr>
      <w:r>
        <w:rPr>
          <w:spacing w:val="-2"/>
          <w:sz w:val="21"/>
        </w:rPr>
        <w:t>在</w:t>
      </w:r>
      <w:r>
        <w:rPr>
          <w:spacing w:val="-2"/>
          <w:sz w:val="21"/>
        </w:rPr>
        <w:t>某</w:t>
      </w:r>
      <w:r>
        <w:rPr>
          <w:spacing w:val="-2"/>
          <w:sz w:val="21"/>
        </w:rPr>
        <w:t>些情况下，本公司不</w:t>
      </w:r>
      <w:r>
        <w:rPr>
          <w:spacing w:val="-2"/>
          <w:sz w:val="21"/>
        </w:rPr>
        <w:t>承</w:t>
      </w:r>
      <w:r>
        <w:rPr>
          <w:spacing w:val="-2"/>
          <w:sz w:val="21"/>
        </w:rPr>
        <w:t>担</w:t>
      </w:r>
      <w:r>
        <w:rPr>
          <w:spacing w:val="-2"/>
          <w:sz w:val="21"/>
        </w:rPr>
        <w:t>保险责</w:t>
      </w:r>
      <w:r>
        <w:rPr>
          <w:spacing w:val="-10"/>
          <w:sz w:val="21"/>
        </w:rPr>
        <w:t>任</w:t>
      </w:r>
      <w:r>
        <w:rPr>
          <w:rFonts w:ascii="Times New Roman" w:hAnsi="Times New Roman" w:eastAsia="Times New Roman"/>
          <w:sz w:val="21"/>
        </w:rPr>
        <w:tab/>
      </w:r>
      <w:r>
        <w:rPr>
          <w:spacing w:val="-5"/>
          <w:sz w:val="21"/>
        </w:rPr>
        <w:t>2.4</w:t>
      </w:r>
    </w:p>
    <w:p>
      <w:pPr>
        <w:pStyle w:val="ListParagraph"/>
        <w:numPr>
          <w:ilvl w:val="0"/>
          <w:numId w:val="1"/>
        </w:numPr>
        <w:tabs>
          <w:tab w:pos="1165" w:val="left" w:leader="none"/>
          <w:tab w:pos="1166" w:val="left" w:leader="none"/>
          <w:tab w:pos="9677" w:val="right" w:leader="dot"/>
        </w:tabs>
        <w:spacing w:line="240" w:lineRule="auto" w:before="43" w:after="0"/>
        <w:ind w:left="1166" w:right="0" w:hanging="420"/>
        <w:jc w:val="left"/>
        <w:rPr>
          <w:sz w:val="21"/>
        </w:rPr>
      </w:pPr>
      <w:r>
        <w:rPr>
          <w:spacing w:val="-2"/>
          <w:sz w:val="21"/>
        </w:rPr>
        <w:t>及</w:t>
      </w:r>
      <w:r>
        <w:rPr>
          <w:spacing w:val="-2"/>
          <w:sz w:val="21"/>
        </w:rPr>
        <w:t>时</w:t>
      </w:r>
      <w:r>
        <w:rPr>
          <w:spacing w:val="-2"/>
          <w:sz w:val="21"/>
        </w:rPr>
        <w:t>向本公司通知保险事</w:t>
      </w:r>
      <w:r>
        <w:rPr>
          <w:spacing w:val="-2"/>
          <w:sz w:val="21"/>
        </w:rPr>
        <w:t>故</w:t>
      </w:r>
      <w:r>
        <w:rPr>
          <w:spacing w:val="-2"/>
          <w:sz w:val="21"/>
        </w:rPr>
        <w:t>的</w:t>
      </w:r>
      <w:r>
        <w:rPr>
          <w:spacing w:val="-2"/>
          <w:sz w:val="21"/>
        </w:rPr>
        <w:t>责</w:t>
      </w:r>
      <w:r>
        <w:rPr>
          <w:spacing w:val="-10"/>
          <w:sz w:val="21"/>
        </w:rPr>
        <w:t>任</w:t>
      </w:r>
      <w:r>
        <w:rPr>
          <w:rFonts w:ascii="Times New Roman" w:hAnsi="Times New Roman" w:eastAsia="Times New Roman"/>
          <w:sz w:val="21"/>
        </w:rPr>
        <w:tab/>
      </w:r>
      <w:r>
        <w:rPr>
          <w:spacing w:val="-5"/>
          <w:sz w:val="21"/>
        </w:rPr>
        <w:t>3.2</w:t>
      </w:r>
    </w:p>
    <w:p>
      <w:pPr>
        <w:pStyle w:val="ListParagraph"/>
        <w:numPr>
          <w:ilvl w:val="0"/>
          <w:numId w:val="1"/>
        </w:numPr>
        <w:tabs>
          <w:tab w:pos="1165" w:val="left" w:leader="none"/>
          <w:tab w:pos="1166" w:val="left" w:leader="none"/>
          <w:tab w:pos="9677" w:val="right" w:leader="dot"/>
        </w:tabs>
        <w:spacing w:line="240" w:lineRule="auto" w:before="43" w:after="0"/>
        <w:ind w:left="1166" w:right="0" w:hanging="420"/>
        <w:jc w:val="left"/>
        <w:rPr>
          <w:sz w:val="21"/>
        </w:rPr>
      </w:pPr>
      <w:r>
        <w:rPr>
          <w:spacing w:val="-2"/>
          <w:sz w:val="21"/>
        </w:rPr>
        <w:t>应</w:t>
      </w:r>
      <w:r>
        <w:rPr>
          <w:spacing w:val="-2"/>
          <w:sz w:val="21"/>
        </w:rPr>
        <w:t>当</w:t>
      </w:r>
      <w:r>
        <w:rPr>
          <w:spacing w:val="-2"/>
          <w:sz w:val="21"/>
        </w:rPr>
        <w:t>按时交纳保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165" w:val="left" w:leader="none"/>
          <w:tab w:pos="1166" w:val="left" w:leader="none"/>
          <w:tab w:pos="9677" w:val="right" w:leader="dot"/>
        </w:tabs>
        <w:spacing w:line="240" w:lineRule="auto" w:before="42" w:after="0"/>
        <w:ind w:left="1166" w:right="0" w:hanging="420"/>
        <w:jc w:val="left"/>
        <w:rPr>
          <w:sz w:val="21"/>
        </w:rPr>
      </w:pPr>
      <w:r>
        <w:rPr>
          <w:spacing w:val="-2"/>
          <w:sz w:val="21"/>
        </w:rPr>
        <w:t>退</w:t>
      </w:r>
      <w:r>
        <w:rPr>
          <w:spacing w:val="-2"/>
          <w:sz w:val="21"/>
        </w:rPr>
        <w:t>保</w:t>
      </w:r>
      <w:r>
        <w:rPr>
          <w:spacing w:val="-2"/>
          <w:sz w:val="21"/>
        </w:rPr>
        <w:t>会给投保人造成一定</w:t>
      </w:r>
      <w:r>
        <w:rPr>
          <w:spacing w:val="-2"/>
          <w:sz w:val="21"/>
        </w:rPr>
        <w:t>的</w:t>
      </w:r>
      <w:r>
        <w:rPr>
          <w:spacing w:val="-2"/>
          <w:sz w:val="21"/>
        </w:rPr>
        <w:t>损</w:t>
      </w:r>
      <w:r>
        <w:rPr>
          <w:spacing w:val="-2"/>
          <w:sz w:val="21"/>
        </w:rPr>
        <w:t>失，请慎重</w:t>
      </w:r>
      <w:r>
        <w:rPr>
          <w:spacing w:val="-2"/>
          <w:sz w:val="21"/>
        </w:rPr>
        <w:t>决</w:t>
      </w:r>
      <w:r>
        <w:rPr>
          <w:spacing w:val="-10"/>
          <w:sz w:val="21"/>
        </w:rPr>
        <w:t>策</w:t>
      </w:r>
      <w:r>
        <w:rPr>
          <w:rFonts w:ascii="Times New Roman" w:hAnsi="Times New Roman" w:eastAsia="Times New Roman"/>
          <w:sz w:val="21"/>
        </w:rPr>
        <w:tab/>
      </w:r>
      <w:r>
        <w:rPr>
          <w:spacing w:val="-5"/>
          <w:sz w:val="21"/>
        </w:rPr>
        <w:t>5.1</w:t>
      </w:r>
    </w:p>
    <w:p>
      <w:pPr>
        <w:pStyle w:val="ListParagraph"/>
        <w:numPr>
          <w:ilvl w:val="0"/>
          <w:numId w:val="1"/>
        </w:numPr>
        <w:tabs>
          <w:tab w:pos="1165" w:val="left" w:leader="none"/>
          <w:tab w:pos="1166" w:val="left" w:leader="none"/>
          <w:tab w:pos="9677" w:val="right" w:leader="dot"/>
        </w:tabs>
        <w:spacing w:line="240" w:lineRule="auto" w:before="43" w:after="0"/>
        <w:ind w:left="1166" w:right="0" w:hanging="420"/>
        <w:jc w:val="left"/>
        <w:rPr>
          <w:sz w:val="21"/>
        </w:rPr>
      </w:pPr>
      <w:r>
        <w:rPr>
          <w:spacing w:val="-2"/>
          <w:sz w:val="21"/>
        </w:rPr>
        <w:t>投</w:t>
      </w:r>
      <w:r>
        <w:rPr>
          <w:spacing w:val="-2"/>
          <w:sz w:val="21"/>
        </w:rPr>
        <w:t>保</w:t>
      </w:r>
      <w:r>
        <w:rPr>
          <w:spacing w:val="-2"/>
          <w:sz w:val="21"/>
        </w:rPr>
        <w:t>人有如实告知的</w:t>
      </w:r>
      <w:r>
        <w:rPr>
          <w:spacing w:val="-2"/>
          <w:sz w:val="21"/>
        </w:rPr>
        <w:t>义</w:t>
      </w:r>
      <w:r>
        <w:rPr>
          <w:spacing w:val="-10"/>
          <w:sz w:val="21"/>
        </w:rPr>
        <w:t>务</w:t>
      </w:r>
      <w:r>
        <w:rPr>
          <w:rFonts w:ascii="Times New Roman" w:hAnsi="Times New Roman" w:eastAsia="Times New Roman"/>
          <w:sz w:val="21"/>
        </w:rPr>
        <w:tab/>
      </w:r>
      <w:r>
        <w:rPr>
          <w:spacing w:val="-5"/>
          <w:sz w:val="21"/>
        </w:rPr>
        <w:t>6.1</w:t>
      </w:r>
    </w:p>
    <w:p>
      <w:pPr>
        <w:pStyle w:val="ListParagraph"/>
        <w:numPr>
          <w:ilvl w:val="0"/>
          <w:numId w:val="1"/>
        </w:numPr>
        <w:tabs>
          <w:tab w:pos="1165" w:val="left" w:leader="none"/>
          <w:tab w:pos="1166" w:val="left" w:leader="none"/>
        </w:tabs>
        <w:spacing w:line="240" w:lineRule="auto" w:before="43" w:after="0"/>
        <w:ind w:left="1166" w:right="0" w:hanging="420"/>
        <w:jc w:val="left"/>
        <w:rPr>
          <w:sz w:val="21"/>
        </w:rPr>
      </w:pPr>
      <w:r>
        <w:rPr>
          <w:spacing w:val="-3"/>
          <w:sz w:val="21"/>
        </w:rPr>
        <w:t>本公司对可能影响本合同保障的重要内容进行显著标识，请仔细阅读正文中背景突出显示</w:t>
      </w:r>
    </w:p>
    <w:p>
      <w:pPr>
        <w:pStyle w:val="ListParagraph"/>
        <w:numPr>
          <w:ilvl w:val="0"/>
          <w:numId w:val="1"/>
        </w:numPr>
        <w:tabs>
          <w:tab w:pos="1165" w:val="left" w:leader="none"/>
          <w:tab w:pos="1166" w:val="left" w:leader="none"/>
        </w:tabs>
        <w:spacing w:line="240" w:lineRule="auto" w:before="43" w:after="0"/>
        <w:ind w:left="1166" w:right="0" w:hanging="420"/>
        <w:jc w:val="left"/>
        <w:rPr>
          <w:sz w:val="21"/>
        </w:rPr>
      </w:pPr>
      <w:r>
        <w:rPr>
          <w:spacing w:val="-4"/>
          <w:sz w:val="21"/>
        </w:rPr>
        <w:t>的内容</w:t>
      </w:r>
    </w:p>
    <w:p>
      <w:pPr>
        <w:spacing w:line="474" w:lineRule="exact" w:before="21"/>
        <w:ind w:left="220" w:right="0" w:firstLine="0"/>
        <w:jc w:val="left"/>
        <w:rPr>
          <w:rFonts w:ascii="微软雅黑" w:hAnsi="微软雅黑" w:eastAsia="微软雅黑"/>
          <w:b/>
          <w:sz w:val="21"/>
        </w:rPr>
      </w:pPr>
      <w:r>
        <w:rPr>
          <w:rFonts w:ascii="Wingdings 2" w:hAnsi="Wingdings 2" w:eastAsia="Wingdings 2"/>
          <w:b/>
          <w:spacing w:val="-2"/>
          <w:position w:val="-11"/>
          <w:sz w:val="52"/>
        </w:rPr>
        <w:t></w:t>
      </w:r>
      <w:r>
        <w:rPr>
          <w:rFonts w:ascii="微软雅黑" w:hAnsi="微软雅黑" w:eastAsia="微软雅黑"/>
          <w:b/>
          <w:spacing w:val="-3"/>
          <w:sz w:val="21"/>
        </w:rPr>
        <w:t>条款是保险合同的重要内容，为充分保障您的权益，请仔细阅读本条款</w:t>
      </w:r>
    </w:p>
    <w:p>
      <w:pPr>
        <w:spacing w:line="474" w:lineRule="exact" w:before="0"/>
        <w:ind w:left="160" w:right="0" w:firstLine="0"/>
        <w:jc w:val="left"/>
        <w:rPr>
          <w:rFonts w:ascii="微软雅黑" w:hAnsi="微软雅黑" w:eastAsia="微软雅黑"/>
          <w:b/>
          <w:sz w:val="21"/>
        </w:rPr>
      </w:pPr>
      <w:r>
        <w:rPr>
          <w:rFonts w:ascii="Wingdings 2" w:hAnsi="Wingdings 2" w:eastAsia="Wingdings 2"/>
          <w:b/>
          <w:spacing w:val="-2"/>
          <w:position w:val="-11"/>
          <w:sz w:val="52"/>
        </w:rPr>
        <w:t></w:t>
      </w:r>
      <w:r>
        <w:rPr>
          <w:rFonts w:ascii="微软雅黑" w:hAnsi="微软雅黑" w:eastAsia="微软雅黑"/>
          <w:b/>
          <w:spacing w:val="-4"/>
          <w:sz w:val="21"/>
        </w:rPr>
        <w:t>条款目录</w:t>
      </w:r>
    </w:p>
    <w:p>
      <w:pPr>
        <w:pStyle w:val="BodyText"/>
        <w:spacing w:before="7"/>
        <w:rPr>
          <w:rFonts w:ascii="微软雅黑"/>
          <w:b/>
          <w:sz w:val="24"/>
        </w:rPr>
      </w:pPr>
    </w:p>
    <w:p>
      <w:pPr>
        <w:spacing w:after="0"/>
        <w:rPr>
          <w:rFonts w:ascii="微软雅黑"/>
          <w:sz w:val="24"/>
        </w:rPr>
        <w:sectPr>
          <w:footerReference w:type="default" r:id="rId5"/>
          <w:type w:val="continuous"/>
          <w:pgSz w:w="11910" w:h="16840"/>
          <w:pgMar w:footer="967" w:header="0" w:top="480" w:bottom="1160" w:left="860" w:right="480"/>
          <w:pgNumType w:start="1"/>
        </w:sectPr>
      </w:pPr>
    </w:p>
    <w:p>
      <w:pPr>
        <w:pStyle w:val="ListParagraph"/>
        <w:numPr>
          <w:ilvl w:val="1"/>
          <w:numId w:val="1"/>
        </w:numPr>
        <w:tabs>
          <w:tab w:pos="2622" w:val="left" w:leader="none"/>
        </w:tabs>
        <w:spacing w:line="357" w:lineRule="exact" w:before="4" w:after="0"/>
        <w:ind w:left="2621" w:right="0" w:hanging="213"/>
        <w:jc w:val="left"/>
        <w:rPr>
          <w:rFonts w:ascii="微软雅黑" w:eastAsia="微软雅黑"/>
          <w:b/>
          <w:sz w:val="21"/>
        </w:rPr>
      </w:pPr>
      <w:r>
        <w:rPr/>
        <w:drawing>
          <wp:anchor distT="0" distB="0" distL="0" distR="0" allowOverlap="1" layoutInCell="1" locked="0" behindDoc="1" simplePos="0" relativeHeight="487063552">
            <wp:simplePos x="0" y="0"/>
            <wp:positionH relativeFrom="page">
              <wp:posOffset>1931161</wp:posOffset>
            </wp:positionH>
            <wp:positionV relativeFrom="paragraph">
              <wp:posOffset>-126261</wp:posOffset>
            </wp:positionV>
            <wp:extent cx="4187443" cy="3517722"/>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4187443" cy="3517722"/>
                    </a:xfrm>
                    <a:prstGeom prst="rect">
                      <a:avLst/>
                    </a:prstGeom>
                  </pic:spPr>
                </pic:pic>
              </a:graphicData>
            </a:graphic>
          </wp:anchor>
        </w:drawing>
      </w:r>
      <w:r>
        <w:rPr>
          <w:rFonts w:ascii="微软雅黑" w:eastAsia="微软雅黑"/>
          <w:b/>
          <w:spacing w:val="-3"/>
          <w:sz w:val="21"/>
        </w:rPr>
        <w:t>合同订立</w:t>
      </w:r>
    </w:p>
    <w:p>
      <w:pPr>
        <w:pStyle w:val="ListParagraph"/>
        <w:numPr>
          <w:ilvl w:val="2"/>
          <w:numId w:val="1"/>
        </w:numPr>
        <w:tabs>
          <w:tab w:pos="2938" w:val="left" w:leader="none"/>
        </w:tabs>
        <w:spacing w:line="235" w:lineRule="exact" w:before="0" w:after="0"/>
        <w:ind w:left="2937" w:right="0" w:hanging="424"/>
        <w:jc w:val="left"/>
        <w:rPr>
          <w:sz w:val="21"/>
        </w:rPr>
      </w:pPr>
      <w:r>
        <w:rPr>
          <w:spacing w:val="-4"/>
          <w:sz w:val="21"/>
        </w:rPr>
        <w:t>合同构成</w:t>
      </w:r>
    </w:p>
    <w:p>
      <w:pPr>
        <w:pStyle w:val="ListParagraph"/>
        <w:numPr>
          <w:ilvl w:val="2"/>
          <w:numId w:val="1"/>
        </w:numPr>
        <w:tabs>
          <w:tab w:pos="2935" w:val="left" w:leader="none"/>
        </w:tabs>
        <w:spacing w:line="260" w:lineRule="exact" w:before="0" w:after="0"/>
        <w:ind w:left="2934" w:right="0" w:hanging="421"/>
        <w:jc w:val="left"/>
        <w:rPr>
          <w:sz w:val="21"/>
        </w:rPr>
      </w:pPr>
      <w:r>
        <w:rPr>
          <w:spacing w:val="-4"/>
          <w:sz w:val="21"/>
        </w:rPr>
        <w:t>合同成立与生效</w:t>
      </w:r>
    </w:p>
    <w:p>
      <w:pPr>
        <w:pStyle w:val="ListParagraph"/>
        <w:numPr>
          <w:ilvl w:val="2"/>
          <w:numId w:val="1"/>
        </w:numPr>
        <w:tabs>
          <w:tab w:pos="2935" w:val="left" w:leader="none"/>
        </w:tabs>
        <w:spacing w:line="264" w:lineRule="exact" w:before="0" w:after="0"/>
        <w:ind w:left="2934" w:right="0" w:hanging="421"/>
        <w:jc w:val="left"/>
        <w:rPr>
          <w:sz w:val="21"/>
        </w:rPr>
      </w:pPr>
      <w:r>
        <w:rPr>
          <w:spacing w:val="-4"/>
          <w:sz w:val="21"/>
        </w:rPr>
        <w:t>投保范围</w:t>
      </w:r>
    </w:p>
    <w:p>
      <w:pPr>
        <w:pStyle w:val="BodyText"/>
        <w:spacing w:before="5"/>
        <w:rPr>
          <w:sz w:val="14"/>
        </w:rPr>
      </w:pPr>
    </w:p>
    <w:p>
      <w:pPr>
        <w:pStyle w:val="Heading3"/>
        <w:numPr>
          <w:ilvl w:val="1"/>
          <w:numId w:val="1"/>
        </w:numPr>
        <w:tabs>
          <w:tab w:pos="2622" w:val="left" w:leader="none"/>
        </w:tabs>
        <w:spacing w:line="357" w:lineRule="exact" w:before="1" w:after="0"/>
        <w:ind w:left="2621" w:right="0" w:hanging="213"/>
        <w:jc w:val="left"/>
      </w:pPr>
      <w:r>
        <w:rPr>
          <w:spacing w:val="-2"/>
        </w:rPr>
        <w:t>提供的保障</w:t>
      </w:r>
    </w:p>
    <w:p>
      <w:pPr>
        <w:pStyle w:val="ListParagraph"/>
        <w:numPr>
          <w:ilvl w:val="2"/>
          <w:numId w:val="1"/>
        </w:numPr>
        <w:tabs>
          <w:tab w:pos="2935" w:val="left" w:leader="none"/>
        </w:tabs>
        <w:spacing w:line="239" w:lineRule="exact" w:before="0" w:after="0"/>
        <w:ind w:left="2934" w:right="0" w:hanging="421"/>
        <w:jc w:val="left"/>
        <w:rPr>
          <w:sz w:val="21"/>
        </w:rPr>
      </w:pPr>
      <w:r>
        <w:rPr/>
        <w:pict>
          <v:shape style="position:absolute;margin-left:165.240005pt;margin-top:12.866954pt;width:309.75pt;height:170.6pt;mso-position-horizontal-relative:page;mso-position-vertical-relative:paragraph;z-index:15729664" type="#_x0000_t202" id="docshape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8"/>
                    <w:gridCol w:w="2629"/>
                    <w:gridCol w:w="690"/>
                    <w:gridCol w:w="2435"/>
                  </w:tblGrid>
                  <w:tr>
                    <w:trPr>
                      <w:trHeight w:val="236" w:hRule="atLeast"/>
                    </w:trPr>
                    <w:tc>
                      <w:tcPr>
                        <w:tcW w:w="438" w:type="dxa"/>
                      </w:tcPr>
                      <w:p>
                        <w:pPr>
                          <w:pStyle w:val="TableParagraph"/>
                          <w:spacing w:line="216" w:lineRule="exact"/>
                          <w:ind w:left="58" w:right="40"/>
                          <w:jc w:val="center"/>
                          <w:rPr>
                            <w:sz w:val="21"/>
                          </w:rPr>
                        </w:pPr>
                        <w:r>
                          <w:rPr>
                            <w:spacing w:val="-5"/>
                            <w:sz w:val="21"/>
                          </w:rPr>
                          <w:t>2.2</w:t>
                        </w:r>
                      </w:p>
                    </w:tc>
                    <w:tc>
                      <w:tcPr>
                        <w:tcW w:w="2629" w:type="dxa"/>
                      </w:tcPr>
                      <w:p>
                        <w:pPr>
                          <w:pStyle w:val="TableParagraph"/>
                          <w:spacing w:line="216" w:lineRule="exact"/>
                          <w:ind w:left="51"/>
                          <w:rPr>
                            <w:sz w:val="21"/>
                          </w:rPr>
                        </w:pPr>
                        <w:r>
                          <w:rPr>
                            <w:spacing w:val="-4"/>
                            <w:sz w:val="21"/>
                          </w:rPr>
                          <w:t>保险期间</w:t>
                        </w:r>
                      </w:p>
                    </w:tc>
                    <w:tc>
                      <w:tcPr>
                        <w:tcW w:w="690" w:type="dxa"/>
                      </w:tcPr>
                      <w:p>
                        <w:pPr>
                          <w:pStyle w:val="TableParagraph"/>
                          <w:spacing w:line="216" w:lineRule="exact"/>
                          <w:ind w:right="49"/>
                          <w:jc w:val="right"/>
                          <w:rPr>
                            <w:sz w:val="21"/>
                          </w:rPr>
                        </w:pPr>
                        <w:r>
                          <w:rPr>
                            <w:spacing w:val="-5"/>
                            <w:sz w:val="21"/>
                          </w:rPr>
                          <w:t>6.1</w:t>
                        </w:r>
                      </w:p>
                    </w:tc>
                    <w:tc>
                      <w:tcPr>
                        <w:tcW w:w="2435" w:type="dxa"/>
                      </w:tcPr>
                      <w:p>
                        <w:pPr>
                          <w:pStyle w:val="TableParagraph"/>
                          <w:spacing w:line="216" w:lineRule="exact"/>
                          <w:ind w:left="53"/>
                          <w:rPr>
                            <w:sz w:val="21"/>
                          </w:rPr>
                        </w:pPr>
                        <w:r>
                          <w:rPr>
                            <w:spacing w:val="-3"/>
                            <w:sz w:val="21"/>
                          </w:rPr>
                          <w:t>明确说明与如实告知</w:t>
                        </w:r>
                      </w:p>
                    </w:tc>
                  </w:tr>
                  <w:tr>
                    <w:trPr>
                      <w:trHeight w:val="260" w:hRule="atLeast"/>
                    </w:trPr>
                    <w:tc>
                      <w:tcPr>
                        <w:tcW w:w="438" w:type="dxa"/>
                      </w:tcPr>
                      <w:p>
                        <w:pPr>
                          <w:pStyle w:val="TableParagraph"/>
                          <w:ind w:left="58" w:right="40"/>
                          <w:jc w:val="center"/>
                          <w:rPr>
                            <w:sz w:val="21"/>
                          </w:rPr>
                        </w:pPr>
                        <w:r>
                          <w:rPr>
                            <w:spacing w:val="-5"/>
                            <w:sz w:val="21"/>
                          </w:rPr>
                          <w:t>2.3</w:t>
                        </w:r>
                      </w:p>
                    </w:tc>
                    <w:tc>
                      <w:tcPr>
                        <w:tcW w:w="2629" w:type="dxa"/>
                      </w:tcPr>
                      <w:p>
                        <w:pPr>
                          <w:pStyle w:val="TableParagraph"/>
                          <w:ind w:left="51"/>
                          <w:rPr>
                            <w:sz w:val="21"/>
                          </w:rPr>
                        </w:pPr>
                        <w:r>
                          <w:rPr>
                            <w:spacing w:val="-4"/>
                            <w:sz w:val="21"/>
                          </w:rPr>
                          <w:t>保险责任</w:t>
                        </w:r>
                      </w:p>
                    </w:tc>
                    <w:tc>
                      <w:tcPr>
                        <w:tcW w:w="690" w:type="dxa"/>
                      </w:tcPr>
                      <w:p>
                        <w:pPr>
                          <w:pStyle w:val="TableParagraph"/>
                          <w:ind w:right="49"/>
                          <w:jc w:val="right"/>
                          <w:rPr>
                            <w:sz w:val="21"/>
                          </w:rPr>
                        </w:pPr>
                        <w:r>
                          <w:rPr>
                            <w:spacing w:val="-5"/>
                            <w:sz w:val="21"/>
                          </w:rPr>
                          <w:t>6.2</w:t>
                        </w:r>
                      </w:p>
                    </w:tc>
                    <w:tc>
                      <w:tcPr>
                        <w:tcW w:w="2435" w:type="dxa"/>
                      </w:tcPr>
                      <w:p>
                        <w:pPr>
                          <w:pStyle w:val="TableParagraph"/>
                          <w:ind w:left="53"/>
                          <w:rPr>
                            <w:sz w:val="21"/>
                          </w:rPr>
                        </w:pPr>
                        <w:r>
                          <w:rPr>
                            <w:spacing w:val="-3"/>
                            <w:sz w:val="21"/>
                          </w:rPr>
                          <w:t>本公司合同解除权的限制</w:t>
                        </w:r>
                      </w:p>
                    </w:tc>
                  </w:tr>
                  <w:tr>
                    <w:trPr>
                      <w:trHeight w:val="259" w:hRule="atLeast"/>
                    </w:trPr>
                    <w:tc>
                      <w:tcPr>
                        <w:tcW w:w="438" w:type="dxa"/>
                      </w:tcPr>
                      <w:p>
                        <w:pPr>
                          <w:pStyle w:val="TableParagraph"/>
                          <w:spacing w:line="239" w:lineRule="exact"/>
                          <w:ind w:left="58" w:right="40"/>
                          <w:jc w:val="center"/>
                          <w:rPr>
                            <w:sz w:val="21"/>
                          </w:rPr>
                        </w:pPr>
                        <w:r>
                          <w:rPr>
                            <w:spacing w:val="-5"/>
                            <w:sz w:val="21"/>
                          </w:rPr>
                          <w:t>2.4</w:t>
                        </w:r>
                      </w:p>
                    </w:tc>
                    <w:tc>
                      <w:tcPr>
                        <w:tcW w:w="2629" w:type="dxa"/>
                      </w:tcPr>
                      <w:p>
                        <w:pPr>
                          <w:pStyle w:val="TableParagraph"/>
                          <w:spacing w:line="239" w:lineRule="exact"/>
                          <w:ind w:left="51"/>
                          <w:rPr>
                            <w:sz w:val="21"/>
                          </w:rPr>
                        </w:pPr>
                        <w:r>
                          <w:rPr>
                            <w:spacing w:val="-4"/>
                            <w:sz w:val="21"/>
                          </w:rPr>
                          <w:t>责任免除</w:t>
                        </w:r>
                      </w:p>
                    </w:tc>
                    <w:tc>
                      <w:tcPr>
                        <w:tcW w:w="690" w:type="dxa"/>
                      </w:tcPr>
                      <w:p>
                        <w:pPr>
                          <w:pStyle w:val="TableParagraph"/>
                          <w:spacing w:line="239" w:lineRule="exact"/>
                          <w:ind w:right="49"/>
                          <w:jc w:val="right"/>
                          <w:rPr>
                            <w:sz w:val="21"/>
                          </w:rPr>
                        </w:pPr>
                        <w:r>
                          <w:rPr>
                            <w:spacing w:val="-5"/>
                            <w:sz w:val="21"/>
                          </w:rPr>
                          <w:t>6.3</w:t>
                        </w:r>
                      </w:p>
                    </w:tc>
                    <w:tc>
                      <w:tcPr>
                        <w:tcW w:w="2435" w:type="dxa"/>
                      </w:tcPr>
                      <w:p>
                        <w:pPr>
                          <w:pStyle w:val="TableParagraph"/>
                          <w:spacing w:line="239" w:lineRule="exact"/>
                          <w:ind w:left="53"/>
                          <w:rPr>
                            <w:sz w:val="21"/>
                          </w:rPr>
                        </w:pPr>
                        <w:r>
                          <w:rPr>
                            <w:spacing w:val="-4"/>
                            <w:sz w:val="21"/>
                          </w:rPr>
                          <w:t>年龄错误</w:t>
                        </w:r>
                      </w:p>
                    </w:tc>
                  </w:tr>
                  <w:tr>
                    <w:trPr>
                      <w:trHeight w:val="544" w:hRule="atLeast"/>
                    </w:trPr>
                    <w:tc>
                      <w:tcPr>
                        <w:tcW w:w="3067" w:type="dxa"/>
                        <w:gridSpan w:val="2"/>
                      </w:tcPr>
                      <w:p>
                        <w:pPr>
                          <w:pStyle w:val="TableParagraph"/>
                          <w:spacing w:line="240" w:lineRule="auto" w:before="5"/>
                          <w:rPr>
                            <w:rFonts w:ascii="微软雅黑"/>
                            <w:b/>
                            <w:sz w:val="10"/>
                          </w:rPr>
                        </w:pPr>
                      </w:p>
                      <w:p>
                        <w:pPr>
                          <w:pStyle w:val="TableParagraph"/>
                          <w:spacing w:line="335" w:lineRule="exact"/>
                          <w:ind w:left="-36"/>
                          <w:rPr>
                            <w:rFonts w:ascii="微软雅黑" w:eastAsia="微软雅黑"/>
                            <w:b/>
                            <w:sz w:val="21"/>
                          </w:rPr>
                        </w:pPr>
                        <w:r>
                          <w:rPr>
                            <w:rFonts w:ascii="微软雅黑" w:eastAsia="微软雅黑"/>
                            <w:b/>
                            <w:w w:val="57"/>
                            <w:sz w:val="21"/>
                          </w:rPr>
                          <w:t>3</w:t>
                        </w:r>
                        <w:r>
                          <w:rPr>
                            <w:rFonts w:ascii="微软雅黑" w:eastAsia="微软雅黑"/>
                            <w:b/>
                            <w:w w:val="152"/>
                            <w:sz w:val="21"/>
                          </w:rPr>
                          <w:t>.</w:t>
                        </w:r>
                        <w:r>
                          <w:rPr>
                            <w:rFonts w:ascii="微软雅黑" w:eastAsia="微软雅黑"/>
                            <w:b/>
                            <w:w w:val="105"/>
                            <w:sz w:val="21"/>
                          </w:rPr>
                          <w:t>保</w:t>
                        </w:r>
                        <w:r>
                          <w:rPr>
                            <w:rFonts w:ascii="微软雅黑" w:eastAsia="微软雅黑"/>
                            <w:b/>
                            <w:w w:val="105"/>
                            <w:sz w:val="21"/>
                          </w:rPr>
                          <w:t>险</w:t>
                        </w:r>
                        <w:r>
                          <w:rPr>
                            <w:rFonts w:ascii="微软雅黑" w:eastAsia="微软雅黑"/>
                            <w:b/>
                            <w:w w:val="105"/>
                            <w:sz w:val="21"/>
                          </w:rPr>
                          <w:t>金</w:t>
                        </w:r>
                        <w:r>
                          <w:rPr>
                            <w:rFonts w:ascii="微软雅黑" w:eastAsia="微软雅黑"/>
                            <w:b/>
                            <w:w w:val="105"/>
                            <w:sz w:val="21"/>
                          </w:rPr>
                          <w:t>申</w:t>
                        </w:r>
                        <w:r>
                          <w:rPr>
                            <w:rFonts w:ascii="微软雅黑" w:eastAsia="微软雅黑"/>
                            <w:b/>
                            <w:spacing w:val="-10"/>
                            <w:w w:val="105"/>
                            <w:sz w:val="21"/>
                          </w:rPr>
                          <w:t>领</w:t>
                        </w:r>
                      </w:p>
                    </w:tc>
                    <w:tc>
                      <w:tcPr>
                        <w:tcW w:w="690" w:type="dxa"/>
                      </w:tcPr>
                      <w:p>
                        <w:pPr>
                          <w:pStyle w:val="TableParagraph"/>
                          <w:spacing w:line="261" w:lineRule="exact"/>
                          <w:ind w:left="323"/>
                          <w:rPr>
                            <w:sz w:val="21"/>
                          </w:rPr>
                        </w:pPr>
                        <w:r>
                          <w:rPr>
                            <w:spacing w:val="-5"/>
                            <w:sz w:val="21"/>
                          </w:rPr>
                          <w:t>6.4</w:t>
                        </w:r>
                      </w:p>
                      <w:p>
                        <w:pPr>
                          <w:pStyle w:val="TableParagraph"/>
                          <w:spacing w:line="264" w:lineRule="exact"/>
                          <w:ind w:left="323"/>
                          <w:rPr>
                            <w:sz w:val="21"/>
                          </w:rPr>
                        </w:pPr>
                        <w:r>
                          <w:rPr>
                            <w:spacing w:val="-5"/>
                            <w:sz w:val="21"/>
                          </w:rPr>
                          <w:t>6.5</w:t>
                        </w:r>
                      </w:p>
                    </w:tc>
                    <w:tc>
                      <w:tcPr>
                        <w:tcW w:w="2435" w:type="dxa"/>
                      </w:tcPr>
                      <w:p>
                        <w:pPr>
                          <w:pStyle w:val="TableParagraph"/>
                          <w:spacing w:line="232" w:lineRule="auto" w:before="2"/>
                          <w:ind w:left="53" w:right="1117"/>
                          <w:rPr>
                            <w:sz w:val="21"/>
                          </w:rPr>
                        </w:pPr>
                        <w:r>
                          <w:rPr>
                            <w:spacing w:val="-2"/>
                            <w:sz w:val="21"/>
                          </w:rPr>
                          <w:t>被保险人变动</w:t>
                        </w:r>
                        <w:r>
                          <w:rPr>
                            <w:spacing w:val="-4"/>
                            <w:sz w:val="21"/>
                          </w:rPr>
                          <w:t>未还款项</w:t>
                        </w:r>
                      </w:p>
                    </w:tc>
                  </w:tr>
                  <w:tr>
                    <w:trPr>
                      <w:trHeight w:val="235" w:hRule="atLeast"/>
                    </w:trPr>
                    <w:tc>
                      <w:tcPr>
                        <w:tcW w:w="438" w:type="dxa"/>
                      </w:tcPr>
                      <w:p>
                        <w:pPr>
                          <w:pStyle w:val="TableParagraph"/>
                          <w:spacing w:line="216" w:lineRule="exact"/>
                          <w:ind w:left="58" w:right="40"/>
                          <w:jc w:val="center"/>
                          <w:rPr>
                            <w:sz w:val="21"/>
                          </w:rPr>
                        </w:pPr>
                        <w:r>
                          <w:rPr>
                            <w:spacing w:val="-5"/>
                            <w:sz w:val="21"/>
                          </w:rPr>
                          <w:t>3.1</w:t>
                        </w:r>
                      </w:p>
                    </w:tc>
                    <w:tc>
                      <w:tcPr>
                        <w:tcW w:w="2629" w:type="dxa"/>
                      </w:tcPr>
                      <w:p>
                        <w:pPr>
                          <w:pStyle w:val="TableParagraph"/>
                          <w:spacing w:line="216" w:lineRule="exact"/>
                          <w:ind w:left="51"/>
                          <w:rPr>
                            <w:sz w:val="21"/>
                          </w:rPr>
                        </w:pPr>
                        <w:r>
                          <w:rPr>
                            <w:spacing w:val="-5"/>
                            <w:sz w:val="21"/>
                          </w:rPr>
                          <w:t>受益人</w:t>
                        </w:r>
                      </w:p>
                    </w:tc>
                    <w:tc>
                      <w:tcPr>
                        <w:tcW w:w="690" w:type="dxa"/>
                      </w:tcPr>
                      <w:p>
                        <w:pPr>
                          <w:pStyle w:val="TableParagraph"/>
                          <w:spacing w:line="216" w:lineRule="exact"/>
                          <w:ind w:right="49"/>
                          <w:jc w:val="right"/>
                          <w:rPr>
                            <w:sz w:val="21"/>
                          </w:rPr>
                        </w:pPr>
                        <w:r>
                          <w:rPr>
                            <w:spacing w:val="-5"/>
                            <w:sz w:val="21"/>
                          </w:rPr>
                          <w:t>6.6</w:t>
                        </w:r>
                      </w:p>
                    </w:tc>
                    <w:tc>
                      <w:tcPr>
                        <w:tcW w:w="2435" w:type="dxa"/>
                      </w:tcPr>
                      <w:p>
                        <w:pPr>
                          <w:pStyle w:val="TableParagraph"/>
                          <w:spacing w:line="216" w:lineRule="exact"/>
                          <w:ind w:left="53"/>
                          <w:rPr>
                            <w:sz w:val="21"/>
                          </w:rPr>
                        </w:pPr>
                        <w:r>
                          <w:rPr>
                            <w:spacing w:val="-4"/>
                            <w:sz w:val="21"/>
                          </w:rPr>
                          <w:t>合同内容变更</w:t>
                        </w:r>
                      </w:p>
                    </w:tc>
                  </w:tr>
                  <w:tr>
                    <w:trPr>
                      <w:trHeight w:val="260" w:hRule="atLeast"/>
                    </w:trPr>
                    <w:tc>
                      <w:tcPr>
                        <w:tcW w:w="438" w:type="dxa"/>
                      </w:tcPr>
                      <w:p>
                        <w:pPr>
                          <w:pStyle w:val="TableParagraph"/>
                          <w:spacing w:line="241" w:lineRule="exact"/>
                          <w:ind w:left="58" w:right="40"/>
                          <w:jc w:val="center"/>
                          <w:rPr>
                            <w:sz w:val="21"/>
                          </w:rPr>
                        </w:pPr>
                        <w:r>
                          <w:rPr>
                            <w:spacing w:val="-5"/>
                            <w:sz w:val="21"/>
                          </w:rPr>
                          <w:t>3.2</w:t>
                        </w:r>
                      </w:p>
                    </w:tc>
                    <w:tc>
                      <w:tcPr>
                        <w:tcW w:w="2629" w:type="dxa"/>
                      </w:tcPr>
                      <w:p>
                        <w:pPr>
                          <w:pStyle w:val="TableParagraph"/>
                          <w:spacing w:line="241" w:lineRule="exact"/>
                          <w:ind w:left="51"/>
                          <w:rPr>
                            <w:sz w:val="21"/>
                          </w:rPr>
                        </w:pPr>
                        <w:r>
                          <w:rPr>
                            <w:spacing w:val="-4"/>
                            <w:sz w:val="21"/>
                          </w:rPr>
                          <w:t>保险事故通知</w:t>
                        </w:r>
                      </w:p>
                    </w:tc>
                    <w:tc>
                      <w:tcPr>
                        <w:tcW w:w="690" w:type="dxa"/>
                      </w:tcPr>
                      <w:p>
                        <w:pPr>
                          <w:pStyle w:val="TableParagraph"/>
                          <w:spacing w:line="241" w:lineRule="exact"/>
                          <w:ind w:right="49"/>
                          <w:jc w:val="right"/>
                          <w:rPr>
                            <w:sz w:val="21"/>
                          </w:rPr>
                        </w:pPr>
                        <w:r>
                          <w:rPr>
                            <w:spacing w:val="-5"/>
                            <w:sz w:val="21"/>
                          </w:rPr>
                          <w:t>6.7</w:t>
                        </w:r>
                      </w:p>
                    </w:tc>
                    <w:tc>
                      <w:tcPr>
                        <w:tcW w:w="2435" w:type="dxa"/>
                      </w:tcPr>
                      <w:p>
                        <w:pPr>
                          <w:pStyle w:val="TableParagraph"/>
                          <w:spacing w:line="241" w:lineRule="exact"/>
                          <w:ind w:left="53"/>
                          <w:rPr>
                            <w:sz w:val="21"/>
                          </w:rPr>
                        </w:pPr>
                        <w:r>
                          <w:rPr>
                            <w:spacing w:val="-4"/>
                            <w:sz w:val="21"/>
                          </w:rPr>
                          <w:t>联系方式变更</w:t>
                        </w:r>
                      </w:p>
                    </w:tc>
                  </w:tr>
                  <w:tr>
                    <w:trPr>
                      <w:trHeight w:val="260" w:hRule="atLeast"/>
                    </w:trPr>
                    <w:tc>
                      <w:tcPr>
                        <w:tcW w:w="438" w:type="dxa"/>
                      </w:tcPr>
                      <w:p>
                        <w:pPr>
                          <w:pStyle w:val="TableParagraph"/>
                          <w:ind w:left="58" w:right="40"/>
                          <w:jc w:val="center"/>
                          <w:rPr>
                            <w:sz w:val="21"/>
                          </w:rPr>
                        </w:pPr>
                        <w:r>
                          <w:rPr>
                            <w:spacing w:val="-5"/>
                            <w:sz w:val="21"/>
                          </w:rPr>
                          <w:t>3.3</w:t>
                        </w:r>
                      </w:p>
                    </w:tc>
                    <w:tc>
                      <w:tcPr>
                        <w:tcW w:w="2629" w:type="dxa"/>
                      </w:tcPr>
                      <w:p>
                        <w:pPr>
                          <w:pStyle w:val="TableParagraph"/>
                          <w:ind w:left="51"/>
                          <w:rPr>
                            <w:sz w:val="21"/>
                          </w:rPr>
                        </w:pPr>
                        <w:r>
                          <w:rPr>
                            <w:spacing w:val="-4"/>
                            <w:sz w:val="21"/>
                          </w:rPr>
                          <w:t>保险金申请</w:t>
                        </w:r>
                      </w:p>
                    </w:tc>
                    <w:tc>
                      <w:tcPr>
                        <w:tcW w:w="690" w:type="dxa"/>
                      </w:tcPr>
                      <w:p>
                        <w:pPr>
                          <w:pStyle w:val="TableParagraph"/>
                          <w:ind w:right="49"/>
                          <w:jc w:val="right"/>
                          <w:rPr>
                            <w:sz w:val="21"/>
                          </w:rPr>
                        </w:pPr>
                        <w:r>
                          <w:rPr>
                            <w:spacing w:val="-5"/>
                            <w:sz w:val="21"/>
                          </w:rPr>
                          <w:t>6.8</w:t>
                        </w:r>
                      </w:p>
                    </w:tc>
                    <w:tc>
                      <w:tcPr>
                        <w:tcW w:w="2435" w:type="dxa"/>
                      </w:tcPr>
                      <w:p>
                        <w:pPr>
                          <w:pStyle w:val="TableParagraph"/>
                          <w:ind w:left="53"/>
                          <w:rPr>
                            <w:sz w:val="21"/>
                          </w:rPr>
                        </w:pPr>
                        <w:r>
                          <w:rPr>
                            <w:spacing w:val="-4"/>
                            <w:sz w:val="21"/>
                          </w:rPr>
                          <w:t>争议处理</w:t>
                        </w:r>
                      </w:p>
                    </w:tc>
                  </w:tr>
                  <w:tr>
                    <w:trPr>
                      <w:trHeight w:val="259" w:hRule="atLeast"/>
                    </w:trPr>
                    <w:tc>
                      <w:tcPr>
                        <w:tcW w:w="438" w:type="dxa"/>
                      </w:tcPr>
                      <w:p>
                        <w:pPr>
                          <w:pStyle w:val="TableParagraph"/>
                          <w:spacing w:line="239" w:lineRule="exact"/>
                          <w:ind w:left="58" w:right="40"/>
                          <w:jc w:val="center"/>
                          <w:rPr>
                            <w:sz w:val="21"/>
                          </w:rPr>
                        </w:pPr>
                        <w:r>
                          <w:rPr>
                            <w:spacing w:val="-5"/>
                            <w:sz w:val="21"/>
                          </w:rPr>
                          <w:t>3.4</w:t>
                        </w:r>
                      </w:p>
                    </w:tc>
                    <w:tc>
                      <w:tcPr>
                        <w:tcW w:w="2629" w:type="dxa"/>
                      </w:tcPr>
                      <w:p>
                        <w:pPr>
                          <w:pStyle w:val="TableParagraph"/>
                          <w:spacing w:line="239" w:lineRule="exact"/>
                          <w:ind w:left="51"/>
                          <w:rPr>
                            <w:sz w:val="21"/>
                          </w:rPr>
                        </w:pPr>
                        <w:r>
                          <w:rPr>
                            <w:spacing w:val="-4"/>
                            <w:sz w:val="21"/>
                          </w:rPr>
                          <w:t>代理申请及其他</w:t>
                        </w:r>
                      </w:p>
                    </w:tc>
                    <w:tc>
                      <w:tcPr>
                        <w:tcW w:w="690" w:type="dxa"/>
                      </w:tcPr>
                      <w:p>
                        <w:pPr>
                          <w:pStyle w:val="TableParagraph"/>
                          <w:spacing w:line="240" w:lineRule="auto"/>
                          <w:rPr>
                            <w:rFonts w:ascii="Times New Roman"/>
                            <w:sz w:val="18"/>
                          </w:rPr>
                        </w:pPr>
                      </w:p>
                    </w:tc>
                    <w:tc>
                      <w:tcPr>
                        <w:tcW w:w="2435" w:type="dxa"/>
                      </w:tcPr>
                      <w:p>
                        <w:pPr>
                          <w:pStyle w:val="TableParagraph"/>
                          <w:spacing w:line="240" w:lineRule="auto"/>
                          <w:rPr>
                            <w:rFonts w:ascii="Times New Roman"/>
                            <w:sz w:val="18"/>
                          </w:rPr>
                        </w:pPr>
                      </w:p>
                    </w:tc>
                  </w:tr>
                  <w:tr>
                    <w:trPr>
                      <w:trHeight w:val="260" w:hRule="atLeast"/>
                    </w:trPr>
                    <w:tc>
                      <w:tcPr>
                        <w:tcW w:w="438" w:type="dxa"/>
                      </w:tcPr>
                      <w:p>
                        <w:pPr>
                          <w:pStyle w:val="TableParagraph"/>
                          <w:ind w:left="58" w:right="40"/>
                          <w:jc w:val="center"/>
                          <w:rPr>
                            <w:sz w:val="21"/>
                          </w:rPr>
                        </w:pPr>
                        <w:r>
                          <w:rPr>
                            <w:spacing w:val="-5"/>
                            <w:sz w:val="21"/>
                          </w:rPr>
                          <w:t>3.5</w:t>
                        </w:r>
                      </w:p>
                    </w:tc>
                    <w:tc>
                      <w:tcPr>
                        <w:tcW w:w="2629" w:type="dxa"/>
                      </w:tcPr>
                      <w:p>
                        <w:pPr>
                          <w:pStyle w:val="TableParagraph"/>
                          <w:ind w:left="51"/>
                          <w:rPr>
                            <w:sz w:val="21"/>
                          </w:rPr>
                        </w:pPr>
                        <w:r>
                          <w:rPr>
                            <w:spacing w:val="-4"/>
                            <w:sz w:val="21"/>
                          </w:rPr>
                          <w:t>配合调查</w:t>
                        </w:r>
                      </w:p>
                    </w:tc>
                    <w:tc>
                      <w:tcPr>
                        <w:tcW w:w="690" w:type="dxa"/>
                      </w:tcPr>
                      <w:p>
                        <w:pPr>
                          <w:pStyle w:val="TableParagraph"/>
                          <w:ind w:right="48"/>
                          <w:jc w:val="right"/>
                          <w:rPr>
                            <w:rFonts w:ascii="微软雅黑" w:eastAsia="微软雅黑"/>
                            <w:b/>
                            <w:sz w:val="21"/>
                          </w:rPr>
                        </w:pPr>
                        <w:r>
                          <w:rPr>
                            <w:rFonts w:ascii="微软雅黑" w:eastAsia="微软雅黑"/>
                            <w:b/>
                            <w:spacing w:val="-5"/>
                            <w:sz w:val="21"/>
                          </w:rPr>
                          <w:t>附表</w:t>
                        </w:r>
                      </w:p>
                    </w:tc>
                    <w:tc>
                      <w:tcPr>
                        <w:tcW w:w="2435" w:type="dxa"/>
                      </w:tcPr>
                      <w:p>
                        <w:pPr>
                          <w:pStyle w:val="TableParagraph"/>
                          <w:ind w:left="55"/>
                          <w:rPr>
                            <w:sz w:val="21"/>
                          </w:rPr>
                        </w:pPr>
                        <w:r>
                          <w:rPr>
                            <w:spacing w:val="-3"/>
                            <w:sz w:val="21"/>
                          </w:rPr>
                          <w:t>重大疾病病种名称及定义</w:t>
                        </w:r>
                      </w:p>
                    </w:tc>
                  </w:tr>
                  <w:tr>
                    <w:trPr>
                      <w:trHeight w:val="260" w:hRule="atLeast"/>
                    </w:trPr>
                    <w:tc>
                      <w:tcPr>
                        <w:tcW w:w="438" w:type="dxa"/>
                      </w:tcPr>
                      <w:p>
                        <w:pPr>
                          <w:pStyle w:val="TableParagraph"/>
                          <w:ind w:left="58" w:right="40"/>
                          <w:jc w:val="center"/>
                          <w:rPr>
                            <w:sz w:val="21"/>
                          </w:rPr>
                        </w:pPr>
                        <w:r>
                          <w:rPr>
                            <w:spacing w:val="-5"/>
                            <w:sz w:val="21"/>
                          </w:rPr>
                          <w:t>3.6</w:t>
                        </w:r>
                      </w:p>
                    </w:tc>
                    <w:tc>
                      <w:tcPr>
                        <w:tcW w:w="2629" w:type="dxa"/>
                      </w:tcPr>
                      <w:p>
                        <w:pPr>
                          <w:pStyle w:val="TableParagraph"/>
                          <w:ind w:left="54"/>
                          <w:rPr>
                            <w:sz w:val="21"/>
                          </w:rPr>
                        </w:pPr>
                        <w:r>
                          <w:rPr>
                            <w:spacing w:val="-4"/>
                            <w:sz w:val="21"/>
                          </w:rPr>
                          <w:t>保险金的给付</w:t>
                        </w:r>
                      </w:p>
                    </w:tc>
                    <w:tc>
                      <w:tcPr>
                        <w:tcW w:w="690" w:type="dxa"/>
                      </w:tcPr>
                      <w:p>
                        <w:pPr>
                          <w:pStyle w:val="TableParagraph"/>
                          <w:spacing w:line="240" w:lineRule="auto"/>
                          <w:rPr>
                            <w:rFonts w:ascii="Times New Roman"/>
                            <w:sz w:val="18"/>
                          </w:rPr>
                        </w:pPr>
                      </w:p>
                    </w:tc>
                    <w:tc>
                      <w:tcPr>
                        <w:tcW w:w="2435" w:type="dxa"/>
                      </w:tcPr>
                      <w:p>
                        <w:pPr>
                          <w:pStyle w:val="TableParagraph"/>
                          <w:spacing w:line="240" w:lineRule="auto"/>
                          <w:rPr>
                            <w:rFonts w:ascii="Times New Roman"/>
                            <w:sz w:val="18"/>
                          </w:rPr>
                        </w:pPr>
                      </w:p>
                    </w:tc>
                  </w:tr>
                  <w:tr>
                    <w:trPr>
                      <w:trHeight w:val="579" w:hRule="atLeast"/>
                    </w:trPr>
                    <w:tc>
                      <w:tcPr>
                        <w:tcW w:w="438" w:type="dxa"/>
                      </w:tcPr>
                      <w:p>
                        <w:pPr>
                          <w:pStyle w:val="TableParagraph"/>
                          <w:spacing w:line="265" w:lineRule="exact"/>
                          <w:ind w:left="58" w:right="40"/>
                          <w:jc w:val="center"/>
                          <w:rPr>
                            <w:sz w:val="21"/>
                          </w:rPr>
                        </w:pPr>
                        <w:r>
                          <w:rPr>
                            <w:spacing w:val="-5"/>
                            <w:sz w:val="21"/>
                          </w:rPr>
                          <w:t>3.7</w:t>
                        </w:r>
                      </w:p>
                    </w:tc>
                    <w:tc>
                      <w:tcPr>
                        <w:tcW w:w="2629" w:type="dxa"/>
                      </w:tcPr>
                      <w:p>
                        <w:pPr>
                          <w:pStyle w:val="TableParagraph"/>
                          <w:spacing w:line="265" w:lineRule="exact"/>
                          <w:ind w:left="54"/>
                          <w:rPr>
                            <w:sz w:val="21"/>
                          </w:rPr>
                        </w:pPr>
                        <w:r>
                          <w:rPr>
                            <w:spacing w:val="-4"/>
                            <w:sz w:val="21"/>
                          </w:rPr>
                          <w:t>诉讼时效</w:t>
                        </w:r>
                      </w:p>
                    </w:tc>
                    <w:tc>
                      <w:tcPr>
                        <w:tcW w:w="690" w:type="dxa"/>
                      </w:tcPr>
                      <w:p>
                        <w:pPr>
                          <w:pStyle w:val="TableParagraph"/>
                          <w:spacing w:line="240" w:lineRule="auto"/>
                          <w:rPr>
                            <w:rFonts w:ascii="Times New Roman"/>
                            <w:sz w:val="20"/>
                          </w:rPr>
                        </w:pPr>
                      </w:p>
                    </w:tc>
                    <w:tc>
                      <w:tcPr>
                        <w:tcW w:w="2435" w:type="dxa"/>
                      </w:tcPr>
                      <w:p>
                        <w:pPr>
                          <w:pStyle w:val="TableParagraph"/>
                          <w:spacing w:line="240" w:lineRule="auto"/>
                          <w:rPr>
                            <w:rFonts w:ascii="Times New Roman"/>
                            <w:sz w:val="20"/>
                          </w:rPr>
                        </w:pPr>
                      </w:p>
                    </w:tc>
                  </w:tr>
                </w:tbl>
                <w:p>
                  <w:pPr>
                    <w:pStyle w:val="BodyText"/>
                  </w:pPr>
                </w:p>
              </w:txbxContent>
            </v:textbox>
            <w10:wrap type="none"/>
          </v:shape>
        </w:pict>
      </w:r>
      <w:r>
        <w:rPr>
          <w:spacing w:val="-4"/>
          <w:sz w:val="21"/>
        </w:rPr>
        <w:t>公共保险金额</w:t>
      </w:r>
    </w:p>
    <w:p>
      <w:pPr>
        <w:pStyle w:val="Heading3"/>
        <w:numPr>
          <w:ilvl w:val="0"/>
          <w:numId w:val="2"/>
        </w:numPr>
        <w:tabs>
          <w:tab w:pos="1495" w:val="left" w:leader="none"/>
        </w:tabs>
        <w:spacing w:line="357" w:lineRule="exact" w:before="4" w:after="0"/>
        <w:ind w:left="1494" w:right="0" w:hanging="213"/>
        <w:jc w:val="left"/>
      </w:pPr>
      <w:r>
        <w:rPr/>
        <w:br w:type="column"/>
      </w:r>
      <w:r>
        <w:rPr>
          <w:spacing w:val="-2"/>
        </w:rPr>
        <w:t>保险费交纳</w:t>
      </w:r>
    </w:p>
    <w:p>
      <w:pPr>
        <w:pStyle w:val="ListParagraph"/>
        <w:numPr>
          <w:ilvl w:val="1"/>
          <w:numId w:val="2"/>
        </w:numPr>
        <w:tabs>
          <w:tab w:pos="1812" w:val="left" w:leader="none"/>
        </w:tabs>
        <w:spacing w:line="239" w:lineRule="exact" w:before="0" w:after="0"/>
        <w:ind w:left="1811" w:right="0" w:hanging="424"/>
        <w:jc w:val="left"/>
        <w:rPr>
          <w:sz w:val="21"/>
        </w:rPr>
      </w:pPr>
      <w:r>
        <w:rPr>
          <w:spacing w:val="-4"/>
          <w:sz w:val="21"/>
        </w:rPr>
        <w:t>保险费的交纳</w:t>
      </w:r>
    </w:p>
    <w:p>
      <w:pPr>
        <w:pStyle w:val="BodyText"/>
        <w:spacing w:before="5"/>
        <w:rPr>
          <w:sz w:val="14"/>
        </w:rPr>
      </w:pPr>
    </w:p>
    <w:p>
      <w:pPr>
        <w:pStyle w:val="Heading3"/>
        <w:numPr>
          <w:ilvl w:val="0"/>
          <w:numId w:val="2"/>
        </w:numPr>
        <w:tabs>
          <w:tab w:pos="1496" w:val="left" w:leader="none"/>
        </w:tabs>
        <w:spacing w:line="357" w:lineRule="exact" w:before="1" w:after="0"/>
        <w:ind w:left="1495" w:right="0" w:hanging="214"/>
        <w:jc w:val="left"/>
      </w:pPr>
      <w:r>
        <w:rPr>
          <w:spacing w:val="-3"/>
        </w:rPr>
        <w:t>合同解除</w:t>
      </w:r>
    </w:p>
    <w:p>
      <w:pPr>
        <w:pStyle w:val="ListParagraph"/>
        <w:numPr>
          <w:ilvl w:val="1"/>
          <w:numId w:val="2"/>
        </w:numPr>
        <w:tabs>
          <w:tab w:pos="1809" w:val="left" w:leader="none"/>
        </w:tabs>
        <w:spacing w:line="239" w:lineRule="exact" w:before="0" w:after="0"/>
        <w:ind w:left="1808" w:right="0" w:hanging="421"/>
        <w:jc w:val="left"/>
        <w:rPr>
          <w:sz w:val="21"/>
        </w:rPr>
      </w:pPr>
      <w:r>
        <w:rPr>
          <w:spacing w:val="-3"/>
          <w:sz w:val="21"/>
        </w:rPr>
        <w:t>解除合同的手续及风险</w:t>
      </w:r>
    </w:p>
    <w:p>
      <w:pPr>
        <w:pStyle w:val="BodyText"/>
        <w:spacing w:before="5"/>
        <w:rPr>
          <w:sz w:val="14"/>
        </w:rPr>
      </w:pPr>
    </w:p>
    <w:p>
      <w:pPr>
        <w:pStyle w:val="ListParagraph"/>
        <w:numPr>
          <w:ilvl w:val="0"/>
          <w:numId w:val="2"/>
        </w:numPr>
        <w:tabs>
          <w:tab w:pos="1496" w:val="left" w:leader="none"/>
        </w:tabs>
        <w:spacing w:line="240" w:lineRule="auto" w:before="0" w:after="0"/>
        <w:ind w:left="1495" w:right="0" w:hanging="214"/>
        <w:jc w:val="left"/>
        <w:rPr>
          <w:rFonts w:ascii="微软雅黑" w:eastAsia="微软雅黑"/>
          <w:b/>
          <w:sz w:val="21"/>
        </w:rPr>
      </w:pPr>
      <w:r>
        <w:rPr>
          <w:rFonts w:ascii="微软雅黑" w:eastAsia="微软雅黑"/>
          <w:b/>
          <w:spacing w:val="-3"/>
          <w:sz w:val="21"/>
        </w:rPr>
        <w:t>其他事项</w:t>
      </w:r>
    </w:p>
    <w:p>
      <w:pPr>
        <w:spacing w:after="0" w:line="240" w:lineRule="auto"/>
        <w:jc w:val="left"/>
        <w:rPr>
          <w:rFonts w:ascii="微软雅黑" w:eastAsia="微软雅黑"/>
          <w:sz w:val="21"/>
        </w:rPr>
        <w:sectPr>
          <w:type w:val="continuous"/>
          <w:pgSz w:w="11910" w:h="16840"/>
          <w:pgMar w:header="0" w:footer="967" w:top="480" w:bottom="1160" w:left="860" w:right="480"/>
          <w:cols w:num="2" w:equalWidth="0">
            <w:col w:w="4407" w:space="40"/>
            <w:col w:w="6123"/>
          </w:cols>
        </w:sectPr>
      </w:pPr>
    </w:p>
    <w:p>
      <w:pPr>
        <w:pStyle w:val="Heading1"/>
        <w:spacing w:line="475" w:lineRule="exact"/>
        <w:ind w:left="2982" w:firstLine="0"/>
      </w:pPr>
      <w:r>
        <w:rPr>
          <w:spacing w:val="-1"/>
        </w:rPr>
        <w:t>复星联合团体合家欢医疗保险条款</w:t>
      </w:r>
    </w:p>
    <w:p>
      <w:pPr>
        <w:spacing w:line="249" w:lineRule="auto" w:before="212"/>
        <w:ind w:left="160" w:right="533" w:firstLine="422"/>
        <w:jc w:val="left"/>
        <w:rPr>
          <w:sz w:val="22"/>
        </w:rPr>
      </w:pPr>
      <w:r>
        <w:rPr>
          <w:spacing w:val="-2"/>
          <w:w w:val="95"/>
          <w:sz w:val="22"/>
        </w:rPr>
        <w:t>（本公司在每页底部</w:t>
      </w:r>
      <w:r>
        <w:rPr>
          <w:spacing w:val="-2"/>
          <w:w w:val="95"/>
          <w:sz w:val="22"/>
        </w:rPr>
        <w:t>对</w:t>
      </w:r>
      <w:r>
        <w:rPr>
          <w:spacing w:val="-2"/>
          <w:w w:val="95"/>
          <w:sz w:val="22"/>
        </w:rPr>
        <w:t>一</w:t>
      </w:r>
      <w:r>
        <w:rPr>
          <w:spacing w:val="-2"/>
          <w:w w:val="95"/>
          <w:sz w:val="22"/>
        </w:rPr>
        <w:t>些专业名词做了释</w:t>
      </w:r>
      <w:r>
        <w:rPr>
          <w:spacing w:val="-2"/>
          <w:w w:val="95"/>
          <w:sz w:val="22"/>
        </w:rPr>
        <w:t>义</w:t>
      </w:r>
      <w:r>
        <w:rPr>
          <w:spacing w:val="-2"/>
          <w:w w:val="95"/>
          <w:sz w:val="22"/>
        </w:rPr>
        <w:t>，</w:t>
      </w:r>
      <w:r>
        <w:rPr>
          <w:spacing w:val="-2"/>
          <w:w w:val="95"/>
          <w:sz w:val="22"/>
        </w:rPr>
        <w:t>这</w:t>
      </w:r>
      <w:r>
        <w:rPr>
          <w:spacing w:val="-2"/>
          <w:w w:val="95"/>
          <w:sz w:val="22"/>
        </w:rPr>
        <w:t>些释义为本条款</w:t>
      </w:r>
      <w:r>
        <w:rPr>
          <w:spacing w:val="-2"/>
          <w:w w:val="95"/>
          <w:sz w:val="22"/>
        </w:rPr>
        <w:t>的</w:t>
      </w:r>
      <w:r>
        <w:rPr>
          <w:spacing w:val="-2"/>
          <w:w w:val="95"/>
          <w:sz w:val="22"/>
        </w:rPr>
        <w:t>重</w:t>
      </w:r>
      <w:r>
        <w:rPr>
          <w:spacing w:val="-2"/>
          <w:w w:val="95"/>
          <w:sz w:val="22"/>
        </w:rPr>
        <w:t>要</w:t>
      </w:r>
      <w:r>
        <w:rPr>
          <w:spacing w:val="-2"/>
          <w:w w:val="95"/>
          <w:sz w:val="22"/>
        </w:rPr>
        <w:t>组</w:t>
      </w:r>
      <w:r>
        <w:rPr>
          <w:spacing w:val="-2"/>
          <w:w w:val="95"/>
          <w:sz w:val="22"/>
        </w:rPr>
        <w:t>成部分。同一专</w:t>
      </w:r>
      <w:r>
        <w:rPr>
          <w:spacing w:val="-2"/>
          <w:w w:val="95"/>
          <w:sz w:val="22"/>
        </w:rPr>
        <w:t>业</w:t>
      </w:r>
      <w:r>
        <w:rPr>
          <w:spacing w:val="-2"/>
          <w:w w:val="95"/>
          <w:sz w:val="22"/>
        </w:rPr>
        <w:t>名</w:t>
      </w:r>
      <w:r>
        <w:rPr>
          <w:spacing w:val="-2"/>
          <w:w w:val="95"/>
          <w:sz w:val="22"/>
        </w:rPr>
        <w:t>词</w:t>
      </w:r>
      <w:r>
        <w:rPr>
          <w:spacing w:val="-2"/>
          <w:w w:val="95"/>
          <w:sz w:val="22"/>
        </w:rPr>
        <w:t>在</w:t>
      </w:r>
      <w:r>
        <w:rPr>
          <w:spacing w:val="-2"/>
          <w:w w:val="95"/>
          <w:sz w:val="22"/>
        </w:rPr>
        <w:t>条</w:t>
      </w:r>
      <w:r>
        <w:rPr>
          <w:spacing w:val="-2"/>
          <w:w w:val="95"/>
          <w:sz w:val="22"/>
        </w:rPr>
        <w:t>款</w:t>
      </w:r>
      <w:r>
        <w:rPr>
          <w:spacing w:val="-2"/>
          <w:w w:val="95"/>
          <w:sz w:val="22"/>
        </w:rPr>
        <w:t>中</w:t>
      </w:r>
      <w:r>
        <w:rPr>
          <w:spacing w:val="-2"/>
          <w:w w:val="95"/>
          <w:sz w:val="22"/>
        </w:rPr>
        <w:t>出现多次的，本公司</w:t>
      </w:r>
      <w:r>
        <w:rPr>
          <w:spacing w:val="-2"/>
          <w:w w:val="95"/>
          <w:sz w:val="22"/>
        </w:rPr>
        <w:t>仅</w:t>
      </w:r>
      <w:r>
        <w:rPr>
          <w:spacing w:val="-2"/>
          <w:w w:val="95"/>
          <w:sz w:val="22"/>
        </w:rPr>
        <w:t>在</w:t>
      </w:r>
      <w:r>
        <w:rPr>
          <w:spacing w:val="-2"/>
          <w:w w:val="95"/>
          <w:sz w:val="22"/>
        </w:rPr>
        <w:t>该专业名词第一次出</w:t>
      </w:r>
      <w:r>
        <w:rPr>
          <w:spacing w:val="-2"/>
          <w:w w:val="95"/>
          <w:sz w:val="22"/>
        </w:rPr>
        <w:t>现</w:t>
      </w:r>
      <w:r>
        <w:rPr>
          <w:spacing w:val="-2"/>
          <w:w w:val="95"/>
          <w:sz w:val="22"/>
        </w:rPr>
        <w:t>的</w:t>
      </w:r>
      <w:r>
        <w:rPr>
          <w:spacing w:val="-2"/>
          <w:w w:val="95"/>
          <w:sz w:val="22"/>
        </w:rPr>
        <w:t>地方做了释义，该释</w:t>
      </w:r>
      <w:r>
        <w:rPr>
          <w:spacing w:val="-2"/>
          <w:w w:val="95"/>
          <w:sz w:val="22"/>
        </w:rPr>
        <w:t>义</w:t>
      </w:r>
      <w:r>
        <w:rPr>
          <w:spacing w:val="-2"/>
          <w:w w:val="95"/>
          <w:sz w:val="22"/>
        </w:rPr>
        <w:t>适</w:t>
      </w:r>
      <w:r>
        <w:rPr>
          <w:spacing w:val="-24"/>
          <w:w w:val="95"/>
          <w:sz w:val="22"/>
        </w:rPr>
        <w:t>用于全文。</w:t>
      </w:r>
      <w:r>
        <w:rPr>
          <w:spacing w:val="-2"/>
          <w:w w:val="95"/>
          <w:sz w:val="22"/>
        </w:rPr>
        <w:t>）</w:t>
      </w:r>
    </w:p>
    <w:p>
      <w:pPr>
        <w:pStyle w:val="BodyText"/>
        <w:spacing w:before="11"/>
        <w:rPr>
          <w:sz w:val="22"/>
        </w:rPr>
      </w:pPr>
    </w:p>
    <w:p>
      <w:pPr>
        <w:pStyle w:val="Heading2"/>
        <w:numPr>
          <w:ilvl w:val="0"/>
          <w:numId w:val="3"/>
        </w:numPr>
        <w:tabs>
          <w:tab w:pos="1288" w:val="left" w:leader="none"/>
          <w:tab w:pos="1289" w:val="left" w:leader="none"/>
        </w:tabs>
        <w:spacing w:line="240" w:lineRule="auto" w:before="0" w:after="0"/>
        <w:ind w:left="1288" w:right="0" w:hanging="961"/>
        <w:jc w:val="left"/>
        <w:rPr>
          <w:sz w:val="36"/>
        </w:rPr>
      </w:pPr>
      <w:r>
        <w:rPr>
          <w:spacing w:val="-3"/>
        </w:rPr>
        <w:t>合同订立</w:t>
      </w:r>
    </w:p>
    <w:p>
      <w:pPr>
        <w:pStyle w:val="BodyText"/>
        <w:spacing w:before="11"/>
        <w:rPr>
          <w:rFonts w:ascii="微软雅黑"/>
          <w:b/>
          <w:sz w:val="6"/>
        </w:rPr>
      </w:pPr>
      <w:r>
        <w:rPr/>
        <w:drawing>
          <wp:anchor distT="0" distB="0" distL="0" distR="0" allowOverlap="1" layoutInCell="1" locked="0" behindDoc="0" simplePos="0" relativeHeight="3">
            <wp:simplePos x="0" y="0"/>
            <wp:positionH relativeFrom="page">
              <wp:posOffset>685800</wp:posOffset>
            </wp:positionH>
            <wp:positionV relativeFrom="paragraph">
              <wp:posOffset>92893</wp:posOffset>
            </wp:positionV>
            <wp:extent cx="6502594"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502594" cy="12192"/>
                    </a:xfrm>
                    <a:prstGeom prst="rect">
                      <a:avLst/>
                    </a:prstGeom>
                  </pic:spPr>
                </pic:pic>
              </a:graphicData>
            </a:graphic>
          </wp:anchor>
        </w:drawing>
      </w:r>
    </w:p>
    <w:p>
      <w:pPr>
        <w:pStyle w:val="ListParagraph"/>
        <w:numPr>
          <w:ilvl w:val="1"/>
          <w:numId w:val="3"/>
        </w:numPr>
        <w:tabs>
          <w:tab w:pos="1288" w:val="left" w:leader="none"/>
          <w:tab w:pos="1289" w:val="left" w:leader="none"/>
          <w:tab w:pos="3057" w:val="left" w:leader="none"/>
        </w:tabs>
        <w:spacing w:line="249" w:lineRule="auto" w:before="123" w:after="0"/>
        <w:ind w:left="3057" w:right="152" w:hanging="2730"/>
        <w:jc w:val="left"/>
        <w:rPr>
          <w:sz w:val="21"/>
        </w:rPr>
      </w:pPr>
      <w:r>
        <w:rPr>
          <w:rFonts w:ascii="微软雅黑" w:eastAsia="微软雅黑"/>
          <w:b/>
          <w:spacing w:val="-4"/>
          <w:sz w:val="21"/>
        </w:rPr>
        <w:t>合</w:t>
      </w:r>
      <w:r>
        <w:rPr>
          <w:rFonts w:ascii="微软雅黑" w:eastAsia="微软雅黑"/>
          <w:b/>
          <w:spacing w:val="-4"/>
          <w:sz w:val="21"/>
        </w:rPr>
        <w:t>同</w:t>
      </w:r>
      <w:r>
        <w:rPr>
          <w:rFonts w:ascii="微软雅黑" w:eastAsia="微软雅黑"/>
          <w:b/>
          <w:spacing w:val="-4"/>
          <w:sz w:val="21"/>
        </w:rPr>
        <w:t>构</w:t>
      </w:r>
      <w:r>
        <w:rPr>
          <w:rFonts w:ascii="微软雅黑" w:eastAsia="微软雅黑"/>
          <w:b/>
          <w:spacing w:val="-4"/>
          <w:sz w:val="21"/>
        </w:rPr>
        <w:t>成</w:t>
      </w:r>
      <w:r>
        <w:rPr>
          <w:rFonts w:ascii="微软雅黑" w:eastAsia="微软雅黑"/>
          <w:b/>
          <w:sz w:val="21"/>
        </w:rPr>
        <w:tab/>
      </w:r>
      <w:r>
        <w:rPr>
          <w:spacing w:val="-2"/>
          <w:sz w:val="21"/>
        </w:rPr>
        <w:t>本</w:t>
      </w:r>
      <w:r>
        <w:rPr>
          <w:spacing w:val="-2"/>
          <w:sz w:val="21"/>
        </w:rPr>
        <w:t>保</w:t>
      </w:r>
      <w:r>
        <w:rPr>
          <w:spacing w:val="-2"/>
          <w:sz w:val="21"/>
        </w:rPr>
        <w:t>险条款、投保单或其</w:t>
      </w:r>
      <w:r>
        <w:rPr>
          <w:spacing w:val="-2"/>
          <w:sz w:val="21"/>
        </w:rPr>
        <w:t>他</w:t>
      </w:r>
      <w:r>
        <w:rPr>
          <w:spacing w:val="-2"/>
          <w:sz w:val="21"/>
        </w:rPr>
        <w:t>投</w:t>
      </w:r>
      <w:r>
        <w:rPr>
          <w:spacing w:val="-2"/>
          <w:sz w:val="21"/>
        </w:rPr>
        <w:t>保文件、被保险人清</w:t>
      </w:r>
      <w:r>
        <w:rPr>
          <w:spacing w:val="-2"/>
          <w:sz w:val="21"/>
        </w:rPr>
        <w:t>单</w:t>
      </w:r>
      <w:r>
        <w:rPr>
          <w:spacing w:val="-2"/>
          <w:sz w:val="21"/>
        </w:rPr>
        <w:t>、</w:t>
      </w:r>
      <w:r>
        <w:rPr>
          <w:spacing w:val="-2"/>
          <w:sz w:val="21"/>
        </w:rPr>
        <w:t>保险单或其他保险凭证、</w:t>
      </w:r>
      <w:r>
        <w:rPr>
          <w:spacing w:val="-2"/>
          <w:sz w:val="21"/>
        </w:rPr>
        <w:t>附</w:t>
      </w:r>
      <w:r>
        <w:rPr>
          <w:spacing w:val="-2"/>
          <w:sz w:val="21"/>
        </w:rPr>
        <w:t>贴</w:t>
      </w:r>
      <w:r>
        <w:rPr>
          <w:spacing w:val="-2"/>
          <w:sz w:val="21"/>
        </w:rPr>
        <w:t>批单和其他约定书，</w:t>
      </w:r>
      <w:r>
        <w:rPr>
          <w:spacing w:val="-2"/>
          <w:sz w:val="21"/>
        </w:rPr>
        <w:t>均</w:t>
      </w:r>
      <w:r>
        <w:rPr>
          <w:spacing w:val="-2"/>
          <w:sz w:val="21"/>
        </w:rPr>
        <w:t>为</w:t>
      </w:r>
      <w:r>
        <w:rPr>
          <w:spacing w:val="-2"/>
          <w:sz w:val="21"/>
        </w:rPr>
        <w:t>投保人与本公司订立的《复星联合团体合家欢</w:t>
      </w:r>
      <w:r>
        <w:rPr>
          <w:spacing w:val="-2"/>
          <w:sz w:val="21"/>
        </w:rPr>
        <w:t>医</w:t>
      </w:r>
      <w:r>
        <w:rPr>
          <w:spacing w:val="-2"/>
          <w:sz w:val="21"/>
        </w:rPr>
        <w:t>疗</w:t>
      </w:r>
    </w:p>
    <w:p>
      <w:pPr>
        <w:pStyle w:val="BodyText"/>
        <w:spacing w:line="300" w:lineRule="auto" w:before="60"/>
        <w:ind w:left="3057" w:right="210"/>
      </w:pPr>
      <w:r>
        <w:rPr>
          <w:spacing w:val="-41"/>
        </w:rPr>
        <w:t>保险》</w:t>
      </w:r>
      <w:r>
        <w:rPr>
          <w:spacing w:val="-2"/>
        </w:rPr>
        <w:t>（</w:t>
      </w:r>
      <w:r>
        <w:rPr>
          <w:spacing w:val="-9"/>
        </w:rPr>
        <w:t>以下简称“本合同”</w:t>
      </w:r>
      <w:r>
        <w:rPr>
          <w:spacing w:val="-60"/>
        </w:rPr>
        <w:t>）</w:t>
      </w:r>
      <w:r>
        <w:rPr>
          <w:spacing w:val="-2"/>
        </w:rPr>
        <w:t>的构成部分。凡涉及本合同的约定，均应当采用书</w:t>
      </w:r>
      <w:r>
        <w:rPr>
          <w:spacing w:val="-4"/>
        </w:rPr>
        <w:t>面形式。</w:t>
      </w:r>
    </w:p>
    <w:p>
      <w:pPr>
        <w:pStyle w:val="ListParagraph"/>
        <w:numPr>
          <w:ilvl w:val="1"/>
          <w:numId w:val="3"/>
        </w:numPr>
        <w:tabs>
          <w:tab w:pos="1288" w:val="left" w:leader="none"/>
          <w:tab w:pos="1289" w:val="left" w:leader="none"/>
          <w:tab w:pos="3057" w:val="left" w:leader="none"/>
        </w:tabs>
        <w:spacing w:line="240" w:lineRule="auto" w:before="86" w:after="0"/>
        <w:ind w:left="1288" w:right="0" w:hanging="961"/>
        <w:jc w:val="left"/>
        <w:rPr>
          <w:sz w:val="21"/>
        </w:rPr>
      </w:pPr>
      <w:r>
        <w:rPr>
          <w:rFonts w:ascii="微软雅黑" w:eastAsia="微软雅黑"/>
          <w:b/>
          <w:sz w:val="21"/>
        </w:rPr>
        <w:t>合同成立与生</w:t>
      </w:r>
      <w:r>
        <w:rPr>
          <w:rFonts w:ascii="微软雅黑" w:eastAsia="微软雅黑"/>
          <w:b/>
          <w:spacing w:val="-10"/>
          <w:sz w:val="21"/>
        </w:rPr>
        <w:t>效</w:t>
      </w:r>
      <w:r>
        <w:rPr>
          <w:rFonts w:ascii="微软雅黑" w:eastAsia="微软雅黑"/>
          <w:b/>
          <w:sz w:val="21"/>
        </w:rPr>
        <w:tab/>
      </w:r>
      <w:r>
        <w:rPr>
          <w:spacing w:val="-2"/>
          <w:sz w:val="21"/>
        </w:rPr>
        <w:t>投</w:t>
      </w:r>
      <w:r>
        <w:rPr>
          <w:spacing w:val="-2"/>
          <w:sz w:val="21"/>
        </w:rPr>
        <w:t>保</w:t>
      </w:r>
      <w:r>
        <w:rPr>
          <w:spacing w:val="-2"/>
          <w:sz w:val="21"/>
        </w:rPr>
        <w:t>人提出投保申请、本</w:t>
      </w:r>
      <w:r>
        <w:rPr>
          <w:spacing w:val="-2"/>
          <w:sz w:val="21"/>
        </w:rPr>
        <w:t>公</w:t>
      </w:r>
      <w:r>
        <w:rPr>
          <w:spacing w:val="-2"/>
          <w:sz w:val="21"/>
        </w:rPr>
        <w:t>司</w:t>
      </w:r>
      <w:r>
        <w:rPr>
          <w:spacing w:val="-2"/>
          <w:sz w:val="21"/>
        </w:rPr>
        <w:t>同意承保，本合同成</w:t>
      </w:r>
      <w:r>
        <w:rPr>
          <w:spacing w:val="-2"/>
          <w:sz w:val="21"/>
        </w:rPr>
        <w:t>立</w:t>
      </w:r>
      <w:r>
        <w:rPr>
          <w:spacing w:val="-10"/>
          <w:sz w:val="21"/>
        </w:rPr>
        <w:t>。</w:t>
      </w:r>
    </w:p>
    <w:p>
      <w:pPr>
        <w:pStyle w:val="BodyText"/>
        <w:spacing w:before="110"/>
        <w:ind w:left="3057"/>
      </w:pPr>
      <w:r>
        <w:rPr>
          <w:w w:val="95"/>
        </w:rPr>
        <w:t>合</w:t>
      </w:r>
      <w:r>
        <w:rPr>
          <w:w w:val="95"/>
        </w:rPr>
        <w:t>同</w:t>
      </w:r>
      <w:r>
        <w:rPr>
          <w:w w:val="95"/>
        </w:rPr>
        <w:t>生效日期在本合同中</w:t>
      </w:r>
      <w:r>
        <w:rPr>
          <w:w w:val="95"/>
        </w:rPr>
        <w:t>载</w:t>
      </w:r>
      <w:r>
        <w:rPr>
          <w:w w:val="95"/>
        </w:rPr>
        <w:t>明</w:t>
      </w:r>
      <w:r>
        <w:rPr>
          <w:w w:val="95"/>
        </w:rPr>
        <w:t>。保险费的</w:t>
      </w:r>
      <w:r>
        <w:rPr>
          <w:rFonts w:ascii="微软雅黑" w:eastAsia="微软雅黑"/>
          <w:b/>
          <w:w w:val="95"/>
        </w:rPr>
        <w:t>约</w:t>
      </w:r>
      <w:r>
        <w:rPr>
          <w:rFonts w:ascii="微软雅黑" w:eastAsia="微软雅黑"/>
          <w:b/>
          <w:w w:val="95"/>
        </w:rPr>
        <w:t>定</w:t>
      </w:r>
      <w:r>
        <w:rPr>
          <w:rFonts w:ascii="微软雅黑" w:eastAsia="微软雅黑"/>
          <w:b/>
          <w:w w:val="95"/>
        </w:rPr>
        <w:t>交</w:t>
      </w:r>
      <w:r>
        <w:rPr>
          <w:rFonts w:ascii="微软雅黑" w:eastAsia="微软雅黑"/>
          <w:b/>
          <w:w w:val="95"/>
        </w:rPr>
        <w:t>纳日</w:t>
      </w:r>
      <w:r>
        <w:rPr>
          <w:rFonts w:ascii="微软雅黑" w:eastAsia="微软雅黑"/>
          <w:b/>
          <w:w w:val="95"/>
          <w:position w:val="11"/>
          <w:sz w:val="11"/>
        </w:rPr>
        <w:t>1</w:t>
      </w:r>
      <w:r>
        <w:rPr>
          <w:spacing w:val="-2"/>
          <w:w w:val="95"/>
        </w:rPr>
        <w:t>以该日期计算。</w:t>
      </w:r>
    </w:p>
    <w:p>
      <w:pPr>
        <w:pStyle w:val="ListParagraph"/>
        <w:numPr>
          <w:ilvl w:val="1"/>
          <w:numId w:val="3"/>
        </w:numPr>
        <w:tabs>
          <w:tab w:pos="1289" w:val="left" w:leader="none"/>
          <w:tab w:pos="3057" w:val="left" w:leader="none"/>
        </w:tabs>
        <w:spacing w:line="244" w:lineRule="auto" w:before="112" w:after="0"/>
        <w:ind w:left="3057" w:right="361" w:hanging="2730"/>
        <w:jc w:val="both"/>
        <w:rPr>
          <w:sz w:val="21"/>
        </w:rPr>
      </w:pPr>
      <w:r>
        <w:rPr>
          <w:rFonts w:ascii="微软雅黑" w:eastAsia="微软雅黑"/>
          <w:b/>
          <w:spacing w:val="-4"/>
          <w:sz w:val="21"/>
        </w:rPr>
        <w:t>投</w:t>
      </w:r>
      <w:r>
        <w:rPr>
          <w:rFonts w:ascii="微软雅黑" w:eastAsia="微软雅黑"/>
          <w:b/>
          <w:spacing w:val="-4"/>
          <w:sz w:val="21"/>
        </w:rPr>
        <w:t>保</w:t>
      </w:r>
      <w:r>
        <w:rPr>
          <w:rFonts w:ascii="微软雅黑" w:eastAsia="微软雅黑"/>
          <w:b/>
          <w:spacing w:val="-4"/>
          <w:sz w:val="21"/>
        </w:rPr>
        <w:t>范</w:t>
      </w:r>
      <w:r>
        <w:rPr>
          <w:rFonts w:ascii="微软雅黑" w:eastAsia="微软雅黑"/>
          <w:b/>
          <w:spacing w:val="-4"/>
          <w:sz w:val="21"/>
        </w:rPr>
        <w:t>围</w:t>
      </w:r>
      <w:r>
        <w:rPr>
          <w:rFonts w:ascii="微软雅黑" w:eastAsia="微软雅黑"/>
          <w:b/>
          <w:sz w:val="21"/>
        </w:rPr>
        <w:tab/>
      </w:r>
      <w:r>
        <w:rPr>
          <w:spacing w:val="-2"/>
          <w:sz w:val="21"/>
        </w:rPr>
        <w:t>投</w:t>
      </w:r>
      <w:r>
        <w:rPr>
          <w:spacing w:val="-2"/>
          <w:sz w:val="21"/>
        </w:rPr>
        <w:t>保</w:t>
      </w:r>
      <w:r>
        <w:rPr>
          <w:spacing w:val="-2"/>
          <w:sz w:val="21"/>
        </w:rPr>
        <w:t>人可为其团体成员及</w:t>
      </w:r>
      <w:r>
        <w:rPr>
          <w:spacing w:val="-2"/>
          <w:sz w:val="21"/>
        </w:rPr>
        <w:t>成</w:t>
      </w:r>
      <w:r>
        <w:rPr>
          <w:spacing w:val="-2"/>
          <w:sz w:val="21"/>
        </w:rPr>
        <w:t>员</w:t>
      </w:r>
      <w:r>
        <w:rPr>
          <w:spacing w:val="-2"/>
          <w:sz w:val="21"/>
        </w:rPr>
        <w:t>配偶、子女、父母、</w:t>
      </w:r>
      <w:r>
        <w:rPr>
          <w:spacing w:val="-2"/>
          <w:sz w:val="21"/>
        </w:rPr>
        <w:t>配</w:t>
      </w:r>
      <w:r>
        <w:rPr>
          <w:spacing w:val="-2"/>
          <w:sz w:val="21"/>
        </w:rPr>
        <w:t>偶</w:t>
      </w:r>
      <w:r>
        <w:rPr>
          <w:spacing w:val="-2"/>
          <w:sz w:val="21"/>
        </w:rPr>
        <w:t>的父母向本公司投保本</w:t>
      </w:r>
      <w:r>
        <w:rPr>
          <w:spacing w:val="-2"/>
          <w:sz w:val="21"/>
        </w:rPr>
        <w:t>保</w:t>
      </w:r>
      <w:r>
        <w:rPr>
          <w:spacing w:val="-2"/>
          <w:sz w:val="21"/>
        </w:rPr>
        <w:t>险</w:t>
      </w:r>
      <w:r>
        <w:rPr>
          <w:spacing w:val="-2"/>
          <w:sz w:val="21"/>
        </w:rPr>
        <w:t>。投保时，参加本保</w:t>
      </w:r>
      <w:r>
        <w:rPr>
          <w:spacing w:val="-2"/>
          <w:sz w:val="21"/>
        </w:rPr>
        <w:t>险</w:t>
      </w:r>
      <w:r>
        <w:rPr>
          <w:spacing w:val="-2"/>
          <w:sz w:val="21"/>
        </w:rPr>
        <w:t>的</w:t>
      </w:r>
      <w:r>
        <w:rPr>
          <w:spacing w:val="-2"/>
          <w:sz w:val="21"/>
        </w:rPr>
        <w:t>团体成员及成员配偶</w:t>
      </w:r>
      <w:r>
        <w:rPr>
          <w:spacing w:val="-2"/>
          <w:sz w:val="21"/>
        </w:rPr>
        <w:t>、</w:t>
      </w:r>
      <w:r>
        <w:rPr>
          <w:spacing w:val="-2"/>
          <w:sz w:val="21"/>
        </w:rPr>
        <w:t>子</w:t>
      </w:r>
      <w:r>
        <w:rPr>
          <w:spacing w:val="-2"/>
          <w:sz w:val="21"/>
        </w:rPr>
        <w:t>女、父母、配偶的父母</w:t>
      </w:r>
      <w:r>
        <w:rPr>
          <w:spacing w:val="-2"/>
          <w:sz w:val="21"/>
        </w:rPr>
        <w:t>须</w:t>
      </w:r>
      <w:r>
        <w:rPr>
          <w:spacing w:val="-2"/>
          <w:sz w:val="21"/>
        </w:rPr>
        <w:t>符</w:t>
      </w:r>
      <w:r>
        <w:rPr>
          <w:spacing w:val="-2"/>
          <w:sz w:val="21"/>
        </w:rPr>
        <w:t>合本公司当时规定的</w:t>
      </w:r>
      <w:r>
        <w:rPr>
          <w:spacing w:val="-2"/>
          <w:sz w:val="21"/>
        </w:rPr>
        <w:t>投</w:t>
      </w:r>
      <w:r>
        <w:rPr>
          <w:spacing w:val="-2"/>
          <w:sz w:val="21"/>
        </w:rPr>
        <w:t>保</w:t>
      </w:r>
      <w:r>
        <w:rPr>
          <w:spacing w:val="-2"/>
          <w:sz w:val="21"/>
        </w:rPr>
        <w:t>条件。投保年龄按</w:t>
      </w:r>
      <w:r>
        <w:rPr>
          <w:rFonts w:ascii="微软雅黑" w:eastAsia="微软雅黑"/>
          <w:b/>
          <w:spacing w:val="-2"/>
          <w:sz w:val="21"/>
        </w:rPr>
        <w:t>周</w:t>
      </w:r>
      <w:r>
        <w:rPr>
          <w:rFonts w:ascii="微软雅黑" w:eastAsia="微软雅黑"/>
          <w:b/>
          <w:spacing w:val="-2"/>
          <w:sz w:val="21"/>
        </w:rPr>
        <w:t>岁</w:t>
      </w:r>
      <w:r>
        <w:rPr>
          <w:rFonts w:ascii="微软雅黑" w:eastAsia="微软雅黑"/>
          <w:b/>
          <w:spacing w:val="-2"/>
          <w:position w:val="11"/>
          <w:sz w:val="11"/>
        </w:rPr>
        <w:t>2</w:t>
      </w:r>
      <w:r>
        <w:rPr>
          <w:spacing w:val="-2"/>
          <w:sz w:val="21"/>
        </w:rPr>
        <w:t>计算。</w:t>
      </w:r>
    </w:p>
    <w:p>
      <w:pPr>
        <w:pStyle w:val="BodyText"/>
        <w:spacing w:before="5"/>
        <w:rPr>
          <w:sz w:val="17"/>
        </w:rPr>
      </w:pPr>
    </w:p>
    <w:p>
      <w:pPr>
        <w:pStyle w:val="Heading2"/>
        <w:numPr>
          <w:ilvl w:val="0"/>
          <w:numId w:val="3"/>
        </w:numPr>
        <w:tabs>
          <w:tab w:pos="1288" w:val="left" w:leader="none"/>
          <w:tab w:pos="1289" w:val="left" w:leader="none"/>
        </w:tabs>
        <w:spacing w:line="240" w:lineRule="auto" w:before="0" w:after="0"/>
        <w:ind w:left="1288" w:right="0" w:hanging="961"/>
        <w:jc w:val="left"/>
        <w:rPr>
          <w:sz w:val="40"/>
        </w:rPr>
      </w:pPr>
      <w:r>
        <w:rPr>
          <w:spacing w:val="-2"/>
        </w:rPr>
        <w:t>提供的保障</w:t>
      </w:r>
    </w:p>
    <w:p>
      <w:pPr>
        <w:pStyle w:val="BodyText"/>
        <w:spacing w:before="17"/>
        <w:rPr>
          <w:rFonts w:ascii="微软雅黑"/>
          <w:b/>
          <w:sz w:val="4"/>
        </w:rPr>
      </w:pPr>
      <w:r>
        <w:rPr/>
        <w:drawing>
          <wp:anchor distT="0" distB="0" distL="0" distR="0" allowOverlap="1" layoutInCell="1" locked="0" behindDoc="0" simplePos="0" relativeHeight="4">
            <wp:simplePos x="0" y="0"/>
            <wp:positionH relativeFrom="page">
              <wp:posOffset>685800</wp:posOffset>
            </wp:positionH>
            <wp:positionV relativeFrom="paragraph">
              <wp:posOffset>73257</wp:posOffset>
            </wp:positionV>
            <wp:extent cx="6553396" cy="1228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553396" cy="12287"/>
                    </a:xfrm>
                    <a:prstGeom prst="rect">
                      <a:avLst/>
                    </a:prstGeom>
                  </pic:spPr>
                </pic:pic>
              </a:graphicData>
            </a:graphic>
          </wp:anchor>
        </w:drawing>
      </w:r>
    </w:p>
    <w:p>
      <w:pPr>
        <w:pStyle w:val="ListParagraph"/>
        <w:numPr>
          <w:ilvl w:val="1"/>
          <w:numId w:val="3"/>
        </w:numPr>
        <w:tabs>
          <w:tab w:pos="1288" w:val="left" w:leader="none"/>
          <w:tab w:pos="1289" w:val="left" w:leader="none"/>
          <w:tab w:pos="3057" w:val="left" w:leader="none"/>
        </w:tabs>
        <w:spacing w:line="249" w:lineRule="auto" w:before="123" w:after="0"/>
        <w:ind w:left="3057" w:right="207" w:hanging="2730"/>
        <w:jc w:val="left"/>
        <w:rPr>
          <w:sz w:val="21"/>
        </w:rPr>
      </w:pPr>
      <w:r>
        <w:rPr>
          <w:rFonts w:ascii="微软雅黑" w:eastAsia="微软雅黑"/>
          <w:b/>
          <w:spacing w:val="-2"/>
          <w:sz w:val="21"/>
        </w:rPr>
        <w:t>公</w:t>
      </w:r>
      <w:r>
        <w:rPr>
          <w:rFonts w:ascii="微软雅黑" w:eastAsia="微软雅黑"/>
          <w:b/>
          <w:spacing w:val="-2"/>
          <w:sz w:val="21"/>
        </w:rPr>
        <w:t>共</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额</w:t>
      </w:r>
      <w:r>
        <w:rPr>
          <w:rFonts w:ascii="微软雅黑" w:eastAsia="微软雅黑"/>
          <w:b/>
          <w:sz w:val="21"/>
        </w:rPr>
        <w:tab/>
      </w:r>
      <w:r>
        <w:rPr>
          <w:spacing w:val="-2"/>
          <w:sz w:val="21"/>
        </w:rPr>
        <w:t>本</w:t>
      </w:r>
      <w:r>
        <w:rPr>
          <w:spacing w:val="-2"/>
          <w:sz w:val="21"/>
        </w:rPr>
        <w:t>合</w:t>
      </w:r>
      <w:r>
        <w:rPr>
          <w:spacing w:val="-2"/>
          <w:sz w:val="21"/>
        </w:rPr>
        <w:t>同中各项保险责任的</w:t>
      </w:r>
      <w:r>
        <w:rPr>
          <w:rFonts w:ascii="微软雅黑" w:eastAsia="微软雅黑"/>
          <w:b/>
          <w:spacing w:val="-2"/>
          <w:sz w:val="21"/>
        </w:rPr>
        <w:t>公</w:t>
      </w:r>
      <w:r>
        <w:rPr>
          <w:rFonts w:ascii="微软雅黑" w:eastAsia="微软雅黑"/>
          <w:b/>
          <w:spacing w:val="-2"/>
          <w:sz w:val="21"/>
        </w:rPr>
        <w:t>共</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额</w:t>
      </w:r>
      <w:r>
        <w:rPr>
          <w:rFonts w:ascii="微软雅黑" w:eastAsia="微软雅黑"/>
          <w:b/>
          <w:spacing w:val="-2"/>
          <w:position w:val="11"/>
          <w:sz w:val="11"/>
        </w:rPr>
        <w:t>3</w:t>
      </w:r>
      <w:r>
        <w:rPr>
          <w:spacing w:val="-2"/>
          <w:sz w:val="21"/>
        </w:rPr>
        <w:t>，由投保人</w:t>
      </w:r>
      <w:r>
        <w:rPr>
          <w:spacing w:val="-2"/>
          <w:sz w:val="21"/>
        </w:rPr>
        <w:t>在</w:t>
      </w:r>
      <w:r>
        <w:rPr>
          <w:spacing w:val="-2"/>
          <w:sz w:val="21"/>
        </w:rPr>
        <w:t>投</w:t>
      </w:r>
      <w:r>
        <w:rPr>
          <w:spacing w:val="-2"/>
          <w:sz w:val="21"/>
        </w:rPr>
        <w:t>保时与本公司约定</w:t>
      </w:r>
      <w:r>
        <w:rPr>
          <w:spacing w:val="-60"/>
          <w:sz w:val="21"/>
        </w:rPr>
        <w:t>，</w:t>
      </w:r>
      <w:r>
        <w:rPr>
          <w:spacing w:val="-2"/>
          <w:sz w:val="21"/>
        </w:rPr>
        <w:t>并</w:t>
      </w:r>
      <w:r>
        <w:rPr>
          <w:spacing w:val="-2"/>
          <w:sz w:val="21"/>
        </w:rPr>
        <w:t>在</w:t>
      </w:r>
      <w:r>
        <w:rPr>
          <w:spacing w:val="-2"/>
          <w:sz w:val="21"/>
        </w:rPr>
        <w:t>本</w:t>
      </w:r>
      <w:r>
        <w:rPr>
          <w:spacing w:val="-2"/>
          <w:sz w:val="21"/>
        </w:rPr>
        <w:t>合</w:t>
      </w:r>
      <w:r>
        <w:rPr>
          <w:spacing w:val="-2"/>
          <w:sz w:val="21"/>
        </w:rPr>
        <w:t>同中载</w:t>
      </w:r>
      <w:r>
        <w:rPr>
          <w:spacing w:val="-2"/>
          <w:sz w:val="21"/>
        </w:rPr>
        <w:t>明</w:t>
      </w:r>
      <w:r>
        <w:rPr>
          <w:spacing w:val="-2"/>
          <w:sz w:val="21"/>
        </w:rPr>
        <w:t>。</w:t>
      </w:r>
    </w:p>
    <w:p>
      <w:pPr>
        <w:pStyle w:val="BodyText"/>
        <w:spacing w:before="3"/>
        <w:rPr>
          <w:sz w:val="23"/>
        </w:rPr>
      </w:pPr>
    </w:p>
    <w:p>
      <w:pPr>
        <w:pStyle w:val="ListParagraph"/>
        <w:numPr>
          <w:ilvl w:val="1"/>
          <w:numId w:val="3"/>
        </w:numPr>
        <w:tabs>
          <w:tab w:pos="1288" w:val="left" w:leader="none"/>
          <w:tab w:pos="1289" w:val="left" w:leader="none"/>
          <w:tab w:pos="3057" w:val="left" w:leader="none"/>
        </w:tabs>
        <w:spacing w:line="252" w:lineRule="auto" w:before="5" w:after="0"/>
        <w:ind w:left="3057" w:right="207" w:hanging="2730"/>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期</w:t>
      </w:r>
      <w:r>
        <w:rPr>
          <w:rFonts w:ascii="微软雅黑" w:eastAsia="微软雅黑"/>
          <w:b/>
          <w:spacing w:val="-4"/>
          <w:sz w:val="21"/>
        </w:rPr>
        <w:t>间</w:t>
      </w:r>
      <w:r>
        <w:rPr>
          <w:rFonts w:ascii="微软雅黑" w:eastAsia="微软雅黑"/>
          <w:b/>
          <w:sz w:val="21"/>
        </w:rPr>
        <w:tab/>
      </w:r>
      <w:r>
        <w:rPr>
          <w:spacing w:val="-2"/>
          <w:sz w:val="21"/>
        </w:rPr>
        <w:t>除</w:t>
      </w:r>
      <w:r>
        <w:rPr>
          <w:spacing w:val="-2"/>
          <w:sz w:val="21"/>
        </w:rPr>
        <w:t>另</w:t>
      </w:r>
      <w:r>
        <w:rPr>
          <w:spacing w:val="-2"/>
          <w:sz w:val="21"/>
        </w:rPr>
        <w:t>有约定外，本合同的</w:t>
      </w:r>
      <w:r>
        <w:rPr>
          <w:spacing w:val="-2"/>
          <w:sz w:val="21"/>
        </w:rPr>
        <w:t>保</w:t>
      </w:r>
      <w:r>
        <w:rPr>
          <w:spacing w:val="-2"/>
          <w:sz w:val="21"/>
        </w:rPr>
        <w:t>险</w:t>
      </w:r>
      <w:r>
        <w:rPr>
          <w:spacing w:val="-2"/>
          <w:sz w:val="21"/>
        </w:rPr>
        <w:t>期间最长为一年，具</w:t>
      </w:r>
      <w:r>
        <w:rPr>
          <w:spacing w:val="-2"/>
          <w:sz w:val="21"/>
        </w:rPr>
        <w:t>体</w:t>
      </w:r>
      <w:r>
        <w:rPr>
          <w:spacing w:val="-2"/>
          <w:sz w:val="21"/>
        </w:rPr>
        <w:t>由</w:t>
      </w:r>
      <w:r>
        <w:rPr>
          <w:spacing w:val="-2"/>
          <w:sz w:val="21"/>
        </w:rPr>
        <w:t>投保人与本公司约定，并</w:t>
      </w:r>
      <w:r>
        <w:rPr>
          <w:spacing w:val="-2"/>
          <w:sz w:val="21"/>
        </w:rPr>
        <w:t>在</w:t>
      </w:r>
      <w:r>
        <w:rPr>
          <w:spacing w:val="-2"/>
          <w:sz w:val="21"/>
        </w:rPr>
        <w:t>本</w:t>
      </w:r>
      <w:r>
        <w:rPr>
          <w:spacing w:val="-2"/>
          <w:sz w:val="21"/>
        </w:rPr>
        <w:t>合同中载明。</w:t>
      </w:r>
    </w:p>
    <w:p>
      <w:pPr>
        <w:pStyle w:val="BodyText"/>
        <w:spacing w:before="3"/>
        <w:rPr>
          <w:sz w:val="16"/>
        </w:rPr>
      </w:pPr>
    </w:p>
    <w:p>
      <w:pPr>
        <w:pStyle w:val="BodyText"/>
        <w:spacing w:line="300" w:lineRule="auto"/>
        <w:ind w:left="3057" w:right="207"/>
      </w:pPr>
      <w:r>
        <w:rPr>
          <w:spacing w:val="-2"/>
        </w:rPr>
        <w:t>被保险人的保险期间，自本合同中载明的该被保险人责任起始日的零时起，至本</w:t>
      </w:r>
      <w:r>
        <w:rPr>
          <w:spacing w:val="-2"/>
        </w:rPr>
        <w:t>合同中载明的该被保险人责任终止日的二十四时止。</w:t>
      </w:r>
    </w:p>
    <w:p>
      <w:pPr>
        <w:pStyle w:val="BodyText"/>
        <w:spacing w:before="3"/>
        <w:rPr>
          <w:sz w:val="19"/>
        </w:rPr>
      </w:pPr>
    </w:p>
    <w:p>
      <w:pPr>
        <w:pStyle w:val="ListParagraph"/>
        <w:numPr>
          <w:ilvl w:val="1"/>
          <w:numId w:val="3"/>
        </w:numPr>
        <w:tabs>
          <w:tab w:pos="1288" w:val="left" w:leader="none"/>
          <w:tab w:pos="1289" w:val="left" w:leader="none"/>
          <w:tab w:pos="3057" w:val="left" w:leader="none"/>
        </w:tabs>
        <w:spacing w:line="249" w:lineRule="auto" w:before="0" w:after="0"/>
        <w:ind w:left="3057" w:right="101" w:hanging="2730"/>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责</w:t>
      </w:r>
      <w:r>
        <w:rPr>
          <w:rFonts w:ascii="微软雅黑" w:eastAsia="微软雅黑"/>
          <w:b/>
          <w:spacing w:val="-4"/>
          <w:sz w:val="21"/>
        </w:rPr>
        <w:t>任</w:t>
      </w:r>
      <w:r>
        <w:rPr>
          <w:rFonts w:ascii="微软雅黑" w:eastAsia="微软雅黑"/>
          <w:b/>
          <w:sz w:val="21"/>
        </w:rPr>
        <w:tab/>
      </w:r>
      <w:r>
        <w:rPr>
          <w:spacing w:val="-2"/>
          <w:sz w:val="21"/>
        </w:rPr>
        <w:t>在</w:t>
      </w:r>
      <w:r>
        <w:rPr>
          <w:spacing w:val="-2"/>
          <w:sz w:val="21"/>
        </w:rPr>
        <w:t>本</w:t>
      </w:r>
      <w:r>
        <w:rPr>
          <w:spacing w:val="-2"/>
          <w:sz w:val="21"/>
        </w:rPr>
        <w:t>合同保险期间内，本</w:t>
      </w:r>
      <w:r>
        <w:rPr>
          <w:spacing w:val="-2"/>
          <w:sz w:val="21"/>
        </w:rPr>
        <w:t>公</w:t>
      </w:r>
      <w:r>
        <w:rPr>
          <w:spacing w:val="-2"/>
          <w:sz w:val="21"/>
        </w:rPr>
        <w:t>司</w:t>
      </w:r>
      <w:r>
        <w:rPr>
          <w:spacing w:val="-2"/>
          <w:sz w:val="21"/>
        </w:rPr>
        <w:t>承担一般医疗保险责任、</w:t>
      </w:r>
      <w:r>
        <w:rPr>
          <w:rFonts w:ascii="微软雅黑" w:eastAsia="微软雅黑"/>
          <w:b/>
          <w:spacing w:val="-2"/>
          <w:sz w:val="21"/>
        </w:rPr>
        <w:t>重</w:t>
      </w:r>
      <w:r>
        <w:rPr>
          <w:rFonts w:ascii="微软雅黑" w:eastAsia="微软雅黑"/>
          <w:b/>
          <w:spacing w:val="-2"/>
          <w:sz w:val="21"/>
        </w:rPr>
        <w:t>大</w:t>
      </w:r>
      <w:r>
        <w:rPr>
          <w:rFonts w:ascii="微软雅黑" w:eastAsia="微软雅黑"/>
          <w:b/>
          <w:spacing w:val="-2"/>
          <w:sz w:val="21"/>
        </w:rPr>
        <w:t>疾</w:t>
      </w:r>
      <w:r>
        <w:rPr>
          <w:rFonts w:ascii="微软雅黑" w:eastAsia="微软雅黑"/>
          <w:b/>
          <w:spacing w:val="-2"/>
          <w:sz w:val="21"/>
        </w:rPr>
        <w:t>病</w:t>
      </w:r>
      <w:r>
        <w:rPr>
          <w:spacing w:val="-2"/>
          <w:position w:val="11"/>
          <w:sz w:val="11"/>
        </w:rPr>
        <w:t>4</w:t>
      </w:r>
      <w:r>
        <w:rPr>
          <w:spacing w:val="-2"/>
          <w:sz w:val="21"/>
        </w:rPr>
        <w:t>医</w:t>
      </w:r>
      <w:r>
        <w:rPr>
          <w:spacing w:val="-2"/>
          <w:sz w:val="21"/>
        </w:rPr>
        <w:t>疗</w:t>
      </w:r>
      <w:r>
        <w:rPr>
          <w:spacing w:val="-2"/>
          <w:sz w:val="21"/>
        </w:rPr>
        <w:t>保</w:t>
      </w:r>
      <w:r>
        <w:rPr>
          <w:spacing w:val="-2"/>
          <w:sz w:val="21"/>
        </w:rPr>
        <w:t>险责</w:t>
      </w:r>
      <w:r>
        <w:rPr>
          <w:spacing w:val="-2"/>
          <w:sz w:val="21"/>
        </w:rPr>
        <w:t>任</w:t>
      </w:r>
      <w:r>
        <w:rPr>
          <w:spacing w:val="-2"/>
          <w:sz w:val="21"/>
        </w:rPr>
        <w:t>、</w:t>
      </w:r>
      <w:r>
        <w:rPr>
          <w:spacing w:val="-2"/>
          <w:sz w:val="21"/>
        </w:rPr>
        <w:t>牙</w:t>
      </w:r>
      <w:r>
        <w:rPr>
          <w:spacing w:val="-2"/>
          <w:sz w:val="21"/>
        </w:rPr>
        <w:t>科</w:t>
      </w:r>
      <w:r>
        <w:rPr>
          <w:spacing w:val="-2"/>
          <w:sz w:val="21"/>
        </w:rPr>
        <w:t>医疗保险责任。其中，牙科医疗保险责任为可</w:t>
      </w:r>
      <w:r>
        <w:rPr>
          <w:spacing w:val="-2"/>
          <w:sz w:val="21"/>
        </w:rPr>
        <w:t>选</w:t>
      </w:r>
      <w:r>
        <w:rPr>
          <w:spacing w:val="-2"/>
          <w:sz w:val="21"/>
        </w:rPr>
        <w:t>责</w:t>
      </w:r>
      <w:r>
        <w:rPr>
          <w:spacing w:val="-2"/>
          <w:sz w:val="21"/>
        </w:rPr>
        <w:t>任。</w:t>
      </w:r>
    </w:p>
    <w:p>
      <w:pPr>
        <w:pStyle w:val="BodyText"/>
        <w:spacing w:before="2"/>
        <w:rPr>
          <w:sz w:val="9"/>
        </w:rPr>
      </w:pPr>
    </w:p>
    <w:p>
      <w:pPr>
        <w:spacing w:after="0"/>
        <w:rPr>
          <w:sz w:val="9"/>
        </w:rPr>
        <w:sectPr>
          <w:pgSz w:w="11910" w:h="16840"/>
          <w:pgMar w:header="0" w:footer="967" w:top="1400" w:bottom="1160" w:left="860" w:right="480"/>
        </w:sectPr>
      </w:pPr>
    </w:p>
    <w:p>
      <w:pPr>
        <w:pStyle w:val="Heading3"/>
        <w:numPr>
          <w:ilvl w:val="2"/>
          <w:numId w:val="3"/>
        </w:numPr>
        <w:tabs>
          <w:tab w:pos="1288" w:val="left" w:leader="none"/>
          <w:tab w:pos="1289" w:val="left" w:leader="none"/>
        </w:tabs>
        <w:spacing w:line="363" w:lineRule="exact" w:before="29" w:after="0"/>
        <w:ind w:left="1288" w:right="0" w:hanging="961"/>
        <w:jc w:val="left"/>
      </w:pPr>
      <w:r>
        <w:rPr>
          <w:spacing w:val="-2"/>
        </w:rPr>
        <w:t>一般医疗保险责</w:t>
      </w:r>
    </w:p>
    <w:p>
      <w:pPr>
        <w:spacing w:line="363" w:lineRule="exact" w:before="0"/>
        <w:ind w:left="1288" w:right="0" w:firstLine="0"/>
        <w:jc w:val="left"/>
        <w:rPr>
          <w:rFonts w:ascii="微软雅黑" w:eastAsia="微软雅黑"/>
          <w:b/>
          <w:sz w:val="21"/>
        </w:rPr>
      </w:pPr>
      <w:r>
        <w:rPr>
          <w:rFonts w:ascii="微软雅黑" w:eastAsia="微软雅黑"/>
          <w:b/>
          <w:w w:val="100"/>
          <w:sz w:val="21"/>
        </w:rPr>
        <w:t>任</w:t>
      </w:r>
    </w:p>
    <w:p>
      <w:pPr>
        <w:spacing w:before="29"/>
        <w:ind w:left="250" w:right="0" w:firstLine="0"/>
        <w:jc w:val="left"/>
        <w:rPr>
          <w:sz w:val="21"/>
        </w:rPr>
      </w:pPr>
      <w:r>
        <w:rPr/>
        <w:br w:type="column"/>
      </w:r>
      <w:r>
        <w:rPr>
          <w:w w:val="95"/>
          <w:sz w:val="21"/>
        </w:rPr>
        <w:t>被</w:t>
      </w:r>
      <w:r>
        <w:rPr>
          <w:w w:val="95"/>
          <w:sz w:val="21"/>
        </w:rPr>
        <w:t>保</w:t>
      </w:r>
      <w:r>
        <w:rPr>
          <w:w w:val="95"/>
          <w:sz w:val="21"/>
        </w:rPr>
        <w:t>险</w:t>
      </w:r>
      <w:r>
        <w:rPr>
          <w:w w:val="95"/>
          <w:sz w:val="21"/>
        </w:rPr>
        <w:t>人</w:t>
      </w:r>
      <w:r>
        <w:rPr>
          <w:w w:val="95"/>
          <w:sz w:val="21"/>
        </w:rPr>
        <w:t>在</w:t>
      </w:r>
      <w:r>
        <w:rPr>
          <w:w w:val="95"/>
          <w:sz w:val="21"/>
        </w:rPr>
        <w:t>其</w:t>
      </w:r>
      <w:r>
        <w:rPr>
          <w:w w:val="95"/>
          <w:sz w:val="21"/>
        </w:rPr>
        <w:t>保</w:t>
      </w:r>
      <w:r>
        <w:rPr>
          <w:w w:val="95"/>
          <w:sz w:val="21"/>
        </w:rPr>
        <w:t>险</w:t>
      </w:r>
      <w:r>
        <w:rPr>
          <w:w w:val="95"/>
          <w:sz w:val="21"/>
        </w:rPr>
        <w:t>期</w:t>
      </w:r>
      <w:r>
        <w:rPr>
          <w:w w:val="95"/>
          <w:sz w:val="21"/>
        </w:rPr>
        <w:t>间</w:t>
      </w:r>
      <w:r>
        <w:rPr>
          <w:w w:val="95"/>
          <w:sz w:val="21"/>
        </w:rPr>
        <w:t>内</w:t>
      </w:r>
      <w:r>
        <w:rPr>
          <w:w w:val="95"/>
          <w:sz w:val="21"/>
        </w:rPr>
        <w:t>遭</w:t>
      </w:r>
      <w:r>
        <w:rPr>
          <w:w w:val="95"/>
          <w:sz w:val="21"/>
        </w:rPr>
        <w:t>受</w:t>
      </w:r>
      <w:r>
        <w:rPr>
          <w:rFonts w:ascii="微软雅黑" w:eastAsia="微软雅黑"/>
          <w:b/>
          <w:w w:val="95"/>
          <w:sz w:val="21"/>
        </w:rPr>
        <w:t>意外</w:t>
      </w:r>
      <w:r>
        <w:rPr>
          <w:w w:val="95"/>
          <w:position w:val="11"/>
          <w:sz w:val="11"/>
        </w:rPr>
        <w:t>5</w:t>
      </w:r>
      <w:r>
        <w:rPr>
          <w:w w:val="95"/>
          <w:sz w:val="21"/>
        </w:rPr>
        <w:t>，</w:t>
      </w:r>
      <w:r>
        <w:rPr>
          <w:w w:val="95"/>
          <w:sz w:val="21"/>
        </w:rPr>
        <w:t>或</w:t>
      </w:r>
      <w:r>
        <w:rPr>
          <w:w w:val="95"/>
          <w:sz w:val="21"/>
        </w:rPr>
        <w:t>在</w:t>
      </w:r>
      <w:r>
        <w:rPr>
          <w:w w:val="95"/>
          <w:sz w:val="21"/>
        </w:rPr>
        <w:t>本</w:t>
      </w:r>
      <w:r>
        <w:rPr>
          <w:w w:val="95"/>
          <w:sz w:val="21"/>
        </w:rPr>
        <w:t>合</w:t>
      </w:r>
      <w:r>
        <w:rPr>
          <w:w w:val="95"/>
          <w:sz w:val="21"/>
        </w:rPr>
        <w:t>同</w:t>
      </w:r>
      <w:r>
        <w:rPr>
          <w:rFonts w:ascii="微软雅黑" w:eastAsia="微软雅黑"/>
          <w:b/>
          <w:w w:val="95"/>
          <w:sz w:val="21"/>
        </w:rPr>
        <w:t>等待期</w:t>
      </w:r>
      <w:r>
        <w:rPr>
          <w:rFonts w:ascii="微软雅黑" w:eastAsia="微软雅黑"/>
          <w:b/>
          <w:w w:val="95"/>
          <w:position w:val="11"/>
          <w:sz w:val="11"/>
        </w:rPr>
        <w:t>6</w:t>
      </w:r>
      <w:r>
        <w:rPr>
          <w:w w:val="95"/>
          <w:sz w:val="21"/>
        </w:rPr>
        <w:t>后</w:t>
      </w:r>
      <w:r>
        <w:rPr>
          <w:w w:val="95"/>
          <w:sz w:val="21"/>
        </w:rPr>
        <w:t>罹</w:t>
      </w:r>
      <w:r>
        <w:rPr>
          <w:w w:val="95"/>
          <w:sz w:val="21"/>
        </w:rPr>
        <w:t>患</w:t>
      </w:r>
      <w:r>
        <w:rPr>
          <w:w w:val="95"/>
          <w:sz w:val="21"/>
        </w:rPr>
        <w:t>本</w:t>
      </w:r>
      <w:r>
        <w:rPr>
          <w:w w:val="95"/>
          <w:sz w:val="21"/>
        </w:rPr>
        <w:t>合</w:t>
      </w:r>
      <w:r>
        <w:rPr>
          <w:w w:val="95"/>
          <w:sz w:val="21"/>
        </w:rPr>
        <w:t>同</w:t>
      </w:r>
      <w:r>
        <w:rPr>
          <w:w w:val="95"/>
          <w:sz w:val="21"/>
        </w:rPr>
        <w:t>所</w:t>
      </w:r>
      <w:r>
        <w:rPr>
          <w:w w:val="95"/>
          <w:sz w:val="21"/>
        </w:rPr>
        <w:t>定</w:t>
      </w:r>
      <w:r>
        <w:rPr>
          <w:spacing w:val="-5"/>
          <w:w w:val="95"/>
          <w:sz w:val="21"/>
        </w:rPr>
        <w:t>义的</w:t>
      </w:r>
    </w:p>
    <w:p>
      <w:pPr>
        <w:spacing w:after="0"/>
        <w:jc w:val="left"/>
        <w:rPr>
          <w:sz w:val="21"/>
        </w:rPr>
        <w:sectPr>
          <w:type w:val="continuous"/>
          <w:pgSz w:w="11910" w:h="16840"/>
          <w:pgMar w:header="0" w:footer="967" w:top="480" w:bottom="1160" w:left="860" w:right="480"/>
          <w:cols w:num="2" w:equalWidth="0">
            <w:col w:w="2767" w:space="40"/>
            <w:col w:w="7763"/>
          </w:cols>
        </w:sectPr>
      </w:pPr>
    </w:p>
    <w:p>
      <w:pPr>
        <w:pStyle w:val="BodyText"/>
        <w:rPr>
          <w:sz w:val="20"/>
        </w:rPr>
      </w:pPr>
    </w:p>
    <w:p>
      <w:pPr>
        <w:pStyle w:val="BodyText"/>
        <w:spacing w:before="8"/>
        <w:rPr>
          <w:sz w:val="24"/>
        </w:rPr>
      </w:pPr>
    </w:p>
    <w:p>
      <w:pPr>
        <w:pStyle w:val="BodyText"/>
        <w:spacing w:line="20" w:lineRule="exact"/>
        <w:ind w:left="160"/>
        <w:rPr>
          <w:sz w:val="2"/>
        </w:rPr>
      </w:pPr>
      <w:r>
        <w:rPr>
          <w:sz w:val="2"/>
        </w:rPr>
        <w:drawing>
          <wp:inline distT="0" distB="0" distL="0" distR="0">
            <wp:extent cx="1829130" cy="6095"/>
            <wp:effectExtent l="0" t="0" r="0" b="0"/>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1829130" cy="6095"/>
                    </a:xfrm>
                    <a:prstGeom prst="rect">
                      <a:avLst/>
                    </a:prstGeom>
                  </pic:spPr>
                </pic:pic>
              </a:graphicData>
            </a:graphic>
          </wp:inline>
        </w:drawing>
      </w:r>
      <w:r>
        <w:rPr>
          <w:sz w:val="2"/>
        </w:rPr>
      </w:r>
    </w:p>
    <w:p>
      <w:pPr>
        <w:spacing w:line="312" w:lineRule="exact" w:before="28"/>
        <w:ind w:left="160" w:right="0" w:firstLine="0"/>
        <w:jc w:val="left"/>
        <w:rPr>
          <w:sz w:val="18"/>
        </w:rPr>
      </w:pPr>
      <w:r>
        <w:rPr>
          <w:position w:val="9"/>
          <w:sz w:val="9"/>
        </w:rPr>
        <w:t>1</w:t>
      </w:r>
      <w:r>
        <w:rPr>
          <w:rFonts w:ascii="Microsoft JhengHei" w:eastAsia="Microsoft JhengHei"/>
          <w:b/>
          <w:sz w:val="18"/>
        </w:rPr>
        <w:t>约定交纳日</w:t>
      </w:r>
      <w:r>
        <w:rPr>
          <w:sz w:val="18"/>
        </w:rPr>
        <w:t>：指本合同生效日在每月、每季或每半年（根据交费方式确定）</w:t>
      </w:r>
      <w:r>
        <w:rPr>
          <w:spacing w:val="-1"/>
          <w:sz w:val="18"/>
        </w:rPr>
        <w:t>的对应日。当月无对应的同一日，则以该月最</w:t>
      </w:r>
    </w:p>
    <w:p>
      <w:pPr>
        <w:spacing w:line="184" w:lineRule="exact" w:before="0"/>
        <w:ind w:left="160" w:right="0" w:firstLine="0"/>
        <w:jc w:val="left"/>
        <w:rPr>
          <w:sz w:val="18"/>
        </w:rPr>
      </w:pPr>
      <w:r>
        <w:rPr>
          <w:spacing w:val="-2"/>
          <w:sz w:val="18"/>
        </w:rPr>
        <w:t>后一日为对应日。</w:t>
      </w:r>
    </w:p>
    <w:p>
      <w:pPr>
        <w:spacing w:line="284" w:lineRule="exact" w:before="0"/>
        <w:ind w:left="160" w:right="0" w:firstLine="0"/>
        <w:jc w:val="left"/>
        <w:rPr>
          <w:sz w:val="18"/>
        </w:rPr>
      </w:pPr>
      <w:r>
        <w:rPr>
          <w:position w:val="9"/>
          <w:sz w:val="9"/>
        </w:rPr>
        <w:t>2</w:t>
      </w:r>
      <w:r>
        <w:rPr>
          <w:rFonts w:ascii="Microsoft JhengHei" w:eastAsia="Microsoft JhengHei"/>
          <w:b/>
          <w:sz w:val="18"/>
        </w:rPr>
        <w:t>周岁</w:t>
      </w:r>
      <w:r>
        <w:rPr>
          <w:spacing w:val="-1"/>
          <w:sz w:val="18"/>
        </w:rPr>
        <w:t>：指按有效身份证件中记载的出生日期计算的实足年龄，自出生之日起为零周岁，每经过一年增加一岁，不足一年的</w:t>
      </w:r>
    </w:p>
    <w:p>
      <w:pPr>
        <w:spacing w:line="183" w:lineRule="exact" w:before="0"/>
        <w:ind w:left="160" w:right="0" w:firstLine="0"/>
        <w:jc w:val="left"/>
        <w:rPr>
          <w:sz w:val="18"/>
        </w:rPr>
      </w:pPr>
      <w:r>
        <w:rPr>
          <w:spacing w:val="-4"/>
          <w:sz w:val="18"/>
        </w:rPr>
        <w:t>不计。</w:t>
      </w:r>
    </w:p>
    <w:p>
      <w:pPr>
        <w:spacing w:line="253" w:lineRule="exact" w:before="0"/>
        <w:ind w:left="160" w:right="0" w:firstLine="0"/>
        <w:jc w:val="left"/>
        <w:rPr>
          <w:sz w:val="18"/>
        </w:rPr>
      </w:pPr>
      <w:r>
        <w:rPr>
          <w:position w:val="9"/>
          <w:sz w:val="9"/>
        </w:rPr>
        <w:t>3</w:t>
      </w:r>
      <w:r>
        <w:rPr>
          <w:rFonts w:ascii="Microsoft JhengHei" w:eastAsia="Microsoft JhengHei"/>
          <w:b/>
          <w:sz w:val="18"/>
        </w:rPr>
        <w:t>公共保险金额</w:t>
      </w:r>
      <w:r>
        <w:rPr>
          <w:spacing w:val="-1"/>
          <w:sz w:val="18"/>
        </w:rPr>
        <w:t>：指在同一保险期间内，本公司向本合同所有被保险人累计给付保险金的最高限额。</w:t>
      </w:r>
    </w:p>
    <w:p>
      <w:pPr>
        <w:spacing w:line="234" w:lineRule="exact" w:before="0"/>
        <w:ind w:left="160" w:right="0" w:firstLine="0"/>
        <w:jc w:val="left"/>
        <w:rPr>
          <w:sz w:val="18"/>
        </w:rPr>
      </w:pPr>
      <w:r>
        <w:rPr>
          <w:position w:val="9"/>
          <w:sz w:val="9"/>
        </w:rPr>
        <w:t>4</w:t>
      </w:r>
      <w:r>
        <w:rPr>
          <w:rFonts w:ascii="Microsoft JhengHei" w:eastAsia="Microsoft JhengHei"/>
          <w:b/>
          <w:sz w:val="18"/>
        </w:rPr>
        <w:t>重大疾病</w:t>
      </w:r>
      <w:r>
        <w:rPr>
          <w:spacing w:val="-1"/>
          <w:sz w:val="18"/>
        </w:rPr>
        <w:t>：本合同所定义的重大疾病见附表。</w:t>
      </w:r>
    </w:p>
    <w:p>
      <w:pPr>
        <w:spacing w:line="234" w:lineRule="exact" w:before="0"/>
        <w:ind w:left="160" w:right="0" w:firstLine="0"/>
        <w:jc w:val="left"/>
        <w:rPr>
          <w:sz w:val="18"/>
        </w:rPr>
      </w:pPr>
      <w:r>
        <w:rPr>
          <w:position w:val="9"/>
          <w:sz w:val="9"/>
        </w:rPr>
        <w:t>5</w:t>
      </w:r>
      <w:r>
        <w:rPr>
          <w:rFonts w:ascii="Microsoft JhengHei" w:eastAsia="Microsoft JhengHei"/>
          <w:b/>
          <w:sz w:val="18"/>
        </w:rPr>
        <w:t>意外</w:t>
      </w:r>
      <w:r>
        <w:rPr>
          <w:sz w:val="18"/>
        </w:rPr>
        <w:t>：指外来的、突发的、非本意的、非疾病的使身体受到伤害的客观事件。</w:t>
      </w:r>
      <w:r>
        <w:rPr>
          <w:color w:val="000000"/>
          <w:spacing w:val="-1"/>
          <w:sz w:val="18"/>
          <w:shd w:fill="E4E4E4" w:color="auto" w:val="clear"/>
        </w:rPr>
        <w:t>不包括无明确外来意外伤害导致的后果。</w:t>
      </w:r>
    </w:p>
    <w:p>
      <w:pPr>
        <w:spacing w:line="282" w:lineRule="exact" w:before="0"/>
        <w:ind w:left="160" w:right="0" w:firstLine="0"/>
        <w:jc w:val="left"/>
        <w:rPr>
          <w:sz w:val="18"/>
        </w:rPr>
      </w:pPr>
      <w:r>
        <w:rPr>
          <w:position w:val="9"/>
          <w:sz w:val="9"/>
        </w:rPr>
        <w:t>6</w:t>
      </w:r>
      <w:r>
        <w:rPr>
          <w:rFonts w:ascii="Microsoft JhengHei" w:eastAsia="Microsoft JhengHei"/>
          <w:b/>
          <w:sz w:val="18"/>
        </w:rPr>
        <w:t>等待期</w:t>
      </w:r>
      <w:r>
        <w:rPr>
          <w:spacing w:val="-5"/>
          <w:sz w:val="18"/>
        </w:rPr>
        <w:t>：本合同生效日起 </w:t>
      </w:r>
      <w:r>
        <w:rPr>
          <w:sz w:val="18"/>
        </w:rPr>
        <w:t>30</w:t>
      </w:r>
      <w:r>
        <w:rPr>
          <w:spacing w:val="-16"/>
          <w:sz w:val="18"/>
        </w:rPr>
        <w:t> 日内</w:t>
      </w:r>
      <w:r>
        <w:rPr>
          <w:sz w:val="18"/>
        </w:rPr>
        <w:t>（</w:t>
      </w:r>
      <w:r>
        <w:rPr>
          <w:spacing w:val="-15"/>
          <w:sz w:val="18"/>
        </w:rPr>
        <w:t>含第 </w:t>
      </w:r>
      <w:r>
        <w:rPr>
          <w:sz w:val="18"/>
        </w:rPr>
        <w:t>30</w:t>
      </w:r>
      <w:r>
        <w:rPr>
          <w:spacing w:val="-23"/>
          <w:sz w:val="18"/>
        </w:rPr>
        <w:t> 日</w:t>
      </w:r>
      <w:r>
        <w:rPr>
          <w:sz w:val="18"/>
        </w:rPr>
        <w:t>）</w:t>
      </w:r>
      <w:r>
        <w:rPr>
          <w:spacing w:val="-2"/>
          <w:sz w:val="18"/>
        </w:rPr>
        <w:t>为等待期。</w:t>
      </w:r>
    </w:p>
    <w:p>
      <w:pPr>
        <w:spacing w:after="0" w:line="282" w:lineRule="exact"/>
        <w:jc w:val="left"/>
        <w:rPr>
          <w:sz w:val="18"/>
        </w:rPr>
        <w:sectPr>
          <w:type w:val="continuous"/>
          <w:pgSz w:w="11910" w:h="16840"/>
          <w:pgMar w:header="0" w:footer="967" w:top="480" w:bottom="1160" w:left="860" w:right="480"/>
        </w:sectPr>
      </w:pPr>
    </w:p>
    <w:p>
      <w:pPr>
        <w:spacing w:line="249" w:lineRule="auto" w:before="9"/>
        <w:ind w:left="3057" w:right="212" w:firstLine="0"/>
        <w:jc w:val="left"/>
        <w:rPr>
          <w:sz w:val="21"/>
        </w:rPr>
      </w:pPr>
      <w:r>
        <w:rPr>
          <w:spacing w:val="-2"/>
          <w:sz w:val="21"/>
        </w:rPr>
        <w:t>重大疾病以外的疾病，在</w:t>
      </w:r>
      <w:r>
        <w:rPr>
          <w:rFonts w:ascii="微软雅黑" w:eastAsia="微软雅黑"/>
          <w:b/>
          <w:spacing w:val="-2"/>
          <w:sz w:val="21"/>
        </w:rPr>
        <w:t>本公司指定医疗机构</w:t>
      </w:r>
      <w:r>
        <w:rPr>
          <w:spacing w:val="-2"/>
          <w:position w:val="11"/>
          <w:sz w:val="11"/>
        </w:rPr>
        <w:t>7</w:t>
      </w:r>
      <w:r>
        <w:rPr>
          <w:spacing w:val="-2"/>
          <w:sz w:val="21"/>
        </w:rPr>
        <w:t>接受由具有相应资质的</w:t>
      </w:r>
      <w:r>
        <w:rPr>
          <w:rFonts w:ascii="微软雅黑" w:eastAsia="微软雅黑"/>
          <w:b/>
          <w:spacing w:val="-2"/>
          <w:sz w:val="21"/>
        </w:rPr>
        <w:t>医护人员</w:t>
      </w:r>
      <w:r>
        <w:rPr>
          <w:spacing w:val="-2"/>
          <w:position w:val="11"/>
          <w:sz w:val="11"/>
        </w:rPr>
        <w:t>8</w:t>
      </w:r>
      <w:r>
        <w:rPr>
          <w:spacing w:val="-2"/>
          <w:sz w:val="21"/>
        </w:rPr>
        <w:t>治疗的，本公司依照下列约定给付一般医疗保险金：</w:t>
      </w:r>
    </w:p>
    <w:p>
      <w:pPr>
        <w:pStyle w:val="Heading3"/>
        <w:numPr>
          <w:ilvl w:val="3"/>
          <w:numId w:val="3"/>
        </w:numPr>
        <w:tabs>
          <w:tab w:pos="3418" w:val="left" w:leader="none"/>
        </w:tabs>
        <w:spacing w:line="240" w:lineRule="auto" w:before="148" w:after="0"/>
        <w:ind w:left="3417" w:right="0" w:hanging="361"/>
        <w:jc w:val="left"/>
      </w:pPr>
      <w:r>
        <w:rPr>
          <w:spacing w:val="-2"/>
        </w:rPr>
        <w:t>住院医疗费用</w:t>
      </w:r>
    </w:p>
    <w:p>
      <w:pPr>
        <w:pStyle w:val="BodyText"/>
        <w:spacing w:line="336" w:lineRule="exact" w:before="114"/>
        <w:ind w:left="3057" w:right="207"/>
        <w:jc w:val="both"/>
      </w:pPr>
      <w:r>
        <w:rPr>
          <w:spacing w:val="-6"/>
        </w:rPr>
        <w:t>被保险人在其保险期间内遭受意外，或在本合同等待期后罹患本合同所定义的重</w:t>
      </w:r>
      <w:r>
        <w:rPr>
          <w:spacing w:val="-8"/>
        </w:rPr>
        <w:t>大疾病以外的疾病，在本公司指定医疗机构接受由具有相应资质的医护人员诊断</w:t>
      </w:r>
      <w:r>
        <w:rPr>
          <w:spacing w:val="-2"/>
        </w:rPr>
        <w:t>必须</w:t>
      </w:r>
      <w:r>
        <w:rPr>
          <w:rFonts w:ascii="微软雅黑" w:eastAsia="微软雅黑"/>
          <w:b/>
          <w:spacing w:val="-2"/>
        </w:rPr>
        <w:t>住院</w:t>
      </w:r>
      <w:r>
        <w:rPr>
          <w:spacing w:val="-2"/>
          <w:position w:val="11"/>
          <w:sz w:val="11"/>
        </w:rPr>
        <w:t>9</w:t>
      </w:r>
      <w:r>
        <w:rPr>
          <w:spacing w:val="-2"/>
        </w:rPr>
        <w:t>的，对住院期间发生的</w:t>
      </w:r>
      <w:r>
        <w:rPr>
          <w:rFonts w:ascii="微软雅黑" w:eastAsia="微软雅黑"/>
          <w:b/>
          <w:spacing w:val="-2"/>
        </w:rPr>
        <w:t>医学必需</w:t>
      </w:r>
      <w:r>
        <w:rPr>
          <w:spacing w:val="-2"/>
          <w:position w:val="11"/>
          <w:sz w:val="11"/>
        </w:rPr>
        <w:t>10</w:t>
      </w:r>
      <w:r>
        <w:rPr>
          <w:spacing w:val="-3"/>
        </w:rPr>
        <w:t>的并需要由被保险人个人支付的下列</w:t>
      </w:r>
    </w:p>
    <w:p>
      <w:pPr>
        <w:pStyle w:val="BodyText"/>
        <w:spacing w:before="61"/>
        <w:ind w:left="3057"/>
      </w:pPr>
      <w:r>
        <w:rPr>
          <w:spacing w:val="-3"/>
        </w:rPr>
        <w:t>医疗费用，本公司将按约定承担保险责任。</w:t>
      </w:r>
    </w:p>
    <w:p>
      <w:pPr>
        <w:pStyle w:val="BodyText"/>
        <w:spacing w:before="5"/>
        <w:rPr>
          <w:sz w:val="17"/>
        </w:rPr>
      </w:pPr>
    </w:p>
    <w:p>
      <w:pPr>
        <w:pStyle w:val="BodyText"/>
        <w:spacing w:line="300" w:lineRule="auto"/>
        <w:ind w:left="3057" w:right="207"/>
        <w:jc w:val="both"/>
      </w:pPr>
      <w:r>
        <w:rPr>
          <w:spacing w:val="-5"/>
        </w:rPr>
        <w:t>被保险人在本合同保险期间内开始住院治疗，到本合同满期日时仍未结束本次住</w:t>
      </w:r>
      <w:r>
        <w:rPr>
          <w:spacing w:val="-8"/>
        </w:rPr>
        <w:t>院治疗且未续保的，本公司将继续承担因本次住院发生的住院医疗费用保险金给</w:t>
      </w:r>
      <w:r>
        <w:rPr/>
        <w:t>付责任，但</w:t>
      </w:r>
      <w:r>
        <w:rPr>
          <w:color w:val="000000"/>
          <w:spacing w:val="-2"/>
          <w:shd w:fill="E4E4E4" w:color="auto" w:val="clear"/>
        </w:rPr>
        <w:t>最长不超过本合同满期日后 </w:t>
      </w:r>
      <w:r>
        <w:rPr>
          <w:color w:val="000000"/>
          <w:shd w:fill="E4E4E4" w:color="auto" w:val="clear"/>
        </w:rPr>
        <w:t>30</w:t>
      </w:r>
      <w:r>
        <w:rPr>
          <w:color w:val="000000"/>
          <w:spacing w:val="-8"/>
          <w:shd w:fill="E4E4E4" w:color="auto" w:val="clear"/>
        </w:rPr>
        <w:t> 日。</w:t>
      </w:r>
      <w:r>
        <w:rPr>
          <w:color w:val="000000"/>
          <w:spacing w:val="40"/>
          <w:shd w:fill="E4E4E4" w:color="auto" w:val="clear"/>
        </w:rPr>
        <w:t> </w:t>
      </w:r>
    </w:p>
    <w:p>
      <w:pPr>
        <w:pStyle w:val="BodyText"/>
        <w:spacing w:before="158"/>
        <w:ind w:left="3057"/>
      </w:pPr>
      <w:r>
        <w:rPr>
          <w:spacing w:val="-3"/>
        </w:rPr>
        <w:t>住院医疗费用包括：</w:t>
      </w:r>
    </w:p>
    <w:p>
      <w:pPr>
        <w:pStyle w:val="ListParagraph"/>
        <w:numPr>
          <w:ilvl w:val="0"/>
          <w:numId w:val="4"/>
        </w:numPr>
        <w:tabs>
          <w:tab w:pos="3778" w:val="left" w:leader="none"/>
        </w:tabs>
        <w:spacing w:line="240" w:lineRule="auto" w:before="156" w:after="0"/>
        <w:ind w:left="3777" w:right="0" w:hanging="721"/>
        <w:jc w:val="both"/>
        <w:rPr>
          <w:sz w:val="21"/>
        </w:rPr>
      </w:pPr>
      <w:r>
        <w:rPr>
          <w:rFonts w:ascii="微软雅黑" w:eastAsia="微软雅黑"/>
          <w:b/>
          <w:sz w:val="21"/>
        </w:rPr>
        <w:t>床位费</w:t>
      </w:r>
      <w:r>
        <w:rPr>
          <w:rFonts w:ascii="微软雅黑" w:eastAsia="微软雅黑"/>
          <w:b/>
          <w:spacing w:val="-5"/>
          <w:position w:val="11"/>
          <w:sz w:val="11"/>
        </w:rPr>
        <w:t>11</w:t>
      </w:r>
      <w:r>
        <w:rPr>
          <w:spacing w:val="-5"/>
          <w:sz w:val="21"/>
        </w:rPr>
        <w:t>；</w:t>
      </w:r>
    </w:p>
    <w:p>
      <w:pPr>
        <w:pStyle w:val="ListParagraph"/>
        <w:numPr>
          <w:ilvl w:val="0"/>
          <w:numId w:val="4"/>
        </w:numPr>
        <w:tabs>
          <w:tab w:pos="3778" w:val="left" w:leader="none"/>
        </w:tabs>
        <w:spacing w:line="240" w:lineRule="auto" w:before="105" w:after="0"/>
        <w:ind w:left="3777" w:right="0" w:hanging="721"/>
        <w:jc w:val="left"/>
        <w:rPr>
          <w:sz w:val="21"/>
        </w:rPr>
      </w:pPr>
      <w:r>
        <w:rPr>
          <w:rFonts w:ascii="微软雅黑" w:eastAsia="微软雅黑"/>
          <w:b/>
          <w:sz w:val="21"/>
        </w:rPr>
        <w:t>膳食费</w:t>
      </w:r>
      <w:r>
        <w:rPr>
          <w:spacing w:val="-5"/>
          <w:position w:val="11"/>
          <w:sz w:val="11"/>
        </w:rPr>
        <w:t>12</w:t>
      </w:r>
      <w:r>
        <w:rPr>
          <w:spacing w:val="-5"/>
          <w:sz w:val="21"/>
        </w:rPr>
        <w:t>；</w:t>
      </w:r>
    </w:p>
    <w:p>
      <w:pPr>
        <w:pStyle w:val="ListParagraph"/>
        <w:numPr>
          <w:ilvl w:val="0"/>
          <w:numId w:val="4"/>
        </w:numPr>
        <w:tabs>
          <w:tab w:pos="3778" w:val="left" w:leader="none"/>
        </w:tabs>
        <w:spacing w:line="240" w:lineRule="auto" w:before="107" w:after="0"/>
        <w:ind w:left="3777" w:right="0" w:hanging="721"/>
        <w:jc w:val="left"/>
        <w:rPr>
          <w:sz w:val="21"/>
        </w:rPr>
      </w:pPr>
      <w:r>
        <w:rPr>
          <w:rFonts w:ascii="微软雅黑" w:eastAsia="微软雅黑"/>
          <w:b/>
          <w:sz w:val="21"/>
        </w:rPr>
        <w:t>护理费</w:t>
      </w:r>
      <w:r>
        <w:rPr>
          <w:spacing w:val="-5"/>
          <w:position w:val="11"/>
          <w:sz w:val="11"/>
        </w:rPr>
        <w:t>13</w:t>
      </w:r>
      <w:r>
        <w:rPr>
          <w:spacing w:val="-5"/>
          <w:sz w:val="21"/>
        </w:rPr>
        <w:t>；</w:t>
      </w:r>
    </w:p>
    <w:p>
      <w:pPr>
        <w:pStyle w:val="ListParagraph"/>
        <w:numPr>
          <w:ilvl w:val="0"/>
          <w:numId w:val="4"/>
        </w:numPr>
        <w:tabs>
          <w:tab w:pos="3778" w:val="left" w:leader="none"/>
        </w:tabs>
        <w:spacing w:line="240" w:lineRule="auto" w:before="172" w:after="0"/>
        <w:ind w:left="3777" w:right="0" w:hanging="721"/>
        <w:jc w:val="left"/>
        <w:rPr>
          <w:sz w:val="21"/>
        </w:rPr>
      </w:pPr>
      <w:r>
        <w:rPr>
          <w:spacing w:val="-4"/>
          <w:sz w:val="21"/>
        </w:rPr>
        <w:t>重症监护室费；</w:t>
      </w:r>
    </w:p>
    <w:p>
      <w:pPr>
        <w:pStyle w:val="ListParagraph"/>
        <w:numPr>
          <w:ilvl w:val="0"/>
          <w:numId w:val="4"/>
        </w:numPr>
        <w:tabs>
          <w:tab w:pos="3778" w:val="left" w:leader="none"/>
        </w:tabs>
        <w:spacing w:line="240" w:lineRule="auto" w:before="156" w:after="0"/>
        <w:ind w:left="3777" w:right="0" w:hanging="721"/>
        <w:jc w:val="left"/>
        <w:rPr>
          <w:sz w:val="21"/>
        </w:rPr>
      </w:pPr>
      <w:r>
        <w:rPr>
          <w:rFonts w:ascii="微软雅黑" w:eastAsia="微软雅黑"/>
          <w:b/>
          <w:spacing w:val="-2"/>
          <w:sz w:val="21"/>
        </w:rPr>
        <w:t>诊疗费</w:t>
      </w:r>
      <w:r>
        <w:rPr>
          <w:spacing w:val="-2"/>
          <w:position w:val="11"/>
          <w:sz w:val="11"/>
        </w:rPr>
        <w:t>14</w:t>
      </w:r>
      <w:r>
        <w:rPr>
          <w:spacing w:val="-2"/>
          <w:sz w:val="21"/>
        </w:rPr>
        <w:t>、</w:t>
      </w:r>
      <w:r>
        <w:rPr>
          <w:rFonts w:ascii="微软雅黑" w:eastAsia="微软雅黑"/>
          <w:b/>
          <w:spacing w:val="-2"/>
          <w:sz w:val="21"/>
        </w:rPr>
        <w:t>医生</w:t>
      </w:r>
      <w:r>
        <w:rPr>
          <w:spacing w:val="-2"/>
          <w:position w:val="11"/>
          <w:sz w:val="11"/>
        </w:rPr>
        <w:t>15</w:t>
      </w:r>
      <w:r>
        <w:rPr>
          <w:spacing w:val="-6"/>
          <w:sz w:val="21"/>
        </w:rPr>
        <w:t>费；</w:t>
      </w:r>
    </w:p>
    <w:p>
      <w:pPr>
        <w:pStyle w:val="ListParagraph"/>
        <w:numPr>
          <w:ilvl w:val="0"/>
          <w:numId w:val="4"/>
        </w:numPr>
        <w:tabs>
          <w:tab w:pos="3778" w:val="left" w:leader="none"/>
        </w:tabs>
        <w:spacing w:line="240" w:lineRule="auto" w:before="107" w:after="0"/>
        <w:ind w:left="3777" w:right="0" w:hanging="721"/>
        <w:jc w:val="left"/>
        <w:rPr>
          <w:sz w:val="21"/>
        </w:rPr>
      </w:pPr>
      <w:r>
        <w:rPr>
          <w:rFonts w:ascii="微软雅黑" w:eastAsia="微软雅黑"/>
          <w:b/>
          <w:spacing w:val="-2"/>
          <w:sz w:val="21"/>
        </w:rPr>
        <w:t>检查检验费</w:t>
      </w:r>
      <w:r>
        <w:rPr>
          <w:spacing w:val="-5"/>
          <w:position w:val="11"/>
          <w:sz w:val="11"/>
        </w:rPr>
        <w:t>16</w:t>
      </w:r>
      <w:r>
        <w:rPr>
          <w:spacing w:val="-5"/>
          <w:sz w:val="21"/>
        </w:rPr>
        <w:t>；</w:t>
      </w:r>
    </w:p>
    <w:p>
      <w:pPr>
        <w:pStyle w:val="BodyText"/>
        <w:rPr>
          <w:sz w:val="20"/>
        </w:rPr>
      </w:pPr>
    </w:p>
    <w:p>
      <w:pPr>
        <w:pStyle w:val="BodyText"/>
        <w:spacing w:before="6"/>
        <w:rPr>
          <w:sz w:val="15"/>
        </w:rPr>
      </w:pPr>
      <w:r>
        <w:rPr/>
        <w:drawing>
          <wp:anchor distT="0" distB="0" distL="0" distR="0" allowOverlap="1" layoutInCell="1" locked="0" behindDoc="0" simplePos="0" relativeHeight="5">
            <wp:simplePos x="0" y="0"/>
            <wp:positionH relativeFrom="page">
              <wp:posOffset>685800</wp:posOffset>
            </wp:positionH>
            <wp:positionV relativeFrom="paragraph">
              <wp:posOffset>141136</wp:posOffset>
            </wp:positionV>
            <wp:extent cx="1829511" cy="6096"/>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1829511" cy="6096"/>
                    </a:xfrm>
                    <a:prstGeom prst="rect">
                      <a:avLst/>
                    </a:prstGeom>
                  </pic:spPr>
                </pic:pic>
              </a:graphicData>
            </a:graphic>
          </wp:anchor>
        </w:drawing>
      </w:r>
    </w:p>
    <w:p>
      <w:pPr>
        <w:spacing w:line="312" w:lineRule="exact" w:before="39"/>
        <w:ind w:left="220" w:right="0" w:firstLine="0"/>
        <w:jc w:val="left"/>
        <w:rPr>
          <w:sz w:val="18"/>
        </w:rPr>
      </w:pPr>
      <w:r>
        <w:rPr>
          <w:spacing w:val="-4"/>
          <w:position w:val="9"/>
          <w:sz w:val="9"/>
        </w:rPr>
        <w:t>7</w:t>
      </w:r>
      <w:r>
        <w:rPr>
          <w:rFonts w:ascii="Microsoft JhengHei" w:eastAsia="Microsoft JhengHei"/>
          <w:b/>
          <w:spacing w:val="-4"/>
          <w:sz w:val="18"/>
        </w:rPr>
        <w:t>本公司指定医疗机构：</w:t>
      </w:r>
      <w:r>
        <w:rPr>
          <w:spacing w:val="-4"/>
          <w:sz w:val="18"/>
        </w:rPr>
        <w:t>由本公司指定且符合下列所有条件的医疗机构：（1）位于境内（不包括港、澳、台地区）</w:t>
      </w:r>
      <w:r>
        <w:rPr>
          <w:spacing w:val="-6"/>
          <w:sz w:val="18"/>
        </w:rPr>
        <w:t>，拥有合法</w:t>
      </w:r>
    </w:p>
    <w:p>
      <w:pPr>
        <w:spacing w:line="211" w:lineRule="exact" w:before="0"/>
        <w:ind w:left="220" w:right="0" w:firstLine="0"/>
        <w:jc w:val="left"/>
        <w:rPr>
          <w:sz w:val="18"/>
        </w:rPr>
      </w:pPr>
      <w:r>
        <w:rPr>
          <w:spacing w:val="-2"/>
          <w:sz w:val="18"/>
        </w:rPr>
        <w:t>经营执照，当地基本医疗保险管理机构最新公布的二级以上（含二级）的公立医院的普通部；（2）</w:t>
      </w:r>
      <w:r>
        <w:rPr>
          <w:spacing w:val="-3"/>
          <w:sz w:val="18"/>
        </w:rPr>
        <w:t>设立的主要目的为向受伤</w:t>
      </w:r>
    </w:p>
    <w:p>
      <w:pPr>
        <w:spacing w:line="244" w:lineRule="auto" w:before="2"/>
        <w:ind w:left="220" w:right="622" w:firstLine="0"/>
        <w:jc w:val="left"/>
        <w:rPr>
          <w:sz w:val="18"/>
        </w:rPr>
      </w:pPr>
      <w:r>
        <w:rPr>
          <w:spacing w:val="-4"/>
          <w:sz w:val="18"/>
        </w:rPr>
        <w:t>者和患病者提供留院治疗和护理服务；（3）有合格的医生和护士提供全日二十四小时的医疗和护理服务；（4）非主要作为康</w:t>
      </w:r>
      <w:r>
        <w:rPr>
          <w:spacing w:val="-2"/>
          <w:sz w:val="18"/>
        </w:rPr>
        <w:t>复医院、诊所、护理、疗养、戒酒、戒毒或类似的医疗机构。</w:t>
      </w:r>
    </w:p>
    <w:p>
      <w:pPr>
        <w:spacing w:line="200" w:lineRule="exact" w:before="0"/>
        <w:ind w:left="220" w:right="0" w:firstLine="0"/>
        <w:jc w:val="left"/>
        <w:rPr>
          <w:sz w:val="18"/>
        </w:rPr>
      </w:pPr>
      <w:r>
        <w:rPr>
          <w:color w:val="000000"/>
          <w:spacing w:val="-1"/>
          <w:sz w:val="18"/>
          <w:shd w:fill="D9D9D9" w:color="auto" w:val="clear"/>
        </w:rPr>
        <w:t>本公司指定的医疗机构范围具体在本合同内载明。</w:t>
      </w:r>
    </w:p>
    <w:p>
      <w:pPr>
        <w:spacing w:line="254" w:lineRule="exact" w:before="0"/>
        <w:ind w:left="220" w:right="0" w:firstLine="0"/>
        <w:jc w:val="left"/>
        <w:rPr>
          <w:sz w:val="18"/>
        </w:rPr>
      </w:pPr>
      <w:r>
        <w:rPr>
          <w:position w:val="9"/>
          <w:sz w:val="9"/>
        </w:rPr>
        <w:t>8</w:t>
      </w:r>
      <w:r>
        <w:rPr>
          <w:rFonts w:ascii="Microsoft JhengHei" w:eastAsia="Microsoft JhengHei"/>
          <w:b/>
          <w:sz w:val="18"/>
        </w:rPr>
        <w:t>医护人员：</w:t>
      </w:r>
      <w:r>
        <w:rPr>
          <w:spacing w:val="-1"/>
          <w:sz w:val="18"/>
        </w:rPr>
        <w:t>包括医生、护士。护士，指在卫生管理机构合法注册的具有护士执业资格且正在执业的护理人员。</w:t>
      </w:r>
    </w:p>
    <w:p>
      <w:pPr>
        <w:spacing w:line="264" w:lineRule="exact" w:before="0"/>
        <w:ind w:left="220" w:right="0" w:firstLine="0"/>
        <w:jc w:val="left"/>
        <w:rPr>
          <w:sz w:val="18"/>
        </w:rPr>
      </w:pPr>
      <w:r>
        <w:rPr>
          <w:position w:val="9"/>
          <w:sz w:val="9"/>
        </w:rPr>
        <w:t>9</w:t>
      </w:r>
      <w:r>
        <w:rPr>
          <w:rFonts w:ascii="Microsoft JhengHei" w:eastAsia="Microsoft JhengHei"/>
          <w:b/>
          <w:sz w:val="18"/>
        </w:rPr>
        <w:t>住院</w:t>
      </w:r>
      <w:r>
        <w:rPr>
          <w:sz w:val="18"/>
        </w:rPr>
        <w:t>：指确因临床需要，正式办理入院及出院手续，并确实入住医疗机构正式病房接受治疗的行为过程，</w:t>
      </w:r>
      <w:r>
        <w:rPr>
          <w:color w:val="000000"/>
          <w:spacing w:val="-2"/>
          <w:sz w:val="18"/>
          <w:shd w:fill="E4E4E4" w:color="auto" w:val="clear"/>
        </w:rPr>
        <w:t>但不包括入住门</w:t>
      </w:r>
    </w:p>
    <w:p>
      <w:pPr>
        <w:spacing w:line="183" w:lineRule="exact" w:before="0"/>
        <w:ind w:left="220" w:right="0" w:firstLine="0"/>
        <w:jc w:val="left"/>
        <w:rPr>
          <w:sz w:val="18"/>
        </w:rPr>
      </w:pPr>
      <w:r>
        <w:rPr>
          <w:color w:val="000000"/>
          <w:spacing w:val="-1"/>
          <w:sz w:val="18"/>
          <w:shd w:fill="E4E4E4" w:color="auto" w:val="clear"/>
        </w:rPr>
        <w:t>诊观察室、家庭病床、挂床住院、以及修养、疗养、身体检查和健康护理等非治疗性行为。</w:t>
      </w:r>
    </w:p>
    <w:p>
      <w:pPr>
        <w:spacing w:line="283" w:lineRule="exact" w:before="0"/>
        <w:ind w:left="220" w:right="0" w:firstLine="0"/>
        <w:jc w:val="left"/>
        <w:rPr>
          <w:sz w:val="18"/>
        </w:rPr>
      </w:pPr>
      <w:r>
        <w:rPr>
          <w:spacing w:val="-4"/>
          <w:position w:val="9"/>
          <w:sz w:val="9"/>
        </w:rPr>
        <w:t>10</w:t>
      </w:r>
      <w:r>
        <w:rPr>
          <w:rFonts w:ascii="Microsoft JhengHei" w:eastAsia="Microsoft JhengHei"/>
          <w:b/>
          <w:spacing w:val="-4"/>
          <w:sz w:val="18"/>
        </w:rPr>
        <w:t>医学必需：</w:t>
      </w:r>
      <w:r>
        <w:rPr>
          <w:spacing w:val="-4"/>
          <w:sz w:val="18"/>
        </w:rPr>
        <w:t>指医疗费用符合下列所有条件：（1）治疗意外伤害或者疾病所必需的项目；（2）</w:t>
      </w:r>
      <w:r>
        <w:rPr>
          <w:spacing w:val="-5"/>
          <w:sz w:val="18"/>
        </w:rPr>
        <w:t>不超过安全、足量治疗原则的</w:t>
      </w:r>
    </w:p>
    <w:p>
      <w:pPr>
        <w:spacing w:line="211" w:lineRule="exact" w:before="0"/>
        <w:ind w:left="220" w:right="0" w:firstLine="0"/>
        <w:jc w:val="left"/>
        <w:rPr>
          <w:sz w:val="18"/>
        </w:rPr>
      </w:pPr>
      <w:r>
        <w:rPr>
          <w:spacing w:val="-6"/>
          <w:sz w:val="18"/>
        </w:rPr>
        <w:t>项目；（3）由医生开具的处方药；（4）非试验性的、非研究性的项目；（5）</w:t>
      </w:r>
      <w:r>
        <w:rPr>
          <w:spacing w:val="-7"/>
          <w:sz w:val="18"/>
        </w:rPr>
        <w:t>与接受治疗当地普遍接受的医疗专业实践标准一</w:t>
      </w:r>
    </w:p>
    <w:p>
      <w:pPr>
        <w:spacing w:line="202" w:lineRule="exact" w:before="5"/>
        <w:ind w:left="220" w:right="0" w:firstLine="0"/>
        <w:jc w:val="left"/>
        <w:rPr>
          <w:sz w:val="18"/>
        </w:rPr>
      </w:pPr>
      <w:r>
        <w:rPr>
          <w:spacing w:val="-2"/>
          <w:sz w:val="18"/>
        </w:rPr>
        <w:t>致的项目。</w:t>
      </w:r>
    </w:p>
    <w:p>
      <w:pPr>
        <w:spacing w:line="283" w:lineRule="exact" w:before="0"/>
        <w:ind w:left="220" w:right="0" w:firstLine="0"/>
        <w:jc w:val="left"/>
        <w:rPr>
          <w:sz w:val="18"/>
        </w:rPr>
      </w:pPr>
      <w:r>
        <w:rPr>
          <w:position w:val="9"/>
          <w:sz w:val="9"/>
        </w:rPr>
        <w:t>11</w:t>
      </w:r>
      <w:r>
        <w:rPr>
          <w:rFonts w:ascii="Microsoft JhengHei" w:eastAsia="Microsoft JhengHei"/>
          <w:b/>
          <w:sz w:val="18"/>
        </w:rPr>
        <w:t>床位费：</w:t>
      </w:r>
      <w:r>
        <w:rPr>
          <w:sz w:val="18"/>
        </w:rPr>
        <w:t>指住院期间不超过标准单人间病房（不包括套房）</w:t>
      </w:r>
      <w:r>
        <w:rPr>
          <w:spacing w:val="-1"/>
          <w:sz w:val="18"/>
        </w:rPr>
        <w:t>标准的费用。标准单人间病房指：病房为单间设计，除独立卫</w:t>
      </w:r>
    </w:p>
    <w:p>
      <w:pPr>
        <w:spacing w:line="211" w:lineRule="exact" w:before="0"/>
        <w:ind w:left="220" w:right="0" w:firstLine="0"/>
        <w:jc w:val="left"/>
        <w:rPr>
          <w:sz w:val="18"/>
        </w:rPr>
      </w:pPr>
      <w:r>
        <w:rPr>
          <w:spacing w:val="-1"/>
          <w:sz w:val="18"/>
        </w:rPr>
        <w:t>生间外无其他隔间，病房设一张病床加独立卫生间的单人病房。若某一医院的病房有两种或以上符合定义的病房，则应按其</w:t>
      </w:r>
    </w:p>
    <w:p>
      <w:pPr>
        <w:spacing w:line="203" w:lineRule="exact" w:before="2"/>
        <w:ind w:left="220" w:right="0" w:firstLine="0"/>
        <w:jc w:val="left"/>
        <w:rPr>
          <w:sz w:val="18"/>
        </w:rPr>
      </w:pPr>
      <w:r>
        <w:rPr>
          <w:spacing w:val="-1"/>
          <w:sz w:val="18"/>
        </w:rPr>
        <w:t>中最基础的病房计算床位费。</w:t>
      </w:r>
    </w:p>
    <w:p>
      <w:pPr>
        <w:spacing w:line="284" w:lineRule="exact" w:before="0"/>
        <w:ind w:left="220" w:right="0" w:firstLine="0"/>
        <w:jc w:val="left"/>
        <w:rPr>
          <w:sz w:val="18"/>
        </w:rPr>
      </w:pPr>
      <w:r>
        <w:rPr>
          <w:position w:val="9"/>
          <w:sz w:val="9"/>
        </w:rPr>
        <w:t>12</w:t>
      </w:r>
      <w:r>
        <w:rPr>
          <w:rFonts w:ascii="Microsoft JhengHei" w:eastAsia="Microsoft JhengHei"/>
          <w:b/>
          <w:sz w:val="18"/>
        </w:rPr>
        <w:t>膳食费：</w:t>
      </w:r>
      <w:r>
        <w:rPr>
          <w:spacing w:val="-1"/>
          <w:sz w:val="18"/>
        </w:rPr>
        <w:t>根据医生的医嘱，由作为医院内部专属部门的、为住院病人配餐的食堂配送的膳食费。膳食费应包含在医疗账单</w:t>
      </w:r>
    </w:p>
    <w:p>
      <w:pPr>
        <w:spacing w:line="211" w:lineRule="exact" w:before="0"/>
        <w:ind w:left="220" w:right="0" w:firstLine="0"/>
        <w:jc w:val="left"/>
        <w:rPr>
          <w:sz w:val="18"/>
        </w:rPr>
      </w:pPr>
      <w:r>
        <w:rPr>
          <w:sz w:val="18"/>
        </w:rPr>
        <w:t>内；根据各医疗机构的惯例，可以作为独立的款项、也可以合并在病房费等其他款项内。</w:t>
      </w:r>
      <w:r>
        <w:rPr>
          <w:color w:val="000000"/>
          <w:spacing w:val="-1"/>
          <w:sz w:val="18"/>
          <w:shd w:fill="E4E4E4" w:color="auto" w:val="clear"/>
        </w:rPr>
        <w:t>若一些医疗机构自身不设内部专属</w:t>
      </w:r>
    </w:p>
    <w:p>
      <w:pPr>
        <w:spacing w:line="242" w:lineRule="auto" w:before="3"/>
        <w:ind w:left="220" w:right="624" w:firstLine="0"/>
        <w:jc w:val="left"/>
        <w:rPr>
          <w:sz w:val="18"/>
        </w:rPr>
      </w:pPr>
      <w:r>
        <w:rPr>
          <w:color w:val="000000"/>
          <w:spacing w:val="-2"/>
          <w:sz w:val="18"/>
          <w:shd w:fill="E4E4E4" w:color="auto" w:val="clear"/>
        </w:rPr>
        <w:t>的食堂而将病人膳食外包给独立经营的商业餐饮单位、从而膳食费不包含在医疗账单内，受益人提供证明上述情况属实并经</w:t>
      </w:r>
      <w:r>
        <w:rPr>
          <w:color w:val="000000"/>
          <w:spacing w:val="-3"/>
          <w:sz w:val="18"/>
          <w:shd w:fill="E4E4E4" w:color="auto" w:val="clear"/>
        </w:rPr>
        <w:t>本公司证实后，按照膳食费发票金额的 </w:t>
      </w:r>
      <w:r>
        <w:rPr>
          <w:color w:val="000000"/>
          <w:sz w:val="18"/>
          <w:shd w:fill="E4E4E4" w:color="auto" w:val="clear"/>
        </w:rPr>
        <w:t>50%作为与医疗相关的膳食费金额进行后续的理赔计算。</w:t>
      </w:r>
    </w:p>
    <w:p>
      <w:pPr>
        <w:spacing w:line="225" w:lineRule="exact" w:before="0"/>
        <w:ind w:left="220" w:right="0" w:firstLine="0"/>
        <w:jc w:val="left"/>
        <w:rPr>
          <w:sz w:val="18"/>
        </w:rPr>
      </w:pPr>
      <w:r>
        <w:rPr>
          <w:position w:val="9"/>
          <w:sz w:val="9"/>
        </w:rPr>
        <w:t>13</w:t>
      </w:r>
      <w:r>
        <w:rPr>
          <w:rFonts w:ascii="Microsoft JhengHei" w:eastAsia="Microsoft JhengHei"/>
          <w:b/>
          <w:sz w:val="18"/>
        </w:rPr>
        <w:t>护理费：</w:t>
      </w:r>
      <w:r>
        <w:rPr>
          <w:spacing w:val="-1"/>
          <w:sz w:val="18"/>
        </w:rPr>
        <w:t>指根据医生的医嘱所示的护理等级确定的护理费用。</w:t>
      </w:r>
    </w:p>
    <w:p>
      <w:pPr>
        <w:spacing w:line="233" w:lineRule="exact" w:before="0"/>
        <w:ind w:left="220" w:right="0" w:firstLine="0"/>
        <w:jc w:val="left"/>
        <w:rPr>
          <w:sz w:val="18"/>
        </w:rPr>
      </w:pPr>
      <w:r>
        <w:rPr>
          <w:position w:val="9"/>
          <w:sz w:val="9"/>
        </w:rPr>
        <w:t>14</w:t>
      </w:r>
      <w:r>
        <w:rPr>
          <w:rFonts w:ascii="Microsoft JhengHei" w:eastAsia="Microsoft JhengHei"/>
          <w:b/>
          <w:sz w:val="18"/>
        </w:rPr>
        <w:t>诊疗费：</w:t>
      </w:r>
      <w:r>
        <w:rPr>
          <w:spacing w:val="-1"/>
          <w:sz w:val="18"/>
        </w:rPr>
        <w:t>指被保险人门急诊间发生的主诊医生或会诊医生的劳务费用，包括挂号费。</w:t>
      </w:r>
    </w:p>
    <w:p>
      <w:pPr>
        <w:spacing w:line="264" w:lineRule="exact" w:before="0"/>
        <w:ind w:left="220" w:right="0" w:firstLine="0"/>
        <w:jc w:val="left"/>
        <w:rPr>
          <w:sz w:val="18"/>
        </w:rPr>
      </w:pPr>
      <w:r>
        <w:rPr>
          <w:position w:val="9"/>
          <w:sz w:val="9"/>
        </w:rPr>
        <w:t>15</w:t>
      </w:r>
      <w:r>
        <w:rPr>
          <w:rFonts w:ascii="Microsoft JhengHei" w:eastAsia="Microsoft JhengHei"/>
          <w:b/>
          <w:sz w:val="18"/>
        </w:rPr>
        <w:t>医生：</w:t>
      </w:r>
      <w:r>
        <w:rPr>
          <w:spacing w:val="-1"/>
          <w:sz w:val="18"/>
        </w:rPr>
        <w:t>指在卫生管理机构合法注册的具有医生资格、拥有处方权且正在执业的医疗服务人员，并需要满足下列全部条件：</w:t>
      </w:r>
    </w:p>
    <w:p>
      <w:pPr>
        <w:pStyle w:val="ListParagraph"/>
        <w:numPr>
          <w:ilvl w:val="0"/>
          <w:numId w:val="5"/>
        </w:numPr>
        <w:tabs>
          <w:tab w:pos="673" w:val="left" w:leader="none"/>
        </w:tabs>
        <w:spacing w:line="212" w:lineRule="exact" w:before="0" w:after="0"/>
        <w:ind w:left="672" w:right="0" w:hanging="453"/>
        <w:jc w:val="left"/>
        <w:rPr>
          <w:sz w:val="18"/>
        </w:rPr>
      </w:pPr>
      <w:r>
        <w:rPr>
          <w:spacing w:val="-2"/>
          <w:sz w:val="18"/>
        </w:rPr>
        <w:t>对其从事的医疗操作经过培训和训练从而具有相应的治疗资格；（2）</w:t>
      </w:r>
      <w:r>
        <w:rPr>
          <w:spacing w:val="-3"/>
          <w:sz w:val="18"/>
        </w:rPr>
        <w:t>其从事的医疗操作在其执业医师资格允许的范</w:t>
      </w:r>
    </w:p>
    <w:p>
      <w:pPr>
        <w:spacing w:line="202" w:lineRule="exact" w:before="2"/>
        <w:ind w:left="220" w:right="0" w:firstLine="0"/>
        <w:jc w:val="left"/>
        <w:rPr>
          <w:sz w:val="18"/>
        </w:rPr>
      </w:pPr>
      <w:r>
        <w:rPr>
          <w:spacing w:val="-6"/>
          <w:sz w:val="18"/>
        </w:rPr>
        <w:t>围；（3）不是被保险人本人或其直系亲属；（4）</w:t>
      </w:r>
      <w:r>
        <w:rPr>
          <w:spacing w:val="-7"/>
          <w:sz w:val="18"/>
        </w:rPr>
        <w:t>与被保险人没有商业联系。</w:t>
      </w:r>
    </w:p>
    <w:p>
      <w:pPr>
        <w:spacing w:line="283" w:lineRule="exact" w:before="0"/>
        <w:ind w:left="220" w:right="0" w:firstLine="0"/>
        <w:jc w:val="left"/>
        <w:rPr>
          <w:sz w:val="18"/>
        </w:rPr>
      </w:pPr>
      <w:r>
        <w:rPr>
          <w:position w:val="9"/>
          <w:sz w:val="9"/>
        </w:rPr>
        <w:t>16</w:t>
      </w:r>
      <w:r>
        <w:rPr>
          <w:rFonts w:ascii="Microsoft JhengHei" w:eastAsia="Microsoft JhengHei"/>
          <w:b/>
          <w:sz w:val="18"/>
        </w:rPr>
        <w:t>检查检验费：</w:t>
      </w:r>
      <w:r>
        <w:rPr>
          <w:spacing w:val="-1"/>
          <w:sz w:val="18"/>
        </w:rPr>
        <w:t>指实际发生的，以诊断疾病为目的的，采取必要的医学手段进行检查及检验而发生的合理的医疗费用，包括</w:t>
      </w:r>
    </w:p>
    <w:p>
      <w:pPr>
        <w:spacing w:line="211" w:lineRule="exact" w:before="0"/>
        <w:ind w:left="220" w:right="0" w:firstLine="0"/>
        <w:jc w:val="left"/>
        <w:rPr>
          <w:sz w:val="18"/>
        </w:rPr>
      </w:pPr>
      <w:r>
        <w:rPr>
          <w:sz w:val="18"/>
        </w:rPr>
        <w:t>诊查费、妇检费、X</w:t>
      </w:r>
      <w:r>
        <w:rPr>
          <w:spacing w:val="-7"/>
          <w:sz w:val="18"/>
        </w:rPr>
        <w:t> 光费、心电图费、</w:t>
      </w:r>
      <w:r>
        <w:rPr>
          <w:sz w:val="18"/>
        </w:rPr>
        <w:t>B</w:t>
      </w:r>
      <w:r>
        <w:rPr>
          <w:spacing w:val="-8"/>
          <w:sz w:val="18"/>
        </w:rPr>
        <w:t> 超费、脑电图费、内窥镜费、肺功能仪费、分子生化检验费和血、尿、便常规检验</w:t>
      </w:r>
    </w:p>
    <w:p>
      <w:pPr>
        <w:spacing w:before="5"/>
        <w:ind w:left="220" w:right="0" w:firstLine="0"/>
        <w:jc w:val="left"/>
        <w:rPr>
          <w:sz w:val="18"/>
        </w:rPr>
      </w:pPr>
      <w:r>
        <w:rPr>
          <w:spacing w:val="-4"/>
          <w:sz w:val="18"/>
        </w:rPr>
        <w:t>费等。</w:t>
      </w:r>
    </w:p>
    <w:p>
      <w:pPr>
        <w:spacing w:after="0"/>
        <w:jc w:val="left"/>
        <w:rPr>
          <w:sz w:val="18"/>
        </w:rPr>
        <w:sectPr>
          <w:pgSz w:w="11910" w:h="16840"/>
          <w:pgMar w:header="0" w:footer="967" w:top="1380" w:bottom="1240" w:left="860" w:right="480"/>
        </w:sectPr>
      </w:pPr>
    </w:p>
    <w:p>
      <w:pPr>
        <w:pStyle w:val="ListParagraph"/>
        <w:numPr>
          <w:ilvl w:val="1"/>
          <w:numId w:val="5"/>
        </w:numPr>
        <w:tabs>
          <w:tab w:pos="3778" w:val="left" w:leader="none"/>
        </w:tabs>
        <w:spacing w:line="240" w:lineRule="auto" w:before="56" w:after="0"/>
        <w:ind w:left="3777" w:right="0" w:hanging="721"/>
        <w:jc w:val="left"/>
        <w:rPr>
          <w:sz w:val="21"/>
        </w:rPr>
      </w:pPr>
      <w:r>
        <w:rPr>
          <w:spacing w:val="-4"/>
          <w:sz w:val="21"/>
        </w:rPr>
        <w:t>治疗费；</w:t>
      </w:r>
    </w:p>
    <w:p>
      <w:pPr>
        <w:pStyle w:val="ListParagraph"/>
        <w:numPr>
          <w:ilvl w:val="1"/>
          <w:numId w:val="5"/>
        </w:numPr>
        <w:tabs>
          <w:tab w:pos="3778" w:val="left" w:leader="none"/>
        </w:tabs>
        <w:spacing w:line="240" w:lineRule="auto" w:before="156" w:after="0"/>
        <w:ind w:left="3777" w:right="0" w:hanging="721"/>
        <w:jc w:val="left"/>
        <w:rPr>
          <w:sz w:val="21"/>
        </w:rPr>
      </w:pPr>
      <w:r>
        <w:rPr>
          <w:rFonts w:ascii="微软雅黑" w:eastAsia="微软雅黑"/>
          <w:b/>
          <w:sz w:val="21"/>
        </w:rPr>
        <w:t>陪床费</w:t>
      </w:r>
      <w:r>
        <w:rPr>
          <w:spacing w:val="-5"/>
          <w:position w:val="11"/>
          <w:sz w:val="11"/>
        </w:rPr>
        <w:t>17</w:t>
      </w:r>
      <w:r>
        <w:rPr>
          <w:spacing w:val="-5"/>
          <w:sz w:val="21"/>
        </w:rPr>
        <w:t>；</w:t>
      </w:r>
    </w:p>
    <w:p>
      <w:pPr>
        <w:pStyle w:val="ListParagraph"/>
        <w:numPr>
          <w:ilvl w:val="1"/>
          <w:numId w:val="5"/>
        </w:numPr>
        <w:tabs>
          <w:tab w:pos="3778" w:val="left" w:leader="none"/>
        </w:tabs>
        <w:spacing w:line="240" w:lineRule="auto" w:before="108" w:after="0"/>
        <w:ind w:left="3777" w:right="0" w:hanging="721"/>
        <w:jc w:val="left"/>
        <w:rPr>
          <w:sz w:val="21"/>
        </w:rPr>
      </w:pPr>
      <w:r>
        <w:rPr>
          <w:rFonts w:ascii="微软雅黑" w:eastAsia="微软雅黑"/>
          <w:b/>
          <w:sz w:val="21"/>
        </w:rPr>
        <w:t>药品费</w:t>
      </w:r>
      <w:r>
        <w:rPr>
          <w:spacing w:val="-5"/>
          <w:position w:val="11"/>
          <w:sz w:val="11"/>
        </w:rPr>
        <w:t>18</w:t>
      </w:r>
      <w:r>
        <w:rPr>
          <w:spacing w:val="-5"/>
          <w:sz w:val="21"/>
        </w:rPr>
        <w:t>；</w:t>
      </w:r>
    </w:p>
    <w:p>
      <w:pPr>
        <w:pStyle w:val="ListParagraph"/>
        <w:numPr>
          <w:ilvl w:val="1"/>
          <w:numId w:val="5"/>
        </w:numPr>
        <w:tabs>
          <w:tab w:pos="3778" w:val="left" w:leader="none"/>
        </w:tabs>
        <w:spacing w:line="240" w:lineRule="auto" w:before="105" w:after="0"/>
        <w:ind w:left="3777" w:right="0" w:hanging="721"/>
        <w:jc w:val="left"/>
        <w:rPr>
          <w:sz w:val="21"/>
        </w:rPr>
      </w:pPr>
      <w:r>
        <w:rPr>
          <w:rFonts w:ascii="微软雅黑" w:eastAsia="微软雅黑"/>
          <w:b/>
          <w:sz w:val="21"/>
        </w:rPr>
        <w:t>手术费</w:t>
      </w:r>
      <w:r>
        <w:rPr>
          <w:spacing w:val="-5"/>
          <w:position w:val="11"/>
          <w:sz w:val="11"/>
        </w:rPr>
        <w:t>19</w:t>
      </w:r>
      <w:r>
        <w:rPr>
          <w:spacing w:val="-5"/>
          <w:sz w:val="21"/>
        </w:rPr>
        <w:t>；</w:t>
      </w:r>
    </w:p>
    <w:p>
      <w:pPr>
        <w:pStyle w:val="ListParagraph"/>
        <w:numPr>
          <w:ilvl w:val="1"/>
          <w:numId w:val="5"/>
        </w:numPr>
        <w:tabs>
          <w:tab w:pos="3778" w:val="left" w:leader="none"/>
        </w:tabs>
        <w:spacing w:line="240" w:lineRule="auto" w:before="172" w:after="0"/>
        <w:ind w:left="3777" w:right="0" w:hanging="721"/>
        <w:jc w:val="left"/>
        <w:rPr>
          <w:sz w:val="21"/>
        </w:rPr>
      </w:pPr>
      <w:r>
        <w:rPr>
          <w:spacing w:val="-2"/>
          <w:sz w:val="21"/>
        </w:rPr>
        <w:t>体外膜肺氧合（ECMO）</w:t>
      </w:r>
      <w:r>
        <w:rPr>
          <w:spacing w:val="-6"/>
          <w:sz w:val="21"/>
        </w:rPr>
        <w:t>费；</w:t>
      </w:r>
    </w:p>
    <w:p>
      <w:pPr>
        <w:pStyle w:val="ListParagraph"/>
        <w:numPr>
          <w:ilvl w:val="1"/>
          <w:numId w:val="5"/>
        </w:numPr>
        <w:tabs>
          <w:tab w:pos="3778" w:val="left" w:leader="none"/>
        </w:tabs>
        <w:spacing w:line="240" w:lineRule="auto" w:before="155" w:after="0"/>
        <w:ind w:left="3777" w:right="0" w:hanging="721"/>
        <w:jc w:val="left"/>
        <w:rPr>
          <w:sz w:val="21"/>
        </w:rPr>
      </w:pPr>
      <w:r>
        <w:rPr>
          <w:rFonts w:ascii="微软雅黑" w:eastAsia="微软雅黑"/>
          <w:b/>
          <w:spacing w:val="-2"/>
          <w:sz w:val="21"/>
        </w:rPr>
        <w:t>救护车使用费</w:t>
      </w:r>
      <w:r>
        <w:rPr>
          <w:spacing w:val="-2"/>
          <w:position w:val="11"/>
          <w:sz w:val="11"/>
        </w:rPr>
        <w:t>20</w:t>
      </w:r>
      <w:r>
        <w:rPr>
          <w:spacing w:val="-10"/>
          <w:sz w:val="21"/>
        </w:rPr>
        <w:t>。</w:t>
      </w:r>
    </w:p>
    <w:p>
      <w:pPr>
        <w:pStyle w:val="Heading3"/>
        <w:numPr>
          <w:ilvl w:val="3"/>
          <w:numId w:val="3"/>
        </w:numPr>
        <w:tabs>
          <w:tab w:pos="3418" w:val="left" w:leader="none"/>
        </w:tabs>
        <w:spacing w:line="240" w:lineRule="auto" w:before="108" w:after="0"/>
        <w:ind w:left="3417" w:right="0" w:hanging="361"/>
        <w:jc w:val="left"/>
      </w:pPr>
      <w:r>
        <w:rPr>
          <w:spacing w:val="-2"/>
        </w:rPr>
        <w:t>特殊门诊医疗费用</w:t>
      </w:r>
    </w:p>
    <w:p>
      <w:pPr>
        <w:pStyle w:val="BodyText"/>
        <w:spacing w:line="300" w:lineRule="auto" w:before="172"/>
        <w:ind w:left="3057" w:right="207"/>
        <w:jc w:val="both"/>
      </w:pPr>
      <w:r>
        <w:rPr>
          <w:spacing w:val="-6"/>
        </w:rPr>
        <w:t>被保险人在其保险期间内遭受意外，或在本合同等待期后罹患本合同所定义的重</w:t>
      </w:r>
      <w:r>
        <w:rPr>
          <w:spacing w:val="-8"/>
        </w:rPr>
        <w:t>大疾病以外的疾病，在本公司指定医疗机构接受由具有相应资质的医护人员提供</w:t>
      </w:r>
      <w:r>
        <w:rPr>
          <w:spacing w:val="-9"/>
        </w:rPr>
        <w:t>的特殊门诊治疗，对由此发生的医学必需的并需要由被保险人个人支付的下列医</w:t>
      </w:r>
      <w:r>
        <w:rPr>
          <w:spacing w:val="-2"/>
        </w:rPr>
        <w:t>疗费用，本公司将按约定承担保险责任。</w:t>
      </w:r>
    </w:p>
    <w:p>
      <w:pPr>
        <w:pStyle w:val="BodyText"/>
        <w:spacing w:before="157"/>
        <w:ind w:left="3057"/>
      </w:pPr>
      <w:r>
        <w:rPr>
          <w:spacing w:val="-3"/>
        </w:rPr>
        <w:t>特殊门诊医疗费用包括：</w:t>
      </w:r>
    </w:p>
    <w:p>
      <w:pPr>
        <w:pStyle w:val="BodyText"/>
        <w:spacing w:before="5"/>
        <w:rPr>
          <w:sz w:val="17"/>
        </w:rPr>
      </w:pPr>
    </w:p>
    <w:p>
      <w:pPr>
        <w:pStyle w:val="ListParagraph"/>
        <w:numPr>
          <w:ilvl w:val="4"/>
          <w:numId w:val="3"/>
        </w:numPr>
        <w:tabs>
          <w:tab w:pos="3898" w:val="left" w:leader="none"/>
        </w:tabs>
        <w:spacing w:line="240" w:lineRule="auto" w:before="1" w:after="0"/>
        <w:ind w:left="3897" w:right="0" w:hanging="699"/>
        <w:jc w:val="left"/>
        <w:rPr>
          <w:sz w:val="21"/>
        </w:rPr>
      </w:pPr>
      <w:r>
        <w:rPr>
          <w:spacing w:val="-4"/>
          <w:sz w:val="21"/>
        </w:rPr>
        <w:t>门诊肾透析费；</w:t>
      </w:r>
    </w:p>
    <w:p>
      <w:pPr>
        <w:pStyle w:val="BodyText"/>
        <w:spacing w:before="1"/>
        <w:rPr>
          <w:sz w:val="15"/>
        </w:rPr>
      </w:pPr>
    </w:p>
    <w:p>
      <w:pPr>
        <w:pStyle w:val="ListParagraph"/>
        <w:numPr>
          <w:ilvl w:val="4"/>
          <w:numId w:val="3"/>
        </w:numPr>
        <w:tabs>
          <w:tab w:pos="3898" w:val="left" w:leader="none"/>
        </w:tabs>
        <w:spacing w:line="208" w:lineRule="auto" w:before="1" w:after="0"/>
        <w:ind w:left="3559" w:right="207" w:hanging="360"/>
        <w:jc w:val="left"/>
        <w:rPr>
          <w:sz w:val="21"/>
        </w:rPr>
      </w:pPr>
      <w:r>
        <w:rPr>
          <w:spacing w:val="-2"/>
          <w:sz w:val="21"/>
        </w:rPr>
        <w:t>门诊治疗费，包括</w:t>
      </w:r>
      <w:r>
        <w:rPr>
          <w:rFonts w:ascii="微软雅黑" w:eastAsia="微软雅黑"/>
          <w:b/>
          <w:spacing w:val="-2"/>
          <w:sz w:val="21"/>
        </w:rPr>
        <w:t>化学疗法</w:t>
      </w:r>
      <w:r>
        <w:rPr>
          <w:spacing w:val="-2"/>
          <w:position w:val="11"/>
          <w:sz w:val="11"/>
        </w:rPr>
        <w:t>21</w:t>
      </w:r>
      <w:r>
        <w:rPr>
          <w:spacing w:val="-2"/>
          <w:sz w:val="21"/>
        </w:rPr>
        <w:t>、</w:t>
      </w:r>
      <w:r>
        <w:rPr>
          <w:rFonts w:ascii="微软雅黑" w:eastAsia="微软雅黑"/>
          <w:b/>
          <w:spacing w:val="-2"/>
          <w:sz w:val="21"/>
        </w:rPr>
        <w:t>放射疗法</w:t>
      </w:r>
      <w:r>
        <w:rPr>
          <w:spacing w:val="-2"/>
          <w:position w:val="11"/>
          <w:sz w:val="11"/>
        </w:rPr>
        <w:t>22</w:t>
      </w:r>
      <w:r>
        <w:rPr>
          <w:spacing w:val="-2"/>
          <w:sz w:val="21"/>
        </w:rPr>
        <w:t>、</w:t>
      </w:r>
      <w:r>
        <w:rPr>
          <w:rFonts w:ascii="微软雅黑" w:eastAsia="微软雅黑"/>
          <w:b/>
          <w:spacing w:val="-2"/>
          <w:sz w:val="21"/>
        </w:rPr>
        <w:t>肿瘤免疫疗法</w:t>
      </w:r>
      <w:r>
        <w:rPr>
          <w:spacing w:val="-2"/>
          <w:position w:val="11"/>
          <w:sz w:val="11"/>
        </w:rPr>
        <w:t>23</w:t>
      </w:r>
      <w:r>
        <w:rPr>
          <w:spacing w:val="-14"/>
          <w:sz w:val="21"/>
        </w:rPr>
        <w:t>、 </w:t>
      </w:r>
      <w:r>
        <w:rPr>
          <w:rFonts w:ascii="微软雅黑" w:eastAsia="微软雅黑"/>
          <w:b/>
          <w:spacing w:val="-2"/>
          <w:sz w:val="21"/>
        </w:rPr>
        <w:t>肿瘤内分</w:t>
      </w:r>
      <w:r>
        <w:rPr>
          <w:rFonts w:ascii="微软雅黑" w:eastAsia="微软雅黑"/>
          <w:b/>
          <w:spacing w:val="-2"/>
          <w:sz w:val="21"/>
        </w:rPr>
        <w:t>泌疗法</w:t>
      </w:r>
      <w:r>
        <w:rPr>
          <w:spacing w:val="-2"/>
          <w:position w:val="11"/>
          <w:sz w:val="11"/>
        </w:rPr>
        <w:t>24</w:t>
      </w:r>
      <w:r>
        <w:rPr>
          <w:spacing w:val="-2"/>
          <w:sz w:val="21"/>
        </w:rPr>
        <w:t>、</w:t>
      </w:r>
      <w:r>
        <w:rPr>
          <w:rFonts w:ascii="微软雅黑" w:eastAsia="微软雅黑"/>
          <w:b/>
          <w:spacing w:val="-2"/>
          <w:sz w:val="21"/>
        </w:rPr>
        <w:t>肿瘤靶向疗法</w:t>
      </w:r>
      <w:r>
        <w:rPr>
          <w:spacing w:val="-2"/>
          <w:position w:val="11"/>
          <w:sz w:val="11"/>
        </w:rPr>
        <w:t>25</w:t>
      </w:r>
      <w:r>
        <w:rPr>
          <w:spacing w:val="-2"/>
          <w:sz w:val="21"/>
        </w:rPr>
        <w:t>的治疗费用；</w:t>
      </w:r>
    </w:p>
    <w:p>
      <w:pPr>
        <w:pStyle w:val="ListParagraph"/>
        <w:numPr>
          <w:ilvl w:val="4"/>
          <w:numId w:val="3"/>
        </w:numPr>
        <w:tabs>
          <w:tab w:pos="3898" w:val="left" w:leader="none"/>
        </w:tabs>
        <w:spacing w:line="240" w:lineRule="auto" w:before="185" w:after="0"/>
        <w:ind w:left="3897" w:right="0" w:hanging="699"/>
        <w:jc w:val="left"/>
        <w:rPr>
          <w:sz w:val="21"/>
        </w:rPr>
      </w:pPr>
      <w:r>
        <w:rPr>
          <w:spacing w:val="-3"/>
          <w:sz w:val="21"/>
        </w:rPr>
        <w:t>器官移植后的门诊抗排异治疗费。</w:t>
      </w:r>
    </w:p>
    <w:p>
      <w:pPr>
        <w:pStyle w:val="Heading3"/>
        <w:numPr>
          <w:ilvl w:val="3"/>
          <w:numId w:val="3"/>
        </w:numPr>
        <w:tabs>
          <w:tab w:pos="3418" w:val="left" w:leader="none"/>
        </w:tabs>
        <w:spacing w:line="240" w:lineRule="auto" w:before="158" w:after="0"/>
        <w:ind w:left="3417" w:right="0" w:hanging="361"/>
        <w:jc w:val="left"/>
      </w:pPr>
      <w:r>
        <w:rPr>
          <w:spacing w:val="-2"/>
        </w:rPr>
        <w:t>门诊手术医疗费用</w:t>
      </w:r>
    </w:p>
    <w:p>
      <w:pPr>
        <w:pStyle w:val="BodyText"/>
        <w:spacing w:before="173"/>
        <w:ind w:left="3057"/>
      </w:pPr>
      <w:r>
        <w:rPr>
          <w:spacing w:val="-7"/>
        </w:rPr>
        <w:t>被保险人在其保险期间内遭受意外，或在本合同等待期后罹患本合同所定义的重</w:t>
      </w:r>
    </w:p>
    <w:p>
      <w:pPr>
        <w:pStyle w:val="BodyText"/>
        <w:spacing w:before="2"/>
        <w:rPr>
          <w:sz w:val="13"/>
        </w:rPr>
      </w:pPr>
      <w:r>
        <w:rPr/>
        <w:drawing>
          <wp:anchor distT="0" distB="0" distL="0" distR="0" allowOverlap="1" layoutInCell="1" locked="0" behindDoc="0" simplePos="0" relativeHeight="6">
            <wp:simplePos x="0" y="0"/>
            <wp:positionH relativeFrom="page">
              <wp:posOffset>685800</wp:posOffset>
            </wp:positionH>
            <wp:positionV relativeFrom="paragraph">
              <wp:posOffset>122602</wp:posOffset>
            </wp:positionV>
            <wp:extent cx="1829396" cy="6096"/>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1829396" cy="6096"/>
                    </a:xfrm>
                    <a:prstGeom prst="rect">
                      <a:avLst/>
                    </a:prstGeom>
                  </pic:spPr>
                </pic:pic>
              </a:graphicData>
            </a:graphic>
          </wp:anchor>
        </w:drawing>
      </w:r>
    </w:p>
    <w:p>
      <w:pPr>
        <w:spacing w:line="208" w:lineRule="auto" w:before="67"/>
        <w:ind w:left="220" w:right="707" w:firstLine="0"/>
        <w:jc w:val="left"/>
        <w:rPr>
          <w:sz w:val="18"/>
        </w:rPr>
      </w:pPr>
      <w:r>
        <w:rPr>
          <w:position w:val="9"/>
          <w:sz w:val="9"/>
        </w:rPr>
        <w:t>17</w:t>
      </w:r>
      <w:r>
        <w:rPr>
          <w:rFonts w:ascii="Microsoft JhengHei" w:eastAsia="Microsoft JhengHei"/>
          <w:b/>
          <w:sz w:val="18"/>
        </w:rPr>
        <w:t>陪床费：</w:t>
      </w:r>
      <w:r>
        <w:rPr>
          <w:spacing w:val="-15"/>
          <w:sz w:val="18"/>
        </w:rPr>
        <w:t>未满 </w:t>
      </w:r>
      <w:r>
        <w:rPr>
          <w:sz w:val="18"/>
        </w:rPr>
        <w:t>18</w:t>
      </w:r>
      <w:r>
        <w:rPr>
          <w:spacing w:val="-7"/>
          <w:sz w:val="18"/>
        </w:rPr>
        <w:t> 周岁被保险人住院期间其父亲或母亲</w:t>
      </w:r>
      <w:r>
        <w:rPr>
          <w:sz w:val="18"/>
        </w:rPr>
        <w:t>（限一名）</w:t>
      </w:r>
      <w:r>
        <w:rPr>
          <w:spacing w:val="-3"/>
          <w:sz w:val="18"/>
        </w:rPr>
        <w:t>或被保险人住院期间其出生未满 </w:t>
      </w:r>
      <w:r>
        <w:rPr>
          <w:sz w:val="18"/>
        </w:rPr>
        <w:t>16</w:t>
      </w:r>
      <w:r>
        <w:rPr>
          <w:spacing w:val="-7"/>
          <w:sz w:val="18"/>
        </w:rPr>
        <w:t> 周的新生儿陪同住院</w:t>
      </w:r>
      <w:r>
        <w:rPr>
          <w:spacing w:val="-2"/>
          <w:sz w:val="18"/>
        </w:rPr>
        <w:t>加床费以及医疗机构提供的膳食费。</w:t>
      </w:r>
    </w:p>
    <w:p>
      <w:pPr>
        <w:spacing w:line="260" w:lineRule="exact" w:before="0"/>
        <w:ind w:left="220" w:right="0" w:firstLine="0"/>
        <w:jc w:val="left"/>
        <w:rPr>
          <w:sz w:val="18"/>
        </w:rPr>
      </w:pPr>
      <w:r>
        <w:rPr>
          <w:position w:val="9"/>
          <w:sz w:val="9"/>
        </w:rPr>
        <w:t>18</w:t>
      </w:r>
      <w:r>
        <w:rPr>
          <w:rFonts w:ascii="Microsoft JhengHei" w:eastAsia="Microsoft JhengHei"/>
          <w:b/>
          <w:sz w:val="18"/>
        </w:rPr>
        <w:t>药品费：</w:t>
      </w:r>
      <w:r>
        <w:rPr>
          <w:spacing w:val="-1"/>
          <w:sz w:val="18"/>
        </w:rPr>
        <w:t>指实际发生的合理且必要的、由医生开具的、具有国家药品监督管理部门核发的药品批准文号或者进口药品注册</w:t>
      </w:r>
    </w:p>
    <w:p>
      <w:pPr>
        <w:spacing w:line="211" w:lineRule="exact" w:before="0" w:after="4"/>
        <w:ind w:left="220" w:right="0" w:firstLine="0"/>
        <w:jc w:val="left"/>
        <w:rPr>
          <w:sz w:val="18"/>
        </w:rPr>
      </w:pPr>
      <w:r>
        <w:rPr>
          <w:sz w:val="18"/>
        </w:rPr>
        <w:t>证书、医药产品注册证书的国产或进口药品的费用。</w:t>
      </w:r>
      <w:r>
        <w:rPr>
          <w:color w:val="000000"/>
          <w:spacing w:val="-1"/>
          <w:sz w:val="18"/>
          <w:shd w:fill="E4E4E4" w:color="auto" w:val="clear"/>
        </w:rPr>
        <w:t>但不包括营养补充类药品、免疫功能调节类药品、美容及减肥类药品，</w:t>
      </w:r>
    </w:p>
    <w:p>
      <w:pPr>
        <w:pStyle w:val="BodyText"/>
        <w:ind w:left="220"/>
        <w:rPr>
          <w:sz w:val="20"/>
        </w:rPr>
      </w:pPr>
      <w:r>
        <w:rPr>
          <w:sz w:val="20"/>
        </w:rPr>
        <w:pict>
          <v:shape style="width:486.25pt;height:23.3pt;mso-position-horizontal-relative:char;mso-position-vertical-relative:line" type="#_x0000_t202" id="docshape3" filled="true" fillcolor="#e4e4e4" stroked="false">
            <w10:anchorlock/>
            <v:textbox inset="0,0,0,0">
              <w:txbxContent>
                <w:p>
                  <w:pPr>
                    <w:spacing w:line="242" w:lineRule="auto" w:before="0"/>
                    <w:ind w:left="0" w:right="0" w:firstLine="0"/>
                    <w:jc w:val="left"/>
                    <w:rPr>
                      <w:color w:val="000000"/>
                      <w:sz w:val="18"/>
                    </w:rPr>
                  </w:pPr>
                  <w:r>
                    <w:rPr>
                      <w:color w:val="000000"/>
                      <w:spacing w:val="-2"/>
                      <w:sz w:val="18"/>
                    </w:rPr>
                    <w:t>预防类药品、非医院药房购买的药品以及下列中药类药品：（1）主要起营养滋补作用的单方、复方中药或中成药品，如花旗</w:t>
                  </w:r>
                  <w:r>
                    <w:rPr>
                      <w:color w:val="000000"/>
                      <w:spacing w:val="-3"/>
                      <w:sz w:val="18"/>
                    </w:rPr>
                    <w:t>参，冬虫草，白糖参，朝鲜红参，玳瑁，蛤蚧，珊瑚，狗宝，红参，琥珀，灵芝，羚羊角尖粉，马宝，玛瑙，牛黄，麝香，</w:t>
                  </w:r>
                </w:p>
              </w:txbxContent>
            </v:textbox>
            <v:fill type="solid"/>
          </v:shape>
        </w:pict>
      </w:r>
      <w:r>
        <w:rPr>
          <w:sz w:val="20"/>
        </w:rPr>
      </w:r>
    </w:p>
    <w:p>
      <w:pPr>
        <w:spacing w:line="201" w:lineRule="exact" w:before="0"/>
        <w:ind w:left="220" w:right="0" w:firstLine="0"/>
        <w:jc w:val="left"/>
        <w:rPr>
          <w:sz w:val="18"/>
        </w:rPr>
      </w:pPr>
      <w:r>
        <w:rPr>
          <w:color w:val="000000"/>
          <w:spacing w:val="-2"/>
          <w:sz w:val="18"/>
          <w:shd w:fill="E4E4E4" w:color="auto" w:val="clear"/>
        </w:rPr>
        <w:t>西红花，血竭，燕窝，野山参，移山参，珍珠（粉）</w:t>
      </w:r>
      <w:r>
        <w:rPr>
          <w:color w:val="000000"/>
          <w:spacing w:val="-4"/>
          <w:sz w:val="18"/>
          <w:shd w:fill="E4E4E4" w:color="auto" w:val="clear"/>
        </w:rPr>
        <w:t>，紫河车，阿胶，阿胶珠，血宝胶囊，红桃 </w:t>
      </w:r>
      <w:r>
        <w:rPr>
          <w:color w:val="000000"/>
          <w:spacing w:val="-2"/>
          <w:sz w:val="18"/>
          <w:shd w:fill="E4E4E4" w:color="auto" w:val="clear"/>
        </w:rPr>
        <w:t>K</w:t>
      </w:r>
      <w:r>
        <w:rPr>
          <w:color w:val="000000"/>
          <w:spacing w:val="-9"/>
          <w:sz w:val="18"/>
          <w:shd w:fill="E4E4E4" w:color="auto" w:val="clear"/>
        </w:rPr>
        <w:t> 口服液，十全大补丸，十</w:t>
      </w:r>
    </w:p>
    <w:p>
      <w:pPr>
        <w:spacing w:line="244" w:lineRule="auto" w:before="2"/>
        <w:ind w:left="220" w:right="623" w:firstLine="0"/>
        <w:jc w:val="left"/>
        <w:rPr>
          <w:sz w:val="18"/>
        </w:rPr>
      </w:pPr>
      <w:r>
        <w:rPr>
          <w:color w:val="000000"/>
          <w:spacing w:val="-4"/>
          <w:sz w:val="18"/>
          <w:shd w:fill="E4E4E4" w:color="auto" w:val="clear"/>
        </w:rPr>
        <w:t>全大补膏等；（2）部分可以入药的动物及动物脏器，如鹿茸，海马，胎盘，鞭，尾，筋，骨等；（3）用中药材和中药饮片炮</w:t>
      </w:r>
      <w:r>
        <w:rPr>
          <w:color w:val="000000"/>
          <w:spacing w:val="-2"/>
          <w:sz w:val="18"/>
          <w:shd w:fill="E4E4E4" w:color="auto" w:val="clear"/>
        </w:rPr>
        <w:t>制的各类酒制剂等。</w:t>
      </w:r>
    </w:p>
    <w:p>
      <w:pPr>
        <w:spacing w:line="250" w:lineRule="exact" w:before="0"/>
        <w:ind w:left="220" w:right="0" w:firstLine="0"/>
        <w:jc w:val="left"/>
        <w:rPr>
          <w:sz w:val="18"/>
        </w:rPr>
      </w:pPr>
      <w:r>
        <w:rPr>
          <w:position w:val="9"/>
          <w:sz w:val="9"/>
        </w:rPr>
        <w:t>19</w:t>
      </w:r>
      <w:r>
        <w:rPr>
          <w:rFonts w:ascii="Microsoft JhengHei" w:eastAsia="Microsoft JhengHei"/>
          <w:b/>
          <w:sz w:val="18"/>
        </w:rPr>
        <w:t>手术费：</w:t>
      </w:r>
      <w:r>
        <w:rPr>
          <w:spacing w:val="-1"/>
          <w:sz w:val="18"/>
        </w:rPr>
        <w:t>指当地卫生行政部门规定的手术项目的费用。包括手术室费、麻醉费、手术监测费、手术材料费、术中用药费、</w:t>
      </w:r>
    </w:p>
    <w:p>
      <w:pPr>
        <w:spacing w:line="183" w:lineRule="exact" w:before="0"/>
        <w:ind w:left="220" w:right="0" w:firstLine="0"/>
        <w:jc w:val="left"/>
        <w:rPr>
          <w:sz w:val="18"/>
        </w:rPr>
      </w:pPr>
      <w:r>
        <w:rPr>
          <w:sz w:val="18"/>
        </w:rPr>
        <w:t>手术设备费；若因器官移植而发生的手术费用，</w:t>
      </w:r>
      <w:r>
        <w:rPr>
          <w:color w:val="000000"/>
          <w:spacing w:val="-1"/>
          <w:sz w:val="18"/>
          <w:shd w:fill="E4E4E4" w:color="auto" w:val="clear"/>
        </w:rPr>
        <w:t>不包括器官本身的费用和获取器官过程中的费用。</w:t>
      </w:r>
    </w:p>
    <w:p>
      <w:pPr>
        <w:spacing w:line="254" w:lineRule="exact" w:before="0"/>
        <w:ind w:left="220" w:right="0" w:firstLine="0"/>
        <w:jc w:val="left"/>
        <w:rPr>
          <w:sz w:val="18"/>
        </w:rPr>
      </w:pPr>
      <w:r>
        <w:rPr>
          <w:position w:val="9"/>
          <w:sz w:val="9"/>
        </w:rPr>
        <w:t>20</w:t>
      </w:r>
      <w:r>
        <w:rPr>
          <w:rFonts w:ascii="Microsoft JhengHei" w:eastAsia="Microsoft JhengHei"/>
          <w:b/>
          <w:sz w:val="18"/>
        </w:rPr>
        <w:t>救护车使用费：</w:t>
      </w:r>
      <w:r>
        <w:rPr>
          <w:spacing w:val="-1"/>
          <w:sz w:val="18"/>
        </w:rPr>
        <w:t>住院前或住院期间转诊时发生的同城急救车费。</w:t>
      </w:r>
    </w:p>
    <w:p>
      <w:pPr>
        <w:spacing w:line="264" w:lineRule="exact" w:before="0"/>
        <w:ind w:left="220" w:right="0" w:firstLine="0"/>
        <w:jc w:val="left"/>
        <w:rPr>
          <w:sz w:val="18"/>
        </w:rPr>
      </w:pPr>
      <w:r>
        <w:rPr>
          <w:position w:val="9"/>
          <w:sz w:val="9"/>
        </w:rPr>
        <w:t>21</w:t>
      </w:r>
      <w:r>
        <w:rPr>
          <w:rFonts w:ascii="Microsoft JhengHei" w:eastAsia="Microsoft JhengHei"/>
          <w:b/>
          <w:sz w:val="18"/>
        </w:rPr>
        <w:t>化学疗法：</w:t>
      </w:r>
      <w:r>
        <w:rPr>
          <w:spacing w:val="-1"/>
          <w:sz w:val="18"/>
        </w:rPr>
        <w:t>指针对于恶性肿瘤的化学治疗。化疗是使用医学界公认的化疗药物以杀死癌细胞、抑制癌细胞生长繁殖为目的</w:t>
      </w:r>
    </w:p>
    <w:p>
      <w:pPr>
        <w:spacing w:line="183" w:lineRule="exact" w:before="0"/>
        <w:ind w:left="220" w:right="0" w:firstLine="0"/>
        <w:jc w:val="left"/>
        <w:rPr>
          <w:sz w:val="18"/>
        </w:rPr>
      </w:pPr>
      <w:r>
        <w:rPr>
          <w:spacing w:val="-1"/>
          <w:sz w:val="18"/>
        </w:rPr>
        <w:t>而进行的治疗。本合同所指的化疗为被保险人根据医嘱，在医院进行的化疗。</w:t>
      </w:r>
    </w:p>
    <w:p>
      <w:pPr>
        <w:spacing w:line="283" w:lineRule="exact" w:before="0"/>
        <w:ind w:left="220" w:right="0" w:firstLine="0"/>
        <w:jc w:val="left"/>
        <w:rPr>
          <w:sz w:val="18"/>
        </w:rPr>
      </w:pPr>
      <w:r>
        <w:rPr>
          <w:position w:val="9"/>
          <w:sz w:val="9"/>
        </w:rPr>
        <w:t>22</w:t>
      </w:r>
      <w:r>
        <w:rPr>
          <w:rFonts w:ascii="Microsoft JhengHei" w:eastAsia="Microsoft JhengHei"/>
          <w:b/>
          <w:sz w:val="18"/>
        </w:rPr>
        <w:t>放射疗法：</w:t>
      </w:r>
      <w:r>
        <w:rPr>
          <w:spacing w:val="-1"/>
          <w:sz w:val="18"/>
        </w:rPr>
        <w:t>指针对恶性肿瘤的放射治疗。放疗是使用各种不同能量的射线照射肿瘤组织，以抑制和杀灭癌细胞为目的而进</w:t>
      </w:r>
    </w:p>
    <w:p>
      <w:pPr>
        <w:spacing w:line="184" w:lineRule="exact" w:before="0"/>
        <w:ind w:left="220" w:right="0" w:firstLine="0"/>
        <w:jc w:val="left"/>
        <w:rPr>
          <w:sz w:val="18"/>
        </w:rPr>
      </w:pPr>
      <w:r>
        <w:rPr>
          <w:spacing w:val="-1"/>
          <w:sz w:val="18"/>
        </w:rPr>
        <w:t>行的治疗。本合同所指的放疗为被保险人根据医嘱，在医院的专门科室进行的放疗。</w:t>
      </w:r>
    </w:p>
    <w:p>
      <w:pPr>
        <w:spacing w:line="284" w:lineRule="exact" w:before="0"/>
        <w:ind w:left="220" w:right="0" w:firstLine="0"/>
        <w:jc w:val="left"/>
        <w:rPr>
          <w:sz w:val="18"/>
        </w:rPr>
      </w:pPr>
      <w:r>
        <w:rPr>
          <w:position w:val="9"/>
          <w:sz w:val="9"/>
        </w:rPr>
        <w:t>23</w:t>
      </w:r>
      <w:r>
        <w:rPr>
          <w:rFonts w:ascii="Microsoft JhengHei" w:eastAsia="Microsoft JhengHei"/>
          <w:b/>
          <w:sz w:val="18"/>
        </w:rPr>
        <w:t>肿瘤免疫疗法：</w:t>
      </w:r>
      <w:r>
        <w:rPr>
          <w:spacing w:val="-1"/>
          <w:sz w:val="18"/>
        </w:rPr>
        <w:t>指应用免疫学原理和方法，使用肿瘤免疫治疗药物提高肿瘤细胞的免疫原性和对效应细胞杀伤的敏感性，</w:t>
      </w:r>
    </w:p>
    <w:p>
      <w:pPr>
        <w:spacing w:line="211" w:lineRule="exact" w:before="0"/>
        <w:ind w:left="220" w:right="0" w:firstLine="0"/>
        <w:jc w:val="left"/>
        <w:rPr>
          <w:sz w:val="18"/>
        </w:rPr>
      </w:pPr>
      <w:r>
        <w:rPr>
          <w:spacing w:val="-1"/>
          <w:sz w:val="18"/>
        </w:rPr>
        <w:t>激发和增强机体抗肿瘤免疫应答。本合同所指的肿瘤免疫治疗药物需符合法律、法规要求并经过国家食品药品监督管理总局</w:t>
      </w:r>
    </w:p>
    <w:p>
      <w:pPr>
        <w:spacing w:line="203" w:lineRule="exact" w:before="2"/>
        <w:ind w:left="220" w:right="0" w:firstLine="0"/>
        <w:jc w:val="left"/>
        <w:rPr>
          <w:sz w:val="18"/>
        </w:rPr>
      </w:pPr>
      <w:r>
        <w:rPr>
          <w:spacing w:val="-2"/>
          <w:sz w:val="18"/>
        </w:rPr>
        <w:t>批准用于临床治疗。</w:t>
      </w:r>
    </w:p>
    <w:p>
      <w:pPr>
        <w:spacing w:line="284" w:lineRule="exact" w:before="0"/>
        <w:ind w:left="220" w:right="0" w:firstLine="0"/>
        <w:jc w:val="left"/>
        <w:rPr>
          <w:sz w:val="18"/>
        </w:rPr>
      </w:pPr>
      <w:r>
        <w:rPr>
          <w:position w:val="9"/>
          <w:sz w:val="9"/>
        </w:rPr>
        <w:t>24</w:t>
      </w:r>
      <w:r>
        <w:rPr>
          <w:rFonts w:ascii="Microsoft JhengHei" w:eastAsia="Microsoft JhengHei"/>
          <w:b/>
          <w:sz w:val="18"/>
        </w:rPr>
        <w:t>肿瘤内分泌疗法：</w:t>
      </w:r>
      <w:r>
        <w:rPr>
          <w:spacing w:val="-1"/>
          <w:sz w:val="18"/>
        </w:rPr>
        <w:t>指针对于恶性肿瘤的内分泌疗法，用药物抑制激素生成和激素反应，杀死癌细胞或抑制癌细胞的生长。</w:t>
      </w:r>
    </w:p>
    <w:p>
      <w:pPr>
        <w:spacing w:line="183" w:lineRule="exact" w:before="0"/>
        <w:ind w:left="220" w:right="0" w:firstLine="0"/>
        <w:jc w:val="left"/>
        <w:rPr>
          <w:sz w:val="18"/>
        </w:rPr>
      </w:pPr>
      <w:r>
        <w:rPr>
          <w:spacing w:val="-1"/>
          <w:sz w:val="18"/>
        </w:rPr>
        <w:t>本合同所指的内分泌治疗药物需符合法律、法规要求并经过国家食品药品监督管理总局批准用于临床治疗。</w:t>
      </w:r>
    </w:p>
    <w:p>
      <w:pPr>
        <w:spacing w:line="283" w:lineRule="exact" w:before="0"/>
        <w:ind w:left="220" w:right="0" w:firstLine="0"/>
        <w:jc w:val="left"/>
        <w:rPr>
          <w:sz w:val="18"/>
        </w:rPr>
      </w:pPr>
      <w:r>
        <w:rPr>
          <w:position w:val="9"/>
          <w:sz w:val="9"/>
        </w:rPr>
        <w:t>25</w:t>
      </w:r>
      <w:r>
        <w:rPr>
          <w:rFonts w:ascii="Microsoft JhengHei" w:eastAsia="Microsoft JhengHei"/>
          <w:b/>
          <w:sz w:val="18"/>
        </w:rPr>
        <w:t>肿瘤靶向疗法：</w:t>
      </w:r>
      <w:r>
        <w:rPr>
          <w:spacing w:val="-1"/>
          <w:sz w:val="18"/>
        </w:rPr>
        <w:t>指在细胞分子水平上，针对已经明确的致癌点来设计相应的靶向治疗药物，利用具有一定特异性的载体，</w:t>
      </w:r>
    </w:p>
    <w:p>
      <w:pPr>
        <w:spacing w:line="211" w:lineRule="exact" w:before="0"/>
        <w:ind w:left="220" w:right="0" w:firstLine="0"/>
        <w:jc w:val="left"/>
        <w:rPr>
          <w:sz w:val="18"/>
        </w:rPr>
      </w:pPr>
      <w:r>
        <w:rPr>
          <w:spacing w:val="-1"/>
          <w:sz w:val="18"/>
        </w:rPr>
        <w:t>将药物或其他杀伤肿瘤细胞的活性物质选择性地运送到肿瘤部位攻击癌细胞的疗法。本合同所指的靶向治疗药物需符合法</w:t>
      </w:r>
    </w:p>
    <w:p>
      <w:pPr>
        <w:spacing w:before="5"/>
        <w:ind w:left="220" w:right="0" w:firstLine="0"/>
        <w:jc w:val="left"/>
        <w:rPr>
          <w:sz w:val="18"/>
        </w:rPr>
      </w:pPr>
      <w:r>
        <w:rPr>
          <w:spacing w:val="-1"/>
          <w:sz w:val="18"/>
        </w:rPr>
        <w:t>律、法规要求并经过国家食品药品监督管理总局批准用于临床治疗。</w:t>
      </w:r>
    </w:p>
    <w:p>
      <w:pPr>
        <w:spacing w:after="0"/>
        <w:jc w:val="left"/>
        <w:rPr>
          <w:sz w:val="18"/>
        </w:rPr>
        <w:sectPr>
          <w:pgSz w:w="11910" w:h="16840"/>
          <w:pgMar w:header="0" w:footer="967" w:top="1400" w:bottom="1240" w:left="860" w:right="480"/>
        </w:sectPr>
      </w:pPr>
    </w:p>
    <w:p>
      <w:pPr>
        <w:pStyle w:val="BodyText"/>
        <w:spacing w:line="300" w:lineRule="auto" w:before="56"/>
        <w:ind w:left="3057" w:right="152"/>
        <w:jc w:val="both"/>
      </w:pPr>
      <w:r>
        <w:rPr>
          <w:spacing w:val="-8"/>
        </w:rPr>
        <w:t>大疾病以外的疾病，在本公司指定医疗机构接受由具有相应资质的医护人员提供</w:t>
      </w:r>
      <w:r>
        <w:rPr>
          <w:spacing w:val="-2"/>
        </w:rPr>
        <w:t>的门诊手术，对由此发生的医学必需的并需要由被保险人个人支付的医疗费用，</w:t>
      </w:r>
      <w:r>
        <w:rPr>
          <w:spacing w:val="-2"/>
        </w:rPr>
        <w:t>本公司将按约定承担保险责任。</w:t>
      </w:r>
    </w:p>
    <w:p>
      <w:pPr>
        <w:pStyle w:val="Heading3"/>
        <w:numPr>
          <w:ilvl w:val="3"/>
          <w:numId w:val="3"/>
        </w:numPr>
        <w:tabs>
          <w:tab w:pos="3418" w:val="left" w:leader="none"/>
        </w:tabs>
        <w:spacing w:line="240" w:lineRule="auto" w:before="91" w:after="0"/>
        <w:ind w:left="3417" w:right="0" w:hanging="361"/>
        <w:jc w:val="left"/>
      </w:pPr>
      <w:r>
        <w:rPr>
          <w:spacing w:val="-3"/>
        </w:rPr>
        <w:t>住院前后门急诊医疗费用</w:t>
      </w:r>
    </w:p>
    <w:p>
      <w:pPr>
        <w:pStyle w:val="BodyText"/>
        <w:spacing w:line="300" w:lineRule="auto" w:before="172"/>
        <w:ind w:left="3057" w:right="101"/>
      </w:pPr>
      <w:r>
        <w:rPr>
          <w:spacing w:val="-6"/>
        </w:rPr>
        <w:t>被保险人在其保险期间内遭受意外，或在本合同等待期后罹患本合同所定义的重</w:t>
      </w:r>
      <w:r>
        <w:rPr>
          <w:spacing w:val="-8"/>
        </w:rPr>
        <w:t>大疾病以外的疾病，在本公司指定医疗机构接受由具有相应资质的医护人员诊断</w:t>
      </w:r>
      <w:r>
        <w:rPr>
          <w:spacing w:val="-2"/>
        </w:rPr>
        <w:t>必须住院的，在住院前 </w:t>
      </w:r>
      <w:r>
        <w:rPr/>
        <w:t>7</w:t>
      </w:r>
      <w:r>
        <w:rPr>
          <w:spacing w:val="-12"/>
        </w:rPr>
        <w:t> 日</w:t>
      </w:r>
      <w:r>
        <w:rPr/>
        <w:t>（含住院当日）</w:t>
      </w:r>
      <w:r>
        <w:rPr>
          <w:spacing w:val="-4"/>
        </w:rPr>
        <w:t>和出院后 </w:t>
      </w:r>
      <w:r>
        <w:rPr/>
        <w:t>30</w:t>
      </w:r>
      <w:r>
        <w:rPr>
          <w:spacing w:val="-12"/>
        </w:rPr>
        <w:t> 日</w:t>
      </w:r>
      <w:r>
        <w:rPr/>
        <w:t>（含出院当日）内，</w:t>
      </w:r>
      <w:r>
        <w:rPr>
          <w:spacing w:val="-5"/>
        </w:rPr>
        <w:t>因与该次住院相同原因而接受门急诊治疗的，对由此发生的医学必需的并需要由</w:t>
      </w:r>
      <w:r>
        <w:rPr>
          <w:spacing w:val="-7"/>
        </w:rPr>
        <w:t>被保险人个人支付的医疗费用</w:t>
      </w:r>
      <w:r>
        <w:rPr>
          <w:spacing w:val="-2"/>
        </w:rPr>
        <w:t>（</w:t>
      </w:r>
      <w:r>
        <w:rPr>
          <w:color w:val="000000"/>
          <w:spacing w:val="-2"/>
          <w:shd w:fill="D2D2D2" w:color="auto" w:val="clear"/>
        </w:rPr>
        <w:t>不包括特殊门诊医疗费用及门诊手术医疗费用</w:t>
      </w:r>
      <w:r>
        <w:rPr>
          <w:color w:val="000000"/>
          <w:spacing w:val="-106"/>
          <w:shd w:fill="D2D2D2" w:color="auto" w:val="clear"/>
        </w:rPr>
        <w:t>）</w:t>
      </w:r>
      <w:r>
        <w:rPr>
          <w:color w:val="000000"/>
        </w:rPr>
        <w:t>，</w:t>
      </w:r>
      <w:r>
        <w:rPr>
          <w:color w:val="000000"/>
          <w:spacing w:val="-2"/>
        </w:rPr>
        <w:t>本公司将按约定承担保险责任。</w:t>
      </w:r>
    </w:p>
    <w:p>
      <w:pPr>
        <w:pStyle w:val="BodyText"/>
        <w:spacing w:line="300" w:lineRule="auto" w:before="159"/>
        <w:ind w:left="3057" w:right="207"/>
      </w:pPr>
      <w:r>
        <w:rPr>
          <w:spacing w:val="-2"/>
        </w:rPr>
        <w:t>一般医疗保险责任的公共保险金额、赔付比例、医疗机构、免赔额具体由投保人</w:t>
      </w:r>
      <w:r>
        <w:rPr>
          <w:spacing w:val="-2"/>
        </w:rPr>
        <w:t>与本公司约定，并在本合同内载明。</w:t>
      </w:r>
    </w:p>
    <w:p>
      <w:pPr>
        <w:pStyle w:val="BodyText"/>
        <w:spacing w:line="302" w:lineRule="auto" w:before="156"/>
        <w:ind w:left="3057" w:right="207"/>
      </w:pPr>
      <w:r>
        <w:rPr>
          <w:color w:val="000000"/>
          <w:spacing w:val="-4"/>
          <w:shd w:fill="E4E4E4" w:color="auto" w:val="clear"/>
        </w:rPr>
        <w:t>若被保险人在本合同等待期内因非意外的原因发生的以上四类医疗费用，本公司</w:t>
      </w:r>
      <w:r>
        <w:rPr>
          <w:color w:val="000000"/>
          <w:spacing w:val="80"/>
          <w:w w:val="150"/>
          <w:shd w:fill="E4E4E4" w:color="auto" w:val="clear"/>
        </w:rPr>
        <w:t>                                        </w:t>
      </w:r>
      <w:r>
        <w:rPr>
          <w:color w:val="000000"/>
          <w:spacing w:val="-2"/>
          <w:shd w:fill="E4E4E4" w:color="auto" w:val="clear"/>
        </w:rPr>
        <w:t>不承担一般医疗保险责任。</w:t>
      </w:r>
    </w:p>
    <w:p>
      <w:pPr>
        <w:pStyle w:val="BodyText"/>
        <w:spacing w:line="300" w:lineRule="auto" w:before="152"/>
        <w:ind w:left="3057" w:right="207"/>
        <w:jc w:val="both"/>
      </w:pPr>
      <w:r>
        <w:rPr>
          <w:spacing w:val="1"/>
          <w:w w:val="100"/>
        </w:rPr>
        <w:t>本公司在保险期间内对同一团体累计给付的一般医疗保险金以该团体所对应的</w:t>
      </w:r>
      <w:r>
        <w:rPr>
          <w:spacing w:val="-6"/>
          <w:w w:val="100"/>
        </w:rPr>
        <w:t>一般医疗保险责任的公共保险金额为限。</w:t>
      </w:r>
      <w:r>
        <w:rPr>
          <w:color w:val="000000"/>
          <w:spacing w:val="-3"/>
          <w:w w:val="100"/>
          <w:shd w:fill="E4E4E4" w:color="auto" w:val="clear"/>
        </w:rPr>
        <w:t>本公司对于以上四类医疗费用向该团体</w:t>
      </w:r>
      <w:r>
        <w:rPr>
          <w:color w:val="000000"/>
          <w:spacing w:val="-3"/>
          <w:w w:val="100"/>
          <w:shd w:fill="E4E4E4" w:color="auto" w:val="clear"/>
        </w:rPr>
        <w:t>                                                                                                                                        </w:t>
      </w:r>
      <w:r>
        <w:rPr>
          <w:color w:val="000000"/>
          <w:spacing w:val="1"/>
          <w:w w:val="100"/>
          <w:shd w:fill="E4E4E4" w:color="auto" w:val="clear"/>
        </w:rPr>
        <w:t>累计给付的一般医疗保险金达到该团体所对应的一般医疗保险责任的公共保险</w:t>
      </w:r>
      <w:r>
        <w:rPr>
          <w:color w:val="000000"/>
          <w:spacing w:val="-3"/>
          <w:w w:val="100"/>
          <w:shd w:fill="E4E4E4" w:color="auto" w:val="clear"/>
        </w:rPr>
        <w:t>金额时，本公司对该团体的一般医疗保险责任终止。</w:t>
      </w:r>
    </w:p>
    <w:p>
      <w:pPr>
        <w:spacing w:after="0" w:line="300" w:lineRule="auto"/>
        <w:jc w:val="both"/>
        <w:sectPr>
          <w:pgSz w:w="11910" w:h="16840"/>
          <w:pgMar w:header="0" w:footer="967" w:top="1400" w:bottom="1240" w:left="860" w:right="480"/>
        </w:sectPr>
      </w:pPr>
    </w:p>
    <w:p>
      <w:pPr>
        <w:pStyle w:val="BodyText"/>
        <w:spacing w:before="2"/>
        <w:rPr>
          <w:sz w:val="19"/>
        </w:rPr>
      </w:pPr>
    </w:p>
    <w:p>
      <w:pPr>
        <w:pStyle w:val="ListParagraph"/>
        <w:numPr>
          <w:ilvl w:val="2"/>
          <w:numId w:val="3"/>
        </w:numPr>
        <w:tabs>
          <w:tab w:pos="858" w:val="left" w:leader="none"/>
        </w:tabs>
        <w:spacing w:line="240" w:lineRule="auto" w:before="0" w:after="0"/>
        <w:ind w:left="857" w:right="0" w:hanging="530"/>
        <w:jc w:val="left"/>
        <w:rPr>
          <w:rFonts w:ascii="微软雅黑"/>
          <w:sz w:val="21"/>
        </w:rPr>
      </w:pPr>
    </w:p>
    <w:p>
      <w:pPr>
        <w:pStyle w:val="Heading3"/>
        <w:spacing w:line="208" w:lineRule="auto" w:before="126"/>
        <w:ind w:left="327"/>
      </w:pPr>
      <w:r>
        <w:rPr>
          <w:b w:val="0"/>
        </w:rPr>
        <w:br w:type="column"/>
      </w:r>
      <w:r>
        <w:rPr>
          <w:spacing w:val="8"/>
        </w:rPr>
        <w:t>重大疾病医疗保</w:t>
      </w:r>
      <w:r>
        <w:rPr>
          <w:spacing w:val="-4"/>
        </w:rPr>
        <w:t>险责任</w:t>
      </w:r>
    </w:p>
    <w:p>
      <w:pPr>
        <w:pStyle w:val="BodyText"/>
        <w:spacing w:line="249" w:lineRule="auto" w:before="90"/>
        <w:ind w:left="174" w:right="209"/>
      </w:pPr>
      <w:r>
        <w:rPr/>
        <w:br w:type="column"/>
      </w:r>
      <w:r>
        <w:rPr>
          <w:spacing w:val="-2"/>
        </w:rPr>
        <w:t>被保险人在其保险期间内遭受意外，或在本合同等待期后</w:t>
      </w:r>
      <w:r>
        <w:rPr>
          <w:rFonts w:ascii="微软雅黑" w:eastAsia="微软雅黑"/>
          <w:b/>
          <w:color w:val="000000"/>
          <w:spacing w:val="-2"/>
          <w:shd w:fill="D9D9D9" w:color="auto" w:val="clear"/>
        </w:rPr>
        <w:t>确诊初次发生</w:t>
      </w:r>
      <w:r>
        <w:rPr>
          <w:color w:val="000000"/>
          <w:spacing w:val="-2"/>
          <w:position w:val="11"/>
          <w:sz w:val="11"/>
        </w:rPr>
        <w:t>26</w:t>
      </w:r>
      <w:r>
        <w:rPr>
          <w:color w:val="000000"/>
          <w:spacing w:val="-2"/>
        </w:rPr>
        <w:t>本合同</w:t>
      </w:r>
      <w:r>
        <w:rPr>
          <w:color w:val="000000"/>
        </w:rPr>
        <w:t>所定义的重大疾病（一种或者多种</w:t>
      </w:r>
      <w:r>
        <w:rPr>
          <w:color w:val="000000"/>
          <w:spacing w:val="-106"/>
        </w:rPr>
        <w:t>）</w:t>
      </w:r>
      <w:r>
        <w:rPr>
          <w:color w:val="000000"/>
          <w:spacing w:val="-1"/>
        </w:rPr>
        <w:t>，在本公司指定医疗机构接受具有相应资质</w:t>
      </w:r>
    </w:p>
    <w:p>
      <w:pPr>
        <w:pStyle w:val="BodyText"/>
        <w:spacing w:before="59"/>
        <w:ind w:left="174"/>
      </w:pPr>
      <w:r>
        <w:rPr>
          <w:spacing w:val="-3"/>
        </w:rPr>
        <w:t>的医护人员治疗的，本公司依照下列约定给付重大疾病医疗保险金：</w:t>
      </w:r>
    </w:p>
    <w:p>
      <w:pPr>
        <w:pStyle w:val="Heading3"/>
        <w:numPr>
          <w:ilvl w:val="0"/>
          <w:numId w:val="6"/>
        </w:numPr>
        <w:tabs>
          <w:tab w:pos="536" w:val="left" w:leader="none"/>
        </w:tabs>
        <w:spacing w:line="240" w:lineRule="auto" w:before="156" w:after="0"/>
        <w:ind w:left="535" w:right="0" w:hanging="362"/>
        <w:jc w:val="left"/>
      </w:pPr>
      <w:r>
        <w:rPr>
          <w:spacing w:val="-3"/>
        </w:rPr>
        <w:t>重大疾病住院医疗费用</w:t>
      </w:r>
    </w:p>
    <w:p>
      <w:pPr>
        <w:pStyle w:val="BodyText"/>
        <w:spacing w:line="300" w:lineRule="auto" w:before="172"/>
        <w:ind w:left="174" w:right="207"/>
        <w:jc w:val="both"/>
      </w:pPr>
      <w:r>
        <w:rPr>
          <w:spacing w:val="-6"/>
        </w:rPr>
        <w:t>被保险人在其保险期间内遭受意外，或在本合同等待期后确诊初次发生本合同所</w:t>
      </w:r>
      <w:r>
        <w:rPr>
          <w:spacing w:val="-2"/>
        </w:rPr>
        <w:t>定义的重大疾病（一种或者多种</w:t>
      </w:r>
      <w:r>
        <w:rPr>
          <w:spacing w:val="-106"/>
        </w:rPr>
        <w:t>）</w:t>
      </w:r>
      <w:r>
        <w:rPr>
          <w:spacing w:val="-2"/>
        </w:rPr>
        <w:t>，在本公司指定医疗机构接受具有相应资质的</w:t>
      </w:r>
      <w:r>
        <w:rPr>
          <w:spacing w:val="-7"/>
        </w:rPr>
        <w:t>医护人员诊断必须住院的，对住院期间发生的医学必需的并需要由被保险人个人</w:t>
      </w:r>
      <w:r>
        <w:rPr>
          <w:spacing w:val="-2"/>
        </w:rPr>
        <w:t>支付的下列医疗费用，本公司将按约定承担保险责任。</w:t>
      </w:r>
    </w:p>
    <w:p>
      <w:pPr>
        <w:pStyle w:val="BodyText"/>
        <w:spacing w:line="300" w:lineRule="auto" w:before="160"/>
        <w:ind w:left="174" w:right="206"/>
        <w:jc w:val="both"/>
      </w:pPr>
      <w:r>
        <w:rPr>
          <w:spacing w:val="-5"/>
        </w:rPr>
        <w:t>被保险人在本合同保险期间内开始住院治疗，到本合同满期日时仍未结束本次住</w:t>
      </w:r>
      <w:r>
        <w:rPr>
          <w:spacing w:val="-8"/>
        </w:rPr>
        <w:t>院治疗且未续保的，本公司将继续承担因本次住院发生的住院医疗费用保险金给</w:t>
      </w:r>
      <w:r>
        <w:rPr/>
        <w:t>付责任，</w:t>
      </w:r>
      <w:r>
        <w:rPr>
          <w:color w:val="000000"/>
          <w:spacing w:val="-2"/>
          <w:shd w:fill="D2D2D2" w:color="auto" w:val="clear"/>
        </w:rPr>
        <w:t>但最长不超过本合同满期日后 </w:t>
      </w:r>
      <w:r>
        <w:rPr>
          <w:color w:val="000000"/>
          <w:shd w:fill="D2D2D2" w:color="auto" w:val="clear"/>
        </w:rPr>
        <w:t>30</w:t>
      </w:r>
      <w:r>
        <w:rPr>
          <w:color w:val="000000"/>
          <w:spacing w:val="-8"/>
          <w:shd w:fill="D2D2D2" w:color="auto" w:val="clear"/>
        </w:rPr>
        <w:t> 日。</w:t>
      </w:r>
    </w:p>
    <w:p>
      <w:pPr>
        <w:pStyle w:val="BodyText"/>
        <w:spacing w:before="155"/>
        <w:ind w:left="174"/>
      </w:pPr>
      <w:r>
        <w:rPr>
          <w:spacing w:val="-3"/>
        </w:rPr>
        <w:t>重大疾病住院医疗费用包括：</w:t>
      </w:r>
    </w:p>
    <w:p>
      <w:pPr>
        <w:pStyle w:val="BodyText"/>
        <w:spacing w:before="8"/>
        <w:rPr>
          <w:sz w:val="17"/>
        </w:rPr>
      </w:pPr>
    </w:p>
    <w:p>
      <w:pPr>
        <w:pStyle w:val="ListParagraph"/>
        <w:numPr>
          <w:ilvl w:val="0"/>
          <w:numId w:val="7"/>
        </w:numPr>
        <w:tabs>
          <w:tab w:pos="896" w:val="left" w:leader="none"/>
        </w:tabs>
        <w:spacing w:line="240" w:lineRule="auto" w:before="0" w:after="0"/>
        <w:ind w:left="895" w:right="0" w:hanging="722"/>
        <w:jc w:val="left"/>
        <w:rPr>
          <w:sz w:val="21"/>
        </w:rPr>
      </w:pPr>
      <w:r>
        <w:rPr>
          <w:spacing w:val="-4"/>
          <w:sz w:val="21"/>
        </w:rPr>
        <w:t>床位费；</w:t>
      </w:r>
    </w:p>
    <w:p>
      <w:pPr>
        <w:pStyle w:val="BodyText"/>
        <w:spacing w:before="5"/>
        <w:rPr>
          <w:sz w:val="17"/>
        </w:rPr>
      </w:pPr>
    </w:p>
    <w:p>
      <w:pPr>
        <w:pStyle w:val="ListParagraph"/>
        <w:numPr>
          <w:ilvl w:val="0"/>
          <w:numId w:val="7"/>
        </w:numPr>
        <w:tabs>
          <w:tab w:pos="896" w:val="left" w:leader="none"/>
        </w:tabs>
        <w:spacing w:line="240" w:lineRule="auto" w:before="0" w:after="0"/>
        <w:ind w:left="895" w:right="0" w:hanging="722"/>
        <w:jc w:val="left"/>
        <w:rPr>
          <w:sz w:val="21"/>
        </w:rPr>
      </w:pPr>
      <w:r>
        <w:rPr>
          <w:spacing w:val="-4"/>
          <w:sz w:val="21"/>
        </w:rPr>
        <w:t>膳食费；</w:t>
      </w:r>
    </w:p>
    <w:p>
      <w:pPr>
        <w:spacing w:after="0" w:line="240" w:lineRule="auto"/>
        <w:jc w:val="left"/>
        <w:rPr>
          <w:sz w:val="21"/>
        </w:rPr>
        <w:sectPr>
          <w:type w:val="continuous"/>
          <w:pgSz w:w="11910" w:h="16840"/>
          <w:pgMar w:header="0" w:footer="967" w:top="480" w:bottom="1160" w:left="860" w:right="480"/>
          <w:cols w:num="3" w:equalWidth="0">
            <w:col w:w="897" w:space="63"/>
            <w:col w:w="1883" w:space="40"/>
            <w:col w:w="7687"/>
          </w:cols>
        </w:sectPr>
      </w:pPr>
    </w:p>
    <w:p>
      <w:pPr>
        <w:pStyle w:val="BodyText"/>
        <w:rPr>
          <w:sz w:val="20"/>
        </w:rPr>
      </w:pPr>
    </w:p>
    <w:p>
      <w:pPr>
        <w:pStyle w:val="BodyText"/>
        <w:rPr>
          <w:sz w:val="20"/>
        </w:rPr>
      </w:pPr>
    </w:p>
    <w:p>
      <w:pPr>
        <w:pStyle w:val="BodyText"/>
        <w:spacing w:before="2" w:after="1"/>
        <w:rPr>
          <w:sz w:val="20"/>
        </w:rPr>
      </w:pPr>
    </w:p>
    <w:p>
      <w:pPr>
        <w:pStyle w:val="BodyText"/>
        <w:spacing w:line="20" w:lineRule="exact"/>
        <w:ind w:left="220"/>
        <w:rPr>
          <w:sz w:val="2"/>
        </w:rPr>
      </w:pPr>
      <w:r>
        <w:rPr>
          <w:sz w:val="2"/>
        </w:rPr>
        <w:drawing>
          <wp:inline distT="0" distB="0" distL="0" distR="0">
            <wp:extent cx="1829511" cy="6096"/>
            <wp:effectExtent l="0" t="0" r="0" b="0"/>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1829511" cy="6096"/>
                    </a:xfrm>
                    <a:prstGeom prst="rect">
                      <a:avLst/>
                    </a:prstGeom>
                  </pic:spPr>
                </pic:pic>
              </a:graphicData>
            </a:graphic>
          </wp:inline>
        </w:drawing>
      </w:r>
      <w:r>
        <w:rPr>
          <w:sz w:val="2"/>
        </w:rPr>
      </w:r>
    </w:p>
    <w:p>
      <w:pPr>
        <w:spacing w:line="313" w:lineRule="exact" w:before="26"/>
        <w:ind w:left="220" w:right="0" w:firstLine="0"/>
        <w:jc w:val="left"/>
        <w:rPr>
          <w:sz w:val="18"/>
        </w:rPr>
      </w:pPr>
      <w:r>
        <w:rPr>
          <w:position w:val="9"/>
          <w:sz w:val="9"/>
        </w:rPr>
        <w:t>26</w:t>
      </w:r>
      <w:r>
        <w:rPr>
          <w:rFonts w:ascii="Microsoft JhengHei" w:eastAsia="Microsoft JhengHei"/>
          <w:b/>
          <w:sz w:val="18"/>
        </w:rPr>
        <w:t>确诊初次发生：</w:t>
      </w:r>
      <w:r>
        <w:rPr>
          <w:spacing w:val="-1"/>
          <w:sz w:val="18"/>
        </w:rPr>
        <w:t>指被保险人自出生之日起第一次经医院确诊患有某种疾病，而不是指自本合同生效、复效之后第一次经医</w:t>
      </w:r>
    </w:p>
    <w:p>
      <w:pPr>
        <w:spacing w:line="212" w:lineRule="exact" w:before="0"/>
        <w:ind w:left="220" w:right="0" w:firstLine="0"/>
        <w:jc w:val="left"/>
        <w:rPr>
          <w:sz w:val="18"/>
        </w:rPr>
      </w:pPr>
      <w:r>
        <w:rPr>
          <w:spacing w:val="-1"/>
          <w:sz w:val="18"/>
        </w:rPr>
        <w:t>院确诊患有某种疾病。</w:t>
      </w:r>
    </w:p>
    <w:p>
      <w:pPr>
        <w:spacing w:after="0" w:line="212" w:lineRule="exact"/>
        <w:jc w:val="left"/>
        <w:rPr>
          <w:sz w:val="18"/>
        </w:rPr>
        <w:sectPr>
          <w:type w:val="continuous"/>
          <w:pgSz w:w="11910" w:h="16840"/>
          <w:pgMar w:header="0" w:footer="967" w:top="480" w:bottom="1160" w:left="860" w:right="480"/>
        </w:sectPr>
      </w:pPr>
    </w:p>
    <w:p>
      <w:pPr>
        <w:pStyle w:val="ListParagraph"/>
        <w:numPr>
          <w:ilvl w:val="0"/>
          <w:numId w:val="7"/>
        </w:numPr>
        <w:tabs>
          <w:tab w:pos="3778" w:val="left" w:leader="none"/>
        </w:tabs>
        <w:spacing w:line="240" w:lineRule="auto" w:before="56" w:after="0"/>
        <w:ind w:left="3777" w:right="0" w:hanging="721"/>
        <w:jc w:val="left"/>
        <w:rPr>
          <w:sz w:val="21"/>
        </w:rPr>
      </w:pPr>
      <w:r>
        <w:rPr>
          <w:spacing w:val="-4"/>
          <w:sz w:val="21"/>
        </w:rPr>
        <w:t>护理费；</w:t>
      </w:r>
    </w:p>
    <w:p>
      <w:pPr>
        <w:pStyle w:val="BodyText"/>
        <w:spacing w:before="5"/>
        <w:rPr>
          <w:sz w:val="17"/>
        </w:rPr>
      </w:pPr>
    </w:p>
    <w:p>
      <w:pPr>
        <w:pStyle w:val="ListParagraph"/>
        <w:numPr>
          <w:ilvl w:val="0"/>
          <w:numId w:val="7"/>
        </w:numPr>
        <w:tabs>
          <w:tab w:pos="3778" w:val="left" w:leader="none"/>
        </w:tabs>
        <w:spacing w:line="240" w:lineRule="auto" w:before="1" w:after="0"/>
        <w:ind w:left="3777" w:right="0" w:hanging="721"/>
        <w:jc w:val="left"/>
        <w:rPr>
          <w:sz w:val="21"/>
        </w:rPr>
      </w:pPr>
      <w:r>
        <w:rPr>
          <w:spacing w:val="-4"/>
          <w:sz w:val="21"/>
        </w:rPr>
        <w:t>重症监护室费；</w:t>
      </w:r>
    </w:p>
    <w:p>
      <w:pPr>
        <w:pStyle w:val="BodyText"/>
        <w:spacing w:before="7"/>
        <w:rPr>
          <w:sz w:val="17"/>
        </w:rPr>
      </w:pPr>
    </w:p>
    <w:p>
      <w:pPr>
        <w:pStyle w:val="ListParagraph"/>
        <w:numPr>
          <w:ilvl w:val="0"/>
          <w:numId w:val="7"/>
        </w:numPr>
        <w:tabs>
          <w:tab w:pos="3778" w:val="left" w:leader="none"/>
        </w:tabs>
        <w:spacing w:line="240" w:lineRule="auto" w:before="0" w:after="0"/>
        <w:ind w:left="3777" w:right="0" w:hanging="721"/>
        <w:jc w:val="left"/>
        <w:rPr>
          <w:sz w:val="21"/>
        </w:rPr>
      </w:pPr>
      <w:r>
        <w:rPr>
          <w:spacing w:val="-4"/>
          <w:sz w:val="21"/>
        </w:rPr>
        <w:t>诊疗费、医生费；</w:t>
      </w:r>
    </w:p>
    <w:p>
      <w:pPr>
        <w:pStyle w:val="BodyText"/>
        <w:spacing w:before="5"/>
        <w:rPr>
          <w:sz w:val="17"/>
        </w:rPr>
      </w:pPr>
    </w:p>
    <w:p>
      <w:pPr>
        <w:pStyle w:val="ListParagraph"/>
        <w:numPr>
          <w:ilvl w:val="0"/>
          <w:numId w:val="7"/>
        </w:numPr>
        <w:tabs>
          <w:tab w:pos="3778" w:val="left" w:leader="none"/>
        </w:tabs>
        <w:spacing w:line="240" w:lineRule="auto" w:before="0" w:after="0"/>
        <w:ind w:left="3777" w:right="0" w:hanging="721"/>
        <w:jc w:val="left"/>
        <w:rPr>
          <w:sz w:val="21"/>
        </w:rPr>
      </w:pPr>
      <w:r>
        <w:rPr>
          <w:spacing w:val="-4"/>
          <w:sz w:val="21"/>
        </w:rPr>
        <w:t>检查检验费；</w:t>
      </w:r>
    </w:p>
    <w:p>
      <w:pPr>
        <w:pStyle w:val="BodyText"/>
        <w:spacing w:before="5"/>
        <w:rPr>
          <w:sz w:val="17"/>
        </w:rPr>
      </w:pPr>
    </w:p>
    <w:p>
      <w:pPr>
        <w:pStyle w:val="ListParagraph"/>
        <w:numPr>
          <w:ilvl w:val="0"/>
          <w:numId w:val="7"/>
        </w:numPr>
        <w:tabs>
          <w:tab w:pos="3778" w:val="left" w:leader="none"/>
        </w:tabs>
        <w:spacing w:line="240" w:lineRule="auto" w:before="0" w:after="0"/>
        <w:ind w:left="3777" w:right="0" w:hanging="721"/>
        <w:jc w:val="left"/>
        <w:rPr>
          <w:sz w:val="21"/>
        </w:rPr>
      </w:pPr>
      <w:r>
        <w:rPr>
          <w:spacing w:val="-4"/>
          <w:sz w:val="21"/>
        </w:rPr>
        <w:t>治疗费；</w:t>
      </w:r>
    </w:p>
    <w:p>
      <w:pPr>
        <w:pStyle w:val="BodyText"/>
        <w:spacing w:before="5"/>
        <w:rPr>
          <w:sz w:val="17"/>
        </w:rPr>
      </w:pPr>
    </w:p>
    <w:p>
      <w:pPr>
        <w:pStyle w:val="ListParagraph"/>
        <w:numPr>
          <w:ilvl w:val="0"/>
          <w:numId w:val="7"/>
        </w:numPr>
        <w:tabs>
          <w:tab w:pos="3778" w:val="left" w:leader="none"/>
        </w:tabs>
        <w:spacing w:line="240" w:lineRule="auto" w:before="1" w:after="0"/>
        <w:ind w:left="3777" w:right="0" w:hanging="721"/>
        <w:jc w:val="left"/>
        <w:rPr>
          <w:sz w:val="21"/>
        </w:rPr>
      </w:pPr>
      <w:r>
        <w:rPr>
          <w:spacing w:val="-4"/>
          <w:sz w:val="21"/>
        </w:rPr>
        <w:t>陪床费；</w:t>
      </w:r>
    </w:p>
    <w:p>
      <w:pPr>
        <w:pStyle w:val="BodyText"/>
        <w:spacing w:before="7"/>
        <w:rPr>
          <w:sz w:val="17"/>
        </w:rPr>
      </w:pPr>
    </w:p>
    <w:p>
      <w:pPr>
        <w:pStyle w:val="ListParagraph"/>
        <w:numPr>
          <w:ilvl w:val="0"/>
          <w:numId w:val="7"/>
        </w:numPr>
        <w:tabs>
          <w:tab w:pos="3778" w:val="left" w:leader="none"/>
        </w:tabs>
        <w:spacing w:line="240" w:lineRule="auto" w:before="0" w:after="0"/>
        <w:ind w:left="3777" w:right="0" w:hanging="721"/>
        <w:jc w:val="left"/>
        <w:rPr>
          <w:sz w:val="21"/>
        </w:rPr>
      </w:pPr>
      <w:r>
        <w:rPr>
          <w:spacing w:val="-4"/>
          <w:sz w:val="21"/>
        </w:rPr>
        <w:t>药品费；</w:t>
      </w:r>
    </w:p>
    <w:p>
      <w:pPr>
        <w:pStyle w:val="BodyText"/>
        <w:spacing w:before="5"/>
        <w:rPr>
          <w:sz w:val="17"/>
        </w:rPr>
      </w:pPr>
    </w:p>
    <w:p>
      <w:pPr>
        <w:pStyle w:val="ListParagraph"/>
        <w:numPr>
          <w:ilvl w:val="0"/>
          <w:numId w:val="7"/>
        </w:numPr>
        <w:tabs>
          <w:tab w:pos="3778" w:val="left" w:leader="none"/>
        </w:tabs>
        <w:spacing w:line="240" w:lineRule="auto" w:before="0" w:after="0"/>
        <w:ind w:left="3777" w:right="0" w:hanging="721"/>
        <w:jc w:val="left"/>
        <w:rPr>
          <w:sz w:val="21"/>
        </w:rPr>
      </w:pPr>
      <w:r>
        <w:rPr>
          <w:spacing w:val="-4"/>
          <w:sz w:val="21"/>
        </w:rPr>
        <w:t>手术费；</w:t>
      </w:r>
    </w:p>
    <w:p>
      <w:pPr>
        <w:pStyle w:val="BodyText"/>
        <w:spacing w:before="6"/>
        <w:rPr>
          <w:sz w:val="17"/>
        </w:rPr>
      </w:pPr>
    </w:p>
    <w:p>
      <w:pPr>
        <w:pStyle w:val="ListParagraph"/>
        <w:numPr>
          <w:ilvl w:val="0"/>
          <w:numId w:val="7"/>
        </w:numPr>
        <w:tabs>
          <w:tab w:pos="3778" w:val="left" w:leader="none"/>
        </w:tabs>
        <w:spacing w:line="240" w:lineRule="auto" w:before="0" w:after="0"/>
        <w:ind w:left="3777" w:right="0" w:hanging="721"/>
        <w:jc w:val="left"/>
        <w:rPr>
          <w:sz w:val="21"/>
        </w:rPr>
      </w:pPr>
      <w:r>
        <w:rPr>
          <w:spacing w:val="-2"/>
          <w:sz w:val="21"/>
        </w:rPr>
        <w:t>体外膜肺氧合（ECMO）</w:t>
      </w:r>
      <w:r>
        <w:rPr>
          <w:spacing w:val="-6"/>
          <w:sz w:val="21"/>
        </w:rPr>
        <w:t>费；</w:t>
      </w:r>
    </w:p>
    <w:p>
      <w:pPr>
        <w:pStyle w:val="BodyText"/>
        <w:spacing w:before="7"/>
        <w:rPr>
          <w:sz w:val="17"/>
        </w:rPr>
      </w:pPr>
    </w:p>
    <w:p>
      <w:pPr>
        <w:pStyle w:val="ListParagraph"/>
        <w:numPr>
          <w:ilvl w:val="0"/>
          <w:numId w:val="7"/>
        </w:numPr>
        <w:tabs>
          <w:tab w:pos="3778" w:val="left" w:leader="none"/>
        </w:tabs>
        <w:spacing w:line="240" w:lineRule="auto" w:before="0" w:after="0"/>
        <w:ind w:left="3777" w:right="0" w:hanging="721"/>
        <w:jc w:val="left"/>
        <w:rPr>
          <w:sz w:val="21"/>
        </w:rPr>
      </w:pPr>
      <w:r>
        <w:rPr>
          <w:spacing w:val="-4"/>
          <w:sz w:val="21"/>
        </w:rPr>
        <w:t>救护车使用费。</w:t>
      </w:r>
    </w:p>
    <w:p>
      <w:pPr>
        <w:pStyle w:val="Heading3"/>
        <w:numPr>
          <w:ilvl w:val="0"/>
          <w:numId w:val="6"/>
        </w:numPr>
        <w:tabs>
          <w:tab w:pos="3418" w:val="left" w:leader="none"/>
        </w:tabs>
        <w:spacing w:line="240" w:lineRule="auto" w:before="156" w:after="0"/>
        <w:ind w:left="3417" w:right="0" w:hanging="361"/>
        <w:jc w:val="left"/>
      </w:pPr>
      <w:r>
        <w:rPr>
          <w:spacing w:val="-2"/>
        </w:rPr>
        <w:t>质子重离子医疗费用</w:t>
      </w:r>
    </w:p>
    <w:p>
      <w:pPr>
        <w:spacing w:line="208" w:lineRule="auto" w:before="141"/>
        <w:ind w:left="3057" w:right="209" w:firstLine="0"/>
        <w:jc w:val="both"/>
        <w:rPr>
          <w:sz w:val="21"/>
        </w:rPr>
      </w:pPr>
      <w:r>
        <w:rPr>
          <w:sz w:val="21"/>
        </w:rPr>
        <w:t>被保险人在其保险期间内且等待期后确诊初次发生本合同所定义的</w:t>
      </w:r>
      <w:r>
        <w:rPr>
          <w:rFonts w:ascii="微软雅黑" w:eastAsia="微软雅黑"/>
          <w:b/>
          <w:sz w:val="21"/>
        </w:rPr>
        <w:t>恶性肿瘤--</w:t>
      </w:r>
      <w:r>
        <w:rPr>
          <w:rFonts w:ascii="微软雅黑" w:eastAsia="微软雅黑"/>
          <w:b/>
          <w:spacing w:val="-2"/>
          <w:sz w:val="21"/>
        </w:rPr>
        <w:t>重度</w:t>
      </w:r>
      <w:r>
        <w:rPr>
          <w:spacing w:val="-2"/>
          <w:position w:val="11"/>
          <w:sz w:val="11"/>
        </w:rPr>
        <w:t>27</w:t>
      </w:r>
      <w:r>
        <w:rPr>
          <w:spacing w:val="-2"/>
          <w:sz w:val="21"/>
        </w:rPr>
        <w:t>（一种或者多种</w:t>
      </w:r>
      <w:r>
        <w:rPr>
          <w:spacing w:val="-108"/>
          <w:sz w:val="21"/>
        </w:rPr>
        <w:t>）</w:t>
      </w:r>
      <w:r>
        <w:rPr>
          <w:spacing w:val="-1"/>
          <w:sz w:val="21"/>
        </w:rPr>
        <w:t>，在</w:t>
      </w:r>
      <w:r>
        <w:rPr>
          <w:rFonts w:ascii="微软雅黑" w:eastAsia="微软雅黑"/>
          <w:b/>
          <w:spacing w:val="-2"/>
          <w:sz w:val="21"/>
        </w:rPr>
        <w:t>本公司指定的特殊医疗机构</w:t>
      </w:r>
      <w:r>
        <w:rPr>
          <w:spacing w:val="-2"/>
          <w:position w:val="11"/>
          <w:sz w:val="11"/>
        </w:rPr>
        <w:t>28</w:t>
      </w:r>
      <w:r>
        <w:rPr>
          <w:spacing w:val="-2"/>
          <w:sz w:val="21"/>
        </w:rPr>
        <w:t>接受</w:t>
      </w:r>
      <w:r>
        <w:rPr>
          <w:rFonts w:ascii="微软雅黑" w:eastAsia="微软雅黑"/>
          <w:b/>
          <w:spacing w:val="-2"/>
          <w:sz w:val="21"/>
        </w:rPr>
        <w:t>质子重离子放射治</w:t>
      </w:r>
      <w:r>
        <w:rPr>
          <w:rFonts w:ascii="微软雅黑" w:eastAsia="微软雅黑"/>
          <w:b/>
          <w:sz w:val="21"/>
        </w:rPr>
        <w:t>疗</w:t>
      </w:r>
      <w:r>
        <w:rPr>
          <w:position w:val="11"/>
          <w:sz w:val="11"/>
        </w:rPr>
        <w:t>29</w:t>
      </w:r>
      <w:r>
        <w:rPr>
          <w:spacing w:val="-1"/>
          <w:sz w:val="21"/>
        </w:rPr>
        <w:t>的，对由此发生的医学必需的并需要由被保险人个人支付的医疗费用，本公</w:t>
      </w:r>
    </w:p>
    <w:p>
      <w:pPr>
        <w:pStyle w:val="BodyText"/>
        <w:spacing w:before="31"/>
        <w:ind w:left="3057"/>
      </w:pPr>
      <w:r>
        <w:rPr>
          <w:spacing w:val="-3"/>
        </w:rPr>
        <w:t>司将按约定承担保险责任。</w:t>
      </w:r>
    </w:p>
    <w:p>
      <w:pPr>
        <w:pStyle w:val="Heading3"/>
        <w:numPr>
          <w:ilvl w:val="0"/>
          <w:numId w:val="6"/>
        </w:numPr>
        <w:tabs>
          <w:tab w:pos="3418" w:val="left" w:leader="none"/>
        </w:tabs>
        <w:spacing w:line="240" w:lineRule="auto" w:before="156" w:after="0"/>
        <w:ind w:left="3417" w:right="0" w:hanging="361"/>
        <w:jc w:val="left"/>
      </w:pPr>
      <w:r>
        <w:rPr/>
        <w:t>恶性肿瘤--</w:t>
      </w:r>
      <w:r>
        <w:rPr>
          <w:spacing w:val="-1"/>
        </w:rPr>
        <w:t>重度院外特定药品费用</w:t>
      </w:r>
    </w:p>
    <w:p>
      <w:pPr>
        <w:pStyle w:val="BodyText"/>
        <w:spacing w:line="300" w:lineRule="auto" w:before="175"/>
        <w:ind w:left="3057" w:right="209"/>
        <w:jc w:val="both"/>
      </w:pPr>
      <w:r>
        <w:rPr>
          <w:spacing w:val="-7"/>
        </w:rPr>
        <w:t>被保险人在其保险期间内，等待期后确诊初次发生本合同所定义的恶性肿瘤--重</w:t>
      </w:r>
      <w:r>
        <w:rPr>
          <w:spacing w:val="-2"/>
        </w:rPr>
        <w:t>度（一种或者多种</w:t>
      </w:r>
      <w:r>
        <w:rPr>
          <w:spacing w:val="-106"/>
        </w:rPr>
        <w:t>）</w:t>
      </w:r>
      <w:r>
        <w:rPr>
          <w:spacing w:val="-2"/>
        </w:rPr>
        <w:t>，对由此发生的医学必需的、治疗所罹患的恶性肿瘤--重度</w:t>
      </w:r>
      <w:r>
        <w:rPr>
          <w:spacing w:val="-2"/>
        </w:rPr>
        <w:t>的且同时满足以下条件的药品费用，本公司将按约定承担保险责任：</w:t>
      </w:r>
    </w:p>
    <w:p>
      <w:pPr>
        <w:pStyle w:val="BodyText"/>
        <w:spacing w:before="155"/>
        <w:ind w:left="3057"/>
      </w:pPr>
      <w:r>
        <w:rPr>
          <w:spacing w:val="-3"/>
        </w:rPr>
        <w:t>用于治疗恶性肿瘤--重度的药品处方是</w:t>
      </w:r>
    </w:p>
    <w:p>
      <w:pPr>
        <w:pStyle w:val="ListParagraph"/>
        <w:numPr>
          <w:ilvl w:val="0"/>
          <w:numId w:val="8"/>
        </w:numPr>
        <w:tabs>
          <w:tab w:pos="3778" w:val="left" w:leader="none"/>
        </w:tabs>
        <w:spacing w:line="252" w:lineRule="auto" w:before="161" w:after="0"/>
        <w:ind w:left="3777" w:right="207" w:hanging="721"/>
        <w:jc w:val="left"/>
        <w:rPr>
          <w:sz w:val="21"/>
        </w:rPr>
      </w:pPr>
      <w:r>
        <w:rPr>
          <w:spacing w:val="-2"/>
          <w:sz w:val="21"/>
        </w:rPr>
        <w:t>由本公司指定医疗机构</w:t>
      </w:r>
      <w:r>
        <w:rPr>
          <w:rFonts w:ascii="微软雅黑" w:eastAsia="微软雅黑"/>
          <w:b/>
          <w:spacing w:val="-2"/>
          <w:sz w:val="21"/>
        </w:rPr>
        <w:t>专科医生</w:t>
      </w:r>
      <w:r>
        <w:rPr>
          <w:rFonts w:ascii="微软雅黑" w:eastAsia="微软雅黑"/>
          <w:b/>
          <w:spacing w:val="-2"/>
          <w:position w:val="11"/>
          <w:sz w:val="11"/>
        </w:rPr>
        <w:t>30</w:t>
      </w:r>
      <w:r>
        <w:rPr>
          <w:spacing w:val="-10"/>
          <w:sz w:val="21"/>
        </w:rPr>
        <w:t>开具的、被保险人当前治疗医学必需的</w:t>
      </w:r>
      <w:r>
        <w:rPr>
          <w:spacing w:val="-4"/>
          <w:sz w:val="21"/>
        </w:rPr>
        <w:t>药品；</w:t>
      </w:r>
    </w:p>
    <w:p>
      <w:pPr>
        <w:pStyle w:val="BodyText"/>
        <w:spacing w:before="3"/>
        <w:rPr>
          <w:sz w:val="16"/>
        </w:rPr>
      </w:pPr>
    </w:p>
    <w:p>
      <w:pPr>
        <w:pStyle w:val="ListParagraph"/>
        <w:numPr>
          <w:ilvl w:val="0"/>
          <w:numId w:val="8"/>
        </w:numPr>
        <w:tabs>
          <w:tab w:pos="3778" w:val="left" w:leader="none"/>
        </w:tabs>
        <w:spacing w:line="240" w:lineRule="auto" w:before="0" w:after="0"/>
        <w:ind w:left="3777" w:right="0" w:hanging="721"/>
        <w:jc w:val="left"/>
        <w:rPr>
          <w:sz w:val="21"/>
        </w:rPr>
      </w:pPr>
      <w:r>
        <w:rPr>
          <w:spacing w:val="-7"/>
          <w:sz w:val="21"/>
        </w:rPr>
        <w:t>每次的处方剂量不超过 </w:t>
      </w:r>
      <w:r>
        <w:rPr>
          <w:spacing w:val="-2"/>
          <w:sz w:val="21"/>
        </w:rPr>
        <w:t>1</w:t>
      </w:r>
      <w:r>
        <w:rPr>
          <w:spacing w:val="-16"/>
          <w:sz w:val="21"/>
        </w:rPr>
        <w:t> 个月；</w:t>
      </w:r>
    </w:p>
    <w:p>
      <w:pPr>
        <w:pStyle w:val="ListParagraph"/>
        <w:numPr>
          <w:ilvl w:val="0"/>
          <w:numId w:val="8"/>
        </w:numPr>
        <w:tabs>
          <w:tab w:pos="3778" w:val="left" w:leader="none"/>
        </w:tabs>
        <w:spacing w:line="240" w:lineRule="auto" w:before="156" w:after="0"/>
        <w:ind w:left="3777" w:right="0" w:hanging="721"/>
        <w:jc w:val="left"/>
        <w:rPr>
          <w:sz w:val="21"/>
        </w:rPr>
      </w:pPr>
      <w:r>
        <w:rPr>
          <w:spacing w:val="-2"/>
          <w:sz w:val="21"/>
        </w:rPr>
        <w:t>处方中所列明的药品属于</w:t>
      </w:r>
      <w:r>
        <w:rPr>
          <w:rFonts w:ascii="微软雅黑" w:eastAsia="微软雅黑"/>
          <w:b/>
          <w:spacing w:val="-2"/>
          <w:sz w:val="21"/>
        </w:rPr>
        <w:t>本公司指定的药品清单</w:t>
      </w:r>
      <w:r>
        <w:rPr>
          <w:spacing w:val="-2"/>
          <w:position w:val="11"/>
          <w:sz w:val="11"/>
        </w:rPr>
        <w:t>31</w:t>
      </w:r>
      <w:r>
        <w:rPr>
          <w:spacing w:val="-4"/>
          <w:sz w:val="21"/>
        </w:rPr>
        <w:t>中的药品；</w:t>
      </w:r>
    </w:p>
    <w:p>
      <w:pPr>
        <w:pStyle w:val="BodyText"/>
        <w:rPr>
          <w:sz w:val="20"/>
        </w:rPr>
      </w:pPr>
    </w:p>
    <w:p>
      <w:pPr>
        <w:pStyle w:val="BodyText"/>
        <w:spacing w:before="5"/>
        <w:rPr>
          <w:sz w:val="19"/>
        </w:rPr>
      </w:pPr>
      <w:r>
        <w:rPr/>
        <w:drawing>
          <wp:anchor distT="0" distB="0" distL="0" distR="0" allowOverlap="1" layoutInCell="1" locked="0" behindDoc="0" simplePos="0" relativeHeight="8">
            <wp:simplePos x="0" y="0"/>
            <wp:positionH relativeFrom="page">
              <wp:posOffset>685800</wp:posOffset>
            </wp:positionH>
            <wp:positionV relativeFrom="paragraph">
              <wp:posOffset>173062</wp:posOffset>
            </wp:positionV>
            <wp:extent cx="1829511" cy="6095"/>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line="282" w:lineRule="exact" w:before="39"/>
        <w:ind w:left="220" w:right="0" w:firstLine="0"/>
        <w:jc w:val="left"/>
        <w:rPr>
          <w:sz w:val="18"/>
        </w:rPr>
      </w:pPr>
      <w:r>
        <w:rPr>
          <w:position w:val="9"/>
          <w:sz w:val="9"/>
        </w:rPr>
        <w:t>27</w:t>
      </w:r>
      <w:r>
        <w:rPr>
          <w:rFonts w:ascii="Microsoft JhengHei" w:hAnsi="Microsoft JhengHei" w:eastAsia="Microsoft JhengHei"/>
          <w:b/>
          <w:sz w:val="18"/>
        </w:rPr>
        <w:t>恶性肿瘤--重度：</w:t>
      </w:r>
      <w:r>
        <w:rPr>
          <w:spacing w:val="-1"/>
          <w:sz w:val="18"/>
        </w:rPr>
        <w:t>本合同所定义的恶性肿瘤—重度见附表。</w:t>
      </w:r>
    </w:p>
    <w:p>
      <w:pPr>
        <w:spacing w:line="263" w:lineRule="exact" w:before="0"/>
        <w:ind w:left="220" w:right="0" w:firstLine="0"/>
        <w:jc w:val="left"/>
        <w:rPr>
          <w:sz w:val="18"/>
        </w:rPr>
      </w:pPr>
      <w:r>
        <w:rPr>
          <w:position w:val="9"/>
          <w:sz w:val="9"/>
        </w:rPr>
        <w:t>28</w:t>
      </w:r>
      <w:r>
        <w:rPr>
          <w:rFonts w:ascii="Microsoft JhengHei" w:eastAsia="Microsoft JhengHei"/>
          <w:b/>
          <w:sz w:val="18"/>
        </w:rPr>
        <w:t>本公司指定的特殊医疗机构：</w:t>
      </w:r>
      <w:r>
        <w:rPr>
          <w:spacing w:val="-1"/>
          <w:sz w:val="18"/>
        </w:rPr>
        <w:t>上海市质子重离子医院。以本公司最新公布信息为准。本公司保留对上述指定的特殊医疗机</w:t>
      </w:r>
    </w:p>
    <w:p>
      <w:pPr>
        <w:spacing w:line="184" w:lineRule="exact" w:before="0"/>
        <w:ind w:left="220" w:right="0" w:firstLine="0"/>
        <w:jc w:val="left"/>
        <w:rPr>
          <w:sz w:val="18"/>
        </w:rPr>
      </w:pPr>
      <w:r>
        <w:rPr>
          <w:spacing w:val="-2"/>
          <w:sz w:val="18"/>
        </w:rPr>
        <w:t>构进行变更的权利。</w:t>
      </w:r>
    </w:p>
    <w:p>
      <w:pPr>
        <w:spacing w:line="284" w:lineRule="exact" w:before="0"/>
        <w:ind w:left="220" w:right="0" w:firstLine="0"/>
        <w:jc w:val="left"/>
        <w:rPr>
          <w:sz w:val="18"/>
        </w:rPr>
      </w:pPr>
      <w:r>
        <w:rPr>
          <w:position w:val="9"/>
          <w:sz w:val="9"/>
        </w:rPr>
        <w:t>29</w:t>
      </w:r>
      <w:r>
        <w:rPr>
          <w:rFonts w:ascii="Microsoft JhengHei" w:eastAsia="Microsoft JhengHei"/>
          <w:b/>
          <w:sz w:val="18"/>
        </w:rPr>
        <w:t>质子重离子放射治疗：</w:t>
      </w:r>
      <w:r>
        <w:rPr>
          <w:spacing w:val="-1"/>
          <w:sz w:val="18"/>
        </w:rPr>
        <w:t>指利用质子和重离子对肿瘤进行放射治疗的技术。本合同所指的质子重离子放射治疗是指被保险人</w:t>
      </w:r>
    </w:p>
    <w:p>
      <w:pPr>
        <w:spacing w:line="183" w:lineRule="exact" w:before="0"/>
        <w:ind w:left="220" w:right="0" w:firstLine="0"/>
        <w:jc w:val="left"/>
        <w:rPr>
          <w:sz w:val="18"/>
        </w:rPr>
      </w:pPr>
      <w:r>
        <w:rPr>
          <w:spacing w:val="-1"/>
          <w:sz w:val="18"/>
        </w:rPr>
        <w:t>根据医嘱，在指定的医疗机构的专门治疗室内接受的质子和重离子放射治疗。</w:t>
      </w:r>
    </w:p>
    <w:p>
      <w:pPr>
        <w:spacing w:line="284" w:lineRule="exact" w:before="0"/>
        <w:ind w:left="220" w:right="0" w:firstLine="0"/>
        <w:jc w:val="left"/>
        <w:rPr>
          <w:sz w:val="18"/>
        </w:rPr>
      </w:pPr>
      <w:r>
        <w:rPr>
          <w:spacing w:val="-4"/>
          <w:position w:val="9"/>
          <w:sz w:val="9"/>
        </w:rPr>
        <w:t>30</w:t>
      </w:r>
      <w:r>
        <w:rPr>
          <w:rFonts w:ascii="Microsoft JhengHei" w:eastAsia="Microsoft JhengHei"/>
          <w:b/>
          <w:spacing w:val="-4"/>
          <w:sz w:val="18"/>
        </w:rPr>
        <w:t>专科医生：</w:t>
      </w:r>
      <w:r>
        <w:rPr>
          <w:spacing w:val="-4"/>
          <w:sz w:val="18"/>
        </w:rPr>
        <w:t>专科医生应当同时满足以下四项资格条件：（1）</w:t>
      </w:r>
      <w:r>
        <w:rPr>
          <w:spacing w:val="-9"/>
          <w:sz w:val="18"/>
        </w:rPr>
        <w:t>具有有效的中华人民共和国《医师资格证书》；</w:t>
      </w:r>
      <w:r>
        <w:rPr>
          <w:spacing w:val="-4"/>
          <w:sz w:val="18"/>
        </w:rPr>
        <w:t>（2）</w:t>
      </w:r>
      <w:r>
        <w:rPr>
          <w:spacing w:val="-6"/>
          <w:sz w:val="18"/>
        </w:rPr>
        <w:t>具有有效的</w:t>
      </w:r>
    </w:p>
    <w:p>
      <w:pPr>
        <w:spacing w:line="212" w:lineRule="exact" w:before="0"/>
        <w:ind w:left="220" w:right="0" w:firstLine="0"/>
        <w:jc w:val="left"/>
        <w:rPr>
          <w:sz w:val="18"/>
        </w:rPr>
      </w:pPr>
      <w:r>
        <w:rPr>
          <w:spacing w:val="-8"/>
          <w:sz w:val="18"/>
        </w:rPr>
        <w:t>中华人民共和国《医师执业证书》，并按期到相关部门登记注册；</w:t>
      </w:r>
      <w:r>
        <w:rPr>
          <w:spacing w:val="-2"/>
          <w:sz w:val="18"/>
        </w:rPr>
        <w:t>（3）</w:t>
      </w:r>
      <w:r>
        <w:rPr>
          <w:spacing w:val="-3"/>
          <w:sz w:val="18"/>
        </w:rPr>
        <w:t>具有有效的中华人民共和国主治医师或主治医师以上</w:t>
      </w:r>
    </w:p>
    <w:p>
      <w:pPr>
        <w:spacing w:line="202" w:lineRule="exact" w:before="2"/>
        <w:ind w:left="220" w:right="0" w:firstLine="0"/>
        <w:jc w:val="left"/>
        <w:rPr>
          <w:sz w:val="18"/>
        </w:rPr>
      </w:pPr>
      <w:r>
        <w:rPr>
          <w:spacing w:val="-11"/>
          <w:sz w:val="18"/>
        </w:rPr>
        <w:t>职称的《医师职称证书》；</w:t>
      </w:r>
      <w:r>
        <w:rPr>
          <w:spacing w:val="-2"/>
          <w:sz w:val="18"/>
        </w:rPr>
        <w:t>（4）</w:t>
      </w:r>
      <w:r>
        <w:rPr>
          <w:spacing w:val="-3"/>
          <w:sz w:val="18"/>
        </w:rPr>
        <w:t>在国家《医院分级管理标准》二级或二级以上医院的相应科室从事临床工作三年以上。</w:t>
      </w:r>
    </w:p>
    <w:p>
      <w:pPr>
        <w:spacing w:line="283" w:lineRule="exact" w:before="0"/>
        <w:ind w:left="220" w:right="0" w:firstLine="0"/>
        <w:jc w:val="left"/>
        <w:rPr>
          <w:sz w:val="18"/>
        </w:rPr>
      </w:pPr>
      <w:r>
        <w:rPr>
          <w:position w:val="9"/>
          <w:sz w:val="9"/>
        </w:rPr>
        <w:t>31</w:t>
      </w:r>
      <w:r>
        <w:rPr>
          <w:rFonts w:ascii="Microsoft JhengHei" w:eastAsia="Microsoft JhengHei"/>
          <w:b/>
          <w:sz w:val="18"/>
        </w:rPr>
        <w:t>本公司指定的药品清单：</w:t>
      </w:r>
      <w:r>
        <w:rPr>
          <w:spacing w:val="-1"/>
          <w:sz w:val="18"/>
        </w:rPr>
        <w:t>以本公司最新公布信息为准。本公司保留对药品清单进行变更的权利，将根据医疗水平的发展对</w:t>
      </w:r>
    </w:p>
    <w:p>
      <w:pPr>
        <w:spacing w:line="211" w:lineRule="exact" w:before="0"/>
        <w:ind w:left="220" w:right="0" w:firstLine="0"/>
        <w:jc w:val="left"/>
        <w:rPr>
          <w:sz w:val="18"/>
        </w:rPr>
      </w:pPr>
      <w:r>
        <w:rPr>
          <w:spacing w:val="-1"/>
          <w:sz w:val="18"/>
        </w:rPr>
        <w:t>药品清单进行更新。药品必须为本合同保险期间届满前，经中国国家食品药品监督管理总局批准并已在中国上市的靶向药物</w:t>
      </w:r>
    </w:p>
    <w:p>
      <w:pPr>
        <w:spacing w:before="4"/>
        <w:ind w:left="220" w:right="0" w:firstLine="0"/>
        <w:jc w:val="left"/>
        <w:rPr>
          <w:sz w:val="18"/>
        </w:rPr>
      </w:pPr>
      <w:r>
        <w:rPr>
          <w:spacing w:val="-1"/>
          <w:sz w:val="18"/>
        </w:rPr>
        <w:t>和免疫治疗药物。药品的适应症以国家食品药品监督管理总局批准的药品说明书为准。</w:t>
      </w:r>
    </w:p>
    <w:p>
      <w:pPr>
        <w:spacing w:after="0"/>
        <w:jc w:val="left"/>
        <w:rPr>
          <w:sz w:val="18"/>
        </w:rPr>
        <w:sectPr>
          <w:pgSz w:w="11910" w:h="16840"/>
          <w:pgMar w:header="0" w:footer="967" w:top="1400" w:bottom="1240" w:left="860" w:right="480"/>
        </w:sectPr>
      </w:pPr>
    </w:p>
    <w:p>
      <w:pPr>
        <w:pStyle w:val="ListParagraph"/>
        <w:numPr>
          <w:ilvl w:val="0"/>
          <w:numId w:val="8"/>
        </w:numPr>
        <w:tabs>
          <w:tab w:pos="3778" w:val="left" w:leader="none"/>
        </w:tabs>
        <w:spacing w:line="240" w:lineRule="auto" w:before="9" w:after="0"/>
        <w:ind w:left="3777" w:right="0" w:hanging="721"/>
        <w:jc w:val="left"/>
        <w:rPr>
          <w:sz w:val="21"/>
        </w:rPr>
      </w:pPr>
      <w:r>
        <w:rPr>
          <w:spacing w:val="-2"/>
          <w:sz w:val="21"/>
        </w:rPr>
        <w:t>处方中所列明的药品是在</w:t>
      </w:r>
      <w:r>
        <w:rPr>
          <w:rFonts w:ascii="微软雅黑" w:eastAsia="微软雅黑"/>
          <w:b/>
          <w:spacing w:val="-2"/>
          <w:sz w:val="21"/>
        </w:rPr>
        <w:t>本公司认可的药店</w:t>
      </w:r>
      <w:r>
        <w:rPr>
          <w:spacing w:val="-2"/>
          <w:position w:val="11"/>
          <w:sz w:val="11"/>
        </w:rPr>
        <w:t>32</w:t>
      </w:r>
      <w:r>
        <w:rPr>
          <w:spacing w:val="-4"/>
          <w:sz w:val="21"/>
        </w:rPr>
        <w:t>购买的药品；</w:t>
      </w:r>
    </w:p>
    <w:p>
      <w:pPr>
        <w:pStyle w:val="ListParagraph"/>
        <w:numPr>
          <w:ilvl w:val="0"/>
          <w:numId w:val="8"/>
        </w:numPr>
        <w:tabs>
          <w:tab w:pos="3778" w:val="left" w:leader="none"/>
        </w:tabs>
        <w:spacing w:line="240" w:lineRule="auto" w:before="172" w:after="0"/>
        <w:ind w:left="3777" w:right="0" w:hanging="721"/>
        <w:jc w:val="left"/>
        <w:rPr>
          <w:sz w:val="21"/>
        </w:rPr>
      </w:pPr>
      <w:r>
        <w:rPr>
          <w:spacing w:val="-3"/>
          <w:sz w:val="21"/>
        </w:rPr>
        <w:t>在本公司指定或认可的药店购买的药品须经本公司处方审核通过。</w:t>
      </w:r>
    </w:p>
    <w:p>
      <w:pPr>
        <w:pStyle w:val="BodyText"/>
        <w:spacing w:before="8"/>
        <w:rPr>
          <w:sz w:val="17"/>
        </w:rPr>
      </w:pPr>
    </w:p>
    <w:p>
      <w:pPr>
        <w:pStyle w:val="BodyText"/>
        <w:spacing w:line="300" w:lineRule="auto"/>
        <w:ind w:left="3057" w:right="207"/>
      </w:pPr>
      <w:r>
        <w:rPr>
          <w:spacing w:val="-2"/>
        </w:rPr>
        <w:t>重大疾病医疗保险责任的公共保险金额、赔付比例、医疗机构、免赔额具体由投</w:t>
      </w:r>
      <w:r>
        <w:rPr>
          <w:spacing w:val="-2"/>
        </w:rPr>
        <w:t>保人与本公司约定，并在本合同内载明。</w:t>
      </w:r>
    </w:p>
    <w:p>
      <w:pPr>
        <w:pStyle w:val="BodyText"/>
        <w:spacing w:line="300" w:lineRule="auto" w:before="155"/>
        <w:ind w:left="3057" w:right="207"/>
      </w:pPr>
      <w:r>
        <w:rPr>
          <w:color w:val="000000"/>
          <w:spacing w:val="-4"/>
          <w:shd w:fill="E4E4E4" w:color="auto" w:val="clear"/>
        </w:rPr>
        <w:t>若被保险人在本合同等待期内因非意外的原因发生的以上三类医疗费用，本公司</w:t>
      </w:r>
      <w:r>
        <w:rPr>
          <w:color w:val="000000"/>
          <w:spacing w:val="-2"/>
          <w:shd w:fill="E4E4E4" w:color="auto" w:val="clear"/>
        </w:rPr>
        <w:t>不承担重大疾病医疗保险责任。</w:t>
      </w:r>
    </w:p>
    <w:p>
      <w:pPr>
        <w:pStyle w:val="BodyText"/>
        <w:spacing w:line="300" w:lineRule="auto" w:before="158"/>
        <w:ind w:left="3057" w:right="207"/>
        <w:jc w:val="both"/>
      </w:pPr>
      <w:r>
        <w:rPr>
          <w:spacing w:val="1"/>
          <w:w w:val="100"/>
        </w:rPr>
        <w:t>本公司在保险期间内对同一团体累计给付的重大疾病医疗保险金以该团体所对</w:t>
      </w:r>
      <w:r>
        <w:rPr>
          <w:spacing w:val="-6"/>
          <w:w w:val="100"/>
        </w:rPr>
        <w:t>应的重大疾病医疗保险责任的公共保险金额为限。</w:t>
      </w:r>
      <w:r>
        <w:rPr>
          <w:color w:val="000000"/>
          <w:spacing w:val="-3"/>
          <w:w w:val="100"/>
          <w:shd w:fill="E4E4E4" w:color="auto" w:val="clear"/>
        </w:rPr>
        <w:t>本公司对于以上三类医疗费用</w:t>
      </w:r>
      <w:r>
        <w:rPr>
          <w:color w:val="000000"/>
          <w:spacing w:val="-3"/>
          <w:w w:val="100"/>
          <w:shd w:fill="E4E4E4" w:color="auto" w:val="clear"/>
        </w:rPr>
        <w:t>                                                                                                                                        </w:t>
      </w:r>
      <w:r>
        <w:rPr>
          <w:color w:val="000000"/>
          <w:spacing w:val="2"/>
          <w:w w:val="100"/>
          <w:shd w:fill="E4E4E4" w:color="auto" w:val="clear"/>
        </w:rPr>
        <w:t>向该团体累计给付的重大疾病医疗保险金达到该团体所对应的重大疾病医疗保</w:t>
      </w:r>
      <w:r>
        <w:rPr>
          <w:color w:val="000000"/>
          <w:spacing w:val="-3"/>
          <w:w w:val="100"/>
          <w:shd w:fill="E4E4E4" w:color="auto" w:val="clear"/>
        </w:rPr>
        <w:t>险责任的公共保险金额时，本公司对该团体的重大疾病医疗保险责任终止。</w:t>
      </w:r>
    </w:p>
    <w:p>
      <w:pPr>
        <w:spacing w:after="0" w:line="300" w:lineRule="auto"/>
        <w:jc w:val="both"/>
        <w:sectPr>
          <w:pgSz w:w="11910" w:h="16840"/>
          <w:pgMar w:header="0" w:footer="967" w:top="1380" w:bottom="1240" w:left="860" w:right="480"/>
        </w:sectPr>
      </w:pPr>
    </w:p>
    <w:p>
      <w:pPr>
        <w:pStyle w:val="BodyText"/>
        <w:spacing w:before="3"/>
        <w:rPr>
          <w:sz w:val="19"/>
        </w:rPr>
      </w:pPr>
    </w:p>
    <w:p>
      <w:pPr>
        <w:pStyle w:val="Heading3"/>
        <w:numPr>
          <w:ilvl w:val="2"/>
          <w:numId w:val="3"/>
        </w:numPr>
        <w:tabs>
          <w:tab w:pos="1288" w:val="left" w:leader="none"/>
          <w:tab w:pos="1289" w:val="left" w:leader="none"/>
        </w:tabs>
        <w:spacing w:line="362" w:lineRule="exact" w:before="0" w:after="0"/>
        <w:ind w:left="1288" w:right="0" w:hanging="961"/>
        <w:jc w:val="left"/>
      </w:pPr>
      <w:r>
        <w:rPr>
          <w:spacing w:val="-2"/>
        </w:rPr>
        <w:t>牙科医疗保险责</w:t>
      </w:r>
    </w:p>
    <w:p>
      <w:pPr>
        <w:spacing w:line="362" w:lineRule="exact" w:before="0"/>
        <w:ind w:left="1288" w:right="0" w:firstLine="0"/>
        <w:jc w:val="left"/>
        <w:rPr>
          <w:rFonts w:ascii="微软雅黑" w:eastAsia="微软雅黑"/>
          <w:b/>
          <w:sz w:val="21"/>
        </w:rPr>
      </w:pPr>
      <w:r>
        <w:rPr>
          <w:rFonts w:ascii="微软雅黑" w:eastAsia="微软雅黑"/>
          <w:b/>
          <w:sz w:val="21"/>
        </w:rPr>
        <w:t>任（可选</w:t>
      </w:r>
      <w:r>
        <w:rPr>
          <w:rFonts w:ascii="微软雅黑" w:eastAsia="微软雅黑"/>
          <w:b/>
          <w:spacing w:val="-10"/>
          <w:sz w:val="21"/>
        </w:rPr>
        <w:t>）</w:t>
      </w:r>
    </w:p>
    <w:p>
      <w:pPr>
        <w:pStyle w:val="BodyText"/>
        <w:spacing w:line="273" w:lineRule="auto" w:before="91"/>
        <w:ind w:left="250" w:right="235"/>
      </w:pPr>
      <w:r>
        <w:rPr/>
        <w:br w:type="column"/>
      </w:r>
      <w:r>
        <w:rPr>
          <w:spacing w:val="-2"/>
        </w:rPr>
        <w:t>被保险人在其保险期间内，在</w:t>
      </w:r>
      <w:r>
        <w:rPr>
          <w:rFonts w:ascii="微软雅黑" w:eastAsia="微软雅黑"/>
          <w:b/>
          <w:spacing w:val="-2"/>
        </w:rPr>
        <w:t>本公司指定的牙科医疗机构</w:t>
      </w:r>
      <w:r>
        <w:rPr>
          <w:rFonts w:ascii="微软雅黑" w:eastAsia="微软雅黑"/>
          <w:b/>
          <w:spacing w:val="-2"/>
          <w:position w:val="11"/>
          <w:sz w:val="11"/>
        </w:rPr>
        <w:t>33</w:t>
      </w:r>
      <w:r>
        <w:rPr>
          <w:spacing w:val="-2"/>
        </w:rPr>
        <w:t>发生下列牙科医疗保</w:t>
      </w:r>
      <w:r>
        <w:rPr>
          <w:spacing w:val="-2"/>
        </w:rPr>
        <w:t>险责任范围内的费用，本公司依照约定给付牙科医疗保险金。牙科医疗保险责</w:t>
      </w:r>
      <w:r>
        <w:rPr>
          <w:spacing w:val="-2"/>
        </w:rPr>
        <w:t>任范围内的费用包括：</w:t>
      </w:r>
    </w:p>
    <w:p>
      <w:pPr>
        <w:pStyle w:val="BodyText"/>
        <w:spacing w:before="1"/>
        <w:rPr>
          <w:sz w:val="14"/>
        </w:rPr>
      </w:pPr>
    </w:p>
    <w:p>
      <w:pPr>
        <w:pStyle w:val="ListParagraph"/>
        <w:numPr>
          <w:ilvl w:val="0"/>
          <w:numId w:val="9"/>
        </w:numPr>
        <w:tabs>
          <w:tab w:pos="463" w:val="left" w:leader="none"/>
        </w:tabs>
        <w:spacing w:line="302" w:lineRule="auto" w:before="0" w:after="0"/>
        <w:ind w:left="250" w:right="209" w:firstLine="0"/>
        <w:jc w:val="left"/>
        <w:rPr>
          <w:sz w:val="21"/>
        </w:rPr>
      </w:pPr>
      <w:r>
        <w:rPr>
          <w:spacing w:val="-2"/>
          <w:sz w:val="21"/>
        </w:rPr>
        <w:t>预防治疗费，包括常规牙科检查、牙齿健康指导、涂氟治疗、洁齿和抛光（预</w:t>
      </w:r>
      <w:r>
        <w:rPr>
          <w:spacing w:val="-2"/>
          <w:sz w:val="21"/>
        </w:rPr>
        <w:t>防</w:t>
      </w:r>
      <w:r>
        <w:rPr>
          <w:spacing w:val="-106"/>
          <w:sz w:val="21"/>
        </w:rPr>
        <w:t>）</w:t>
      </w:r>
      <w:r>
        <w:rPr>
          <w:spacing w:val="-2"/>
          <w:sz w:val="21"/>
        </w:rPr>
        <w:t>、每一保险期间两次以下（含）牙齿清洁检查费；</w:t>
      </w:r>
    </w:p>
    <w:p>
      <w:pPr>
        <w:pStyle w:val="ListParagraph"/>
        <w:numPr>
          <w:ilvl w:val="0"/>
          <w:numId w:val="9"/>
        </w:numPr>
        <w:tabs>
          <w:tab w:pos="463" w:val="left" w:leader="none"/>
        </w:tabs>
        <w:spacing w:line="300" w:lineRule="auto" w:before="153" w:after="0"/>
        <w:ind w:left="250" w:right="207" w:firstLine="0"/>
        <w:jc w:val="left"/>
        <w:rPr>
          <w:sz w:val="21"/>
        </w:rPr>
      </w:pPr>
      <w:r>
        <w:rPr>
          <w:spacing w:val="-2"/>
          <w:sz w:val="21"/>
        </w:rPr>
        <w:t>基础治疗费，包括汞合金或复合树脂充填、简单拔牙、牙周刮治、根面平整及</w:t>
      </w:r>
      <w:r>
        <w:rPr>
          <w:spacing w:val="-4"/>
          <w:sz w:val="21"/>
        </w:rPr>
        <w:t>相关口腔 </w:t>
      </w:r>
      <w:r>
        <w:rPr>
          <w:sz w:val="21"/>
        </w:rPr>
        <w:t>X</w:t>
      </w:r>
      <w:r>
        <w:rPr>
          <w:spacing w:val="-7"/>
          <w:sz w:val="21"/>
        </w:rPr>
        <w:t> 光费；</w:t>
      </w:r>
    </w:p>
    <w:p>
      <w:pPr>
        <w:pStyle w:val="ListParagraph"/>
        <w:numPr>
          <w:ilvl w:val="0"/>
          <w:numId w:val="9"/>
        </w:numPr>
        <w:tabs>
          <w:tab w:pos="463" w:val="left" w:leader="none"/>
        </w:tabs>
        <w:spacing w:line="300" w:lineRule="auto" w:before="158" w:after="0"/>
        <w:ind w:left="250" w:right="209" w:firstLine="0"/>
        <w:jc w:val="left"/>
        <w:rPr>
          <w:sz w:val="21"/>
        </w:rPr>
      </w:pPr>
      <w:r>
        <w:rPr>
          <w:spacing w:val="-2"/>
          <w:sz w:val="21"/>
        </w:rPr>
        <w:t>重大治疗费，包括根管充填、根管治疗、牙冠和嵌体、桥式义齿（包括化验和</w:t>
      </w:r>
      <w:r>
        <w:rPr>
          <w:sz w:val="21"/>
        </w:rPr>
        <w:t>麻醉费用</w:t>
      </w:r>
      <w:r>
        <w:rPr>
          <w:spacing w:val="-108"/>
          <w:sz w:val="21"/>
        </w:rPr>
        <w:t>）</w:t>
      </w:r>
      <w:r>
        <w:rPr>
          <w:spacing w:val="-2"/>
          <w:sz w:val="21"/>
        </w:rPr>
        <w:t>、智齿拔除、以及相关口腔 </w:t>
      </w:r>
      <w:r>
        <w:rPr>
          <w:sz w:val="21"/>
        </w:rPr>
        <w:t>X</w:t>
      </w:r>
      <w:r>
        <w:rPr>
          <w:spacing w:val="-6"/>
          <w:sz w:val="21"/>
        </w:rPr>
        <w:t> 光费；</w:t>
      </w:r>
    </w:p>
    <w:p>
      <w:pPr>
        <w:pStyle w:val="ListParagraph"/>
        <w:numPr>
          <w:ilvl w:val="0"/>
          <w:numId w:val="9"/>
        </w:numPr>
        <w:tabs>
          <w:tab w:pos="566" w:val="left" w:leader="none"/>
        </w:tabs>
        <w:spacing w:line="300" w:lineRule="auto" w:before="155" w:after="0"/>
        <w:ind w:left="250" w:right="212" w:firstLine="0"/>
        <w:jc w:val="left"/>
        <w:rPr>
          <w:sz w:val="21"/>
        </w:rPr>
      </w:pPr>
      <w:r>
        <w:rPr>
          <w:spacing w:val="-2"/>
          <w:sz w:val="21"/>
        </w:rPr>
        <w:t>牙齿矫正费，包括模型研究、牙齿印模、活动矫治器、固定矫治器（包括调</w:t>
      </w:r>
      <w:r>
        <w:rPr>
          <w:sz w:val="21"/>
        </w:rPr>
        <w:t>整</w:t>
      </w:r>
      <w:r>
        <w:rPr>
          <w:spacing w:val="-106"/>
          <w:sz w:val="21"/>
        </w:rPr>
        <w:t>）</w:t>
      </w:r>
      <w:r>
        <w:rPr>
          <w:spacing w:val="-2"/>
          <w:sz w:val="21"/>
        </w:rPr>
        <w:t>、正畸拔牙、托槽的粘接、以及相关口腔 </w:t>
      </w:r>
      <w:r>
        <w:rPr>
          <w:sz w:val="21"/>
        </w:rPr>
        <w:t>X</w:t>
      </w:r>
      <w:r>
        <w:rPr>
          <w:spacing w:val="-7"/>
          <w:sz w:val="21"/>
        </w:rPr>
        <w:t> 光费。</w:t>
      </w:r>
    </w:p>
    <w:p>
      <w:pPr>
        <w:pStyle w:val="BodyText"/>
        <w:spacing w:line="300" w:lineRule="auto" w:before="158"/>
        <w:ind w:left="250" w:right="207"/>
      </w:pPr>
      <w:r>
        <w:rPr>
          <w:spacing w:val="-2"/>
        </w:rPr>
        <w:t>牙科医疗保险责任的公共保险金额、赔付比例具体由投保人与本公司约定，并在</w:t>
      </w:r>
      <w:r>
        <w:rPr>
          <w:spacing w:val="-2"/>
        </w:rPr>
        <w:t>本合同内载明。</w:t>
      </w:r>
    </w:p>
    <w:p>
      <w:pPr>
        <w:pStyle w:val="BodyText"/>
        <w:spacing w:line="300" w:lineRule="auto" w:before="155"/>
        <w:ind w:left="250" w:right="207"/>
        <w:jc w:val="both"/>
      </w:pPr>
      <w:r>
        <w:rPr>
          <w:spacing w:val="1"/>
          <w:w w:val="100"/>
        </w:rPr>
        <w:t>本公司在保险期间内对同一团体累计给付的牙科医疗保险金以该团体所对应的</w:t>
      </w:r>
      <w:r>
        <w:rPr>
          <w:spacing w:val="-6"/>
          <w:w w:val="100"/>
        </w:rPr>
        <w:t>牙科医疗保险责任的公共保险金额为限。</w:t>
      </w:r>
      <w:r>
        <w:rPr>
          <w:color w:val="000000"/>
          <w:spacing w:val="-3"/>
          <w:w w:val="100"/>
          <w:shd w:fill="E4E4E4" w:color="auto" w:val="clear"/>
        </w:rPr>
        <w:t>本公司对于以上牙科医疗费用向该团体</w:t>
      </w:r>
      <w:r>
        <w:rPr>
          <w:color w:val="000000"/>
          <w:spacing w:val="-3"/>
          <w:w w:val="100"/>
          <w:shd w:fill="E4E4E4" w:color="auto" w:val="clear"/>
        </w:rPr>
        <w:t>                                                                                                                                        </w:t>
      </w:r>
      <w:r>
        <w:rPr>
          <w:color w:val="000000"/>
          <w:spacing w:val="1"/>
          <w:w w:val="100"/>
          <w:shd w:fill="E4E4E4" w:color="auto" w:val="clear"/>
        </w:rPr>
        <w:t>累计给付的牙科医疗保险金达到该团体所对应的牙科医疗保险责任的公共保险</w:t>
      </w:r>
      <w:r>
        <w:rPr>
          <w:color w:val="000000"/>
          <w:spacing w:val="-3"/>
          <w:w w:val="100"/>
          <w:shd w:fill="E4E4E4" w:color="auto" w:val="clear"/>
        </w:rPr>
        <w:t>金额时，本公司对该团体的牙科医疗保险责任终止。</w:t>
      </w:r>
    </w:p>
    <w:p>
      <w:pPr>
        <w:spacing w:after="0" w:line="300" w:lineRule="auto"/>
        <w:jc w:val="both"/>
        <w:sectPr>
          <w:type w:val="continuous"/>
          <w:pgSz w:w="11910" w:h="16840"/>
          <w:pgMar w:header="0" w:footer="967" w:top="480" w:bottom="1160" w:left="860" w:right="480"/>
          <w:cols w:num="2" w:equalWidth="0">
            <w:col w:w="2767" w:space="40"/>
            <w:col w:w="7763"/>
          </w:cols>
        </w:sectPr>
      </w:pPr>
    </w:p>
    <w:p>
      <w:pPr>
        <w:pStyle w:val="BodyText"/>
        <w:spacing w:before="11"/>
        <w:rPr>
          <w:sz w:val="18"/>
        </w:rPr>
      </w:pPr>
    </w:p>
    <w:p>
      <w:pPr>
        <w:pStyle w:val="ListParagraph"/>
        <w:numPr>
          <w:ilvl w:val="2"/>
          <w:numId w:val="3"/>
        </w:numPr>
        <w:tabs>
          <w:tab w:pos="1288" w:val="left" w:leader="none"/>
          <w:tab w:pos="1289" w:val="left" w:leader="none"/>
          <w:tab w:pos="3057" w:val="left" w:leader="none"/>
        </w:tabs>
        <w:spacing w:line="252" w:lineRule="auto" w:before="5" w:after="0"/>
        <w:ind w:left="3057" w:right="151" w:hanging="2730"/>
        <w:jc w:val="left"/>
        <w:rPr>
          <w:sz w:val="21"/>
        </w:rPr>
      </w:pPr>
      <w:r>
        <w:rPr>
          <w:rFonts w:ascii="微软雅黑" w:eastAsia="微软雅黑"/>
          <w:b/>
          <w:spacing w:val="-4"/>
          <w:sz w:val="21"/>
        </w:rPr>
        <w:t>免</w:t>
      </w:r>
      <w:r>
        <w:rPr>
          <w:rFonts w:ascii="微软雅黑" w:eastAsia="微软雅黑"/>
          <w:b/>
          <w:spacing w:val="-4"/>
          <w:sz w:val="21"/>
        </w:rPr>
        <w:t>赔</w:t>
      </w:r>
      <w:r>
        <w:rPr>
          <w:rFonts w:ascii="微软雅黑" w:eastAsia="微软雅黑"/>
          <w:b/>
          <w:spacing w:val="-4"/>
          <w:sz w:val="21"/>
        </w:rPr>
        <w:t>额</w:t>
      </w:r>
      <w:r>
        <w:rPr>
          <w:rFonts w:ascii="微软雅黑" w:eastAsia="微软雅黑"/>
          <w:b/>
          <w:sz w:val="21"/>
        </w:rPr>
        <w:tab/>
      </w:r>
      <w:r>
        <w:rPr>
          <w:spacing w:val="-2"/>
          <w:sz w:val="21"/>
        </w:rPr>
        <w:t>一</w:t>
      </w:r>
      <w:r>
        <w:rPr>
          <w:spacing w:val="-2"/>
          <w:sz w:val="21"/>
        </w:rPr>
        <w:t>般</w:t>
      </w:r>
      <w:r>
        <w:rPr>
          <w:spacing w:val="-2"/>
          <w:sz w:val="21"/>
        </w:rPr>
        <w:t>医疗保险责任、重大</w:t>
      </w:r>
      <w:r>
        <w:rPr>
          <w:spacing w:val="-2"/>
          <w:sz w:val="21"/>
        </w:rPr>
        <w:t>疾</w:t>
      </w:r>
      <w:r>
        <w:rPr>
          <w:spacing w:val="-2"/>
          <w:sz w:val="21"/>
        </w:rPr>
        <w:t>病</w:t>
      </w:r>
      <w:r>
        <w:rPr>
          <w:spacing w:val="-2"/>
          <w:sz w:val="21"/>
        </w:rPr>
        <w:t>医疗保险责任的免赔</w:t>
      </w:r>
      <w:r>
        <w:rPr>
          <w:spacing w:val="-2"/>
          <w:sz w:val="21"/>
        </w:rPr>
        <w:t>额</w:t>
      </w:r>
      <w:r>
        <w:rPr>
          <w:spacing w:val="-2"/>
          <w:sz w:val="21"/>
        </w:rPr>
        <w:t>均</w:t>
      </w:r>
      <w:r>
        <w:rPr>
          <w:spacing w:val="-2"/>
          <w:sz w:val="21"/>
        </w:rPr>
        <w:t>由投保人与本公司约定，</w:t>
      </w:r>
      <w:r>
        <w:rPr>
          <w:spacing w:val="-2"/>
          <w:sz w:val="21"/>
        </w:rPr>
        <w:t>并</w:t>
      </w:r>
      <w:r>
        <w:rPr>
          <w:spacing w:val="-2"/>
          <w:sz w:val="21"/>
        </w:rPr>
        <w:t>在</w:t>
      </w:r>
      <w:r>
        <w:rPr>
          <w:spacing w:val="-2"/>
          <w:sz w:val="21"/>
        </w:rPr>
        <w:t>本合同中载明。牙科</w:t>
      </w:r>
      <w:r>
        <w:rPr>
          <w:spacing w:val="-2"/>
          <w:sz w:val="21"/>
        </w:rPr>
        <w:t>医</w:t>
      </w:r>
      <w:r>
        <w:rPr>
          <w:spacing w:val="-2"/>
          <w:sz w:val="21"/>
        </w:rPr>
        <w:t>疗</w:t>
      </w:r>
      <w:r>
        <w:rPr>
          <w:spacing w:val="-2"/>
          <w:sz w:val="21"/>
        </w:rPr>
        <w:t>保险责任无免赔</w:t>
      </w:r>
      <w:r>
        <w:rPr>
          <w:spacing w:val="-2"/>
          <w:sz w:val="21"/>
        </w:rPr>
        <w:t>额</w:t>
      </w:r>
      <w:r>
        <w:rPr>
          <w:spacing w:val="-2"/>
          <w:sz w:val="21"/>
        </w:rPr>
        <w:t>。</w:t>
      </w:r>
    </w:p>
    <w:p>
      <w:pPr>
        <w:pStyle w:val="BodyText"/>
        <w:spacing w:before="4"/>
        <w:rPr>
          <w:sz w:val="16"/>
        </w:rPr>
      </w:pPr>
    </w:p>
    <w:p>
      <w:pPr>
        <w:pStyle w:val="BodyText"/>
        <w:ind w:left="3057"/>
      </w:pPr>
      <w:r>
        <w:rPr>
          <w:spacing w:val="-5"/>
        </w:rPr>
        <w:t>免赔额分为基础免赔额与额外免赔额。本合同基础免赔额指基础共用免赔额，指</w:t>
      </w:r>
    </w:p>
    <w:p>
      <w:pPr>
        <w:pStyle w:val="BodyText"/>
        <w:rPr>
          <w:sz w:val="20"/>
        </w:rPr>
      </w:pPr>
    </w:p>
    <w:p>
      <w:pPr>
        <w:pStyle w:val="BodyText"/>
        <w:spacing w:before="7"/>
        <w:rPr>
          <w:sz w:val="11"/>
        </w:rPr>
      </w:pPr>
      <w:r>
        <w:rPr/>
        <w:drawing>
          <wp:anchor distT="0" distB="0" distL="0" distR="0" allowOverlap="1" layoutInCell="1" locked="0" behindDoc="0" simplePos="0" relativeHeight="9">
            <wp:simplePos x="0" y="0"/>
            <wp:positionH relativeFrom="page">
              <wp:posOffset>685800</wp:posOffset>
            </wp:positionH>
            <wp:positionV relativeFrom="paragraph">
              <wp:posOffset>109241</wp:posOffset>
            </wp:positionV>
            <wp:extent cx="1829511" cy="6095"/>
            <wp:effectExtent l="0" t="0" r="0" b="0"/>
            <wp:wrapTopAndBottom/>
            <wp:docPr id="19" name="image6.png"/>
            <wp:cNvGraphicFramePr>
              <a:graphicFrameLocks noChangeAspect="1"/>
            </wp:cNvGraphicFramePr>
            <a:graphic>
              <a:graphicData uri="http://schemas.openxmlformats.org/drawingml/2006/picture">
                <pic:pic>
                  <pic:nvPicPr>
                    <pic:cNvPr id="20"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line="223" w:lineRule="auto" w:before="55"/>
        <w:ind w:left="220" w:right="622" w:firstLine="0"/>
        <w:jc w:val="left"/>
        <w:rPr>
          <w:sz w:val="18"/>
        </w:rPr>
      </w:pPr>
      <w:r>
        <w:rPr>
          <w:spacing w:val="-2"/>
          <w:position w:val="9"/>
          <w:sz w:val="9"/>
        </w:rPr>
        <w:t>32</w:t>
      </w:r>
      <w:r>
        <w:rPr>
          <w:rFonts w:ascii="Microsoft JhengHei" w:eastAsia="Microsoft JhengHei"/>
          <w:b/>
          <w:spacing w:val="-2"/>
          <w:sz w:val="18"/>
        </w:rPr>
        <w:t>本公司认可的药店：</w:t>
      </w:r>
      <w:r>
        <w:rPr>
          <w:spacing w:val="-2"/>
          <w:sz w:val="18"/>
        </w:rPr>
        <w:t>本公司认可的药店必须同时满足以下条件：（1）取得国家药品经营许可证、GSP</w:t>
      </w:r>
      <w:r>
        <w:rPr>
          <w:spacing w:val="-13"/>
          <w:sz w:val="18"/>
        </w:rPr>
        <w:t> 认证；</w:t>
      </w:r>
      <w:r>
        <w:rPr>
          <w:spacing w:val="-2"/>
          <w:sz w:val="18"/>
        </w:rPr>
        <w:t>（2）具有完善</w:t>
      </w:r>
      <w:r>
        <w:rPr>
          <w:spacing w:val="-4"/>
          <w:sz w:val="18"/>
        </w:rPr>
        <w:t>的冷链药品送达能力；（3）该药店内具有医师、执业药师等专业人员提供服务；（4）当地医保定点零售药房或大病保险特药</w:t>
      </w:r>
      <w:r>
        <w:rPr>
          <w:spacing w:val="-2"/>
          <w:sz w:val="18"/>
        </w:rPr>
        <w:t>定点零售药店。</w:t>
      </w:r>
    </w:p>
    <w:p>
      <w:pPr>
        <w:spacing w:line="258" w:lineRule="exact" w:before="0"/>
        <w:ind w:left="220" w:right="0" w:firstLine="0"/>
        <w:jc w:val="left"/>
        <w:rPr>
          <w:sz w:val="18"/>
        </w:rPr>
      </w:pPr>
      <w:r>
        <w:rPr>
          <w:position w:val="9"/>
          <w:sz w:val="9"/>
        </w:rPr>
        <w:t>33</w:t>
      </w:r>
      <w:r>
        <w:rPr>
          <w:rFonts w:ascii="Microsoft JhengHei" w:eastAsia="Microsoft JhengHei"/>
          <w:b/>
          <w:sz w:val="18"/>
        </w:rPr>
        <w:t>本公司指定的牙科医疗机构：</w:t>
      </w:r>
      <w:r>
        <w:rPr>
          <w:spacing w:val="-1"/>
          <w:sz w:val="18"/>
        </w:rPr>
        <w:t>指归属于本公司牙科医疗服务网络内的医疗机构，可登陆本公司指定的互联网站或致电查询</w:t>
      </w:r>
    </w:p>
    <w:p>
      <w:pPr>
        <w:spacing w:line="212" w:lineRule="exact" w:before="0"/>
        <w:ind w:left="220" w:right="0" w:firstLine="0"/>
        <w:jc w:val="left"/>
        <w:rPr>
          <w:sz w:val="18"/>
        </w:rPr>
      </w:pPr>
      <w:r>
        <w:rPr>
          <w:spacing w:val="-2"/>
          <w:sz w:val="18"/>
        </w:rPr>
        <w:t>相关信息。</w:t>
      </w:r>
    </w:p>
    <w:p>
      <w:pPr>
        <w:spacing w:after="0" w:line="212" w:lineRule="exact"/>
        <w:jc w:val="left"/>
        <w:rPr>
          <w:sz w:val="18"/>
        </w:rPr>
        <w:sectPr>
          <w:type w:val="continuous"/>
          <w:pgSz w:w="11910" w:h="16840"/>
          <w:pgMar w:header="0" w:footer="967" w:top="480" w:bottom="1160" w:left="860" w:right="480"/>
        </w:sectPr>
      </w:pPr>
    </w:p>
    <w:p>
      <w:pPr>
        <w:pStyle w:val="BodyText"/>
        <w:spacing w:line="300" w:lineRule="auto" w:before="56"/>
        <w:ind w:left="3057" w:right="207"/>
        <w:jc w:val="both"/>
      </w:pPr>
      <w:r>
        <w:rPr>
          <w:spacing w:val="-7"/>
          <w:w w:val="100"/>
        </w:rPr>
        <w:t>在本合同保险期间内，应由同一团体所有被保险人共同自行承担，本公司不予赔</w:t>
      </w:r>
      <w:r>
        <w:rPr>
          <w:spacing w:val="-9"/>
          <w:w w:val="100"/>
        </w:rPr>
        <w:t>付的部分。本合同额外免赔额指额外共用免赔额，指在本合同保险期间内，应由</w:t>
      </w:r>
      <w:r>
        <w:rPr>
          <w:spacing w:val="1"/>
          <w:w w:val="100"/>
        </w:rPr>
        <w:t>投保人与本公司约定并在本合同内载明的该团体指定被保险人额外共同自行承</w:t>
      </w:r>
      <w:r>
        <w:rPr>
          <w:spacing w:val="-6"/>
          <w:w w:val="100"/>
        </w:rPr>
        <w:t>担，本公司不予赔付的部分。</w:t>
      </w:r>
      <w:r>
        <w:rPr>
          <w:color w:val="000000"/>
          <w:spacing w:val="-5"/>
          <w:w w:val="100"/>
          <w:shd w:fill="D9D9D9" w:color="auto" w:val="clear"/>
        </w:rPr>
        <w:t>被保险人从其他途径</w:t>
      </w:r>
      <w:r>
        <w:rPr>
          <w:color w:val="000000"/>
          <w:w w:val="100"/>
          <w:shd w:fill="D9D9D9" w:color="auto" w:val="clear"/>
        </w:rPr>
        <w:t>（</w:t>
      </w:r>
      <w:r>
        <w:rPr>
          <w:color w:val="000000"/>
          <w:spacing w:val="-5"/>
          <w:w w:val="100"/>
          <w:shd w:fill="D9D9D9" w:color="auto" w:val="clear"/>
        </w:rPr>
        <w:t>包括工作单位、本公司在内</w:t>
      </w:r>
    </w:p>
    <w:p>
      <w:pPr>
        <w:pStyle w:val="BodyText"/>
        <w:spacing w:before="2"/>
        <w:ind w:left="3057" w:right="207"/>
      </w:pPr>
      <w:r>
        <w:rPr/>
        <w:drawing>
          <wp:anchor distT="0" distB="0" distL="0" distR="0" allowOverlap="1" layoutInCell="1" locked="0" behindDoc="1" simplePos="0" relativeHeight="487068672">
            <wp:simplePos x="0" y="0"/>
            <wp:positionH relativeFrom="page">
              <wp:posOffset>4100195</wp:posOffset>
            </wp:positionH>
            <wp:positionV relativeFrom="paragraph">
              <wp:posOffset>212344</wp:posOffset>
            </wp:positionV>
            <wp:extent cx="70103" cy="173735"/>
            <wp:effectExtent l="0" t="0" r="0" b="0"/>
            <wp:wrapNone/>
            <wp:docPr id="21" name="image7.png"/>
            <wp:cNvGraphicFramePr>
              <a:graphicFrameLocks noChangeAspect="1"/>
            </wp:cNvGraphicFramePr>
            <a:graphic>
              <a:graphicData uri="http://schemas.openxmlformats.org/drawingml/2006/picture">
                <pic:pic>
                  <pic:nvPicPr>
                    <pic:cNvPr id="22" name="image7.png"/>
                    <pic:cNvPicPr/>
                  </pic:nvPicPr>
                  <pic:blipFill>
                    <a:blip r:embed="rId12" cstate="print"/>
                    <a:stretch>
                      <a:fillRect/>
                    </a:stretch>
                  </pic:blipFill>
                  <pic:spPr>
                    <a:xfrm>
                      <a:off x="0" y="0"/>
                      <a:ext cx="70103" cy="173735"/>
                    </a:xfrm>
                    <a:prstGeom prst="rect">
                      <a:avLst/>
                    </a:prstGeom>
                  </pic:spPr>
                </pic:pic>
              </a:graphicData>
            </a:graphic>
          </wp:anchor>
        </w:drawing>
      </w:r>
      <w:r>
        <w:rPr>
          <w:color w:val="000000"/>
          <w:spacing w:val="-2"/>
          <w:shd w:fill="E4E4E4" w:color="auto" w:val="clear"/>
        </w:rPr>
        <w:t>的任何商业保险机构等</w:t>
      </w:r>
      <w:r>
        <w:rPr>
          <w:color w:val="000000"/>
          <w:spacing w:val="-58"/>
          <w:shd w:fill="E4E4E4" w:color="auto" w:val="clear"/>
        </w:rPr>
        <w:t>）</w:t>
      </w:r>
      <w:r>
        <w:rPr>
          <w:color w:val="000000"/>
          <w:spacing w:val="-2"/>
          <w:shd w:fill="E4E4E4" w:color="auto" w:val="clear"/>
        </w:rPr>
        <w:t>已获得的本合同责任范围内医疗费用补偿可用于抵扣免</w:t>
      </w:r>
      <w:r>
        <w:rPr>
          <w:color w:val="000000"/>
          <w:spacing w:val="80"/>
          <w:w w:val="150"/>
          <w:shd w:fill="E4E4E4" w:color="auto" w:val="clear"/>
        </w:rPr>
        <w:t>                                        </w:t>
      </w:r>
      <w:r>
        <w:rPr>
          <w:color w:val="000000"/>
          <w:shd w:fill="E4E4E4" w:color="auto" w:val="clear"/>
        </w:rPr>
        <w:t>赔额，但通过</w:t>
      </w:r>
      <w:r>
        <w:rPr>
          <w:rFonts w:ascii="微软雅黑" w:eastAsia="微软雅黑"/>
          <w:b/>
          <w:color w:val="000000"/>
          <w:shd w:fill="E4E4E4" w:color="auto" w:val="clear"/>
        </w:rPr>
        <w:t>基本医疗保险</w:t>
      </w:r>
      <w:r>
        <w:rPr>
          <w:color w:val="000000"/>
          <w:position w:val="11"/>
          <w:sz w:val="11"/>
        </w:rPr>
        <w:t>34</w:t>
      </w:r>
      <w:r>
        <w:rPr>
          <w:color w:val="000000"/>
          <w:shd w:fill="D9D9D9" w:color="auto" w:val="clear"/>
        </w:rPr>
        <w:t>和公费医疗获得的补偿，不可用于抵扣免赔额。</w:t>
      </w:r>
      <w:r>
        <w:rPr>
          <w:color w:val="000000"/>
          <w:spacing w:val="-10"/>
        </w:rPr>
        <w:t>若</w:t>
      </w:r>
    </w:p>
    <w:p>
      <w:pPr>
        <w:pStyle w:val="BodyText"/>
        <w:spacing w:line="300" w:lineRule="auto" w:before="18"/>
        <w:ind w:left="3057" w:right="207"/>
        <w:jc w:val="both"/>
      </w:pPr>
      <w:r>
        <w:rPr>
          <w:spacing w:val="1"/>
          <w:w w:val="100"/>
        </w:rPr>
        <w:t>被保险人既有基础免赔额又有额外共用免赔额，首先抵扣其额外共用免赔额部</w:t>
      </w:r>
      <w:r>
        <w:rPr>
          <w:spacing w:val="-9"/>
          <w:w w:val="100"/>
        </w:rPr>
        <w:t>分，然后抵扣基础免赔额，该被保险人所在团体累计抵扣同一保险责任的免赔额</w:t>
      </w:r>
      <w:r>
        <w:rPr>
          <w:spacing w:val="-7"/>
          <w:w w:val="100"/>
        </w:rPr>
        <w:t>达到本合同约定的该项保险责任基础共用免赔额与额外共用免赔额之和时，本公</w:t>
      </w:r>
      <w:r>
        <w:rPr>
          <w:spacing w:val="-8"/>
          <w:w w:val="100"/>
        </w:rPr>
        <w:t>司向该被保险人给付该项保险责任保险金时，不再扣除免赔额。若被保险人只有</w:t>
      </w:r>
      <w:r>
        <w:rPr>
          <w:spacing w:val="-9"/>
          <w:w w:val="100"/>
        </w:rPr>
        <w:t>基础免赔额没有额外共用免赔额，该被保险人所在团体累计抵扣同一保险责任的</w:t>
      </w:r>
      <w:r>
        <w:rPr>
          <w:spacing w:val="-7"/>
          <w:w w:val="100"/>
        </w:rPr>
        <w:t>基础共用免赔额达到本合同约定的该项保险责任基础共用免赔额时，本公司向该</w:t>
      </w:r>
      <w:r>
        <w:rPr>
          <w:spacing w:val="-5"/>
          <w:w w:val="100"/>
        </w:rPr>
        <w:t>被保险人给付该项保险责任保险金时，不再扣除免赔额。</w:t>
      </w:r>
    </w:p>
    <w:p>
      <w:pPr>
        <w:pStyle w:val="BodyText"/>
        <w:rPr>
          <w:sz w:val="20"/>
        </w:rPr>
      </w:pPr>
    </w:p>
    <w:p>
      <w:pPr>
        <w:pStyle w:val="ListParagraph"/>
        <w:numPr>
          <w:ilvl w:val="2"/>
          <w:numId w:val="3"/>
        </w:numPr>
        <w:tabs>
          <w:tab w:pos="1289" w:val="left" w:leader="none"/>
          <w:tab w:pos="3057" w:val="left" w:leader="none"/>
        </w:tabs>
        <w:spacing w:line="336" w:lineRule="exact" w:before="0" w:after="0"/>
        <w:ind w:left="3057" w:right="207" w:hanging="2730"/>
        <w:jc w:val="both"/>
        <w:rPr>
          <w:sz w:val="21"/>
        </w:rPr>
      </w:pPr>
      <w:r>
        <w:rPr>
          <w:rFonts w:ascii="微软雅黑" w:eastAsia="微软雅黑"/>
          <w:b/>
          <w:spacing w:val="-4"/>
          <w:sz w:val="21"/>
        </w:rPr>
        <w:t>补</w:t>
      </w:r>
      <w:r>
        <w:rPr>
          <w:rFonts w:ascii="微软雅黑" w:eastAsia="微软雅黑"/>
          <w:b/>
          <w:spacing w:val="-4"/>
          <w:sz w:val="21"/>
        </w:rPr>
        <w:t>偿</w:t>
      </w:r>
      <w:r>
        <w:rPr>
          <w:rFonts w:ascii="微软雅黑" w:eastAsia="微软雅黑"/>
          <w:b/>
          <w:spacing w:val="-4"/>
          <w:sz w:val="21"/>
        </w:rPr>
        <w:t>原</w:t>
      </w:r>
      <w:r>
        <w:rPr>
          <w:rFonts w:ascii="微软雅黑" w:eastAsia="微软雅黑"/>
          <w:b/>
          <w:spacing w:val="-4"/>
          <w:sz w:val="21"/>
        </w:rPr>
        <w:t>则</w:t>
      </w:r>
      <w:r>
        <w:rPr>
          <w:rFonts w:ascii="微软雅黑" w:eastAsia="微软雅黑"/>
          <w:b/>
          <w:sz w:val="21"/>
        </w:rPr>
        <w:tab/>
      </w:r>
      <w:r>
        <w:rPr>
          <w:color w:val="000000"/>
          <w:spacing w:val="-2"/>
          <w:w w:val="95"/>
          <w:sz w:val="21"/>
          <w:shd w:fill="E4E4E4" w:color="auto" w:val="clear"/>
        </w:rPr>
        <w:t>若</w:t>
      </w:r>
      <w:r>
        <w:rPr>
          <w:color w:val="000000"/>
          <w:spacing w:val="-2"/>
          <w:w w:val="95"/>
          <w:sz w:val="21"/>
          <w:shd w:fill="E4E4E4" w:color="auto" w:val="clear"/>
        </w:rPr>
        <w:t>被</w:t>
      </w:r>
      <w:r>
        <w:rPr>
          <w:color w:val="000000"/>
          <w:spacing w:val="-2"/>
          <w:w w:val="95"/>
          <w:sz w:val="21"/>
          <w:shd w:fill="E4E4E4" w:color="auto" w:val="clear"/>
        </w:rPr>
        <w:t>保险人已从其他途径（</w:t>
      </w:r>
      <w:r>
        <w:rPr>
          <w:color w:val="000000"/>
          <w:spacing w:val="-2"/>
          <w:w w:val="95"/>
          <w:sz w:val="21"/>
          <w:shd w:fill="E4E4E4" w:color="auto" w:val="clear"/>
        </w:rPr>
        <w:t>包</w:t>
      </w:r>
      <w:r>
        <w:rPr>
          <w:color w:val="000000"/>
          <w:spacing w:val="-2"/>
          <w:w w:val="95"/>
          <w:sz w:val="21"/>
          <w:shd w:fill="E4E4E4" w:color="auto" w:val="clear"/>
        </w:rPr>
        <w:t>括基本医疗保险、公</w:t>
      </w:r>
      <w:r>
        <w:rPr>
          <w:color w:val="000000"/>
          <w:spacing w:val="-2"/>
          <w:w w:val="95"/>
          <w:sz w:val="21"/>
          <w:shd w:fill="E4E4E4" w:color="auto" w:val="clear"/>
        </w:rPr>
        <w:t>费</w:t>
      </w:r>
      <w:r>
        <w:rPr>
          <w:color w:val="000000"/>
          <w:spacing w:val="-2"/>
          <w:w w:val="95"/>
          <w:sz w:val="21"/>
          <w:shd w:fill="E4E4E4" w:color="auto" w:val="clear"/>
        </w:rPr>
        <w:t>医</w:t>
      </w:r>
      <w:r>
        <w:rPr>
          <w:color w:val="000000"/>
          <w:spacing w:val="-2"/>
          <w:w w:val="95"/>
          <w:sz w:val="21"/>
          <w:shd w:fill="E4E4E4" w:color="auto" w:val="clear"/>
        </w:rPr>
        <w:t>疗、工作单位、本公</w:t>
      </w:r>
      <w:r>
        <w:rPr>
          <w:color w:val="000000"/>
          <w:spacing w:val="-2"/>
          <w:w w:val="95"/>
          <w:sz w:val="21"/>
          <w:shd w:fill="E4E4E4" w:color="auto" w:val="clear"/>
        </w:rPr>
        <w:t>司</w:t>
      </w:r>
      <w:r>
        <w:rPr>
          <w:color w:val="000000"/>
          <w:spacing w:val="-2"/>
          <w:w w:val="95"/>
          <w:sz w:val="21"/>
          <w:shd w:fill="E4E4E4" w:color="auto" w:val="clear"/>
        </w:rPr>
        <w:t>在</w:t>
      </w:r>
      <w:r>
        <w:rPr>
          <w:color w:val="000000"/>
          <w:spacing w:val="14175"/>
          <w:w w:val="95"/>
          <w:sz w:val="21"/>
          <w:shd w:fill="E4E4E4" w:color="auto" w:val="clear"/>
        </w:rPr>
        <w:t> </w:t>
      </w:r>
      <w:r>
        <w:rPr>
          <w:color w:val="000000"/>
          <w:spacing w:val="-2"/>
          <w:sz w:val="21"/>
          <w:shd w:fill="E4E4E4" w:color="auto" w:val="clear"/>
        </w:rPr>
        <w:t>内</w:t>
      </w:r>
      <w:r>
        <w:rPr>
          <w:color w:val="000000"/>
          <w:spacing w:val="-2"/>
          <w:sz w:val="21"/>
          <w:shd w:fill="E4E4E4" w:color="auto" w:val="clear"/>
        </w:rPr>
        <w:t>的</w:t>
      </w:r>
      <w:r>
        <w:rPr>
          <w:color w:val="000000"/>
          <w:spacing w:val="-2"/>
          <w:sz w:val="21"/>
          <w:shd w:fill="E4E4E4" w:color="auto" w:val="clear"/>
        </w:rPr>
        <w:t>任何商业保险机构等）获得医疗费用</w:t>
      </w:r>
      <w:r>
        <w:rPr>
          <w:color w:val="000000"/>
          <w:spacing w:val="-2"/>
          <w:sz w:val="21"/>
          <w:shd w:fill="E4E4E4" w:color="auto" w:val="clear"/>
        </w:rPr>
        <w:t>补</w:t>
      </w:r>
      <w:r>
        <w:rPr>
          <w:color w:val="000000"/>
          <w:spacing w:val="-2"/>
          <w:sz w:val="21"/>
          <w:shd w:fill="E4E4E4" w:color="auto" w:val="clear"/>
        </w:rPr>
        <w:t>偿</w:t>
      </w:r>
      <w:r>
        <w:rPr>
          <w:color w:val="000000"/>
          <w:spacing w:val="-2"/>
          <w:sz w:val="21"/>
          <w:shd w:fill="E4E4E4" w:color="auto" w:val="clear"/>
        </w:rPr>
        <w:t>，则</w:t>
      </w:r>
      <w:r>
        <w:rPr>
          <w:color w:val="000000"/>
          <w:spacing w:val="-2"/>
          <w:sz w:val="21"/>
          <w:shd w:fill="E4E4E4" w:color="auto" w:val="clear"/>
        </w:rPr>
        <w:t>本</w:t>
      </w:r>
      <w:r>
        <w:rPr>
          <w:color w:val="000000"/>
          <w:spacing w:val="-2"/>
          <w:sz w:val="21"/>
          <w:shd w:fill="E4E4E4" w:color="auto" w:val="clear"/>
        </w:rPr>
        <w:t>公</w:t>
      </w:r>
      <w:r>
        <w:rPr>
          <w:color w:val="000000"/>
          <w:spacing w:val="-2"/>
          <w:sz w:val="21"/>
          <w:shd w:fill="E4E4E4" w:color="auto" w:val="clear"/>
        </w:rPr>
        <w:t>司仅对被保险人实际</w:t>
      </w:r>
      <w:r>
        <w:rPr>
          <w:color w:val="000000"/>
          <w:spacing w:val="-2"/>
          <w:sz w:val="21"/>
          <w:shd w:fill="E4E4E4" w:color="auto" w:val="clear"/>
        </w:rPr>
        <w:t>发</w:t>
      </w:r>
      <w:r>
        <w:rPr>
          <w:color w:val="000000"/>
          <w:spacing w:val="-2"/>
          <w:sz w:val="21"/>
          <w:shd w:fill="E4E4E4" w:color="auto" w:val="clear"/>
        </w:rPr>
        <w:t>生</w:t>
      </w:r>
      <w:r>
        <w:rPr>
          <w:color w:val="000000"/>
          <w:spacing w:val="-2"/>
          <w:sz w:val="21"/>
          <w:shd w:fill="E4E4E4" w:color="auto" w:val="clear"/>
        </w:rPr>
        <w:t>的</w:t>
      </w:r>
      <w:r>
        <w:rPr>
          <w:color w:val="000000"/>
          <w:spacing w:val="-2"/>
          <w:sz w:val="21"/>
          <w:shd w:fill="E4E4E4" w:color="auto" w:val="clear"/>
        </w:rPr>
        <w:t>医</w:t>
      </w:r>
      <w:r>
        <w:rPr>
          <w:color w:val="000000"/>
          <w:spacing w:val="-2"/>
          <w:sz w:val="21"/>
          <w:shd w:fill="E4E4E4" w:color="auto" w:val="clear"/>
        </w:rPr>
        <w:t>疗费用扣除其所获医</w:t>
      </w:r>
      <w:r>
        <w:rPr>
          <w:color w:val="000000"/>
          <w:spacing w:val="-2"/>
          <w:sz w:val="21"/>
          <w:shd w:fill="E4E4E4" w:color="auto" w:val="clear"/>
        </w:rPr>
        <w:t>疗</w:t>
      </w:r>
      <w:r>
        <w:rPr>
          <w:color w:val="000000"/>
          <w:spacing w:val="-2"/>
          <w:sz w:val="21"/>
          <w:shd w:fill="E4E4E4" w:color="auto" w:val="clear"/>
        </w:rPr>
        <w:t>费</w:t>
      </w:r>
      <w:r>
        <w:rPr>
          <w:color w:val="000000"/>
          <w:spacing w:val="-2"/>
          <w:sz w:val="21"/>
          <w:shd w:fill="E4E4E4" w:color="auto" w:val="clear"/>
        </w:rPr>
        <w:t>用补偿后的余额按照</w:t>
      </w:r>
      <w:r>
        <w:rPr>
          <w:color w:val="000000"/>
          <w:spacing w:val="-2"/>
          <w:sz w:val="21"/>
          <w:shd w:fill="E4E4E4" w:color="auto" w:val="clear"/>
        </w:rPr>
        <w:t>本</w:t>
      </w:r>
      <w:r>
        <w:rPr>
          <w:color w:val="000000"/>
          <w:spacing w:val="-2"/>
          <w:sz w:val="21"/>
          <w:shd w:fill="E4E4E4" w:color="auto" w:val="clear"/>
        </w:rPr>
        <w:t>合</w:t>
      </w:r>
      <w:r>
        <w:rPr>
          <w:color w:val="000000"/>
          <w:spacing w:val="-2"/>
          <w:sz w:val="21"/>
          <w:shd w:fill="E4E4E4" w:color="auto" w:val="clear"/>
        </w:rPr>
        <w:t>同的约定进行赔付</w:t>
      </w:r>
      <w:r>
        <w:rPr>
          <w:color w:val="000000"/>
          <w:spacing w:val="-58"/>
          <w:sz w:val="21"/>
          <w:shd w:fill="E4E4E4" w:color="auto" w:val="clear"/>
        </w:rPr>
        <w:t>。</w:t>
      </w:r>
      <w:r>
        <w:rPr>
          <w:color w:val="000000"/>
          <w:spacing w:val="-2"/>
          <w:sz w:val="21"/>
          <w:shd w:fill="E4E4E4" w:color="auto" w:val="clear"/>
        </w:rPr>
        <w:t>基</w:t>
      </w:r>
      <w:r>
        <w:rPr>
          <w:color w:val="000000"/>
          <w:spacing w:val="-10"/>
          <w:sz w:val="21"/>
          <w:shd w:fill="E4E4E4" w:color="auto" w:val="clear"/>
        </w:rPr>
        <w:t>本</w:t>
      </w:r>
    </w:p>
    <w:p>
      <w:pPr>
        <w:pStyle w:val="BodyText"/>
        <w:spacing w:before="61"/>
        <w:ind w:left="3057"/>
      </w:pPr>
      <w:r>
        <w:rPr>
          <w:color w:val="000000"/>
          <w:spacing w:val="-3"/>
          <w:shd w:fill="E4E4E4" w:color="auto" w:val="clear"/>
        </w:rPr>
        <w:t>医疗保险个人账户支出部分视为个人支付，不属于已获得的医疗费用补偿。</w:t>
      </w:r>
    </w:p>
    <w:p>
      <w:pPr>
        <w:pStyle w:val="BodyText"/>
        <w:spacing w:before="10"/>
        <w:rPr>
          <w:sz w:val="11"/>
        </w:rPr>
      </w:pPr>
    </w:p>
    <w:p>
      <w:pPr>
        <w:pStyle w:val="BodyText"/>
        <w:spacing w:line="300" w:lineRule="auto" w:before="72"/>
        <w:ind w:left="3057" w:right="207"/>
        <w:jc w:val="both"/>
      </w:pPr>
      <w:r>
        <w:rPr>
          <w:color w:val="000000"/>
          <w:spacing w:val="-5"/>
          <w:shd w:fill="E4E4E4" w:color="auto" w:val="clear"/>
        </w:rPr>
        <w:t>若被保险人以参加基本医疗保险身份投保，但未以参加基本医疗保险身份就诊并</w:t>
      </w:r>
      <w:r>
        <w:rPr>
          <w:color w:val="000000"/>
          <w:spacing w:val="40"/>
          <w:shd w:fill="E4E4E4" w:color="auto" w:val="clear"/>
        </w:rPr>
        <w:t> </w:t>
      </w:r>
      <w:r>
        <w:rPr>
          <w:color w:val="000000"/>
          <w:spacing w:val="-10"/>
          <w:shd w:fill="E4E4E4" w:color="auto" w:val="clear"/>
        </w:rPr>
        <w:t>结算的，则本公司按照以参加基本医疗保险身份就诊并结算的应赔付保险金额的</w:t>
      </w:r>
      <w:r>
        <w:rPr>
          <w:color w:val="000000"/>
          <w:spacing w:val="-2"/>
        </w:rPr>
        <w:t> </w:t>
      </w:r>
      <w:r>
        <w:rPr>
          <w:color w:val="000000"/>
          <w:spacing w:val="-2"/>
          <w:shd w:fill="E4E4E4" w:color="auto" w:val="clear"/>
        </w:rPr>
        <w:t>60%进行赔付；本公司对于符合质子重离子医疗费用保险责任的医疗费用，在扣</w:t>
      </w:r>
      <w:r>
        <w:rPr>
          <w:color w:val="000000"/>
          <w:spacing w:val="-4"/>
          <w:shd w:fill="E4E4E4" w:color="auto" w:val="clear"/>
        </w:rPr>
        <w:t>除免赔额后按照保险金的 </w:t>
      </w:r>
      <w:r>
        <w:rPr>
          <w:color w:val="000000"/>
          <w:shd w:fill="E4E4E4" w:color="auto" w:val="clear"/>
        </w:rPr>
        <w:t>100%进行赔付。</w:t>
      </w:r>
    </w:p>
    <w:p>
      <w:pPr>
        <w:pStyle w:val="BodyText"/>
        <w:spacing w:before="11"/>
        <w:rPr>
          <w:sz w:val="18"/>
        </w:rPr>
      </w:pPr>
    </w:p>
    <w:p>
      <w:pPr>
        <w:pStyle w:val="Heading3"/>
        <w:numPr>
          <w:ilvl w:val="1"/>
          <w:numId w:val="3"/>
        </w:numPr>
        <w:tabs>
          <w:tab w:pos="1288" w:val="left" w:leader="none"/>
          <w:tab w:pos="1289" w:val="left" w:leader="none"/>
        </w:tabs>
        <w:spacing w:line="240" w:lineRule="auto" w:before="5" w:after="0"/>
        <w:ind w:left="1288" w:right="0" w:hanging="961"/>
        <w:jc w:val="left"/>
      </w:pPr>
      <w:r>
        <w:rPr>
          <w:spacing w:val="-3"/>
        </w:rPr>
        <w:t>责任免除</w:t>
      </w:r>
    </w:p>
    <w:p>
      <w:pPr>
        <w:pStyle w:val="BodyText"/>
        <w:spacing w:before="2"/>
        <w:rPr>
          <w:rFonts w:ascii="微软雅黑"/>
          <w:b/>
          <w:sz w:val="14"/>
        </w:rPr>
      </w:pPr>
    </w:p>
    <w:p>
      <w:pPr>
        <w:pStyle w:val="ListParagraph"/>
        <w:numPr>
          <w:ilvl w:val="2"/>
          <w:numId w:val="3"/>
        </w:numPr>
        <w:tabs>
          <w:tab w:pos="1288" w:val="left" w:leader="none"/>
          <w:tab w:pos="1289" w:val="left" w:leader="none"/>
          <w:tab w:pos="3057" w:val="left" w:leader="none"/>
        </w:tabs>
        <w:spacing w:line="252" w:lineRule="auto" w:before="1" w:after="0"/>
        <w:ind w:left="3057" w:right="207" w:hanging="2730"/>
        <w:jc w:val="left"/>
        <w:rPr>
          <w:sz w:val="21"/>
        </w:rPr>
      </w:pPr>
      <w:r>
        <w:rPr>
          <w:rFonts w:ascii="微软雅黑" w:eastAsia="微软雅黑"/>
          <w:b/>
          <w:spacing w:val="-2"/>
          <w:sz w:val="21"/>
        </w:rPr>
        <w:t>一</w:t>
      </w:r>
      <w:r>
        <w:rPr>
          <w:rFonts w:ascii="微软雅黑" w:eastAsia="微软雅黑"/>
          <w:b/>
          <w:spacing w:val="-2"/>
          <w:sz w:val="21"/>
        </w:rPr>
        <w:t>般</w:t>
      </w:r>
      <w:r>
        <w:rPr>
          <w:rFonts w:ascii="微软雅黑" w:eastAsia="微软雅黑"/>
          <w:b/>
          <w:spacing w:val="-2"/>
          <w:sz w:val="21"/>
        </w:rPr>
        <w:t>责</w:t>
      </w:r>
      <w:r>
        <w:rPr>
          <w:rFonts w:ascii="微软雅黑" w:eastAsia="微软雅黑"/>
          <w:b/>
          <w:spacing w:val="-2"/>
          <w:sz w:val="21"/>
        </w:rPr>
        <w:t>任</w:t>
      </w:r>
      <w:r>
        <w:rPr>
          <w:rFonts w:ascii="微软雅黑" w:eastAsia="微软雅黑"/>
          <w:b/>
          <w:spacing w:val="-2"/>
          <w:sz w:val="21"/>
        </w:rPr>
        <w:t>免</w:t>
      </w:r>
      <w:r>
        <w:rPr>
          <w:rFonts w:ascii="微软雅黑" w:eastAsia="微软雅黑"/>
          <w:b/>
          <w:spacing w:val="-2"/>
          <w:sz w:val="21"/>
        </w:rPr>
        <w:t>除</w:t>
      </w:r>
      <w:r>
        <w:rPr>
          <w:rFonts w:ascii="微软雅黑" w:eastAsia="微软雅黑"/>
          <w:b/>
          <w:sz w:val="21"/>
        </w:rPr>
        <w:tab/>
      </w:r>
      <w:r>
        <w:rPr>
          <w:color w:val="000000"/>
          <w:spacing w:val="-2"/>
          <w:w w:val="95"/>
          <w:sz w:val="21"/>
          <w:shd w:fill="E4E4E4" w:color="auto" w:val="clear"/>
        </w:rPr>
        <w:t>因</w:t>
      </w:r>
      <w:r>
        <w:rPr>
          <w:color w:val="000000"/>
          <w:spacing w:val="-2"/>
          <w:w w:val="95"/>
          <w:sz w:val="21"/>
          <w:shd w:fill="E4E4E4" w:color="auto" w:val="clear"/>
        </w:rPr>
        <w:t>下</w:t>
      </w:r>
      <w:r>
        <w:rPr>
          <w:color w:val="000000"/>
          <w:spacing w:val="-2"/>
          <w:w w:val="95"/>
          <w:sz w:val="21"/>
          <w:shd w:fill="E4E4E4" w:color="auto" w:val="clear"/>
        </w:rPr>
        <w:t>列任何情形直接或间</w:t>
      </w:r>
      <w:r>
        <w:rPr>
          <w:color w:val="000000"/>
          <w:spacing w:val="-2"/>
          <w:w w:val="95"/>
          <w:sz w:val="21"/>
          <w:shd w:fill="E4E4E4" w:color="auto" w:val="clear"/>
        </w:rPr>
        <w:t>接</w:t>
      </w:r>
      <w:r>
        <w:rPr>
          <w:color w:val="000000"/>
          <w:spacing w:val="-2"/>
          <w:w w:val="95"/>
          <w:sz w:val="21"/>
          <w:shd w:fill="E4E4E4" w:color="auto" w:val="clear"/>
        </w:rPr>
        <w:t>导</w:t>
      </w:r>
      <w:r>
        <w:rPr>
          <w:color w:val="000000"/>
          <w:spacing w:val="-2"/>
          <w:w w:val="95"/>
          <w:sz w:val="21"/>
          <w:shd w:fill="E4E4E4" w:color="auto" w:val="clear"/>
        </w:rPr>
        <w:t>致被保险人发生医疗</w:t>
      </w:r>
      <w:r>
        <w:rPr>
          <w:color w:val="000000"/>
          <w:spacing w:val="-2"/>
          <w:w w:val="95"/>
          <w:sz w:val="21"/>
          <w:shd w:fill="E4E4E4" w:color="auto" w:val="clear"/>
        </w:rPr>
        <w:t>费</w:t>
      </w:r>
      <w:r>
        <w:rPr>
          <w:color w:val="000000"/>
          <w:spacing w:val="-2"/>
          <w:w w:val="95"/>
          <w:sz w:val="21"/>
          <w:shd w:fill="E4E4E4" w:color="auto" w:val="clear"/>
        </w:rPr>
        <w:t>用</w:t>
      </w:r>
      <w:r>
        <w:rPr>
          <w:color w:val="000000"/>
          <w:spacing w:val="-2"/>
          <w:w w:val="95"/>
          <w:sz w:val="21"/>
          <w:shd w:fill="E4E4E4" w:color="auto" w:val="clear"/>
        </w:rPr>
        <w:t>的</w:t>
      </w:r>
      <w:r>
        <w:rPr>
          <w:color w:val="000000"/>
          <w:spacing w:val="-58"/>
          <w:w w:val="95"/>
          <w:sz w:val="21"/>
          <w:shd w:fill="E4E4E4" w:color="auto" w:val="clear"/>
        </w:rPr>
        <w:t>，</w:t>
      </w:r>
      <w:r>
        <w:rPr>
          <w:color w:val="000000"/>
          <w:spacing w:val="-2"/>
          <w:w w:val="95"/>
          <w:sz w:val="21"/>
          <w:shd w:fill="E4E4E4" w:color="auto" w:val="clear"/>
        </w:rPr>
        <w:t>本公司不承担给</w:t>
      </w:r>
      <w:r>
        <w:rPr>
          <w:color w:val="000000"/>
          <w:spacing w:val="-2"/>
          <w:w w:val="95"/>
          <w:sz w:val="21"/>
          <w:shd w:fill="E4E4E4" w:color="auto" w:val="clear"/>
        </w:rPr>
        <w:t>付</w:t>
      </w:r>
      <w:r>
        <w:rPr>
          <w:color w:val="000000"/>
          <w:spacing w:val="-2"/>
          <w:w w:val="95"/>
          <w:sz w:val="21"/>
          <w:shd w:fill="E4E4E4" w:color="auto" w:val="clear"/>
        </w:rPr>
        <w:t>保</w:t>
      </w:r>
      <w:r>
        <w:rPr>
          <w:color w:val="000000"/>
          <w:spacing w:val="14175"/>
          <w:w w:val="95"/>
          <w:sz w:val="21"/>
          <w:shd w:fill="E4E4E4" w:color="auto" w:val="clear"/>
        </w:rPr>
        <w:t> </w:t>
      </w:r>
      <w:r>
        <w:rPr>
          <w:color w:val="000000"/>
          <w:spacing w:val="-2"/>
          <w:sz w:val="21"/>
          <w:shd w:fill="E4E4E4" w:color="auto" w:val="clear"/>
        </w:rPr>
        <w:t>险</w:t>
      </w:r>
      <w:r>
        <w:rPr>
          <w:color w:val="000000"/>
          <w:spacing w:val="-2"/>
          <w:sz w:val="21"/>
          <w:shd w:fill="E4E4E4" w:color="auto" w:val="clear"/>
        </w:rPr>
        <w:t>金</w:t>
      </w:r>
      <w:r>
        <w:rPr>
          <w:color w:val="000000"/>
          <w:spacing w:val="-2"/>
          <w:sz w:val="21"/>
          <w:shd w:fill="E4E4E4" w:color="auto" w:val="clear"/>
        </w:rPr>
        <w:t>的责任，本合同另有</w:t>
      </w:r>
      <w:r>
        <w:rPr>
          <w:color w:val="000000"/>
          <w:spacing w:val="-2"/>
          <w:sz w:val="21"/>
          <w:shd w:fill="E4E4E4" w:color="auto" w:val="clear"/>
        </w:rPr>
        <w:t>约</w:t>
      </w:r>
      <w:r>
        <w:rPr>
          <w:color w:val="000000"/>
          <w:spacing w:val="-2"/>
          <w:sz w:val="21"/>
          <w:shd w:fill="E4E4E4" w:color="auto" w:val="clear"/>
        </w:rPr>
        <w:t>定</w:t>
      </w:r>
      <w:r>
        <w:rPr>
          <w:color w:val="000000"/>
          <w:spacing w:val="-2"/>
          <w:sz w:val="21"/>
          <w:shd w:fill="E4E4E4" w:color="auto" w:val="clear"/>
        </w:rPr>
        <w:t>的不受此限：</w:t>
      </w:r>
    </w:p>
    <w:p>
      <w:pPr>
        <w:pStyle w:val="BodyText"/>
        <w:spacing w:before="8"/>
        <w:rPr>
          <w:sz w:val="10"/>
        </w:rPr>
      </w:pPr>
    </w:p>
    <w:p>
      <w:pPr>
        <w:pStyle w:val="ListParagraph"/>
        <w:numPr>
          <w:ilvl w:val="0"/>
          <w:numId w:val="10"/>
        </w:numPr>
        <w:tabs>
          <w:tab w:pos="3587" w:val="left" w:leader="none"/>
        </w:tabs>
        <w:spacing w:line="240" w:lineRule="auto" w:before="72" w:after="0"/>
        <w:ind w:left="3586" w:right="0" w:hanging="3521"/>
        <w:jc w:val="left"/>
        <w:rPr>
          <w:sz w:val="21"/>
        </w:rPr>
      </w:pPr>
      <w:r>
        <w:rPr>
          <w:color w:val="000000"/>
          <w:spacing w:val="-3"/>
          <w:sz w:val="21"/>
          <w:shd w:fill="E4E4E4" w:color="auto" w:val="clear"/>
        </w:rPr>
        <w:t>投保人对被保险人的故意伤害或故意杀害；</w:t>
      </w:r>
    </w:p>
    <w:p>
      <w:pPr>
        <w:pStyle w:val="BodyText"/>
        <w:spacing w:before="12"/>
        <w:rPr>
          <w:sz w:val="9"/>
        </w:rPr>
      </w:pPr>
    </w:p>
    <w:p>
      <w:pPr>
        <w:pStyle w:val="ListParagraph"/>
        <w:numPr>
          <w:ilvl w:val="0"/>
          <w:numId w:val="10"/>
        </w:numPr>
        <w:tabs>
          <w:tab w:pos="3587" w:val="left" w:leader="none"/>
        </w:tabs>
        <w:spacing w:line="240" w:lineRule="auto" w:before="29" w:after="0"/>
        <w:ind w:left="3586" w:right="0" w:hanging="530"/>
        <w:jc w:val="left"/>
        <w:rPr>
          <w:sz w:val="21"/>
        </w:rPr>
      </w:pPr>
      <w:r>
        <w:rPr>
          <w:color w:val="000000"/>
          <w:w w:val="95"/>
          <w:sz w:val="21"/>
          <w:shd w:fill="E4E4E4" w:color="auto" w:val="clear"/>
        </w:rPr>
        <w:t>未书面告知的</w:t>
      </w:r>
      <w:r>
        <w:rPr>
          <w:rFonts w:ascii="微软雅黑" w:eastAsia="微软雅黑"/>
          <w:b/>
          <w:color w:val="000000"/>
          <w:w w:val="95"/>
          <w:sz w:val="21"/>
          <w:shd w:fill="E4E4E4" w:color="auto" w:val="clear"/>
        </w:rPr>
        <w:t>既</w:t>
      </w:r>
      <w:r>
        <w:rPr>
          <w:rFonts w:ascii="微软雅黑" w:eastAsia="微软雅黑"/>
          <w:b/>
          <w:color w:val="000000"/>
          <w:w w:val="95"/>
          <w:sz w:val="21"/>
          <w:shd w:fill="E4E4E4" w:color="auto" w:val="clear"/>
        </w:rPr>
        <w:t>往</w:t>
      </w:r>
      <w:r>
        <w:rPr>
          <w:rFonts w:ascii="微软雅黑" w:eastAsia="微软雅黑"/>
          <w:b/>
          <w:color w:val="000000"/>
          <w:w w:val="95"/>
          <w:sz w:val="21"/>
          <w:shd w:fill="E4E4E4" w:color="auto" w:val="clear"/>
        </w:rPr>
        <w:t>症</w:t>
      </w:r>
      <w:r>
        <w:rPr>
          <w:rFonts w:ascii="微软雅黑" w:eastAsia="微软雅黑"/>
          <w:b/>
          <w:color w:val="000000"/>
          <w:w w:val="95"/>
          <w:position w:val="11"/>
          <w:sz w:val="11"/>
        </w:rPr>
        <w:t>35</w:t>
      </w:r>
      <w:r>
        <w:rPr>
          <w:color w:val="000000"/>
          <w:w w:val="95"/>
          <w:sz w:val="21"/>
          <w:shd w:fill="E4E4E4" w:color="auto" w:val="clear"/>
        </w:rPr>
        <w:t>，</w:t>
      </w:r>
      <w:r>
        <w:rPr>
          <w:color w:val="000000"/>
          <w:w w:val="95"/>
          <w:sz w:val="21"/>
          <w:shd w:fill="E4E4E4" w:color="auto" w:val="clear"/>
        </w:rPr>
        <w:t>保</w:t>
      </w:r>
      <w:r>
        <w:rPr>
          <w:color w:val="000000"/>
          <w:w w:val="95"/>
          <w:sz w:val="21"/>
          <w:shd w:fill="E4E4E4" w:color="auto" w:val="clear"/>
        </w:rPr>
        <w:t>险单中特别约定除外</w:t>
      </w:r>
      <w:r>
        <w:rPr>
          <w:color w:val="000000"/>
          <w:w w:val="95"/>
          <w:sz w:val="21"/>
          <w:shd w:fill="E4E4E4" w:color="auto" w:val="clear"/>
        </w:rPr>
        <w:t>的</w:t>
      </w:r>
      <w:r>
        <w:rPr>
          <w:color w:val="000000"/>
          <w:w w:val="95"/>
          <w:sz w:val="21"/>
          <w:shd w:fill="E4E4E4" w:color="auto" w:val="clear"/>
        </w:rPr>
        <w:t>疾</w:t>
      </w:r>
      <w:r>
        <w:rPr>
          <w:color w:val="000000"/>
          <w:spacing w:val="-5"/>
          <w:w w:val="95"/>
          <w:sz w:val="21"/>
          <w:shd w:fill="E4E4E4" w:color="auto" w:val="clear"/>
        </w:rPr>
        <w:t>病；</w:t>
      </w:r>
    </w:p>
    <w:p>
      <w:pPr>
        <w:pStyle w:val="ListParagraph"/>
        <w:numPr>
          <w:ilvl w:val="0"/>
          <w:numId w:val="10"/>
        </w:numPr>
        <w:tabs>
          <w:tab w:pos="3587" w:val="left" w:leader="none"/>
        </w:tabs>
        <w:spacing w:line="249" w:lineRule="auto" w:before="107" w:after="0"/>
        <w:ind w:left="3057" w:right="355" w:firstLine="0"/>
        <w:jc w:val="left"/>
        <w:rPr>
          <w:sz w:val="21"/>
        </w:rPr>
      </w:pPr>
      <w:r>
        <w:rPr>
          <w:color w:val="000000"/>
          <w:spacing w:val="-2"/>
          <w:sz w:val="21"/>
          <w:shd w:fill="E4E4E4" w:color="auto" w:val="clear"/>
        </w:rPr>
        <w:t>若保险责任具有等待期，其等待期内出现的疾病、症状或</w:t>
      </w:r>
      <w:r>
        <w:rPr>
          <w:rFonts w:ascii="微软雅黑" w:eastAsia="微软雅黑"/>
          <w:b/>
          <w:color w:val="000000"/>
          <w:spacing w:val="-2"/>
          <w:sz w:val="21"/>
          <w:shd w:fill="E4E4E4" w:color="auto" w:val="clear"/>
        </w:rPr>
        <w:t>体征</w:t>
      </w:r>
      <w:r>
        <w:rPr>
          <w:color w:val="000000"/>
          <w:spacing w:val="-2"/>
          <w:position w:val="11"/>
          <w:sz w:val="11"/>
        </w:rPr>
        <w:t>36</w:t>
      </w:r>
      <w:r>
        <w:rPr>
          <w:color w:val="000000"/>
          <w:spacing w:val="-2"/>
          <w:sz w:val="21"/>
          <w:shd w:fill="E4E4E4" w:color="auto" w:val="clear"/>
        </w:rPr>
        <w:t>；等待期</w:t>
      </w:r>
      <w:r>
        <w:rPr>
          <w:color w:val="000000"/>
          <w:spacing w:val="13755"/>
          <w:sz w:val="21"/>
          <w:shd w:fill="E4E4E4" w:color="auto" w:val="clear"/>
        </w:rPr>
        <w:t> </w:t>
      </w:r>
      <w:r>
        <w:rPr>
          <w:color w:val="000000"/>
          <w:spacing w:val="-2"/>
          <w:sz w:val="21"/>
          <w:shd w:fill="E4E4E4" w:color="auto" w:val="clear"/>
        </w:rPr>
        <w:t>内接受检查但在等待期后确诊的疾病；</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4"/>
        </w:rPr>
      </w:pPr>
      <w:r>
        <w:rPr/>
        <w:drawing>
          <wp:anchor distT="0" distB="0" distL="0" distR="0" allowOverlap="1" layoutInCell="1" locked="0" behindDoc="0" simplePos="0" relativeHeight="10">
            <wp:simplePos x="0" y="0"/>
            <wp:positionH relativeFrom="page">
              <wp:posOffset>685800</wp:posOffset>
            </wp:positionH>
            <wp:positionV relativeFrom="paragraph">
              <wp:posOffset>130512</wp:posOffset>
            </wp:positionV>
            <wp:extent cx="1829511" cy="6095"/>
            <wp:effectExtent l="0" t="0" r="0" b="0"/>
            <wp:wrapTopAndBottom/>
            <wp:docPr id="23" name="image6.png"/>
            <wp:cNvGraphicFramePr>
              <a:graphicFrameLocks noChangeAspect="1"/>
            </wp:cNvGraphicFramePr>
            <a:graphic>
              <a:graphicData uri="http://schemas.openxmlformats.org/drawingml/2006/picture">
                <pic:pic>
                  <pic:nvPicPr>
                    <pic:cNvPr id="24"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line="283" w:lineRule="exact" w:before="36"/>
        <w:ind w:left="220" w:right="0" w:firstLine="0"/>
        <w:jc w:val="left"/>
        <w:rPr>
          <w:sz w:val="18"/>
        </w:rPr>
      </w:pPr>
      <w:r>
        <w:rPr>
          <w:position w:val="9"/>
          <w:sz w:val="9"/>
        </w:rPr>
        <w:t>34</w:t>
      </w:r>
      <w:r>
        <w:rPr>
          <w:rFonts w:ascii="Microsoft JhengHei" w:eastAsia="Microsoft JhengHei"/>
          <w:b/>
          <w:sz w:val="18"/>
        </w:rPr>
        <w:t>基本医疗保险</w:t>
      </w:r>
      <w:r>
        <w:rPr>
          <w:spacing w:val="-1"/>
          <w:sz w:val="18"/>
        </w:rPr>
        <w:t>：基本医疗保险包括城镇职工基本医疗保险、城镇居民基本医疗保险、新型农村合作医疗。</w:t>
      </w:r>
    </w:p>
    <w:p>
      <w:pPr>
        <w:spacing w:line="264" w:lineRule="exact" w:before="0"/>
        <w:ind w:left="220" w:right="0" w:firstLine="0"/>
        <w:jc w:val="left"/>
        <w:rPr>
          <w:sz w:val="18"/>
        </w:rPr>
      </w:pPr>
      <w:r>
        <w:rPr>
          <w:spacing w:val="-2"/>
          <w:position w:val="9"/>
          <w:sz w:val="9"/>
        </w:rPr>
        <w:t>35</w:t>
      </w:r>
      <w:r>
        <w:rPr>
          <w:rFonts w:ascii="Microsoft JhengHei" w:eastAsia="Microsoft JhengHei"/>
          <w:b/>
          <w:spacing w:val="-2"/>
          <w:sz w:val="18"/>
        </w:rPr>
        <w:t>既往症</w:t>
      </w:r>
      <w:r>
        <w:rPr>
          <w:spacing w:val="-2"/>
          <w:sz w:val="18"/>
        </w:rPr>
        <w:t>：指在本公司对其保险责任生效之前被保险人已知或应该知道的有关疾病或症状。通常有以下情况：（1）</w:t>
      </w:r>
      <w:r>
        <w:rPr>
          <w:spacing w:val="-4"/>
          <w:sz w:val="18"/>
        </w:rPr>
        <w:t>在本公司</w:t>
      </w:r>
    </w:p>
    <w:p>
      <w:pPr>
        <w:spacing w:line="211" w:lineRule="exact" w:before="0"/>
        <w:ind w:left="220" w:right="0" w:firstLine="0"/>
        <w:jc w:val="left"/>
        <w:rPr>
          <w:sz w:val="18"/>
        </w:rPr>
      </w:pPr>
      <w:r>
        <w:rPr>
          <w:spacing w:val="-2"/>
          <w:sz w:val="18"/>
        </w:rPr>
        <w:t>对其保险责任生效之前，医生已有明确诊断，长期治疗未间断；（2）</w:t>
      </w:r>
      <w:r>
        <w:rPr>
          <w:spacing w:val="-3"/>
          <w:sz w:val="18"/>
        </w:rPr>
        <w:t>在本公司对其保险责任生效之前，医生已有明确诊断，</w:t>
      </w:r>
    </w:p>
    <w:p>
      <w:pPr>
        <w:spacing w:line="242" w:lineRule="auto" w:before="2"/>
        <w:ind w:left="220" w:right="623" w:firstLine="0"/>
        <w:jc w:val="left"/>
        <w:rPr>
          <w:sz w:val="18"/>
        </w:rPr>
      </w:pPr>
      <w:r>
        <w:rPr>
          <w:spacing w:val="-2"/>
          <w:sz w:val="18"/>
        </w:rPr>
        <w:t>治疗后症状未完全消失，有间断治疗情况；（3）在本公司对其保险责任生效之前，未经医生诊断和治疗，但症状明显且持续</w:t>
      </w:r>
      <w:r>
        <w:rPr>
          <w:spacing w:val="-2"/>
          <w:sz w:val="18"/>
        </w:rPr>
        <w:t>存在，以普通人医学常识应当知晓。</w:t>
      </w:r>
    </w:p>
    <w:p>
      <w:pPr>
        <w:spacing w:line="274" w:lineRule="exact" w:before="0"/>
        <w:ind w:left="220" w:right="0" w:firstLine="0"/>
        <w:jc w:val="left"/>
        <w:rPr>
          <w:sz w:val="18"/>
        </w:rPr>
      </w:pPr>
      <w:r>
        <w:rPr>
          <w:position w:val="9"/>
          <w:sz w:val="9"/>
        </w:rPr>
        <w:t>36</w:t>
      </w:r>
      <w:r>
        <w:rPr>
          <w:rFonts w:ascii="Microsoft JhengHei" w:eastAsia="Microsoft JhengHei"/>
          <w:b/>
          <w:sz w:val="18"/>
        </w:rPr>
        <w:t>体征：</w:t>
      </w:r>
      <w:r>
        <w:rPr>
          <w:spacing w:val="-1"/>
          <w:sz w:val="18"/>
        </w:rPr>
        <w:t>指被保险人的体表或内部结构发生可以察觉的改变。</w:t>
      </w:r>
    </w:p>
    <w:p>
      <w:pPr>
        <w:spacing w:after="0" w:line="274" w:lineRule="exact"/>
        <w:jc w:val="left"/>
        <w:rPr>
          <w:sz w:val="18"/>
        </w:rPr>
        <w:sectPr>
          <w:pgSz w:w="11910" w:h="16840"/>
          <w:pgMar w:header="0" w:footer="967" w:top="1400" w:bottom="1240" w:left="860" w:right="480"/>
        </w:sectPr>
      </w:pPr>
    </w:p>
    <w:p>
      <w:pPr>
        <w:pStyle w:val="ListParagraph"/>
        <w:numPr>
          <w:ilvl w:val="0"/>
          <w:numId w:val="10"/>
        </w:numPr>
        <w:tabs>
          <w:tab w:pos="3587" w:val="left" w:leader="none"/>
        </w:tabs>
        <w:spacing w:line="240" w:lineRule="auto" w:before="9" w:after="0"/>
        <w:ind w:left="3586" w:right="0" w:hanging="530"/>
        <w:jc w:val="left"/>
        <w:rPr>
          <w:sz w:val="21"/>
        </w:rPr>
      </w:pPr>
      <w:r>
        <w:rPr>
          <w:color w:val="000000"/>
          <w:w w:val="95"/>
          <w:sz w:val="21"/>
          <w:shd w:fill="E4E4E4" w:color="auto" w:val="clear"/>
        </w:rPr>
        <w:t>被保险人</w:t>
      </w:r>
      <w:r>
        <w:rPr>
          <w:rFonts w:ascii="微软雅黑" w:eastAsia="微软雅黑"/>
          <w:b/>
          <w:color w:val="000000"/>
          <w:w w:val="95"/>
          <w:sz w:val="21"/>
          <w:shd w:fill="E4E4E4" w:color="auto" w:val="clear"/>
        </w:rPr>
        <w:t>遗</w:t>
      </w:r>
      <w:r>
        <w:rPr>
          <w:rFonts w:ascii="微软雅黑" w:eastAsia="微软雅黑"/>
          <w:b/>
          <w:color w:val="000000"/>
          <w:w w:val="95"/>
          <w:sz w:val="21"/>
          <w:shd w:fill="E4E4E4" w:color="auto" w:val="clear"/>
        </w:rPr>
        <w:t>传</w:t>
      </w:r>
      <w:r>
        <w:rPr>
          <w:rFonts w:ascii="微软雅黑" w:eastAsia="微软雅黑"/>
          <w:b/>
          <w:color w:val="000000"/>
          <w:w w:val="95"/>
          <w:sz w:val="21"/>
          <w:shd w:fill="E4E4E4" w:color="auto" w:val="clear"/>
        </w:rPr>
        <w:t>性</w:t>
      </w:r>
      <w:r>
        <w:rPr>
          <w:rFonts w:ascii="微软雅黑" w:eastAsia="微软雅黑"/>
          <w:b/>
          <w:color w:val="000000"/>
          <w:w w:val="95"/>
          <w:sz w:val="21"/>
          <w:shd w:fill="E4E4E4" w:color="auto" w:val="clear"/>
        </w:rPr>
        <w:t>疾</w:t>
      </w:r>
      <w:r>
        <w:rPr>
          <w:rFonts w:ascii="微软雅黑" w:eastAsia="微软雅黑"/>
          <w:b/>
          <w:color w:val="000000"/>
          <w:w w:val="95"/>
          <w:sz w:val="21"/>
          <w:shd w:fill="E4E4E4" w:color="auto" w:val="clear"/>
        </w:rPr>
        <w:t>病</w:t>
      </w:r>
      <w:r>
        <w:rPr>
          <w:rFonts w:ascii="微软雅黑" w:eastAsia="微软雅黑"/>
          <w:b/>
          <w:color w:val="000000"/>
          <w:w w:val="95"/>
          <w:position w:val="11"/>
          <w:sz w:val="11"/>
        </w:rPr>
        <w:t>37</w:t>
      </w:r>
      <w:r>
        <w:rPr>
          <w:color w:val="000000"/>
          <w:w w:val="95"/>
          <w:sz w:val="21"/>
          <w:shd w:fill="E4E4E4" w:color="auto" w:val="clear"/>
        </w:rPr>
        <w:t>，</w:t>
      </w:r>
      <w:r>
        <w:rPr>
          <w:rFonts w:ascii="微软雅黑" w:eastAsia="微软雅黑"/>
          <w:b/>
          <w:color w:val="000000"/>
          <w:w w:val="95"/>
          <w:sz w:val="21"/>
          <w:shd w:fill="E4E4E4" w:color="auto" w:val="clear"/>
        </w:rPr>
        <w:t>先</w:t>
      </w:r>
      <w:r>
        <w:rPr>
          <w:rFonts w:ascii="微软雅黑" w:eastAsia="微软雅黑"/>
          <w:b/>
          <w:color w:val="000000"/>
          <w:w w:val="95"/>
          <w:sz w:val="21"/>
          <w:shd w:fill="E4E4E4" w:color="auto" w:val="clear"/>
        </w:rPr>
        <w:t>天</w:t>
      </w:r>
      <w:r>
        <w:rPr>
          <w:rFonts w:ascii="微软雅黑" w:eastAsia="微软雅黑"/>
          <w:b/>
          <w:color w:val="000000"/>
          <w:w w:val="95"/>
          <w:sz w:val="21"/>
          <w:shd w:fill="E4E4E4" w:color="auto" w:val="clear"/>
        </w:rPr>
        <w:t>性</w:t>
      </w:r>
      <w:r>
        <w:rPr>
          <w:rFonts w:ascii="微软雅黑" w:eastAsia="微软雅黑"/>
          <w:b/>
          <w:color w:val="000000"/>
          <w:w w:val="95"/>
          <w:sz w:val="21"/>
          <w:shd w:fill="E4E4E4" w:color="auto" w:val="clear"/>
        </w:rPr>
        <w:t>畸</w:t>
      </w:r>
      <w:r>
        <w:rPr>
          <w:rFonts w:ascii="微软雅黑" w:eastAsia="微软雅黑"/>
          <w:b/>
          <w:color w:val="000000"/>
          <w:w w:val="95"/>
          <w:sz w:val="21"/>
          <w:shd w:fill="E4E4E4" w:color="auto" w:val="clear"/>
        </w:rPr>
        <w:t>形</w:t>
      </w:r>
      <w:r>
        <w:rPr>
          <w:rFonts w:ascii="微软雅黑" w:eastAsia="微软雅黑"/>
          <w:b/>
          <w:color w:val="000000"/>
          <w:w w:val="95"/>
          <w:sz w:val="21"/>
          <w:shd w:fill="E4E4E4" w:color="auto" w:val="clear"/>
        </w:rPr>
        <w:t>、</w:t>
      </w:r>
      <w:r>
        <w:rPr>
          <w:rFonts w:ascii="微软雅黑" w:eastAsia="微软雅黑"/>
          <w:b/>
          <w:color w:val="000000"/>
          <w:w w:val="95"/>
          <w:sz w:val="21"/>
          <w:shd w:fill="E4E4E4" w:color="auto" w:val="clear"/>
        </w:rPr>
        <w:t>变</w:t>
      </w:r>
      <w:r>
        <w:rPr>
          <w:rFonts w:ascii="微软雅黑" w:eastAsia="微软雅黑"/>
          <w:b/>
          <w:color w:val="000000"/>
          <w:w w:val="95"/>
          <w:sz w:val="21"/>
          <w:shd w:fill="E4E4E4" w:color="auto" w:val="clear"/>
        </w:rPr>
        <w:t>形</w:t>
      </w:r>
      <w:r>
        <w:rPr>
          <w:rFonts w:ascii="微软雅黑" w:eastAsia="微软雅黑"/>
          <w:b/>
          <w:color w:val="000000"/>
          <w:w w:val="95"/>
          <w:sz w:val="21"/>
          <w:shd w:fill="E4E4E4" w:color="auto" w:val="clear"/>
        </w:rPr>
        <w:t>或</w:t>
      </w:r>
      <w:r>
        <w:rPr>
          <w:rFonts w:ascii="微软雅黑" w:eastAsia="微软雅黑"/>
          <w:b/>
          <w:color w:val="000000"/>
          <w:w w:val="95"/>
          <w:sz w:val="21"/>
          <w:shd w:fill="E4E4E4" w:color="auto" w:val="clear"/>
        </w:rPr>
        <w:t>染</w:t>
      </w:r>
      <w:r>
        <w:rPr>
          <w:rFonts w:ascii="微软雅黑" w:eastAsia="微软雅黑"/>
          <w:b/>
          <w:color w:val="000000"/>
          <w:w w:val="95"/>
          <w:sz w:val="21"/>
          <w:shd w:fill="E4E4E4" w:color="auto" w:val="clear"/>
        </w:rPr>
        <w:t>色</w:t>
      </w:r>
      <w:r>
        <w:rPr>
          <w:rFonts w:ascii="微软雅黑" w:eastAsia="微软雅黑"/>
          <w:b/>
          <w:color w:val="000000"/>
          <w:w w:val="95"/>
          <w:sz w:val="21"/>
          <w:shd w:fill="E4E4E4" w:color="auto" w:val="clear"/>
        </w:rPr>
        <w:t>体</w:t>
      </w:r>
      <w:r>
        <w:rPr>
          <w:rFonts w:ascii="微软雅黑" w:eastAsia="微软雅黑"/>
          <w:b/>
          <w:color w:val="000000"/>
          <w:w w:val="95"/>
          <w:sz w:val="21"/>
          <w:shd w:fill="E4E4E4" w:color="auto" w:val="clear"/>
        </w:rPr>
        <w:t>异</w:t>
      </w:r>
      <w:r>
        <w:rPr>
          <w:rFonts w:ascii="微软雅黑" w:eastAsia="微软雅黑"/>
          <w:b/>
          <w:color w:val="000000"/>
          <w:w w:val="95"/>
          <w:sz w:val="21"/>
          <w:shd w:fill="E4E4E4" w:color="auto" w:val="clear"/>
        </w:rPr>
        <w:t>常</w:t>
      </w:r>
      <w:r>
        <w:rPr>
          <w:rFonts w:ascii="微软雅黑" w:eastAsia="微软雅黑"/>
          <w:b/>
          <w:color w:val="000000"/>
          <w:spacing w:val="-5"/>
          <w:w w:val="95"/>
          <w:position w:val="11"/>
          <w:sz w:val="11"/>
        </w:rPr>
        <w:t>38</w:t>
      </w:r>
      <w:r>
        <w:rPr>
          <w:color w:val="000000"/>
          <w:spacing w:val="-5"/>
          <w:w w:val="95"/>
          <w:sz w:val="21"/>
          <w:shd w:fill="E4E4E4" w:color="auto" w:val="clear"/>
        </w:rPr>
        <w:t>；</w:t>
      </w:r>
    </w:p>
    <w:p>
      <w:pPr>
        <w:pStyle w:val="ListParagraph"/>
        <w:numPr>
          <w:ilvl w:val="0"/>
          <w:numId w:val="10"/>
        </w:numPr>
        <w:tabs>
          <w:tab w:pos="3587" w:val="left" w:leader="none"/>
        </w:tabs>
        <w:spacing w:line="240" w:lineRule="auto" w:before="105" w:after="0"/>
        <w:ind w:left="3586" w:right="227" w:hanging="3587"/>
        <w:jc w:val="left"/>
        <w:rPr>
          <w:sz w:val="21"/>
        </w:rPr>
      </w:pPr>
      <w:r>
        <w:rPr>
          <w:color w:val="000000"/>
          <w:spacing w:val="-2"/>
          <w:sz w:val="21"/>
          <w:shd w:fill="E4E4E4" w:color="auto" w:val="clear"/>
        </w:rPr>
        <w:t>被保险人</w:t>
      </w:r>
      <w:r>
        <w:rPr>
          <w:rFonts w:ascii="微软雅黑" w:eastAsia="微软雅黑"/>
          <w:b/>
          <w:color w:val="000000"/>
          <w:spacing w:val="-2"/>
          <w:sz w:val="21"/>
          <w:shd w:fill="E4E4E4" w:color="auto" w:val="clear"/>
        </w:rPr>
        <w:t>感染艾滋病病毒或患艾滋病</w:t>
      </w:r>
      <w:r>
        <w:rPr>
          <w:rFonts w:ascii="微软雅黑" w:eastAsia="微软雅黑"/>
          <w:b/>
          <w:color w:val="000000"/>
          <w:spacing w:val="-5"/>
          <w:position w:val="11"/>
          <w:sz w:val="11"/>
        </w:rPr>
        <w:t>39</w:t>
      </w:r>
      <w:r>
        <w:rPr>
          <w:color w:val="000000"/>
          <w:spacing w:val="-5"/>
          <w:sz w:val="21"/>
          <w:shd w:fill="E4E4E4" w:color="auto" w:val="clear"/>
        </w:rPr>
        <w:t>；</w:t>
      </w:r>
    </w:p>
    <w:p>
      <w:pPr>
        <w:pStyle w:val="BodyText"/>
        <w:spacing w:before="1"/>
        <w:rPr>
          <w:sz w:val="8"/>
        </w:rPr>
      </w:pPr>
    </w:p>
    <w:p>
      <w:pPr>
        <w:pStyle w:val="ListParagraph"/>
        <w:numPr>
          <w:ilvl w:val="0"/>
          <w:numId w:val="10"/>
        </w:numPr>
        <w:tabs>
          <w:tab w:pos="3587" w:val="left" w:leader="none"/>
        </w:tabs>
        <w:spacing w:line="300" w:lineRule="auto" w:before="71" w:after="0"/>
        <w:ind w:left="3057" w:right="209" w:firstLine="0"/>
        <w:jc w:val="left"/>
        <w:rPr>
          <w:sz w:val="21"/>
        </w:rPr>
      </w:pPr>
      <w:r>
        <w:rPr>
          <w:color w:val="000000"/>
          <w:spacing w:val="-5"/>
          <w:w w:val="100"/>
          <w:sz w:val="21"/>
          <w:shd w:fill="E4E4E4" w:color="auto" w:val="clear"/>
        </w:rPr>
        <w:t>被保险人精神和行为障碍(以世界卫生组织颁布的《疾病和有关健康问题</w:t>
      </w:r>
      <w:r>
        <w:rPr>
          <w:color w:val="000000"/>
          <w:w w:val="100"/>
          <w:sz w:val="21"/>
          <w:shd w:fill="E4E4E4" w:color="auto" w:val="clear"/>
        </w:rPr>
        <w:t>的</w:t>
      </w:r>
      <w:r>
        <w:rPr>
          <w:color w:val="000000"/>
          <w:w w:val="100"/>
          <w:sz w:val="21"/>
          <w:shd w:fill="E4E4E4" w:color="auto" w:val="clear"/>
        </w:rPr>
        <w:t>                                                                                                                                        </w:t>
      </w:r>
      <w:r>
        <w:rPr>
          <w:color w:val="000000"/>
          <w:spacing w:val="-2"/>
          <w:w w:val="100"/>
          <w:sz w:val="21"/>
          <w:shd w:fill="E4E4E4" w:color="auto" w:val="clear"/>
        </w:rPr>
        <w:t>国际统计分类(</w:t>
      </w:r>
      <w:r>
        <w:rPr>
          <w:color w:val="000000"/>
          <w:spacing w:val="-3"/>
          <w:w w:val="100"/>
          <w:sz w:val="21"/>
          <w:shd w:fill="E4E4E4" w:color="auto" w:val="clear"/>
        </w:rPr>
        <w:t>I</w:t>
      </w:r>
      <w:r>
        <w:rPr>
          <w:color w:val="000000"/>
          <w:w w:val="100"/>
          <w:sz w:val="21"/>
          <w:shd w:fill="E4E4E4" w:color="auto" w:val="clear"/>
        </w:rPr>
        <w:t>C</w:t>
      </w:r>
      <w:r>
        <w:rPr>
          <w:color w:val="000000"/>
          <w:spacing w:val="-1"/>
          <w:w w:val="100"/>
          <w:sz w:val="21"/>
          <w:shd w:fill="E4E4E4" w:color="auto" w:val="clear"/>
        </w:rPr>
        <w:t>D</w:t>
      </w:r>
      <w:r>
        <w:rPr>
          <w:color w:val="000000"/>
          <w:w w:val="100"/>
          <w:sz w:val="21"/>
          <w:shd w:fill="E4E4E4" w:color="auto" w:val="clear"/>
        </w:rPr>
        <w:t>-</w:t>
      </w:r>
      <w:r>
        <w:rPr>
          <w:color w:val="000000"/>
          <w:spacing w:val="-3"/>
          <w:w w:val="100"/>
          <w:sz w:val="21"/>
          <w:shd w:fill="E4E4E4" w:color="auto" w:val="clear"/>
        </w:rPr>
        <w:t>1</w:t>
      </w:r>
      <w:r>
        <w:rPr>
          <w:color w:val="000000"/>
          <w:w w:val="100"/>
          <w:sz w:val="21"/>
          <w:shd w:fill="E4E4E4" w:color="auto" w:val="clear"/>
        </w:rPr>
        <w:t>0</w:t>
      </w:r>
      <w:r>
        <w:rPr>
          <w:color w:val="000000"/>
          <w:spacing w:val="-3"/>
          <w:w w:val="100"/>
          <w:sz w:val="21"/>
          <w:shd w:fill="E4E4E4" w:color="auto" w:val="clear"/>
        </w:rPr>
        <w:t>)》为准)或癫痫发作；</w:t>
      </w:r>
    </w:p>
    <w:p>
      <w:pPr>
        <w:pStyle w:val="ListParagraph"/>
        <w:numPr>
          <w:ilvl w:val="0"/>
          <w:numId w:val="10"/>
        </w:numPr>
        <w:tabs>
          <w:tab w:pos="3587" w:val="left" w:leader="none"/>
        </w:tabs>
        <w:spacing w:line="249" w:lineRule="auto" w:before="88" w:after="0"/>
        <w:ind w:left="3057" w:right="104" w:firstLine="0"/>
        <w:jc w:val="left"/>
        <w:rPr>
          <w:sz w:val="21"/>
        </w:rPr>
      </w:pPr>
      <w:r>
        <w:rPr>
          <w:color w:val="000000"/>
          <w:spacing w:val="-2"/>
          <w:sz w:val="21"/>
          <w:shd w:fill="E4E4E4" w:color="auto" w:val="clear"/>
        </w:rPr>
        <w:t>不孕不育治疗、避孕、节育（含绝育</w:t>
      </w:r>
      <w:r>
        <w:rPr>
          <w:color w:val="000000"/>
          <w:spacing w:val="-108"/>
          <w:sz w:val="21"/>
          <w:shd w:fill="E4E4E4" w:color="auto" w:val="clear"/>
        </w:rPr>
        <w:t>）</w:t>
      </w:r>
      <w:r>
        <w:rPr>
          <w:color w:val="000000"/>
          <w:spacing w:val="-2"/>
          <w:sz w:val="21"/>
          <w:shd w:fill="E4E4E4" w:color="auto" w:val="clear"/>
        </w:rPr>
        <w:t>、</w:t>
      </w:r>
      <w:r>
        <w:rPr>
          <w:rFonts w:ascii="微软雅黑" w:eastAsia="微软雅黑"/>
          <w:b/>
          <w:color w:val="000000"/>
          <w:spacing w:val="-2"/>
          <w:sz w:val="21"/>
          <w:shd w:fill="E4E4E4" w:color="auto" w:val="clear"/>
        </w:rPr>
        <w:t>妊娠</w:t>
      </w:r>
      <w:r>
        <w:rPr>
          <w:rFonts w:ascii="微软雅黑" w:eastAsia="微软雅黑"/>
          <w:b/>
          <w:color w:val="000000"/>
          <w:spacing w:val="-2"/>
          <w:position w:val="11"/>
          <w:sz w:val="11"/>
        </w:rPr>
        <w:t>40</w:t>
      </w:r>
      <w:r>
        <w:rPr>
          <w:color w:val="000000"/>
          <w:spacing w:val="-2"/>
          <w:sz w:val="21"/>
          <w:shd w:fill="E4E4E4" w:color="auto" w:val="clear"/>
        </w:rPr>
        <w:t>（含异位妊娠</w:t>
      </w:r>
      <w:r>
        <w:rPr>
          <w:color w:val="000000"/>
          <w:spacing w:val="-106"/>
          <w:sz w:val="21"/>
          <w:shd w:fill="E4E4E4" w:color="auto" w:val="clear"/>
        </w:rPr>
        <w:t>）</w:t>
      </w:r>
      <w:r>
        <w:rPr>
          <w:color w:val="000000"/>
          <w:spacing w:val="-2"/>
          <w:sz w:val="21"/>
          <w:shd w:fill="E4E4E4" w:color="auto" w:val="clear"/>
        </w:rPr>
        <w:t>、流产、堕胎</w:t>
      </w:r>
      <w:r>
        <w:rPr>
          <w:color w:val="000000"/>
          <w:spacing w:val="-10"/>
          <w:sz w:val="21"/>
          <w:shd w:fill="E4E4E4" w:color="auto" w:val="clear"/>
        </w:rPr>
        <w:t>、</w:t>
      </w:r>
      <w:r>
        <w:rPr>
          <w:color w:val="000000"/>
          <w:spacing w:val="80"/>
          <w:w w:val="150"/>
          <w:sz w:val="21"/>
          <w:shd w:fill="E4E4E4" w:color="auto" w:val="clear"/>
        </w:rPr>
        <w:t>                                        </w:t>
      </w:r>
      <w:r>
        <w:rPr>
          <w:color w:val="000000"/>
          <w:spacing w:val="-2"/>
          <w:sz w:val="21"/>
          <w:shd w:fill="E4E4E4" w:color="auto" w:val="clear"/>
        </w:rPr>
        <w:t>分娩（含难产</w:t>
      </w:r>
      <w:r>
        <w:rPr>
          <w:color w:val="000000"/>
          <w:spacing w:val="-108"/>
          <w:sz w:val="21"/>
          <w:shd w:fill="E4E4E4" w:color="auto" w:val="clear"/>
        </w:rPr>
        <w:t>）</w:t>
      </w:r>
      <w:r>
        <w:rPr>
          <w:color w:val="000000"/>
          <w:spacing w:val="-2"/>
          <w:sz w:val="21"/>
          <w:shd w:fill="E4E4E4" w:color="auto" w:val="clear"/>
        </w:rPr>
        <w:t>、变性手术、人体试验、人工生殖，或者由前述任一原因引起的并</w:t>
      </w:r>
    </w:p>
    <w:p>
      <w:pPr>
        <w:pStyle w:val="BodyText"/>
        <w:spacing w:before="60"/>
        <w:ind w:left="3057"/>
      </w:pPr>
      <w:r>
        <w:rPr>
          <w:color w:val="000000"/>
          <w:spacing w:val="-4"/>
          <w:shd w:fill="E4E4E4" w:color="auto" w:val="clear"/>
        </w:rPr>
        <w:t>发症；</w:t>
      </w:r>
    </w:p>
    <w:p>
      <w:pPr>
        <w:pStyle w:val="BodyText"/>
        <w:spacing w:before="12"/>
        <w:rPr>
          <w:sz w:val="9"/>
        </w:rPr>
      </w:pPr>
    </w:p>
    <w:p>
      <w:pPr>
        <w:pStyle w:val="ListParagraph"/>
        <w:numPr>
          <w:ilvl w:val="0"/>
          <w:numId w:val="10"/>
        </w:numPr>
        <w:tabs>
          <w:tab w:pos="3587" w:val="left" w:leader="none"/>
        </w:tabs>
        <w:spacing w:line="240" w:lineRule="auto" w:before="28" w:after="0"/>
        <w:ind w:left="3586" w:right="0" w:hanging="3584"/>
        <w:jc w:val="left"/>
        <w:rPr>
          <w:sz w:val="21"/>
        </w:rPr>
      </w:pPr>
      <w:r>
        <w:rPr>
          <w:rFonts w:ascii="微软雅黑" w:eastAsia="微软雅黑"/>
          <w:b/>
          <w:color w:val="000000"/>
          <w:w w:val="95"/>
          <w:sz w:val="21"/>
          <w:shd w:fill="E4E4E4" w:color="auto" w:val="clear"/>
        </w:rPr>
        <w:t>传</w:t>
      </w:r>
      <w:r>
        <w:rPr>
          <w:rFonts w:ascii="微软雅黑" w:eastAsia="微软雅黑"/>
          <w:b/>
          <w:color w:val="000000"/>
          <w:w w:val="95"/>
          <w:sz w:val="21"/>
          <w:shd w:fill="E4E4E4" w:color="auto" w:val="clear"/>
        </w:rPr>
        <w:t>染</w:t>
      </w:r>
      <w:r>
        <w:rPr>
          <w:rFonts w:ascii="微软雅黑" w:eastAsia="微软雅黑"/>
          <w:b/>
          <w:color w:val="000000"/>
          <w:w w:val="95"/>
          <w:sz w:val="21"/>
          <w:shd w:fill="E4E4E4" w:color="auto" w:val="clear"/>
        </w:rPr>
        <w:t>病</w:t>
      </w:r>
      <w:r>
        <w:rPr>
          <w:rFonts w:ascii="微软雅黑" w:eastAsia="微软雅黑"/>
          <w:b/>
          <w:color w:val="000000"/>
          <w:w w:val="95"/>
          <w:position w:val="11"/>
          <w:sz w:val="11"/>
        </w:rPr>
        <w:t>41</w:t>
      </w:r>
      <w:r>
        <w:rPr>
          <w:color w:val="000000"/>
          <w:w w:val="95"/>
          <w:sz w:val="21"/>
          <w:shd w:fill="E4E4E4" w:color="auto" w:val="clear"/>
        </w:rPr>
        <w:t>、</w:t>
      </w:r>
      <w:r>
        <w:rPr>
          <w:rFonts w:ascii="微软雅黑" w:eastAsia="微软雅黑"/>
          <w:b/>
          <w:color w:val="000000"/>
          <w:w w:val="95"/>
          <w:sz w:val="21"/>
          <w:shd w:fill="E4E4E4" w:color="auto" w:val="clear"/>
        </w:rPr>
        <w:t>药</w:t>
      </w:r>
      <w:r>
        <w:rPr>
          <w:rFonts w:ascii="微软雅黑" w:eastAsia="微软雅黑"/>
          <w:b/>
          <w:color w:val="000000"/>
          <w:w w:val="95"/>
          <w:sz w:val="21"/>
          <w:shd w:fill="E4E4E4" w:color="auto" w:val="clear"/>
        </w:rPr>
        <w:t>物</w:t>
      </w:r>
      <w:r>
        <w:rPr>
          <w:rFonts w:ascii="微软雅黑" w:eastAsia="微软雅黑"/>
          <w:b/>
          <w:color w:val="000000"/>
          <w:w w:val="95"/>
          <w:sz w:val="21"/>
          <w:shd w:fill="E4E4E4" w:color="auto" w:val="clear"/>
        </w:rPr>
        <w:t>不</w:t>
      </w:r>
      <w:r>
        <w:rPr>
          <w:rFonts w:ascii="微软雅黑" w:eastAsia="微软雅黑"/>
          <w:b/>
          <w:color w:val="000000"/>
          <w:w w:val="95"/>
          <w:sz w:val="21"/>
          <w:shd w:fill="E4E4E4" w:color="auto" w:val="clear"/>
        </w:rPr>
        <w:t>良</w:t>
      </w:r>
      <w:r>
        <w:rPr>
          <w:rFonts w:ascii="微软雅黑" w:eastAsia="微软雅黑"/>
          <w:b/>
          <w:color w:val="000000"/>
          <w:w w:val="95"/>
          <w:sz w:val="21"/>
          <w:shd w:fill="E4E4E4" w:color="auto" w:val="clear"/>
        </w:rPr>
        <w:t>反应</w:t>
      </w:r>
      <w:r>
        <w:rPr>
          <w:rFonts w:ascii="微软雅黑" w:eastAsia="微软雅黑"/>
          <w:b/>
          <w:color w:val="000000"/>
          <w:w w:val="95"/>
          <w:position w:val="11"/>
          <w:sz w:val="11"/>
        </w:rPr>
        <w:t>42</w:t>
      </w:r>
      <w:r>
        <w:rPr>
          <w:color w:val="000000"/>
          <w:w w:val="95"/>
          <w:sz w:val="21"/>
          <w:shd w:fill="E4E4E4" w:color="auto" w:val="clear"/>
        </w:rPr>
        <w:t>、</w:t>
      </w:r>
      <w:r>
        <w:rPr>
          <w:rFonts w:ascii="微软雅黑" w:eastAsia="微软雅黑"/>
          <w:b/>
          <w:color w:val="000000"/>
          <w:w w:val="95"/>
          <w:sz w:val="21"/>
          <w:shd w:fill="E4E4E4" w:color="auto" w:val="clear"/>
        </w:rPr>
        <w:t>试</w:t>
      </w:r>
      <w:r>
        <w:rPr>
          <w:rFonts w:ascii="微软雅黑" w:eastAsia="微软雅黑"/>
          <w:b/>
          <w:color w:val="000000"/>
          <w:w w:val="95"/>
          <w:sz w:val="21"/>
          <w:shd w:fill="E4E4E4" w:color="auto" w:val="clear"/>
        </w:rPr>
        <w:t>验</w:t>
      </w:r>
      <w:r>
        <w:rPr>
          <w:rFonts w:ascii="微软雅黑" w:eastAsia="微软雅黑"/>
          <w:b/>
          <w:color w:val="000000"/>
          <w:w w:val="95"/>
          <w:sz w:val="21"/>
          <w:shd w:fill="E4E4E4" w:color="auto" w:val="clear"/>
        </w:rPr>
        <w:t>性</w:t>
      </w:r>
      <w:r>
        <w:rPr>
          <w:rFonts w:ascii="微软雅黑" w:eastAsia="微软雅黑"/>
          <w:b/>
          <w:color w:val="000000"/>
          <w:w w:val="95"/>
          <w:sz w:val="21"/>
          <w:shd w:fill="E4E4E4" w:color="auto" w:val="clear"/>
        </w:rPr>
        <w:t>治</w:t>
      </w:r>
      <w:r>
        <w:rPr>
          <w:rFonts w:ascii="微软雅黑" w:eastAsia="微软雅黑"/>
          <w:b/>
          <w:color w:val="000000"/>
          <w:w w:val="95"/>
          <w:sz w:val="21"/>
          <w:shd w:fill="E4E4E4" w:color="auto" w:val="clear"/>
        </w:rPr>
        <w:t>疗</w:t>
      </w:r>
      <w:r>
        <w:rPr>
          <w:rFonts w:ascii="微软雅黑" w:eastAsia="微软雅黑"/>
          <w:b/>
          <w:color w:val="000000"/>
          <w:spacing w:val="-5"/>
          <w:w w:val="95"/>
          <w:position w:val="11"/>
          <w:sz w:val="11"/>
        </w:rPr>
        <w:t>43</w:t>
      </w:r>
      <w:r>
        <w:rPr>
          <w:color w:val="000000"/>
          <w:spacing w:val="-5"/>
          <w:w w:val="95"/>
          <w:sz w:val="21"/>
          <w:shd w:fill="E4E4E4" w:color="auto" w:val="clear"/>
        </w:rPr>
        <w:t>；</w:t>
      </w:r>
    </w:p>
    <w:p>
      <w:pPr>
        <w:pStyle w:val="ListParagraph"/>
        <w:numPr>
          <w:ilvl w:val="0"/>
          <w:numId w:val="10"/>
        </w:numPr>
        <w:tabs>
          <w:tab w:pos="3585" w:val="left" w:leader="none"/>
        </w:tabs>
        <w:spacing w:line="252" w:lineRule="auto" w:before="105" w:after="0"/>
        <w:ind w:left="3057" w:right="209" w:firstLine="0"/>
        <w:jc w:val="left"/>
        <w:rPr>
          <w:sz w:val="21"/>
        </w:rPr>
      </w:pPr>
      <w:r>
        <w:rPr>
          <w:color w:val="000000"/>
          <w:spacing w:val="-4"/>
          <w:sz w:val="21"/>
          <w:shd w:fill="E4E4E4" w:color="auto" w:val="clear"/>
        </w:rPr>
        <w:t>疗养、</w:t>
      </w:r>
      <w:r>
        <w:rPr>
          <w:rFonts w:ascii="微软雅黑" w:eastAsia="微软雅黑"/>
          <w:b/>
          <w:color w:val="000000"/>
          <w:spacing w:val="-4"/>
          <w:sz w:val="21"/>
          <w:shd w:fill="E4E4E4" w:color="auto" w:val="clear"/>
        </w:rPr>
        <w:t>康复治疗</w:t>
      </w:r>
      <w:r>
        <w:rPr>
          <w:rFonts w:ascii="微软雅黑" w:eastAsia="微软雅黑"/>
          <w:b/>
          <w:color w:val="000000"/>
          <w:spacing w:val="-4"/>
          <w:position w:val="11"/>
          <w:sz w:val="11"/>
        </w:rPr>
        <w:t>44</w:t>
      </w:r>
      <w:r>
        <w:rPr>
          <w:color w:val="000000"/>
          <w:spacing w:val="-4"/>
          <w:sz w:val="21"/>
          <w:shd w:fill="E4E4E4" w:color="auto" w:val="clear"/>
        </w:rPr>
        <w:t>、心理治疗、美容、矫形、视力矫正手术、安装假肢、非</w:t>
      </w:r>
      <w:r>
        <w:rPr>
          <w:color w:val="000000"/>
          <w:spacing w:val="14175"/>
          <w:sz w:val="21"/>
          <w:shd w:fill="E4E4E4" w:color="auto" w:val="clear"/>
        </w:rPr>
        <w:t> </w:t>
      </w:r>
      <w:r>
        <w:rPr>
          <w:color w:val="000000"/>
          <w:spacing w:val="-2"/>
          <w:sz w:val="21"/>
          <w:shd w:fill="E4E4E4" w:color="auto" w:val="clear"/>
        </w:rPr>
        <w:t>意外事故所致的整容手术；</w:t>
      </w:r>
    </w:p>
    <w:p>
      <w:pPr>
        <w:pStyle w:val="BodyText"/>
        <w:spacing w:before="9"/>
        <w:rPr>
          <w:sz w:val="10"/>
        </w:rPr>
      </w:pPr>
    </w:p>
    <w:p>
      <w:pPr>
        <w:pStyle w:val="ListParagraph"/>
        <w:numPr>
          <w:ilvl w:val="0"/>
          <w:numId w:val="10"/>
        </w:numPr>
        <w:tabs>
          <w:tab w:pos="3693" w:val="left" w:leader="none"/>
        </w:tabs>
        <w:spacing w:line="300" w:lineRule="auto" w:before="72" w:after="0"/>
        <w:ind w:left="3057" w:right="207" w:firstLine="0"/>
        <w:jc w:val="left"/>
        <w:rPr>
          <w:sz w:val="21"/>
        </w:rPr>
      </w:pPr>
      <w:r>
        <w:rPr>
          <w:color w:val="000000"/>
          <w:spacing w:val="-6"/>
          <w:w w:val="100"/>
          <w:sz w:val="21"/>
          <w:shd w:fill="E4E4E4" w:color="auto" w:val="clear"/>
        </w:rPr>
        <w:t>被保险人自杀或故意自伤，但自杀或自伤时为无民事行为能力人的不受此</w:t>
      </w:r>
      <w:r>
        <w:rPr>
          <w:color w:val="000000"/>
          <w:w w:val="100"/>
          <w:sz w:val="21"/>
          <w:shd w:fill="E4E4E4" w:color="auto" w:val="clear"/>
        </w:rPr>
        <w:t>                                                                                                                                        限；</w:t>
      </w:r>
    </w:p>
    <w:p>
      <w:pPr>
        <w:pStyle w:val="ListParagraph"/>
        <w:numPr>
          <w:ilvl w:val="0"/>
          <w:numId w:val="10"/>
        </w:numPr>
        <w:tabs>
          <w:tab w:pos="3693" w:val="left" w:leader="none"/>
        </w:tabs>
        <w:spacing w:line="302" w:lineRule="auto" w:before="155" w:after="0"/>
        <w:ind w:left="3057" w:right="207" w:firstLine="0"/>
        <w:jc w:val="left"/>
        <w:rPr>
          <w:sz w:val="21"/>
        </w:rPr>
      </w:pPr>
      <w:r>
        <w:rPr>
          <w:color w:val="000000"/>
          <w:spacing w:val="-5"/>
          <w:w w:val="100"/>
          <w:sz w:val="21"/>
          <w:shd w:fill="E4E4E4" w:color="auto" w:val="clear"/>
        </w:rPr>
        <w:t>被保险人犯罪或抗拒依法采取的刑事强制措施，被保险人遭受司法当局拘</w:t>
      </w:r>
      <w:r>
        <w:rPr>
          <w:color w:val="000000"/>
          <w:w w:val="100"/>
          <w:sz w:val="21"/>
          <w:shd w:fill="E4E4E4" w:color="auto" w:val="clear"/>
        </w:rPr>
        <w:t>                                                                                                                                        </w:t>
      </w:r>
      <w:r>
        <w:rPr>
          <w:color w:val="000000"/>
          <w:spacing w:val="-2"/>
          <w:w w:val="100"/>
          <w:sz w:val="21"/>
          <w:shd w:fill="E4E4E4" w:color="auto" w:val="clear"/>
        </w:rPr>
        <w:t>禁或被判入狱；</w:t>
      </w:r>
    </w:p>
    <w:p>
      <w:pPr>
        <w:pStyle w:val="ListParagraph"/>
        <w:numPr>
          <w:ilvl w:val="0"/>
          <w:numId w:val="10"/>
        </w:numPr>
        <w:tabs>
          <w:tab w:pos="3688" w:val="left" w:leader="none"/>
        </w:tabs>
        <w:spacing w:line="208" w:lineRule="auto" w:before="122" w:after="0"/>
        <w:ind w:left="3057" w:right="209" w:firstLine="0"/>
        <w:jc w:val="left"/>
        <w:rPr>
          <w:sz w:val="21"/>
        </w:rPr>
      </w:pPr>
      <w:r>
        <w:rPr>
          <w:color w:val="000000"/>
          <w:spacing w:val="-2"/>
          <w:w w:val="95"/>
          <w:sz w:val="21"/>
          <w:shd w:fill="E4E4E4" w:color="auto" w:val="clear"/>
        </w:rPr>
        <w:t>被</w:t>
      </w:r>
      <w:r>
        <w:rPr>
          <w:color w:val="000000"/>
          <w:spacing w:val="-2"/>
          <w:w w:val="95"/>
          <w:sz w:val="21"/>
          <w:shd w:fill="E4E4E4" w:color="auto" w:val="clear"/>
        </w:rPr>
        <w:t>保</w:t>
      </w:r>
      <w:r>
        <w:rPr>
          <w:color w:val="000000"/>
          <w:spacing w:val="-2"/>
          <w:w w:val="95"/>
          <w:sz w:val="21"/>
          <w:shd w:fill="E4E4E4" w:color="auto" w:val="clear"/>
        </w:rPr>
        <w:t>险</w:t>
      </w:r>
      <w:r>
        <w:rPr>
          <w:color w:val="000000"/>
          <w:spacing w:val="-2"/>
          <w:w w:val="95"/>
          <w:sz w:val="21"/>
          <w:shd w:fill="E4E4E4" w:color="auto" w:val="clear"/>
        </w:rPr>
        <w:t>人</w:t>
      </w:r>
      <w:r>
        <w:rPr>
          <w:rFonts w:ascii="微软雅黑" w:eastAsia="微软雅黑"/>
          <w:b/>
          <w:color w:val="000000"/>
          <w:spacing w:val="-2"/>
          <w:w w:val="95"/>
          <w:sz w:val="21"/>
          <w:shd w:fill="E4E4E4" w:color="auto" w:val="clear"/>
        </w:rPr>
        <w:t>酒</w:t>
      </w:r>
      <w:r>
        <w:rPr>
          <w:rFonts w:ascii="微软雅黑" w:eastAsia="微软雅黑"/>
          <w:b/>
          <w:color w:val="000000"/>
          <w:spacing w:val="-2"/>
          <w:w w:val="95"/>
          <w:sz w:val="21"/>
          <w:shd w:fill="E4E4E4" w:color="auto" w:val="clear"/>
        </w:rPr>
        <w:t>后</w:t>
      </w:r>
      <w:r>
        <w:rPr>
          <w:rFonts w:ascii="微软雅黑" w:eastAsia="微软雅黑"/>
          <w:b/>
          <w:color w:val="000000"/>
          <w:spacing w:val="-2"/>
          <w:w w:val="95"/>
          <w:sz w:val="21"/>
          <w:shd w:fill="E4E4E4" w:color="auto" w:val="clear"/>
        </w:rPr>
        <w:t>驾</w:t>
      </w:r>
      <w:r>
        <w:rPr>
          <w:rFonts w:ascii="微软雅黑" w:eastAsia="微软雅黑"/>
          <w:b/>
          <w:color w:val="000000"/>
          <w:spacing w:val="-2"/>
          <w:w w:val="95"/>
          <w:sz w:val="21"/>
          <w:shd w:fill="E4E4E4" w:color="auto" w:val="clear"/>
        </w:rPr>
        <w:t>驶</w:t>
      </w:r>
      <w:r>
        <w:rPr>
          <w:rFonts w:ascii="微软雅黑" w:eastAsia="微软雅黑"/>
          <w:b/>
          <w:color w:val="000000"/>
          <w:spacing w:val="-2"/>
          <w:w w:val="95"/>
          <w:position w:val="11"/>
          <w:sz w:val="11"/>
        </w:rPr>
        <w:t>45</w:t>
      </w:r>
      <w:r>
        <w:rPr>
          <w:rFonts w:ascii="微软雅黑" w:eastAsia="微软雅黑"/>
          <w:b/>
          <w:color w:val="000000"/>
          <w:spacing w:val="-2"/>
          <w:w w:val="95"/>
          <w:sz w:val="21"/>
          <w:shd w:fill="E4E4E4" w:color="auto" w:val="clear"/>
        </w:rPr>
        <w:t>、</w:t>
      </w:r>
      <w:r>
        <w:rPr>
          <w:rFonts w:ascii="微软雅黑" w:eastAsia="微软雅黑"/>
          <w:b/>
          <w:color w:val="000000"/>
          <w:spacing w:val="-2"/>
          <w:w w:val="95"/>
          <w:sz w:val="21"/>
          <w:shd w:fill="E4E4E4" w:color="auto" w:val="clear"/>
        </w:rPr>
        <w:t>无</w:t>
      </w:r>
      <w:r>
        <w:rPr>
          <w:rFonts w:ascii="微软雅黑" w:eastAsia="微软雅黑"/>
          <w:b/>
          <w:color w:val="000000"/>
          <w:spacing w:val="-2"/>
          <w:w w:val="95"/>
          <w:sz w:val="21"/>
          <w:shd w:fill="E4E4E4" w:color="auto" w:val="clear"/>
        </w:rPr>
        <w:t>合</w:t>
      </w:r>
      <w:r>
        <w:rPr>
          <w:rFonts w:ascii="微软雅黑" w:eastAsia="微软雅黑"/>
          <w:b/>
          <w:color w:val="000000"/>
          <w:spacing w:val="-2"/>
          <w:w w:val="95"/>
          <w:sz w:val="21"/>
          <w:shd w:fill="E4E4E4" w:color="auto" w:val="clear"/>
        </w:rPr>
        <w:t>法</w:t>
      </w:r>
      <w:r>
        <w:rPr>
          <w:rFonts w:ascii="微软雅黑" w:eastAsia="微软雅黑"/>
          <w:b/>
          <w:color w:val="000000"/>
          <w:spacing w:val="-2"/>
          <w:w w:val="95"/>
          <w:sz w:val="21"/>
          <w:shd w:fill="E4E4E4" w:color="auto" w:val="clear"/>
        </w:rPr>
        <w:t>有</w:t>
      </w:r>
      <w:r>
        <w:rPr>
          <w:rFonts w:ascii="微软雅黑" w:eastAsia="微软雅黑"/>
          <w:b/>
          <w:color w:val="000000"/>
          <w:spacing w:val="-2"/>
          <w:w w:val="95"/>
          <w:sz w:val="21"/>
          <w:shd w:fill="E4E4E4" w:color="auto" w:val="clear"/>
        </w:rPr>
        <w:t>效</w:t>
      </w:r>
      <w:r>
        <w:rPr>
          <w:rFonts w:ascii="微软雅黑" w:eastAsia="微软雅黑"/>
          <w:b/>
          <w:color w:val="000000"/>
          <w:spacing w:val="-2"/>
          <w:w w:val="95"/>
          <w:sz w:val="21"/>
          <w:shd w:fill="E4E4E4" w:color="auto" w:val="clear"/>
        </w:rPr>
        <w:t>驾</w:t>
      </w:r>
      <w:r>
        <w:rPr>
          <w:rFonts w:ascii="微软雅黑" w:eastAsia="微软雅黑"/>
          <w:b/>
          <w:color w:val="000000"/>
          <w:spacing w:val="-2"/>
          <w:w w:val="95"/>
          <w:sz w:val="21"/>
          <w:shd w:fill="E4E4E4" w:color="auto" w:val="clear"/>
        </w:rPr>
        <w:t>驶</w:t>
      </w:r>
      <w:r>
        <w:rPr>
          <w:rFonts w:ascii="微软雅黑" w:eastAsia="微软雅黑"/>
          <w:b/>
          <w:color w:val="000000"/>
          <w:spacing w:val="-2"/>
          <w:w w:val="95"/>
          <w:sz w:val="21"/>
          <w:shd w:fill="E4E4E4" w:color="auto" w:val="clear"/>
        </w:rPr>
        <w:t>证</w:t>
      </w:r>
      <w:r>
        <w:rPr>
          <w:rFonts w:ascii="微软雅黑" w:eastAsia="微软雅黑"/>
          <w:b/>
          <w:color w:val="000000"/>
          <w:spacing w:val="-2"/>
          <w:w w:val="95"/>
          <w:sz w:val="21"/>
          <w:shd w:fill="E4E4E4" w:color="auto" w:val="clear"/>
        </w:rPr>
        <w:t>驾</w:t>
      </w:r>
      <w:r>
        <w:rPr>
          <w:rFonts w:ascii="微软雅黑" w:eastAsia="微软雅黑"/>
          <w:b/>
          <w:color w:val="000000"/>
          <w:spacing w:val="-2"/>
          <w:w w:val="95"/>
          <w:sz w:val="21"/>
          <w:shd w:fill="E4E4E4" w:color="auto" w:val="clear"/>
        </w:rPr>
        <w:t>驶</w:t>
      </w:r>
      <w:r>
        <w:rPr>
          <w:rFonts w:ascii="微软雅黑" w:eastAsia="微软雅黑"/>
          <w:b/>
          <w:color w:val="000000"/>
          <w:spacing w:val="-2"/>
          <w:w w:val="95"/>
          <w:position w:val="11"/>
          <w:sz w:val="11"/>
        </w:rPr>
        <w:t>46</w:t>
      </w:r>
      <w:r>
        <w:rPr>
          <w:rFonts w:ascii="微软雅黑" w:eastAsia="微软雅黑"/>
          <w:b/>
          <w:color w:val="000000"/>
          <w:spacing w:val="-2"/>
          <w:w w:val="95"/>
          <w:sz w:val="21"/>
          <w:shd w:fill="E4E4E4" w:color="auto" w:val="clear"/>
        </w:rPr>
        <w:t>，</w:t>
      </w:r>
      <w:r>
        <w:rPr>
          <w:rFonts w:ascii="微软雅黑" w:eastAsia="微软雅黑"/>
          <w:b/>
          <w:color w:val="000000"/>
          <w:spacing w:val="-2"/>
          <w:w w:val="95"/>
          <w:sz w:val="21"/>
          <w:shd w:fill="E4E4E4" w:color="auto" w:val="clear"/>
        </w:rPr>
        <w:t>或</w:t>
      </w:r>
      <w:r>
        <w:rPr>
          <w:rFonts w:ascii="微软雅黑" w:eastAsia="微软雅黑"/>
          <w:b/>
          <w:color w:val="000000"/>
          <w:spacing w:val="-2"/>
          <w:w w:val="95"/>
          <w:sz w:val="21"/>
          <w:shd w:fill="E4E4E4" w:color="auto" w:val="clear"/>
        </w:rPr>
        <w:t>驾</w:t>
      </w:r>
      <w:r>
        <w:rPr>
          <w:rFonts w:ascii="微软雅黑" w:eastAsia="微软雅黑"/>
          <w:b/>
          <w:color w:val="000000"/>
          <w:spacing w:val="-2"/>
          <w:w w:val="95"/>
          <w:sz w:val="21"/>
          <w:shd w:fill="E4E4E4" w:color="auto" w:val="clear"/>
        </w:rPr>
        <w:t>驶</w:t>
      </w:r>
      <w:r>
        <w:rPr>
          <w:rFonts w:ascii="微软雅黑" w:eastAsia="微软雅黑"/>
          <w:b/>
          <w:color w:val="000000"/>
          <w:spacing w:val="-2"/>
          <w:w w:val="95"/>
          <w:sz w:val="21"/>
          <w:shd w:fill="E4E4E4" w:color="auto" w:val="clear"/>
        </w:rPr>
        <w:t>无</w:t>
      </w:r>
      <w:r>
        <w:rPr>
          <w:rFonts w:ascii="微软雅黑" w:eastAsia="微软雅黑"/>
          <w:b/>
          <w:color w:val="000000"/>
          <w:spacing w:val="-2"/>
          <w:w w:val="95"/>
          <w:sz w:val="21"/>
          <w:shd w:fill="E4E4E4" w:color="auto" w:val="clear"/>
        </w:rPr>
        <w:t>有</w:t>
      </w:r>
      <w:r>
        <w:rPr>
          <w:rFonts w:ascii="微软雅黑" w:eastAsia="微软雅黑"/>
          <w:b/>
          <w:color w:val="000000"/>
          <w:spacing w:val="-2"/>
          <w:w w:val="95"/>
          <w:sz w:val="21"/>
          <w:shd w:fill="E4E4E4" w:color="auto" w:val="clear"/>
        </w:rPr>
        <w:t>效</w:t>
      </w:r>
      <w:r>
        <w:rPr>
          <w:rFonts w:ascii="微软雅黑" w:eastAsia="微软雅黑"/>
          <w:b/>
          <w:color w:val="000000"/>
          <w:spacing w:val="-2"/>
          <w:w w:val="95"/>
          <w:sz w:val="21"/>
          <w:shd w:fill="E4E4E4" w:color="auto" w:val="clear"/>
        </w:rPr>
        <w:t>行</w:t>
      </w:r>
      <w:r>
        <w:rPr>
          <w:rFonts w:ascii="微软雅黑" w:eastAsia="微软雅黑"/>
          <w:b/>
          <w:color w:val="000000"/>
          <w:spacing w:val="-2"/>
          <w:w w:val="95"/>
          <w:sz w:val="21"/>
          <w:shd w:fill="E4E4E4" w:color="auto" w:val="clear"/>
        </w:rPr>
        <w:t>驶</w:t>
      </w:r>
      <w:r>
        <w:rPr>
          <w:rFonts w:ascii="微软雅黑" w:eastAsia="微软雅黑"/>
          <w:b/>
          <w:color w:val="000000"/>
          <w:spacing w:val="-2"/>
          <w:w w:val="95"/>
          <w:sz w:val="21"/>
          <w:shd w:fill="E4E4E4" w:color="auto" w:val="clear"/>
        </w:rPr>
        <w:t>证</w:t>
      </w:r>
      <w:r>
        <w:rPr>
          <w:rFonts w:ascii="微软雅黑" w:eastAsia="微软雅黑"/>
          <w:b/>
          <w:color w:val="000000"/>
          <w:spacing w:val="-2"/>
          <w:w w:val="95"/>
          <w:position w:val="11"/>
          <w:sz w:val="11"/>
        </w:rPr>
        <w:t>47</w:t>
      </w:r>
      <w:r>
        <w:rPr>
          <w:color w:val="000000"/>
          <w:spacing w:val="-2"/>
          <w:w w:val="95"/>
          <w:sz w:val="21"/>
          <w:shd w:fill="E4E4E4" w:color="auto" w:val="clear"/>
        </w:rPr>
        <w:t>的</w:t>
      </w:r>
      <w:r>
        <w:rPr>
          <w:color w:val="000000"/>
          <w:spacing w:val="14175"/>
          <w:w w:val="95"/>
          <w:sz w:val="21"/>
          <w:shd w:fill="E4E4E4" w:color="auto" w:val="clear"/>
        </w:rPr>
        <w:t> </w:t>
      </w:r>
      <w:r>
        <w:rPr>
          <w:rFonts w:ascii="微软雅黑" w:eastAsia="微软雅黑"/>
          <w:b/>
          <w:color w:val="000000"/>
          <w:spacing w:val="-2"/>
          <w:sz w:val="21"/>
          <w:shd w:fill="E4E4E4" w:color="auto" w:val="clear"/>
        </w:rPr>
        <w:t>机动车</w:t>
      </w:r>
      <w:r>
        <w:rPr>
          <w:rFonts w:ascii="微软雅黑" w:eastAsia="微软雅黑"/>
          <w:b/>
          <w:color w:val="000000"/>
          <w:spacing w:val="-2"/>
          <w:position w:val="11"/>
          <w:sz w:val="11"/>
        </w:rPr>
        <w:t>48</w:t>
      </w:r>
      <w:r>
        <w:rPr>
          <w:color w:val="000000"/>
          <w:spacing w:val="-2"/>
          <w:sz w:val="21"/>
          <w:shd w:fill="E4E4E4" w:color="auto" w:val="clear"/>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pPr>
      <w:r>
        <w:rPr/>
        <w:drawing>
          <wp:anchor distT="0" distB="0" distL="0" distR="0" allowOverlap="1" layoutInCell="1" locked="0" behindDoc="0" simplePos="0" relativeHeight="12">
            <wp:simplePos x="0" y="0"/>
            <wp:positionH relativeFrom="page">
              <wp:posOffset>685800</wp:posOffset>
            </wp:positionH>
            <wp:positionV relativeFrom="paragraph">
              <wp:posOffset>194067</wp:posOffset>
            </wp:positionV>
            <wp:extent cx="1829396" cy="6096"/>
            <wp:effectExtent l="0" t="0" r="0" b="0"/>
            <wp:wrapTopAndBottom/>
            <wp:docPr id="25" name="image5.png"/>
            <wp:cNvGraphicFramePr>
              <a:graphicFrameLocks noChangeAspect="1"/>
            </wp:cNvGraphicFramePr>
            <a:graphic>
              <a:graphicData uri="http://schemas.openxmlformats.org/drawingml/2006/picture">
                <pic:pic>
                  <pic:nvPicPr>
                    <pic:cNvPr id="26" name="image5.png"/>
                    <pic:cNvPicPr/>
                  </pic:nvPicPr>
                  <pic:blipFill>
                    <a:blip r:embed="rId10" cstate="print"/>
                    <a:stretch>
                      <a:fillRect/>
                    </a:stretch>
                  </pic:blipFill>
                  <pic:spPr>
                    <a:xfrm>
                      <a:off x="0" y="0"/>
                      <a:ext cx="1829396" cy="6096"/>
                    </a:xfrm>
                    <a:prstGeom prst="rect">
                      <a:avLst/>
                    </a:prstGeom>
                  </pic:spPr>
                </pic:pic>
              </a:graphicData>
            </a:graphic>
          </wp:anchor>
        </w:drawing>
      </w:r>
    </w:p>
    <w:p>
      <w:pPr>
        <w:spacing w:line="312" w:lineRule="exact" w:before="39"/>
        <w:ind w:left="220" w:right="0" w:firstLine="0"/>
        <w:jc w:val="left"/>
        <w:rPr>
          <w:sz w:val="18"/>
        </w:rPr>
      </w:pPr>
      <w:r>
        <w:rPr>
          <w:position w:val="9"/>
          <w:sz w:val="9"/>
        </w:rPr>
        <w:t>37</w:t>
      </w:r>
      <w:r>
        <w:rPr>
          <w:rFonts w:ascii="Microsoft JhengHei" w:eastAsia="Microsoft JhengHei"/>
          <w:b/>
          <w:sz w:val="18"/>
        </w:rPr>
        <w:t>遗传性疾病</w:t>
      </w:r>
      <w:r>
        <w:rPr>
          <w:sz w:val="18"/>
        </w:rPr>
        <w:t>：指生殖细胞或受精卵的遗传物质（染色体和基因）</w:t>
      </w:r>
      <w:r>
        <w:rPr>
          <w:spacing w:val="-1"/>
          <w:sz w:val="18"/>
        </w:rPr>
        <w:t>发生突变或畸变所引起的疾病，通常具有由亲代传至后代</w:t>
      </w:r>
    </w:p>
    <w:p>
      <w:pPr>
        <w:spacing w:line="183" w:lineRule="exact" w:before="0"/>
        <w:ind w:left="220" w:right="0" w:firstLine="0"/>
        <w:jc w:val="left"/>
        <w:rPr>
          <w:sz w:val="18"/>
        </w:rPr>
      </w:pPr>
      <w:r>
        <w:rPr>
          <w:spacing w:val="-2"/>
          <w:sz w:val="18"/>
        </w:rPr>
        <w:t>的垂直传递的特征。</w:t>
      </w:r>
    </w:p>
    <w:p>
      <w:pPr>
        <w:spacing w:line="284" w:lineRule="exact" w:before="0"/>
        <w:ind w:left="220" w:right="0" w:firstLine="0"/>
        <w:jc w:val="left"/>
        <w:rPr>
          <w:sz w:val="18"/>
        </w:rPr>
      </w:pPr>
      <w:r>
        <w:rPr>
          <w:position w:val="9"/>
          <w:sz w:val="9"/>
        </w:rPr>
        <w:t>38</w:t>
      </w:r>
      <w:r>
        <w:rPr>
          <w:rFonts w:ascii="Microsoft JhengHei" w:eastAsia="Microsoft JhengHei"/>
          <w:b/>
          <w:sz w:val="18"/>
        </w:rPr>
        <w:t>先天性畸形、变形或染色体异常</w:t>
      </w:r>
      <w:r>
        <w:rPr>
          <w:spacing w:val="-1"/>
          <w:sz w:val="18"/>
        </w:rPr>
        <w:t>：指被保险人出生时就具有的畸形、变形或染色体异常。先天性畸形、变形和染色体异常</w:t>
      </w:r>
    </w:p>
    <w:p>
      <w:pPr>
        <w:spacing w:line="184" w:lineRule="exact" w:before="0"/>
        <w:ind w:left="220" w:right="0" w:firstLine="0"/>
        <w:jc w:val="left"/>
        <w:rPr>
          <w:sz w:val="18"/>
        </w:rPr>
      </w:pPr>
      <w:r>
        <w:rPr>
          <w:spacing w:val="-4"/>
          <w:sz w:val="18"/>
        </w:rPr>
        <w:t>依照世界卫生组织《疾病和有关健康问题的国际统计分类》</w:t>
      </w:r>
      <w:r>
        <w:rPr>
          <w:sz w:val="18"/>
        </w:rPr>
        <w:t>（ICD-10）</w:t>
      </w:r>
      <w:r>
        <w:rPr>
          <w:spacing w:val="-4"/>
          <w:sz w:val="18"/>
        </w:rPr>
        <w:t>确定。</w:t>
      </w:r>
    </w:p>
    <w:p>
      <w:pPr>
        <w:spacing w:line="206" w:lineRule="auto" w:before="5"/>
        <w:ind w:left="220" w:right="747" w:firstLine="0"/>
        <w:jc w:val="left"/>
        <w:rPr>
          <w:sz w:val="18"/>
        </w:rPr>
      </w:pPr>
      <w:r>
        <w:rPr>
          <w:position w:val="9"/>
          <w:sz w:val="9"/>
        </w:rPr>
        <w:t>39</w:t>
      </w:r>
      <w:r>
        <w:rPr>
          <w:rFonts w:ascii="Microsoft JhengHei" w:eastAsia="Microsoft JhengHei"/>
          <w:b/>
          <w:sz w:val="18"/>
        </w:rPr>
        <w:t>感染艾滋病病毒或患艾滋病</w:t>
      </w:r>
      <w:r>
        <w:rPr>
          <w:rFonts w:ascii="Microsoft JhengHei" w:eastAsia="Microsoft JhengHei"/>
          <w:b/>
          <w:w w:val="170"/>
          <w:sz w:val="18"/>
        </w:rPr>
        <w:t>: </w:t>
      </w:r>
      <w:r>
        <w:rPr>
          <w:spacing w:val="-3"/>
          <w:sz w:val="18"/>
        </w:rPr>
        <w:t>艾滋病毒指人类免疫缺陷病毒，英文缩写为 </w:t>
      </w:r>
      <w:r>
        <w:rPr>
          <w:sz w:val="18"/>
        </w:rPr>
        <w:t>HIV。艾滋病指人类免疫缺陷病毒引起的获得性</w:t>
      </w:r>
      <w:r>
        <w:rPr>
          <w:spacing w:val="2"/>
          <w:sz w:val="18"/>
        </w:rPr>
        <w:t>人类免疫缺陷综合征，英文缩写为 </w:t>
      </w:r>
      <w:r>
        <w:rPr>
          <w:spacing w:val="-2"/>
          <w:sz w:val="18"/>
        </w:rPr>
        <w:t>AIDS</w:t>
      </w:r>
      <w:r>
        <w:rPr>
          <w:spacing w:val="-3"/>
          <w:sz w:val="18"/>
        </w:rPr>
        <w:t>。在人体血液或其他样本中检测到艾滋病毒或其抗体呈阳性，没有出现临床症状征</w:t>
      </w:r>
    </w:p>
    <w:p>
      <w:pPr>
        <w:spacing w:line="203" w:lineRule="exact" w:before="8"/>
        <w:ind w:left="220" w:right="0" w:firstLine="0"/>
        <w:jc w:val="left"/>
        <w:rPr>
          <w:sz w:val="18"/>
        </w:rPr>
      </w:pPr>
      <w:r>
        <w:rPr>
          <w:spacing w:val="-1"/>
          <w:sz w:val="18"/>
        </w:rPr>
        <w:t>的，为感染艾滋病病毒； 如果同时出现了明显临床症状或体征的，为患艾滋病。</w:t>
      </w:r>
    </w:p>
    <w:p>
      <w:pPr>
        <w:spacing w:line="254" w:lineRule="exact" w:before="0"/>
        <w:ind w:left="220" w:right="0" w:firstLine="0"/>
        <w:jc w:val="left"/>
        <w:rPr>
          <w:sz w:val="18"/>
        </w:rPr>
      </w:pPr>
      <w:r>
        <w:rPr>
          <w:position w:val="9"/>
          <w:sz w:val="9"/>
        </w:rPr>
        <w:t>40</w:t>
      </w:r>
      <w:r>
        <w:rPr>
          <w:rFonts w:ascii="Microsoft JhengHei" w:eastAsia="Microsoft JhengHei"/>
          <w:b/>
          <w:sz w:val="18"/>
        </w:rPr>
        <w:t>妊娠</w:t>
      </w:r>
      <w:r>
        <w:rPr>
          <w:spacing w:val="-1"/>
          <w:sz w:val="18"/>
        </w:rPr>
        <w:t>：指胚胎和胎儿在母体内发育成长的过程。</w:t>
      </w:r>
    </w:p>
    <w:p>
      <w:pPr>
        <w:spacing w:line="263" w:lineRule="exact" w:before="0"/>
        <w:ind w:left="220" w:right="0" w:firstLine="0"/>
        <w:jc w:val="left"/>
        <w:rPr>
          <w:sz w:val="18"/>
        </w:rPr>
      </w:pPr>
      <w:r>
        <w:rPr>
          <w:spacing w:val="-2"/>
          <w:position w:val="9"/>
          <w:sz w:val="9"/>
        </w:rPr>
        <w:t>41</w:t>
      </w:r>
      <w:r>
        <w:rPr>
          <w:rFonts w:ascii="Microsoft JhengHei" w:eastAsia="Microsoft JhengHei"/>
          <w:b/>
          <w:spacing w:val="-2"/>
          <w:sz w:val="18"/>
        </w:rPr>
        <w:t>传染病</w:t>
      </w:r>
      <w:r>
        <w:rPr>
          <w:spacing w:val="-2"/>
          <w:sz w:val="18"/>
        </w:rPr>
        <w:t>：指《中华人民共和国传染病防治法》规定的甲类和乙类法定传染病（不含病毒性肝炎）</w:t>
      </w:r>
      <w:r>
        <w:rPr>
          <w:spacing w:val="-3"/>
          <w:sz w:val="18"/>
        </w:rPr>
        <w:t>，或者国家有关法律、法</w:t>
      </w:r>
    </w:p>
    <w:p>
      <w:pPr>
        <w:spacing w:line="183" w:lineRule="exact" w:before="0"/>
        <w:ind w:left="220" w:right="0" w:firstLine="0"/>
        <w:jc w:val="left"/>
        <w:rPr>
          <w:sz w:val="18"/>
        </w:rPr>
      </w:pPr>
      <w:r>
        <w:rPr>
          <w:spacing w:val="-1"/>
          <w:sz w:val="18"/>
        </w:rPr>
        <w:t>规、规范性法律文件规定的法定传染病。</w:t>
      </w:r>
    </w:p>
    <w:p>
      <w:pPr>
        <w:spacing w:line="254" w:lineRule="exact" w:before="0"/>
        <w:ind w:left="220" w:right="0" w:firstLine="0"/>
        <w:jc w:val="left"/>
        <w:rPr>
          <w:sz w:val="18"/>
        </w:rPr>
      </w:pPr>
      <w:r>
        <w:rPr>
          <w:position w:val="9"/>
          <w:sz w:val="9"/>
        </w:rPr>
        <w:t>42</w:t>
      </w:r>
      <w:r>
        <w:rPr>
          <w:rFonts w:ascii="Microsoft JhengHei" w:eastAsia="Microsoft JhengHei"/>
          <w:b/>
          <w:sz w:val="18"/>
        </w:rPr>
        <w:t>药物不良反应</w:t>
      </w:r>
      <w:r>
        <w:rPr>
          <w:spacing w:val="-1"/>
          <w:sz w:val="18"/>
        </w:rPr>
        <w:t>：指药品使用过程中可能会出现的治疗效果以外的、对身体有伤害的副作用。</w:t>
      </w:r>
    </w:p>
    <w:p>
      <w:pPr>
        <w:spacing w:line="234" w:lineRule="exact" w:before="0"/>
        <w:ind w:left="220" w:right="0" w:firstLine="0"/>
        <w:jc w:val="left"/>
        <w:rPr>
          <w:sz w:val="18"/>
        </w:rPr>
      </w:pPr>
      <w:r>
        <w:rPr>
          <w:position w:val="9"/>
          <w:sz w:val="9"/>
        </w:rPr>
        <w:t>43</w:t>
      </w:r>
      <w:r>
        <w:rPr>
          <w:rFonts w:ascii="Microsoft JhengHei" w:eastAsia="Microsoft JhengHei"/>
          <w:b/>
          <w:sz w:val="18"/>
        </w:rPr>
        <w:t>试验性治疗</w:t>
      </w:r>
      <w:r>
        <w:rPr>
          <w:spacing w:val="-1"/>
          <w:sz w:val="18"/>
        </w:rPr>
        <w:t>：指不符合接受医疗所在地医学界认可实践的治疗方法、手段、设备、药品等。</w:t>
      </w:r>
    </w:p>
    <w:p>
      <w:pPr>
        <w:spacing w:line="263" w:lineRule="exact" w:before="0"/>
        <w:ind w:left="220" w:right="0" w:firstLine="0"/>
        <w:jc w:val="left"/>
        <w:rPr>
          <w:sz w:val="18"/>
        </w:rPr>
      </w:pPr>
      <w:r>
        <w:rPr>
          <w:position w:val="9"/>
          <w:sz w:val="9"/>
        </w:rPr>
        <w:t>44</w:t>
      </w:r>
      <w:r>
        <w:rPr>
          <w:rFonts w:ascii="Microsoft JhengHei" w:eastAsia="Microsoft JhengHei"/>
          <w:b/>
          <w:sz w:val="18"/>
        </w:rPr>
        <w:t>康复治疗</w:t>
      </w:r>
      <w:r>
        <w:rPr>
          <w:spacing w:val="-1"/>
          <w:sz w:val="18"/>
        </w:rPr>
        <w:t>：指在康复医院、康复科诊治或者接受以促进机体各项功能恢复为目的的医疗方法，如理疗、按摩、推拿、生物</w:t>
      </w:r>
    </w:p>
    <w:p>
      <w:pPr>
        <w:spacing w:line="183" w:lineRule="exact" w:before="0"/>
        <w:ind w:left="220" w:right="0" w:firstLine="0"/>
        <w:jc w:val="left"/>
        <w:rPr>
          <w:sz w:val="18"/>
        </w:rPr>
      </w:pPr>
      <w:r>
        <w:rPr>
          <w:spacing w:val="-1"/>
          <w:sz w:val="18"/>
        </w:rPr>
        <w:t>反馈疗法、康复营养、康复护理等。</w:t>
      </w:r>
    </w:p>
    <w:p>
      <w:pPr>
        <w:spacing w:line="284" w:lineRule="exact" w:before="0"/>
        <w:ind w:left="220" w:right="0" w:firstLine="0"/>
        <w:jc w:val="left"/>
        <w:rPr>
          <w:sz w:val="18"/>
        </w:rPr>
      </w:pPr>
      <w:r>
        <w:rPr>
          <w:position w:val="9"/>
          <w:sz w:val="9"/>
        </w:rPr>
        <w:t>45</w:t>
      </w:r>
      <w:r>
        <w:rPr>
          <w:rFonts w:ascii="Microsoft JhengHei" w:eastAsia="Microsoft JhengHei"/>
          <w:b/>
          <w:sz w:val="18"/>
        </w:rPr>
        <w:t>酒后驾驶</w:t>
      </w:r>
      <w:r>
        <w:rPr>
          <w:spacing w:val="-1"/>
          <w:sz w:val="18"/>
        </w:rPr>
        <w:t>：指经检测或鉴定，发生事故时车辆驾驶人员每百毫升血液中的酒精含量达到或超过一定的标准，公安机关交通</w:t>
      </w:r>
    </w:p>
    <w:p>
      <w:pPr>
        <w:spacing w:line="184" w:lineRule="exact" w:before="0"/>
        <w:ind w:left="220" w:right="0" w:firstLine="0"/>
        <w:jc w:val="left"/>
        <w:rPr>
          <w:sz w:val="18"/>
        </w:rPr>
      </w:pPr>
      <w:r>
        <w:rPr>
          <w:spacing w:val="-1"/>
          <w:sz w:val="18"/>
        </w:rPr>
        <w:t>管理部门依据《道路交通安全法》的规定认定为饮酒后驾驶或醉酒后驾驶。</w:t>
      </w:r>
    </w:p>
    <w:p>
      <w:pPr>
        <w:spacing w:line="283" w:lineRule="exact" w:before="0"/>
        <w:ind w:left="220" w:right="0" w:firstLine="0"/>
        <w:jc w:val="left"/>
        <w:rPr>
          <w:sz w:val="18"/>
        </w:rPr>
      </w:pPr>
      <w:r>
        <w:rPr>
          <w:spacing w:val="-4"/>
          <w:position w:val="9"/>
          <w:sz w:val="9"/>
        </w:rPr>
        <w:t>46</w:t>
      </w:r>
      <w:r>
        <w:rPr>
          <w:rFonts w:ascii="Microsoft JhengHei" w:eastAsia="Microsoft JhengHei"/>
          <w:b/>
          <w:spacing w:val="-4"/>
          <w:sz w:val="18"/>
        </w:rPr>
        <w:t>无合法有效驾驶证驾驶</w:t>
      </w:r>
      <w:r>
        <w:rPr>
          <w:spacing w:val="-4"/>
          <w:sz w:val="18"/>
        </w:rPr>
        <w:t>：指指下列任何驾驶情形：（1）没有取得驾驶资格；（2）</w:t>
      </w:r>
      <w:r>
        <w:rPr>
          <w:spacing w:val="-5"/>
          <w:sz w:val="18"/>
        </w:rPr>
        <w:t>驾驶与驾驶证准驾车型不相符合的车辆；</w:t>
      </w:r>
    </w:p>
    <w:p>
      <w:pPr>
        <w:pStyle w:val="ListParagraph"/>
        <w:numPr>
          <w:ilvl w:val="0"/>
          <w:numId w:val="11"/>
        </w:numPr>
        <w:tabs>
          <w:tab w:pos="673" w:val="left" w:leader="none"/>
        </w:tabs>
        <w:spacing w:line="211" w:lineRule="exact" w:before="0" w:after="0"/>
        <w:ind w:left="672" w:right="0" w:hanging="453"/>
        <w:jc w:val="left"/>
        <w:rPr>
          <w:sz w:val="18"/>
        </w:rPr>
      </w:pPr>
      <w:r>
        <w:rPr>
          <w:spacing w:val="-2"/>
          <w:sz w:val="18"/>
        </w:rPr>
        <w:t>持审验不合格的驾驶证驾驶；（4）</w:t>
      </w:r>
      <w:r>
        <w:rPr>
          <w:spacing w:val="-3"/>
          <w:sz w:val="18"/>
        </w:rPr>
        <w:t>在驾驶证有效期内未按照中华人民共和国法律、行政法规的规定，定期对机动车驾</w:t>
      </w:r>
    </w:p>
    <w:p>
      <w:pPr>
        <w:spacing w:line="242" w:lineRule="auto" w:before="5"/>
        <w:ind w:left="220" w:right="622" w:firstLine="0"/>
        <w:jc w:val="left"/>
        <w:rPr>
          <w:sz w:val="18"/>
        </w:rPr>
      </w:pPr>
      <w:r>
        <w:rPr>
          <w:spacing w:val="-4"/>
          <w:sz w:val="18"/>
        </w:rPr>
        <w:t>驶证实施审验的；（5）持学习驾驶证学习驾车时，无教练员随车指导，或不按指定时间、路线学习驾车；（6）驾驶证已过有</w:t>
      </w:r>
      <w:r>
        <w:rPr>
          <w:spacing w:val="-4"/>
          <w:sz w:val="18"/>
        </w:rPr>
        <w:t>效期的。</w:t>
      </w:r>
    </w:p>
    <w:p>
      <w:pPr>
        <w:spacing w:line="252" w:lineRule="exact" w:before="0"/>
        <w:ind w:left="217" w:right="0" w:firstLine="0"/>
        <w:jc w:val="left"/>
        <w:rPr>
          <w:sz w:val="18"/>
        </w:rPr>
      </w:pPr>
      <w:r>
        <w:rPr>
          <w:spacing w:val="-6"/>
          <w:position w:val="9"/>
          <w:sz w:val="9"/>
        </w:rPr>
        <w:t>47</w:t>
      </w:r>
      <w:r>
        <w:rPr>
          <w:rFonts w:ascii="Microsoft JhengHei" w:eastAsia="Microsoft JhengHei"/>
          <w:b/>
          <w:spacing w:val="-6"/>
          <w:sz w:val="18"/>
        </w:rPr>
        <w:t>无有效行驶证</w:t>
      </w:r>
      <w:r>
        <w:rPr>
          <w:spacing w:val="-6"/>
          <w:sz w:val="18"/>
        </w:rPr>
        <w:t>：指下列任何情形：（1）未取得行驶证；（2）机动车被依法注销登记的；（3）</w:t>
      </w:r>
      <w:r>
        <w:rPr>
          <w:spacing w:val="-7"/>
          <w:sz w:val="18"/>
        </w:rPr>
        <w:t>未依法按时进行或通过机动车</w:t>
      </w:r>
    </w:p>
    <w:p>
      <w:pPr>
        <w:spacing w:line="184" w:lineRule="exact" w:before="0"/>
        <w:ind w:left="220" w:right="0" w:firstLine="0"/>
        <w:jc w:val="left"/>
        <w:rPr>
          <w:sz w:val="18"/>
        </w:rPr>
      </w:pPr>
      <w:r>
        <w:rPr>
          <w:spacing w:val="-2"/>
          <w:sz w:val="18"/>
        </w:rPr>
        <w:t>安全技术检验。</w:t>
      </w:r>
    </w:p>
    <w:p>
      <w:pPr>
        <w:spacing w:line="304" w:lineRule="exact" w:before="0"/>
        <w:ind w:left="220" w:right="0" w:firstLine="0"/>
        <w:jc w:val="left"/>
        <w:rPr>
          <w:sz w:val="18"/>
        </w:rPr>
      </w:pPr>
      <w:r>
        <w:rPr>
          <w:position w:val="9"/>
          <w:sz w:val="9"/>
        </w:rPr>
        <w:t>48</w:t>
      </w:r>
      <w:r>
        <w:rPr>
          <w:rFonts w:ascii="Microsoft JhengHei" w:eastAsia="Microsoft JhengHei"/>
          <w:b/>
          <w:sz w:val="18"/>
        </w:rPr>
        <w:t>机动车</w:t>
      </w:r>
      <w:r>
        <w:rPr>
          <w:spacing w:val="-1"/>
          <w:sz w:val="18"/>
        </w:rPr>
        <w:t>：指以动力装置驱动或者牵引，上道路行驶的供人员乘用或者用于运送物品以及进行工程专项作业的轮式车辆。</w:t>
      </w:r>
    </w:p>
    <w:p>
      <w:pPr>
        <w:spacing w:after="0" w:line="304" w:lineRule="exact"/>
        <w:jc w:val="left"/>
        <w:rPr>
          <w:sz w:val="18"/>
        </w:rPr>
        <w:sectPr>
          <w:pgSz w:w="11910" w:h="16840"/>
          <w:pgMar w:header="0" w:footer="967" w:top="1380" w:bottom="1240" w:left="860" w:right="480"/>
        </w:sectPr>
      </w:pPr>
    </w:p>
    <w:p>
      <w:pPr>
        <w:pStyle w:val="ListParagraph"/>
        <w:numPr>
          <w:ilvl w:val="1"/>
          <w:numId w:val="11"/>
        </w:numPr>
        <w:tabs>
          <w:tab w:pos="3693" w:val="left" w:leader="none"/>
        </w:tabs>
        <w:spacing w:line="240" w:lineRule="auto" w:before="9" w:after="0"/>
        <w:ind w:left="3692" w:right="0" w:hanging="636"/>
        <w:jc w:val="left"/>
        <w:rPr>
          <w:sz w:val="21"/>
        </w:rPr>
      </w:pPr>
      <w:r>
        <w:rPr>
          <w:color w:val="000000"/>
          <w:w w:val="95"/>
          <w:sz w:val="21"/>
          <w:shd w:fill="E4E4E4" w:color="auto" w:val="clear"/>
        </w:rPr>
        <w:t>被保险人</w:t>
      </w:r>
      <w:r>
        <w:rPr>
          <w:rFonts w:ascii="微软雅黑" w:eastAsia="微软雅黑"/>
          <w:b/>
          <w:color w:val="000000"/>
          <w:w w:val="95"/>
          <w:sz w:val="21"/>
          <w:shd w:fill="E4E4E4" w:color="auto" w:val="clear"/>
        </w:rPr>
        <w:t>斗殴</w:t>
      </w:r>
      <w:r>
        <w:rPr>
          <w:rFonts w:ascii="微软雅黑" w:eastAsia="微软雅黑"/>
          <w:b/>
          <w:color w:val="000000"/>
          <w:w w:val="95"/>
          <w:position w:val="11"/>
          <w:sz w:val="11"/>
        </w:rPr>
        <w:t>49</w:t>
      </w:r>
      <w:r>
        <w:rPr>
          <w:rFonts w:ascii="微软雅黑" w:eastAsia="微软雅黑"/>
          <w:b/>
          <w:color w:val="000000"/>
          <w:w w:val="95"/>
          <w:sz w:val="21"/>
          <w:shd w:fill="E4E4E4" w:color="auto" w:val="clear"/>
        </w:rPr>
        <w:t>、</w:t>
      </w:r>
      <w:r>
        <w:rPr>
          <w:rFonts w:ascii="微软雅黑" w:eastAsia="微软雅黑"/>
          <w:b/>
          <w:color w:val="000000"/>
          <w:w w:val="95"/>
          <w:sz w:val="21"/>
          <w:shd w:fill="E4E4E4" w:color="auto" w:val="clear"/>
        </w:rPr>
        <w:t>醉</w:t>
      </w:r>
      <w:r>
        <w:rPr>
          <w:rFonts w:ascii="微软雅黑" w:eastAsia="微软雅黑"/>
          <w:b/>
          <w:color w:val="000000"/>
          <w:w w:val="95"/>
          <w:sz w:val="21"/>
          <w:shd w:fill="E4E4E4" w:color="auto" w:val="clear"/>
        </w:rPr>
        <w:t>酒</w:t>
      </w:r>
      <w:r>
        <w:rPr>
          <w:rFonts w:ascii="微软雅黑" w:eastAsia="微软雅黑"/>
          <w:b/>
          <w:color w:val="000000"/>
          <w:w w:val="95"/>
          <w:position w:val="11"/>
          <w:sz w:val="11"/>
        </w:rPr>
        <w:t>50</w:t>
      </w:r>
      <w:r>
        <w:rPr>
          <w:rFonts w:ascii="微软雅黑" w:eastAsia="微软雅黑"/>
          <w:b/>
          <w:color w:val="000000"/>
          <w:w w:val="95"/>
          <w:sz w:val="21"/>
          <w:shd w:fill="E4E4E4" w:color="auto" w:val="clear"/>
        </w:rPr>
        <w:t>，</w:t>
      </w:r>
      <w:r>
        <w:rPr>
          <w:color w:val="000000"/>
          <w:w w:val="95"/>
          <w:sz w:val="21"/>
          <w:shd w:fill="E4E4E4" w:color="auto" w:val="clear"/>
        </w:rPr>
        <w:t>服用、吸食或注射</w:t>
      </w:r>
      <w:r>
        <w:rPr>
          <w:rFonts w:ascii="微软雅黑" w:eastAsia="微软雅黑"/>
          <w:b/>
          <w:color w:val="000000"/>
          <w:w w:val="95"/>
          <w:sz w:val="21"/>
          <w:shd w:fill="E4E4E4" w:color="auto" w:val="clear"/>
        </w:rPr>
        <w:t>毒</w:t>
      </w:r>
      <w:r>
        <w:rPr>
          <w:rFonts w:ascii="微软雅黑" w:eastAsia="微软雅黑"/>
          <w:b/>
          <w:color w:val="000000"/>
          <w:w w:val="95"/>
          <w:sz w:val="21"/>
          <w:shd w:fill="E4E4E4" w:color="auto" w:val="clear"/>
        </w:rPr>
        <w:t>品</w:t>
      </w:r>
      <w:r>
        <w:rPr>
          <w:rFonts w:ascii="Times New Roman" w:eastAsia="Times New Roman"/>
          <w:b/>
          <w:color w:val="000000"/>
          <w:spacing w:val="-5"/>
          <w:w w:val="95"/>
          <w:sz w:val="21"/>
          <w:shd w:fill="E4E4E4" w:color="auto" w:val="clear"/>
          <w:vertAlign w:val="superscript"/>
        </w:rPr>
        <w:t>51</w:t>
      </w:r>
      <w:r>
        <w:rPr>
          <w:color w:val="000000"/>
          <w:spacing w:val="-5"/>
          <w:w w:val="95"/>
          <w:sz w:val="21"/>
          <w:shd w:fill="E4E4E4" w:color="auto" w:val="clear"/>
          <w:vertAlign w:val="baseline"/>
        </w:rPr>
        <w:t>；</w:t>
      </w:r>
    </w:p>
    <w:p>
      <w:pPr>
        <w:pStyle w:val="ListParagraph"/>
        <w:numPr>
          <w:ilvl w:val="1"/>
          <w:numId w:val="11"/>
        </w:numPr>
        <w:tabs>
          <w:tab w:pos="3693" w:val="left" w:leader="none"/>
        </w:tabs>
        <w:spacing w:line="228" w:lineRule="auto" w:before="119" w:after="0"/>
        <w:ind w:left="3057" w:right="100" w:firstLine="0"/>
        <w:jc w:val="both"/>
        <w:rPr>
          <w:sz w:val="21"/>
        </w:rPr>
      </w:pPr>
      <w:r>
        <w:rPr>
          <w:color w:val="000000"/>
          <w:spacing w:val="-2"/>
          <w:sz w:val="21"/>
          <w:shd w:fill="E4E4E4" w:color="auto" w:val="clear"/>
        </w:rPr>
        <w:t>被保险人从事</w:t>
      </w:r>
      <w:r>
        <w:rPr>
          <w:rFonts w:ascii="微软雅黑" w:eastAsia="微软雅黑"/>
          <w:b/>
          <w:color w:val="000000"/>
          <w:spacing w:val="-2"/>
          <w:sz w:val="21"/>
          <w:shd w:fill="E4E4E4" w:color="auto" w:val="clear"/>
        </w:rPr>
        <w:t>潜水</w:t>
      </w:r>
      <w:r>
        <w:rPr>
          <w:rFonts w:ascii="微软雅黑" w:eastAsia="微软雅黑"/>
          <w:b/>
          <w:color w:val="000000"/>
          <w:spacing w:val="-2"/>
          <w:position w:val="11"/>
          <w:sz w:val="11"/>
        </w:rPr>
        <w:t>52</w:t>
      </w:r>
      <w:r>
        <w:rPr>
          <w:color w:val="000000"/>
          <w:spacing w:val="-2"/>
          <w:sz w:val="21"/>
          <w:shd w:fill="E4E4E4" w:color="auto" w:val="clear"/>
        </w:rPr>
        <w:t>、跳伞、</w:t>
      </w:r>
      <w:r>
        <w:rPr>
          <w:rFonts w:ascii="微软雅黑" w:eastAsia="微软雅黑"/>
          <w:b/>
          <w:color w:val="000000"/>
          <w:spacing w:val="-2"/>
          <w:sz w:val="21"/>
          <w:shd w:fill="E4E4E4" w:color="auto" w:val="clear"/>
        </w:rPr>
        <w:t>攀岩</w:t>
      </w:r>
      <w:r>
        <w:rPr>
          <w:rFonts w:ascii="微软雅黑" w:eastAsia="微软雅黑"/>
          <w:b/>
          <w:color w:val="000000"/>
          <w:spacing w:val="-2"/>
          <w:position w:val="11"/>
          <w:sz w:val="11"/>
        </w:rPr>
        <w:t>53</w:t>
      </w:r>
      <w:r>
        <w:rPr>
          <w:color w:val="000000"/>
          <w:spacing w:val="-2"/>
          <w:sz w:val="21"/>
          <w:shd w:fill="E4E4E4" w:color="auto" w:val="clear"/>
        </w:rPr>
        <w:t>、蹦极、驾驶滑翔机/滑翔伞、</w:t>
      </w:r>
      <w:r>
        <w:rPr>
          <w:rFonts w:ascii="微软雅黑" w:eastAsia="微软雅黑"/>
          <w:b/>
          <w:color w:val="000000"/>
          <w:spacing w:val="-2"/>
          <w:sz w:val="21"/>
          <w:shd w:fill="E4E4E4" w:color="auto" w:val="clear"/>
        </w:rPr>
        <w:t>探险</w:t>
      </w:r>
      <w:r>
        <w:rPr>
          <w:rFonts w:ascii="微软雅黑" w:eastAsia="微软雅黑"/>
          <w:b/>
          <w:color w:val="000000"/>
          <w:spacing w:val="-2"/>
          <w:position w:val="11"/>
          <w:sz w:val="11"/>
        </w:rPr>
        <w:t>54</w:t>
      </w:r>
      <w:r>
        <w:rPr>
          <w:color w:val="000000"/>
          <w:spacing w:val="-2"/>
          <w:sz w:val="21"/>
          <w:shd w:fill="E4E4E4" w:color="auto" w:val="clear"/>
        </w:rPr>
        <w:t>、</w:t>
      </w:r>
      <w:r>
        <w:rPr>
          <w:color w:val="000000"/>
          <w:spacing w:val="14385"/>
          <w:sz w:val="21"/>
          <w:shd w:fill="E4E4E4" w:color="auto" w:val="clear"/>
        </w:rPr>
        <w:t> </w:t>
      </w:r>
      <w:r>
        <w:rPr>
          <w:color w:val="000000"/>
          <w:spacing w:val="-6"/>
          <w:sz w:val="21"/>
          <w:shd w:fill="E4E4E4" w:color="auto" w:val="clear"/>
        </w:rPr>
        <w:t>摔跤、</w:t>
      </w:r>
      <w:r>
        <w:rPr>
          <w:rFonts w:ascii="微软雅黑" w:eastAsia="微软雅黑"/>
          <w:b/>
          <w:color w:val="000000"/>
          <w:spacing w:val="-6"/>
          <w:sz w:val="21"/>
          <w:shd w:fill="E4E4E4" w:color="auto" w:val="clear"/>
        </w:rPr>
        <w:t>武术比赛</w:t>
      </w:r>
      <w:r>
        <w:rPr>
          <w:rFonts w:ascii="微软雅黑" w:eastAsia="微软雅黑"/>
          <w:b/>
          <w:color w:val="000000"/>
          <w:spacing w:val="-6"/>
          <w:position w:val="11"/>
          <w:sz w:val="11"/>
        </w:rPr>
        <w:t>55</w:t>
      </w:r>
      <w:r>
        <w:rPr>
          <w:color w:val="000000"/>
          <w:spacing w:val="-6"/>
          <w:sz w:val="21"/>
          <w:shd w:fill="E4E4E4" w:color="auto" w:val="clear"/>
        </w:rPr>
        <w:t>、</w:t>
      </w:r>
      <w:r>
        <w:rPr>
          <w:rFonts w:ascii="微软雅黑" w:eastAsia="微软雅黑"/>
          <w:b/>
          <w:color w:val="000000"/>
          <w:spacing w:val="-6"/>
          <w:sz w:val="21"/>
          <w:shd w:fill="E4E4E4" w:color="auto" w:val="clear"/>
        </w:rPr>
        <w:t>特技表演</w:t>
      </w:r>
      <w:r>
        <w:rPr>
          <w:rFonts w:ascii="微软雅黑" w:eastAsia="微软雅黑"/>
          <w:b/>
          <w:color w:val="000000"/>
          <w:spacing w:val="-6"/>
          <w:position w:val="11"/>
          <w:sz w:val="11"/>
        </w:rPr>
        <w:t>56</w:t>
      </w:r>
      <w:r>
        <w:rPr>
          <w:color w:val="000000"/>
          <w:spacing w:val="-6"/>
          <w:sz w:val="21"/>
          <w:shd w:fill="E4E4E4" w:color="auto" w:val="clear"/>
        </w:rPr>
        <w:t>、赛马、赛车等高风险运动；被保险人参与任何水、</w:t>
      </w:r>
      <w:r>
        <w:rPr>
          <w:color w:val="000000"/>
          <w:spacing w:val="-2"/>
          <w:sz w:val="21"/>
          <w:shd w:fill="E4E4E4" w:color="auto" w:val="clear"/>
        </w:rPr>
        <w:t>陆、空交通工具的竞赛，或作为职业运动员参与任何体育竞赛；</w:t>
      </w:r>
    </w:p>
    <w:p>
      <w:pPr>
        <w:pStyle w:val="BodyText"/>
        <w:spacing w:before="5"/>
        <w:rPr>
          <w:sz w:val="10"/>
        </w:rPr>
      </w:pPr>
    </w:p>
    <w:p>
      <w:pPr>
        <w:pStyle w:val="ListParagraph"/>
        <w:numPr>
          <w:ilvl w:val="1"/>
          <w:numId w:val="11"/>
        </w:numPr>
        <w:tabs>
          <w:tab w:pos="3690" w:val="left" w:leader="none"/>
        </w:tabs>
        <w:spacing w:line="249" w:lineRule="auto" w:before="28" w:after="0"/>
        <w:ind w:left="3057" w:right="207" w:firstLine="0"/>
        <w:jc w:val="left"/>
        <w:rPr>
          <w:sz w:val="21"/>
        </w:rPr>
      </w:pPr>
      <w:r>
        <w:rPr>
          <w:rFonts w:ascii="微软雅黑" w:eastAsia="微软雅黑"/>
          <w:b/>
          <w:color w:val="000000"/>
          <w:w w:val="100"/>
          <w:sz w:val="21"/>
          <w:shd w:fill="E4E4E4" w:color="auto" w:val="clear"/>
        </w:rPr>
        <w:t>战争</w:t>
      </w:r>
      <w:r>
        <w:rPr>
          <w:rFonts w:ascii="微软雅黑" w:eastAsia="微软雅黑"/>
          <w:b/>
          <w:color w:val="000000"/>
          <w:spacing w:val="2"/>
          <w:w w:val="81"/>
          <w:position w:val="11"/>
          <w:sz w:val="11"/>
        </w:rPr>
        <w:t>57</w:t>
      </w:r>
      <w:r>
        <w:rPr>
          <w:color w:val="000000"/>
          <w:spacing w:val="-17"/>
          <w:w w:val="100"/>
          <w:sz w:val="21"/>
          <w:shd w:fill="E4E4E4" w:color="auto" w:val="clear"/>
        </w:rPr>
        <w:t>、</w:t>
      </w:r>
      <w:r>
        <w:rPr>
          <w:rFonts w:ascii="微软雅黑" w:eastAsia="微软雅黑"/>
          <w:b/>
          <w:color w:val="000000"/>
          <w:spacing w:val="-1"/>
          <w:w w:val="100"/>
          <w:sz w:val="21"/>
          <w:shd w:fill="E4E4E4" w:color="auto" w:val="clear"/>
        </w:rPr>
        <w:t>军事冲突</w:t>
      </w:r>
      <w:r>
        <w:rPr>
          <w:rFonts w:ascii="微软雅黑" w:eastAsia="微软雅黑"/>
          <w:b/>
          <w:color w:val="000000"/>
          <w:spacing w:val="2"/>
          <w:w w:val="81"/>
          <w:position w:val="11"/>
          <w:sz w:val="11"/>
        </w:rPr>
        <w:t>58</w:t>
      </w:r>
      <w:r>
        <w:rPr>
          <w:color w:val="000000"/>
          <w:spacing w:val="-15"/>
          <w:w w:val="100"/>
          <w:sz w:val="21"/>
          <w:shd w:fill="E4E4E4" w:color="auto" w:val="clear"/>
        </w:rPr>
        <w:t>、</w:t>
      </w:r>
      <w:r>
        <w:rPr>
          <w:rFonts w:ascii="微软雅黑" w:eastAsia="微软雅黑"/>
          <w:b/>
          <w:color w:val="000000"/>
          <w:spacing w:val="-1"/>
          <w:w w:val="100"/>
          <w:sz w:val="21"/>
          <w:shd w:fill="E4E4E4" w:color="auto" w:val="clear"/>
        </w:rPr>
        <w:t>恐怖主义活动</w:t>
      </w:r>
      <w:r>
        <w:rPr>
          <w:rFonts w:ascii="微软雅黑" w:eastAsia="微软雅黑"/>
          <w:b/>
          <w:color w:val="000000"/>
          <w:spacing w:val="2"/>
          <w:w w:val="81"/>
          <w:position w:val="11"/>
          <w:sz w:val="11"/>
        </w:rPr>
        <w:t>59</w:t>
      </w:r>
      <w:r>
        <w:rPr>
          <w:color w:val="000000"/>
          <w:spacing w:val="-17"/>
          <w:w w:val="100"/>
          <w:sz w:val="21"/>
          <w:shd w:fill="E4E4E4" w:color="auto" w:val="clear"/>
        </w:rPr>
        <w:t>、</w:t>
      </w:r>
      <w:r>
        <w:rPr>
          <w:rFonts w:ascii="微软雅黑" w:eastAsia="微软雅黑"/>
          <w:b/>
          <w:color w:val="000000"/>
          <w:spacing w:val="-2"/>
          <w:w w:val="100"/>
          <w:sz w:val="21"/>
          <w:shd w:fill="E4E4E4" w:color="auto" w:val="clear"/>
        </w:rPr>
        <w:t>暴乱</w:t>
      </w:r>
      <w:r>
        <w:rPr>
          <w:rFonts w:ascii="微软雅黑" w:eastAsia="微软雅黑"/>
          <w:b/>
          <w:color w:val="000000"/>
          <w:spacing w:val="2"/>
          <w:w w:val="81"/>
          <w:position w:val="11"/>
          <w:sz w:val="11"/>
        </w:rPr>
        <w:t>60</w:t>
      </w:r>
      <w:r>
        <w:rPr>
          <w:color w:val="000000"/>
          <w:spacing w:val="-8"/>
          <w:w w:val="100"/>
          <w:sz w:val="21"/>
          <w:shd w:fill="E4E4E4" w:color="auto" w:val="clear"/>
        </w:rPr>
        <w:t>或武装叛乱；核爆炸、核辐射</w:t>
      </w:r>
      <w:r>
        <w:rPr>
          <w:color w:val="000000"/>
          <w:spacing w:val="-5"/>
          <w:w w:val="100"/>
          <w:sz w:val="21"/>
          <w:shd w:fill="E4E4E4" w:color="auto" w:val="clear"/>
        </w:rPr>
        <w:t>或核污染。</w:t>
      </w:r>
    </w:p>
    <w:p>
      <w:pPr>
        <w:pStyle w:val="BodyText"/>
        <w:spacing w:before="5"/>
        <w:rPr>
          <w:sz w:val="24"/>
        </w:rPr>
      </w:pPr>
    </w:p>
    <w:p>
      <w:pPr>
        <w:pStyle w:val="ListParagraph"/>
        <w:numPr>
          <w:ilvl w:val="2"/>
          <w:numId w:val="3"/>
        </w:numPr>
        <w:tabs>
          <w:tab w:pos="1289" w:val="left" w:leader="none"/>
        </w:tabs>
        <w:spacing w:line="336" w:lineRule="exact" w:before="0" w:after="0"/>
        <w:ind w:left="3057" w:right="206" w:hanging="2730"/>
        <w:jc w:val="both"/>
        <w:rPr>
          <w:sz w:val="21"/>
        </w:rPr>
      </w:pPr>
      <w:r>
        <w:rPr>
          <w:rFonts w:ascii="微软雅黑" w:hAnsi="微软雅黑" w:eastAsia="微软雅黑"/>
          <w:b/>
          <w:spacing w:val="57"/>
          <w:sz w:val="21"/>
        </w:rPr>
        <w:t>其他免责条款 </w:t>
      </w:r>
      <w:r>
        <w:rPr>
          <w:color w:val="000000"/>
          <w:spacing w:val="-42"/>
          <w:sz w:val="21"/>
          <w:shd w:fill="E4E4E4" w:color="auto" w:val="clear"/>
        </w:rPr>
        <w:t>除“</w:t>
      </w:r>
      <w:r>
        <w:rPr>
          <w:color w:val="000000"/>
          <w:sz w:val="21"/>
          <w:shd w:fill="E4E4E4" w:color="auto" w:val="clear"/>
        </w:rPr>
        <w:t>2.4.1</w:t>
      </w:r>
      <w:r>
        <w:rPr>
          <w:color w:val="000000"/>
          <w:spacing w:val="-18"/>
          <w:sz w:val="21"/>
          <w:shd w:fill="E4E4E4" w:color="auto" w:val="clear"/>
        </w:rPr>
        <w:t> 一般责任免除”外，本合同还有一些免除本公司责任的条款，详见“</w:t>
      </w:r>
      <w:r>
        <w:rPr>
          <w:color w:val="000000"/>
          <w:sz w:val="21"/>
          <w:shd w:fill="E4E4E4" w:color="auto" w:val="clear"/>
        </w:rPr>
        <w:t>2.3</w:t>
      </w:r>
      <w:r>
        <w:rPr>
          <w:color w:val="000000"/>
          <w:spacing w:val="14175"/>
          <w:sz w:val="21"/>
          <w:shd w:fill="E4E4E4" w:color="auto" w:val="clear"/>
        </w:rPr>
        <w:t> </w:t>
      </w:r>
      <w:r>
        <w:rPr>
          <w:color w:val="000000"/>
          <w:spacing w:val="-32"/>
          <w:sz w:val="21"/>
          <w:shd w:fill="E4E4E4" w:color="auto" w:val="clear"/>
        </w:rPr>
        <w:t>保险责任”、“</w:t>
      </w:r>
      <w:r>
        <w:rPr>
          <w:color w:val="000000"/>
          <w:sz w:val="21"/>
          <w:shd w:fill="E4E4E4" w:color="auto" w:val="clear"/>
        </w:rPr>
        <w:t>3.2</w:t>
      </w:r>
      <w:r>
        <w:rPr>
          <w:color w:val="000000"/>
          <w:spacing w:val="-26"/>
          <w:sz w:val="21"/>
          <w:shd w:fill="E4E4E4" w:color="auto" w:val="clear"/>
        </w:rPr>
        <w:t> 保险事故通知”、“</w:t>
      </w:r>
      <w:r>
        <w:rPr>
          <w:color w:val="000000"/>
          <w:sz w:val="21"/>
          <w:shd w:fill="E4E4E4" w:color="auto" w:val="clear"/>
        </w:rPr>
        <w:t>3.3</w:t>
      </w:r>
      <w:r>
        <w:rPr>
          <w:color w:val="000000"/>
          <w:spacing w:val="-28"/>
          <w:sz w:val="21"/>
          <w:shd w:fill="E4E4E4" w:color="auto" w:val="clear"/>
        </w:rPr>
        <w:t> 保险金申请”、“</w:t>
      </w:r>
      <w:r>
        <w:rPr>
          <w:color w:val="000000"/>
          <w:sz w:val="21"/>
          <w:shd w:fill="E4E4E4" w:color="auto" w:val="clear"/>
        </w:rPr>
        <w:t>6.1</w:t>
      </w:r>
      <w:r>
        <w:rPr>
          <w:color w:val="000000"/>
          <w:spacing w:val="-5"/>
          <w:sz w:val="21"/>
          <w:shd w:fill="E4E4E4" w:color="auto" w:val="clear"/>
        </w:rPr>
        <w:t> 明确说明与如实告</w:t>
      </w:r>
      <w:r>
        <w:rPr>
          <w:color w:val="000000"/>
          <w:spacing w:val="-55"/>
          <w:sz w:val="21"/>
          <w:shd w:fill="E4E4E4" w:color="auto" w:val="clear"/>
        </w:rPr>
        <w:t>知”、“</w:t>
      </w:r>
      <w:r>
        <w:rPr>
          <w:color w:val="000000"/>
          <w:spacing w:val="-2"/>
          <w:sz w:val="21"/>
          <w:shd w:fill="E4E4E4" w:color="auto" w:val="clear"/>
        </w:rPr>
        <w:t>6.3</w:t>
      </w:r>
      <w:r>
        <w:rPr>
          <w:color w:val="000000"/>
          <w:spacing w:val="-19"/>
          <w:sz w:val="21"/>
          <w:shd w:fill="E4E4E4" w:color="auto" w:val="clear"/>
        </w:rPr>
        <w:t> 年龄错误”、“附表：重大疾病定义”中背景突出显示的内容； “</w:t>
      </w:r>
      <w:r>
        <w:rPr>
          <w:color w:val="000000"/>
          <w:spacing w:val="-4"/>
          <w:sz w:val="21"/>
          <w:shd w:fill="E4E4E4" w:color="auto" w:val="clear"/>
        </w:rPr>
        <w:t>2.3</w:t>
      </w:r>
    </w:p>
    <w:p>
      <w:pPr>
        <w:pStyle w:val="BodyText"/>
        <w:spacing w:before="62"/>
        <w:ind w:left="3057"/>
      </w:pPr>
      <w:r>
        <w:rPr>
          <w:color w:val="000000"/>
          <w:spacing w:val="-3"/>
          <w:shd w:fill="E4E4E4" w:color="auto" w:val="clear"/>
        </w:rPr>
        <w:t>保险责任”中脚注背景突出显示的内容。</w:t>
      </w:r>
    </w:p>
    <w:p>
      <w:pPr>
        <w:pStyle w:val="BodyText"/>
        <w:spacing w:before="5"/>
      </w:pPr>
    </w:p>
    <w:p>
      <w:pPr>
        <w:pStyle w:val="Heading2"/>
        <w:numPr>
          <w:ilvl w:val="0"/>
          <w:numId w:val="3"/>
        </w:numPr>
        <w:tabs>
          <w:tab w:pos="1288" w:val="left" w:leader="none"/>
          <w:tab w:pos="1289" w:val="left" w:leader="none"/>
        </w:tabs>
        <w:spacing w:line="240" w:lineRule="auto" w:before="1" w:after="0"/>
        <w:ind w:left="1288" w:right="0" w:hanging="961"/>
        <w:jc w:val="left"/>
        <w:rPr>
          <w:sz w:val="40"/>
        </w:rPr>
      </w:pPr>
      <w:r>
        <w:rPr>
          <w:spacing w:val="-2"/>
        </w:rPr>
        <w:t>保险金申领</w:t>
      </w:r>
    </w:p>
    <w:p>
      <w:pPr>
        <w:pStyle w:val="BodyText"/>
        <w:spacing w:before="14"/>
        <w:rPr>
          <w:rFonts w:ascii="微软雅黑"/>
          <w:b/>
          <w:sz w:val="4"/>
        </w:rPr>
      </w:pPr>
      <w:r>
        <w:rPr/>
        <w:drawing>
          <wp:anchor distT="0" distB="0" distL="0" distR="0" allowOverlap="1" layoutInCell="1" locked="0" behindDoc="0" simplePos="0" relativeHeight="13">
            <wp:simplePos x="0" y="0"/>
            <wp:positionH relativeFrom="page">
              <wp:posOffset>685800</wp:posOffset>
            </wp:positionH>
            <wp:positionV relativeFrom="paragraph">
              <wp:posOffset>71244</wp:posOffset>
            </wp:positionV>
            <wp:extent cx="6502594" cy="12192"/>
            <wp:effectExtent l="0" t="0" r="0" b="0"/>
            <wp:wrapTopAndBottom/>
            <wp:docPr id="27" name="image3.png"/>
            <wp:cNvGraphicFramePr>
              <a:graphicFrameLocks noChangeAspect="1"/>
            </wp:cNvGraphicFramePr>
            <a:graphic>
              <a:graphicData uri="http://schemas.openxmlformats.org/drawingml/2006/picture">
                <pic:pic>
                  <pic:nvPicPr>
                    <pic:cNvPr id="28" name="image3.png"/>
                    <pic:cNvPicPr/>
                  </pic:nvPicPr>
                  <pic:blipFill>
                    <a:blip r:embed="rId8" cstate="print"/>
                    <a:stretch>
                      <a:fillRect/>
                    </a:stretch>
                  </pic:blipFill>
                  <pic:spPr>
                    <a:xfrm>
                      <a:off x="0" y="0"/>
                      <a:ext cx="6502594" cy="12192"/>
                    </a:xfrm>
                    <a:prstGeom prst="rect">
                      <a:avLst/>
                    </a:prstGeom>
                  </pic:spPr>
                </pic:pic>
              </a:graphicData>
            </a:graphic>
          </wp:anchor>
        </w:drawing>
      </w:r>
    </w:p>
    <w:p>
      <w:pPr>
        <w:pStyle w:val="ListParagraph"/>
        <w:numPr>
          <w:ilvl w:val="1"/>
          <w:numId w:val="3"/>
        </w:numPr>
        <w:tabs>
          <w:tab w:pos="1289" w:val="left" w:leader="none"/>
          <w:tab w:pos="3057" w:val="left" w:leader="none"/>
        </w:tabs>
        <w:spacing w:line="252" w:lineRule="auto" w:before="123" w:after="0"/>
        <w:ind w:left="3057" w:right="207" w:hanging="2730"/>
        <w:jc w:val="both"/>
        <w:rPr>
          <w:sz w:val="21"/>
        </w:rPr>
      </w:pPr>
      <w:r>
        <w:rPr>
          <w:rFonts w:ascii="微软雅黑" w:eastAsia="微软雅黑"/>
          <w:b/>
          <w:spacing w:val="-4"/>
          <w:sz w:val="21"/>
        </w:rPr>
        <w:t>受</w:t>
      </w:r>
      <w:r>
        <w:rPr>
          <w:rFonts w:ascii="微软雅黑" w:eastAsia="微软雅黑"/>
          <w:b/>
          <w:spacing w:val="-4"/>
          <w:sz w:val="21"/>
        </w:rPr>
        <w:t>益</w:t>
      </w:r>
      <w:r>
        <w:rPr>
          <w:rFonts w:ascii="微软雅黑" w:eastAsia="微软雅黑"/>
          <w:b/>
          <w:spacing w:val="-4"/>
          <w:sz w:val="21"/>
        </w:rPr>
        <w:t>人</w:t>
      </w:r>
      <w:r>
        <w:rPr>
          <w:rFonts w:ascii="微软雅黑" w:eastAsia="微软雅黑"/>
          <w:b/>
          <w:sz w:val="21"/>
        </w:rPr>
        <w:tab/>
      </w:r>
      <w:r>
        <w:rPr>
          <w:spacing w:val="-2"/>
          <w:sz w:val="21"/>
        </w:rPr>
        <w:t>除</w:t>
      </w:r>
      <w:r>
        <w:rPr>
          <w:spacing w:val="-2"/>
          <w:sz w:val="21"/>
        </w:rPr>
        <w:t>另</w:t>
      </w:r>
      <w:r>
        <w:rPr>
          <w:spacing w:val="-2"/>
          <w:sz w:val="21"/>
        </w:rPr>
        <w:t>有约定外，一般医疗</w:t>
      </w:r>
      <w:r>
        <w:rPr>
          <w:spacing w:val="-2"/>
          <w:sz w:val="21"/>
        </w:rPr>
        <w:t>保</w:t>
      </w:r>
      <w:r>
        <w:rPr>
          <w:spacing w:val="-2"/>
          <w:sz w:val="21"/>
        </w:rPr>
        <w:t>险</w:t>
      </w:r>
      <w:r>
        <w:rPr>
          <w:spacing w:val="-2"/>
          <w:sz w:val="21"/>
        </w:rPr>
        <w:t>金、重大疾病医疗保</w:t>
      </w:r>
      <w:r>
        <w:rPr>
          <w:spacing w:val="-2"/>
          <w:sz w:val="21"/>
        </w:rPr>
        <w:t>险</w:t>
      </w:r>
      <w:r>
        <w:rPr>
          <w:spacing w:val="-2"/>
          <w:sz w:val="21"/>
        </w:rPr>
        <w:t>金</w:t>
      </w:r>
      <w:r>
        <w:rPr>
          <w:spacing w:val="-2"/>
          <w:sz w:val="21"/>
        </w:rPr>
        <w:t>、牙科医疗保险金的</w:t>
      </w:r>
      <w:r>
        <w:rPr>
          <w:spacing w:val="-2"/>
          <w:sz w:val="21"/>
        </w:rPr>
        <w:t>受</w:t>
      </w:r>
      <w:r>
        <w:rPr>
          <w:spacing w:val="-2"/>
          <w:sz w:val="21"/>
        </w:rPr>
        <w:t>益</w:t>
      </w:r>
      <w:r>
        <w:rPr>
          <w:spacing w:val="-2"/>
          <w:sz w:val="21"/>
        </w:rPr>
        <w:t>人</w:t>
      </w:r>
      <w:r>
        <w:rPr>
          <w:spacing w:val="-2"/>
          <w:sz w:val="21"/>
        </w:rPr>
        <w:t>为</w:t>
      </w:r>
      <w:r>
        <w:rPr>
          <w:spacing w:val="-2"/>
          <w:sz w:val="21"/>
        </w:rPr>
        <w:t>被保险人本</w:t>
      </w:r>
      <w:r>
        <w:rPr>
          <w:spacing w:val="-2"/>
          <w:sz w:val="21"/>
        </w:rPr>
        <w:t>人</w:t>
      </w:r>
      <w:r>
        <w:rPr>
          <w:spacing w:val="-2"/>
          <w:sz w:val="21"/>
        </w:rPr>
        <w:t>。</w:t>
      </w:r>
    </w:p>
    <w:p>
      <w:pPr>
        <w:pStyle w:val="BodyText"/>
        <w:spacing w:before="11"/>
        <w:rPr>
          <w:sz w:val="22"/>
        </w:rPr>
      </w:pPr>
    </w:p>
    <w:p>
      <w:pPr>
        <w:pStyle w:val="ListParagraph"/>
        <w:numPr>
          <w:ilvl w:val="1"/>
          <w:numId w:val="3"/>
        </w:numPr>
        <w:tabs>
          <w:tab w:pos="1288" w:val="left" w:leader="none"/>
          <w:tab w:pos="1289" w:val="left" w:leader="none"/>
          <w:tab w:pos="3057" w:val="left" w:leader="none"/>
        </w:tabs>
        <w:spacing w:line="240" w:lineRule="auto" w:before="5" w:after="0"/>
        <w:ind w:left="1288" w:right="0" w:hanging="961"/>
        <w:jc w:val="left"/>
        <w:rPr>
          <w:sz w:val="21"/>
        </w:rPr>
      </w:pPr>
      <w:r>
        <w:rPr>
          <w:rFonts w:ascii="微软雅黑" w:eastAsia="微软雅黑"/>
          <w:b/>
          <w:sz w:val="21"/>
        </w:rPr>
        <w:t>保险事故通</w:t>
      </w:r>
      <w:r>
        <w:rPr>
          <w:rFonts w:ascii="微软雅黑" w:eastAsia="微软雅黑"/>
          <w:b/>
          <w:spacing w:val="-10"/>
          <w:sz w:val="21"/>
        </w:rPr>
        <w:t>知</w:t>
      </w:r>
      <w:r>
        <w:rPr>
          <w:rFonts w:ascii="微软雅黑" w:eastAsia="微软雅黑"/>
          <w:b/>
          <w:sz w:val="21"/>
        </w:rPr>
        <w:tab/>
      </w:r>
      <w:r>
        <w:rPr>
          <w:spacing w:val="-2"/>
          <w:sz w:val="21"/>
        </w:rPr>
        <w:t>投</w:t>
      </w:r>
      <w:r>
        <w:rPr>
          <w:spacing w:val="-2"/>
          <w:sz w:val="21"/>
        </w:rPr>
        <w:t>保</w:t>
      </w:r>
      <w:r>
        <w:rPr>
          <w:spacing w:val="-2"/>
          <w:sz w:val="21"/>
        </w:rPr>
        <w:t>人、被保险人或受益</w:t>
      </w:r>
      <w:r>
        <w:rPr>
          <w:spacing w:val="-2"/>
          <w:sz w:val="21"/>
        </w:rPr>
        <w:t>人</w:t>
      </w:r>
      <w:r>
        <w:rPr>
          <w:spacing w:val="-2"/>
          <w:sz w:val="21"/>
        </w:rPr>
        <w:t>应</w:t>
      </w:r>
      <w:r>
        <w:rPr>
          <w:spacing w:val="-2"/>
          <w:sz w:val="21"/>
        </w:rPr>
        <w:t>当在知道保险事故发</w:t>
      </w:r>
      <w:r>
        <w:rPr>
          <w:spacing w:val="-2"/>
          <w:sz w:val="21"/>
        </w:rPr>
        <w:t>生</w:t>
      </w:r>
      <w:r>
        <w:rPr>
          <w:spacing w:val="-2"/>
          <w:sz w:val="21"/>
        </w:rPr>
        <w:t>后</w:t>
      </w:r>
      <w:r>
        <w:rPr>
          <w:spacing w:val="-42"/>
          <w:sz w:val="21"/>
        </w:rPr>
        <w:t> </w:t>
      </w:r>
      <w:r>
        <w:rPr>
          <w:spacing w:val="-2"/>
          <w:sz w:val="21"/>
        </w:rPr>
        <w:t>10</w:t>
      </w:r>
      <w:r>
        <w:rPr>
          <w:spacing w:val="-41"/>
          <w:sz w:val="21"/>
        </w:rPr>
        <w:t> </w:t>
      </w:r>
      <w:r>
        <w:rPr>
          <w:spacing w:val="-2"/>
          <w:sz w:val="21"/>
        </w:rPr>
        <w:t>日内通知本公司</w:t>
      </w:r>
      <w:r>
        <w:rPr>
          <w:spacing w:val="-10"/>
          <w:sz w:val="21"/>
        </w:rPr>
        <w:t>。</w:t>
      </w:r>
    </w:p>
    <w:p>
      <w:pPr>
        <w:pStyle w:val="BodyText"/>
        <w:spacing w:before="11"/>
        <w:rPr>
          <w:sz w:val="7"/>
        </w:rPr>
      </w:pPr>
    </w:p>
    <w:p>
      <w:pPr>
        <w:pStyle w:val="BodyText"/>
        <w:spacing w:line="300" w:lineRule="auto" w:before="71"/>
        <w:ind w:left="3057" w:right="207"/>
        <w:jc w:val="both"/>
      </w:pPr>
      <w:r>
        <w:rPr>
          <w:color w:val="000000"/>
          <w:spacing w:val="-2"/>
          <w:shd w:fill="D9D9D9" w:color="auto" w:val="clear"/>
        </w:rPr>
        <w:t>若投保人、被保险人或受益人故意或因重大过失未及时通知，致使保险事故的性</w:t>
      </w:r>
      <w:r>
        <w:rPr>
          <w:color w:val="000000"/>
          <w:spacing w:val="40"/>
          <w:shd w:fill="D9D9D9" w:color="auto" w:val="clear"/>
        </w:rPr>
        <w:t> </w:t>
      </w:r>
      <w:r>
        <w:rPr>
          <w:color w:val="000000"/>
          <w:spacing w:val="-2"/>
          <w:shd w:fill="D9D9D9" w:color="auto" w:val="clear"/>
        </w:rPr>
        <w:t>质、原因、损失程度等难以确定的，本公司对无法确定的部分，不承担给付保险</w:t>
      </w:r>
      <w:r>
        <w:rPr>
          <w:color w:val="000000"/>
          <w:spacing w:val="-2"/>
          <w:shd w:fill="D9D9D9" w:color="auto" w:val="clear"/>
        </w:rPr>
        <w:t>金的责任</w:t>
      </w:r>
      <w:r>
        <w:rPr>
          <w:color w:val="000000"/>
          <w:spacing w:val="-10"/>
        </w:rPr>
        <w:t>，但本公司通过其他途径已经及时知道或应当及时知道保险事故发生或</w:t>
      </w:r>
      <w:r>
        <w:rPr>
          <w:color w:val="000000"/>
          <w:spacing w:val="-2"/>
        </w:rPr>
        <w:t>虽未及时通知但不影响本公司确定保险事故的性质、原因、损失程度的除外。</w:t>
      </w:r>
    </w:p>
    <w:p>
      <w:pPr>
        <w:pStyle w:val="BodyText"/>
        <w:spacing w:before="3"/>
        <w:rPr>
          <w:sz w:val="19"/>
        </w:rPr>
      </w:pPr>
    </w:p>
    <w:p>
      <w:pPr>
        <w:pStyle w:val="ListParagraph"/>
        <w:numPr>
          <w:ilvl w:val="1"/>
          <w:numId w:val="3"/>
        </w:numPr>
        <w:tabs>
          <w:tab w:pos="1288" w:val="left" w:leader="none"/>
          <w:tab w:pos="1289" w:val="left" w:leader="none"/>
          <w:tab w:pos="3057" w:val="left" w:leader="none"/>
        </w:tabs>
        <w:spacing w:line="252" w:lineRule="auto" w:before="0" w:after="0"/>
        <w:ind w:left="3057" w:right="207" w:hanging="2730"/>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申</w:t>
      </w:r>
      <w:r>
        <w:rPr>
          <w:rFonts w:ascii="微软雅黑" w:eastAsia="微软雅黑"/>
          <w:b/>
          <w:spacing w:val="-2"/>
          <w:sz w:val="21"/>
        </w:rPr>
        <w:t>请</w:t>
      </w:r>
      <w:r>
        <w:rPr>
          <w:rFonts w:ascii="微软雅黑" w:eastAsia="微软雅黑"/>
          <w:b/>
          <w:sz w:val="21"/>
        </w:rPr>
        <w:tab/>
      </w:r>
      <w:r>
        <w:rPr>
          <w:spacing w:val="-2"/>
          <w:sz w:val="21"/>
        </w:rPr>
        <w:t>受</w:t>
      </w:r>
      <w:r>
        <w:rPr>
          <w:spacing w:val="-2"/>
          <w:sz w:val="21"/>
        </w:rPr>
        <w:t>益</w:t>
      </w:r>
      <w:r>
        <w:rPr>
          <w:spacing w:val="-2"/>
          <w:sz w:val="21"/>
        </w:rPr>
        <w:t>人向本公司申请给付</w:t>
      </w:r>
      <w:r>
        <w:rPr>
          <w:spacing w:val="-2"/>
          <w:sz w:val="21"/>
        </w:rPr>
        <w:t>保</w:t>
      </w:r>
      <w:r>
        <w:rPr>
          <w:spacing w:val="-2"/>
          <w:sz w:val="21"/>
        </w:rPr>
        <w:t>险</w:t>
      </w:r>
      <w:r>
        <w:rPr>
          <w:spacing w:val="-2"/>
          <w:sz w:val="21"/>
        </w:rPr>
        <w:t>金时，应当填写保险</w:t>
      </w:r>
      <w:r>
        <w:rPr>
          <w:spacing w:val="-2"/>
          <w:sz w:val="21"/>
        </w:rPr>
        <w:t>金</w:t>
      </w:r>
      <w:r>
        <w:rPr>
          <w:spacing w:val="-2"/>
          <w:sz w:val="21"/>
        </w:rPr>
        <w:t>给</w:t>
      </w:r>
      <w:r>
        <w:rPr>
          <w:spacing w:val="-2"/>
          <w:sz w:val="21"/>
        </w:rPr>
        <w:t>付申请书，并以书面</w:t>
      </w:r>
      <w:r>
        <w:rPr>
          <w:spacing w:val="-2"/>
          <w:sz w:val="21"/>
        </w:rPr>
        <w:t>形</w:t>
      </w:r>
      <w:r>
        <w:rPr>
          <w:spacing w:val="-2"/>
          <w:sz w:val="21"/>
        </w:rPr>
        <w:t>式</w:t>
      </w:r>
      <w:r>
        <w:rPr>
          <w:spacing w:val="-2"/>
          <w:sz w:val="21"/>
        </w:rPr>
        <w:t>提</w:t>
      </w:r>
      <w:r>
        <w:rPr>
          <w:spacing w:val="-2"/>
          <w:sz w:val="21"/>
        </w:rPr>
        <w:t>交</w:t>
      </w:r>
      <w:r>
        <w:rPr>
          <w:spacing w:val="-2"/>
          <w:sz w:val="21"/>
        </w:rPr>
        <w:t>下列证明和资料。</w:t>
      </w:r>
      <w:r>
        <w:rPr>
          <w:color w:val="000000"/>
          <w:spacing w:val="-2"/>
          <w:sz w:val="21"/>
          <w:shd w:fill="E4E4E4" w:color="auto" w:val="clear"/>
        </w:rPr>
        <w:t>受</w:t>
      </w:r>
      <w:r>
        <w:rPr>
          <w:color w:val="000000"/>
          <w:spacing w:val="-2"/>
          <w:sz w:val="21"/>
          <w:shd w:fill="E4E4E4" w:color="auto" w:val="clear"/>
        </w:rPr>
        <w:t>益</w:t>
      </w:r>
      <w:r>
        <w:rPr>
          <w:color w:val="000000"/>
          <w:spacing w:val="-2"/>
          <w:sz w:val="21"/>
          <w:shd w:fill="E4E4E4" w:color="auto" w:val="clear"/>
        </w:rPr>
        <w:t>人</w:t>
      </w:r>
      <w:r>
        <w:rPr>
          <w:color w:val="000000"/>
          <w:spacing w:val="-2"/>
          <w:sz w:val="21"/>
          <w:shd w:fill="E4E4E4" w:color="auto" w:val="clear"/>
        </w:rPr>
        <w:t>未能提供有关证明和</w:t>
      </w:r>
      <w:r>
        <w:rPr>
          <w:color w:val="000000"/>
          <w:spacing w:val="-2"/>
          <w:sz w:val="21"/>
          <w:shd w:fill="E4E4E4" w:color="auto" w:val="clear"/>
        </w:rPr>
        <w:t>资</w:t>
      </w:r>
      <w:r>
        <w:rPr>
          <w:color w:val="000000"/>
          <w:spacing w:val="-2"/>
          <w:sz w:val="21"/>
          <w:shd w:fill="E4E4E4" w:color="auto" w:val="clear"/>
        </w:rPr>
        <w:t>料</w:t>
      </w:r>
      <w:r>
        <w:rPr>
          <w:color w:val="000000"/>
          <w:spacing w:val="-2"/>
          <w:sz w:val="21"/>
          <w:shd w:fill="E4E4E4" w:color="auto" w:val="clear"/>
        </w:rPr>
        <w:t>，导致本公司无法核</w:t>
      </w:r>
      <w:r>
        <w:rPr>
          <w:color w:val="000000"/>
          <w:spacing w:val="-2"/>
          <w:sz w:val="21"/>
          <w:shd w:fill="E4E4E4" w:color="auto" w:val="clear"/>
        </w:rPr>
        <w:t>实</w:t>
      </w:r>
      <w:r>
        <w:rPr>
          <w:color w:val="000000"/>
          <w:spacing w:val="-2"/>
          <w:sz w:val="21"/>
          <w:shd w:fill="E4E4E4" w:color="auto" w:val="clear"/>
        </w:rPr>
        <w:t>事</w:t>
      </w:r>
    </w:p>
    <w:p>
      <w:pPr>
        <w:pStyle w:val="BodyText"/>
        <w:spacing w:before="6"/>
        <w:rPr>
          <w:sz w:val="26"/>
        </w:rPr>
      </w:pPr>
      <w:r>
        <w:rPr/>
        <w:drawing>
          <wp:anchor distT="0" distB="0" distL="0" distR="0" allowOverlap="1" layoutInCell="1" locked="0" behindDoc="0" simplePos="0" relativeHeight="14">
            <wp:simplePos x="0" y="0"/>
            <wp:positionH relativeFrom="page">
              <wp:posOffset>685800</wp:posOffset>
            </wp:positionH>
            <wp:positionV relativeFrom="paragraph">
              <wp:posOffset>231072</wp:posOffset>
            </wp:positionV>
            <wp:extent cx="1829511" cy="6096"/>
            <wp:effectExtent l="0" t="0" r="0" b="0"/>
            <wp:wrapTopAndBottom/>
            <wp:docPr id="29" name="image6.png"/>
            <wp:cNvGraphicFramePr>
              <a:graphicFrameLocks noChangeAspect="1"/>
            </wp:cNvGraphicFramePr>
            <a:graphic>
              <a:graphicData uri="http://schemas.openxmlformats.org/drawingml/2006/picture">
                <pic:pic>
                  <pic:nvPicPr>
                    <pic:cNvPr id="30" name="image6.png"/>
                    <pic:cNvPicPr/>
                  </pic:nvPicPr>
                  <pic:blipFill>
                    <a:blip r:embed="rId11" cstate="print"/>
                    <a:stretch>
                      <a:fillRect/>
                    </a:stretch>
                  </pic:blipFill>
                  <pic:spPr>
                    <a:xfrm>
                      <a:off x="0" y="0"/>
                      <a:ext cx="1829511" cy="6096"/>
                    </a:xfrm>
                    <a:prstGeom prst="rect">
                      <a:avLst/>
                    </a:prstGeom>
                  </pic:spPr>
                </pic:pic>
              </a:graphicData>
            </a:graphic>
          </wp:anchor>
        </w:drawing>
      </w:r>
    </w:p>
    <w:p>
      <w:pPr>
        <w:spacing w:line="312" w:lineRule="exact" w:before="39"/>
        <w:ind w:left="220" w:right="0" w:firstLine="0"/>
        <w:jc w:val="left"/>
        <w:rPr>
          <w:sz w:val="18"/>
        </w:rPr>
      </w:pPr>
      <w:r>
        <w:rPr>
          <w:position w:val="9"/>
          <w:sz w:val="9"/>
        </w:rPr>
        <w:t>49</w:t>
      </w:r>
      <w:r>
        <w:rPr>
          <w:rFonts w:ascii="Microsoft JhengHei" w:eastAsia="Microsoft JhengHei"/>
          <w:b/>
          <w:sz w:val="18"/>
        </w:rPr>
        <w:t>斗殴</w:t>
      </w:r>
      <w:r>
        <w:rPr>
          <w:spacing w:val="-1"/>
          <w:sz w:val="18"/>
        </w:rPr>
        <w:t>：指双方或多方通过拳脚、器械等武力以求制胜的行为。斗殴的认定，如有司法机关、公安部门的有关法律文件，则</w:t>
      </w:r>
    </w:p>
    <w:p>
      <w:pPr>
        <w:spacing w:line="183" w:lineRule="exact" w:before="0"/>
        <w:ind w:left="220" w:right="0" w:firstLine="0"/>
        <w:jc w:val="left"/>
        <w:rPr>
          <w:sz w:val="18"/>
        </w:rPr>
      </w:pPr>
      <w:r>
        <w:rPr>
          <w:spacing w:val="-1"/>
          <w:sz w:val="18"/>
        </w:rPr>
        <w:t>以上述法律文件为准。</w:t>
      </w:r>
    </w:p>
    <w:p>
      <w:pPr>
        <w:spacing w:line="284" w:lineRule="exact" w:before="0"/>
        <w:ind w:left="220" w:right="0" w:firstLine="0"/>
        <w:jc w:val="left"/>
        <w:rPr>
          <w:sz w:val="18"/>
        </w:rPr>
      </w:pPr>
      <w:r>
        <w:rPr>
          <w:position w:val="9"/>
          <w:sz w:val="9"/>
        </w:rPr>
        <w:t>50</w:t>
      </w:r>
      <w:r>
        <w:rPr>
          <w:rFonts w:ascii="Microsoft JhengHei" w:eastAsia="Microsoft JhengHei"/>
          <w:b/>
          <w:sz w:val="18"/>
        </w:rPr>
        <w:t>醉酒</w:t>
      </w:r>
      <w:r>
        <w:rPr>
          <w:spacing w:val="-1"/>
          <w:sz w:val="18"/>
        </w:rPr>
        <w:t>：指因饮酒而表现出动作不协调、意识紊乱、舌重口吃或其他不能清醒地控制自己行为的状态。醉酒的认定，如有司</w:t>
      </w:r>
    </w:p>
    <w:p>
      <w:pPr>
        <w:spacing w:line="184" w:lineRule="exact" w:before="0"/>
        <w:ind w:left="220" w:right="0" w:firstLine="0"/>
        <w:jc w:val="left"/>
        <w:rPr>
          <w:sz w:val="18"/>
        </w:rPr>
      </w:pPr>
      <w:r>
        <w:rPr>
          <w:spacing w:val="-1"/>
          <w:sz w:val="18"/>
        </w:rPr>
        <w:t>法机关、公安部门的有关法律文件、医院的诊断书等，则以上述法律文件、诊断书等为准。</w:t>
      </w:r>
    </w:p>
    <w:p>
      <w:pPr>
        <w:spacing w:line="283" w:lineRule="exact" w:before="0"/>
        <w:ind w:left="220" w:right="0" w:firstLine="0"/>
        <w:jc w:val="left"/>
        <w:rPr>
          <w:sz w:val="18"/>
        </w:rPr>
      </w:pPr>
      <w:r>
        <w:rPr>
          <w:position w:val="9"/>
          <w:sz w:val="9"/>
        </w:rPr>
        <w:t>51</w:t>
      </w:r>
      <w:r>
        <w:rPr>
          <w:rFonts w:ascii="Microsoft JhengHei" w:eastAsia="Microsoft JhengHei"/>
          <w:b/>
          <w:sz w:val="18"/>
        </w:rPr>
        <w:t>毒品</w:t>
      </w:r>
      <w:r>
        <w:rPr>
          <w:sz w:val="18"/>
        </w:rPr>
        <w:t>：指中华人民共和国刑法规定的鸦片、海洛因、甲基苯丙胺（冰毒</w:t>
      </w:r>
      <w:r>
        <w:rPr>
          <w:spacing w:val="-92"/>
          <w:sz w:val="18"/>
        </w:rPr>
        <w:t>）</w:t>
      </w:r>
      <w:r>
        <w:rPr>
          <w:spacing w:val="-1"/>
          <w:sz w:val="18"/>
        </w:rPr>
        <w:t>、吗啡、大麻、可卡因以及国家规定管制的其他能</w:t>
      </w:r>
    </w:p>
    <w:p>
      <w:pPr>
        <w:spacing w:line="183" w:lineRule="exact" w:before="0"/>
        <w:ind w:left="220" w:right="0" w:firstLine="0"/>
        <w:jc w:val="left"/>
        <w:rPr>
          <w:sz w:val="18"/>
        </w:rPr>
      </w:pPr>
      <w:r>
        <w:rPr>
          <w:spacing w:val="-1"/>
          <w:sz w:val="18"/>
        </w:rPr>
        <w:t>够使人形成瘾癖的麻醉药品和精神药品，但不包括由医生开具并遵医嘱使用的用于治疗疾病但含有毒品成分的处方药品。</w:t>
      </w:r>
    </w:p>
    <w:p>
      <w:pPr>
        <w:spacing w:line="254" w:lineRule="exact" w:before="0"/>
        <w:ind w:left="220" w:right="0" w:firstLine="0"/>
        <w:jc w:val="left"/>
        <w:rPr>
          <w:sz w:val="18"/>
        </w:rPr>
      </w:pPr>
      <w:r>
        <w:rPr>
          <w:position w:val="9"/>
          <w:sz w:val="9"/>
        </w:rPr>
        <w:t>52</w:t>
      </w:r>
      <w:r>
        <w:rPr>
          <w:rFonts w:ascii="Microsoft JhengHei" w:eastAsia="Microsoft JhengHei"/>
          <w:b/>
          <w:sz w:val="18"/>
        </w:rPr>
        <w:t>潜水</w:t>
      </w:r>
      <w:r>
        <w:rPr>
          <w:spacing w:val="-1"/>
          <w:sz w:val="18"/>
        </w:rPr>
        <w:t>：指使用辅助呼吸器材在江、河、湖、海、水库、运河等水域进行的水下运动。</w:t>
      </w:r>
    </w:p>
    <w:p>
      <w:pPr>
        <w:spacing w:line="234" w:lineRule="exact" w:before="0"/>
        <w:ind w:left="220" w:right="0" w:firstLine="0"/>
        <w:jc w:val="left"/>
        <w:rPr>
          <w:sz w:val="18"/>
        </w:rPr>
      </w:pPr>
      <w:r>
        <w:rPr>
          <w:position w:val="9"/>
          <w:sz w:val="9"/>
        </w:rPr>
        <w:t>53</w:t>
      </w:r>
      <w:r>
        <w:rPr>
          <w:rFonts w:ascii="Microsoft JhengHei" w:eastAsia="Microsoft JhengHei"/>
          <w:b/>
          <w:sz w:val="18"/>
        </w:rPr>
        <w:t>攀岩</w:t>
      </w:r>
      <w:r>
        <w:rPr>
          <w:spacing w:val="-1"/>
          <w:sz w:val="18"/>
        </w:rPr>
        <w:t>：指攀登悬崖、楼宇外墙、人造悬崖、冰崖、冰山等运动。</w:t>
      </w:r>
    </w:p>
    <w:p>
      <w:pPr>
        <w:spacing w:line="263" w:lineRule="exact" w:before="0"/>
        <w:ind w:left="220" w:right="0" w:firstLine="0"/>
        <w:jc w:val="left"/>
        <w:rPr>
          <w:sz w:val="18"/>
        </w:rPr>
      </w:pPr>
      <w:r>
        <w:rPr>
          <w:position w:val="9"/>
          <w:sz w:val="9"/>
        </w:rPr>
        <w:t>54</w:t>
      </w:r>
      <w:r>
        <w:rPr>
          <w:rFonts w:ascii="Microsoft JhengHei" w:eastAsia="Microsoft JhengHei"/>
          <w:b/>
          <w:sz w:val="18"/>
        </w:rPr>
        <w:t>探险</w:t>
      </w:r>
      <w:r>
        <w:rPr>
          <w:spacing w:val="-1"/>
          <w:sz w:val="18"/>
        </w:rPr>
        <w:t>：指明知在某种特定的自然条件下有失去生命或使身体受到伤害的危险，而故意使自己置身于其中的行为，如：江河</w:t>
      </w:r>
    </w:p>
    <w:p>
      <w:pPr>
        <w:spacing w:line="183" w:lineRule="exact" w:before="0"/>
        <w:ind w:left="220" w:right="0" w:firstLine="0"/>
        <w:jc w:val="left"/>
        <w:rPr>
          <w:sz w:val="18"/>
        </w:rPr>
      </w:pPr>
      <w:r>
        <w:rPr>
          <w:spacing w:val="-1"/>
          <w:sz w:val="18"/>
        </w:rPr>
        <w:t>漂流、登山、徒步穿越沙漠或人迹罕至的原始森林等活动。</w:t>
      </w:r>
    </w:p>
    <w:p>
      <w:pPr>
        <w:spacing w:line="254" w:lineRule="exact" w:before="0"/>
        <w:ind w:left="220" w:right="0" w:firstLine="0"/>
        <w:jc w:val="left"/>
        <w:rPr>
          <w:sz w:val="18"/>
        </w:rPr>
      </w:pPr>
      <w:r>
        <w:rPr>
          <w:position w:val="9"/>
          <w:sz w:val="9"/>
        </w:rPr>
        <w:t>55</w:t>
      </w:r>
      <w:r>
        <w:rPr>
          <w:rFonts w:ascii="Microsoft JhengHei" w:eastAsia="Microsoft JhengHei"/>
          <w:b/>
          <w:sz w:val="18"/>
        </w:rPr>
        <w:t>武术比赛</w:t>
      </w:r>
      <w:r>
        <w:rPr>
          <w:spacing w:val="-1"/>
          <w:sz w:val="18"/>
        </w:rPr>
        <w:t>：指两人或两人以上对抗性柔道、空手道、跆拳道、散打、拳击等各种拳术及使用器械的对抗性比赛。</w:t>
      </w:r>
    </w:p>
    <w:p>
      <w:pPr>
        <w:spacing w:line="234" w:lineRule="exact" w:before="0"/>
        <w:ind w:left="220" w:right="0" w:firstLine="0"/>
        <w:jc w:val="left"/>
        <w:rPr>
          <w:sz w:val="18"/>
        </w:rPr>
      </w:pPr>
      <w:r>
        <w:rPr>
          <w:position w:val="9"/>
          <w:sz w:val="9"/>
        </w:rPr>
        <w:t>56</w:t>
      </w:r>
      <w:r>
        <w:rPr>
          <w:rFonts w:ascii="Microsoft JhengHei" w:eastAsia="Microsoft JhengHei"/>
          <w:b/>
          <w:sz w:val="18"/>
        </w:rPr>
        <w:t>特技表演</w:t>
      </w:r>
      <w:r>
        <w:rPr>
          <w:spacing w:val="-1"/>
          <w:sz w:val="18"/>
        </w:rPr>
        <w:t>：指进行马术、杂技、驯兽等表演。</w:t>
      </w:r>
    </w:p>
    <w:p>
      <w:pPr>
        <w:spacing w:line="263" w:lineRule="exact" w:before="0"/>
        <w:ind w:left="220" w:right="0" w:firstLine="0"/>
        <w:jc w:val="left"/>
        <w:rPr>
          <w:sz w:val="18"/>
        </w:rPr>
      </w:pPr>
      <w:r>
        <w:rPr>
          <w:position w:val="9"/>
          <w:sz w:val="9"/>
        </w:rPr>
        <w:t>57</w:t>
      </w:r>
      <w:r>
        <w:rPr>
          <w:rFonts w:ascii="Microsoft JhengHei" w:eastAsia="Microsoft JhengHei"/>
          <w:b/>
          <w:sz w:val="18"/>
        </w:rPr>
        <w:t>战争</w:t>
      </w:r>
      <w:r>
        <w:rPr>
          <w:spacing w:val="-1"/>
          <w:sz w:val="18"/>
        </w:rPr>
        <w:t>：指国家与国家、民族与民族、政治集团与政治集团之间为了一定的政治、经济目的而进行的武装斗争，以政府宣布</w:t>
      </w:r>
    </w:p>
    <w:p>
      <w:pPr>
        <w:spacing w:line="184" w:lineRule="exact" w:before="0"/>
        <w:ind w:left="220" w:right="0" w:firstLine="0"/>
        <w:jc w:val="left"/>
        <w:rPr>
          <w:sz w:val="18"/>
        </w:rPr>
      </w:pPr>
      <w:r>
        <w:rPr>
          <w:spacing w:val="-4"/>
          <w:sz w:val="18"/>
        </w:rPr>
        <w:t>为准。</w:t>
      </w:r>
    </w:p>
    <w:p>
      <w:pPr>
        <w:spacing w:line="254" w:lineRule="exact" w:before="0"/>
        <w:ind w:left="220" w:right="0" w:firstLine="0"/>
        <w:jc w:val="left"/>
        <w:rPr>
          <w:sz w:val="18"/>
        </w:rPr>
      </w:pPr>
      <w:r>
        <w:rPr>
          <w:position w:val="9"/>
          <w:sz w:val="9"/>
        </w:rPr>
        <w:t>58</w:t>
      </w:r>
      <w:r>
        <w:rPr>
          <w:rFonts w:ascii="Microsoft JhengHei" w:eastAsia="Microsoft JhengHei"/>
          <w:b/>
          <w:sz w:val="18"/>
        </w:rPr>
        <w:t>军事冲突</w:t>
      </w:r>
      <w:r>
        <w:rPr>
          <w:spacing w:val="-1"/>
          <w:sz w:val="18"/>
        </w:rPr>
        <w:t>：指国家或民族之间在一定范围内的武装对抗，以政府宣布为准。</w:t>
      </w:r>
    </w:p>
    <w:p>
      <w:pPr>
        <w:spacing w:line="262" w:lineRule="exact" w:before="0"/>
        <w:ind w:left="220" w:right="0" w:firstLine="0"/>
        <w:jc w:val="left"/>
        <w:rPr>
          <w:sz w:val="18"/>
        </w:rPr>
      </w:pPr>
      <w:r>
        <w:rPr>
          <w:position w:val="9"/>
          <w:sz w:val="9"/>
        </w:rPr>
        <w:t>59</w:t>
      </w:r>
      <w:r>
        <w:rPr>
          <w:rFonts w:ascii="Microsoft JhengHei" w:eastAsia="Microsoft JhengHei"/>
          <w:b/>
          <w:sz w:val="18"/>
        </w:rPr>
        <w:t>恐怖主义活动</w:t>
      </w:r>
      <w:r>
        <w:rPr>
          <w:spacing w:val="-1"/>
          <w:sz w:val="18"/>
        </w:rPr>
        <w:t>：指以制造社会恐慌、危害公共安全或胁迫国家机关、国际组织为目的，采取暴力、破坏、恐吓等手段，造</w:t>
      </w:r>
    </w:p>
    <w:p>
      <w:pPr>
        <w:spacing w:line="211" w:lineRule="exact" w:before="0"/>
        <w:ind w:left="220" w:right="0" w:firstLine="0"/>
        <w:jc w:val="left"/>
        <w:rPr>
          <w:sz w:val="18"/>
        </w:rPr>
      </w:pPr>
      <w:r>
        <w:rPr>
          <w:spacing w:val="-1"/>
          <w:sz w:val="18"/>
        </w:rPr>
        <w:t>成或意图造成人员伤亡、重大财产损失、公共设施损坏、社会秩序混乱等严重社会危害的行为，以及煽动、资助或以其他方</w:t>
      </w:r>
    </w:p>
    <w:p>
      <w:pPr>
        <w:spacing w:line="203" w:lineRule="exact" w:before="2"/>
        <w:ind w:left="220" w:right="0" w:firstLine="0"/>
        <w:jc w:val="left"/>
        <w:rPr>
          <w:sz w:val="18"/>
        </w:rPr>
      </w:pPr>
      <w:r>
        <w:rPr>
          <w:spacing w:val="-1"/>
          <w:sz w:val="18"/>
        </w:rPr>
        <w:t>式协助实施上述活动的行为。</w:t>
      </w:r>
    </w:p>
    <w:p>
      <w:pPr>
        <w:spacing w:line="304" w:lineRule="exact" w:before="0"/>
        <w:ind w:left="220" w:right="0" w:firstLine="0"/>
        <w:jc w:val="left"/>
        <w:rPr>
          <w:sz w:val="18"/>
        </w:rPr>
      </w:pPr>
      <w:r>
        <w:rPr>
          <w:position w:val="9"/>
          <w:sz w:val="9"/>
        </w:rPr>
        <w:t>60</w:t>
      </w:r>
      <w:r>
        <w:rPr>
          <w:rFonts w:ascii="Microsoft JhengHei" w:eastAsia="Microsoft JhengHei"/>
          <w:b/>
          <w:sz w:val="18"/>
        </w:rPr>
        <w:t>暴乱</w:t>
      </w:r>
      <w:r>
        <w:rPr>
          <w:spacing w:val="-1"/>
          <w:sz w:val="18"/>
        </w:rPr>
        <w:t>：指破坏社会秩序的武装骚动，以政府宣布为准。</w:t>
      </w:r>
    </w:p>
    <w:p>
      <w:pPr>
        <w:spacing w:after="0" w:line="304" w:lineRule="exact"/>
        <w:jc w:val="left"/>
        <w:rPr>
          <w:sz w:val="18"/>
        </w:rPr>
        <w:sectPr>
          <w:pgSz w:w="11910" w:h="16840"/>
          <w:pgMar w:header="0" w:footer="967" w:top="1380" w:bottom="1240" w:left="860" w:right="480"/>
        </w:sectPr>
      </w:pPr>
    </w:p>
    <w:p>
      <w:pPr>
        <w:pStyle w:val="BodyText"/>
        <w:spacing w:before="56"/>
        <w:ind w:left="3057"/>
      </w:pPr>
      <w:r>
        <w:rPr>
          <w:color w:val="000000"/>
          <w:spacing w:val="-16"/>
          <w:shd w:fill="E4E4E4" w:color="auto" w:val="clear"/>
        </w:rPr>
        <w:t>故的性质、原因、损失程度的，本公司对无法核实部分不承担给付保险金的责任。</w:t>
      </w:r>
    </w:p>
    <w:p>
      <w:pPr>
        <w:pStyle w:val="BodyText"/>
        <w:spacing w:before="8"/>
        <w:rPr>
          <w:sz w:val="29"/>
        </w:rPr>
      </w:pPr>
    </w:p>
    <w:p>
      <w:pPr>
        <w:pStyle w:val="BodyText"/>
        <w:ind w:left="3057"/>
      </w:pPr>
      <w:r>
        <w:rPr>
          <w:spacing w:val="-3"/>
        </w:rPr>
        <w:t>须提供的证明和资料：</w:t>
      </w:r>
    </w:p>
    <w:p>
      <w:pPr>
        <w:pStyle w:val="ListParagraph"/>
        <w:numPr>
          <w:ilvl w:val="0"/>
          <w:numId w:val="12"/>
        </w:numPr>
        <w:tabs>
          <w:tab w:pos="3587" w:val="left" w:leader="none"/>
        </w:tabs>
        <w:spacing w:line="240" w:lineRule="auto" w:before="158" w:after="0"/>
        <w:ind w:left="3586" w:right="0" w:hanging="530"/>
        <w:jc w:val="left"/>
        <w:rPr>
          <w:sz w:val="21"/>
        </w:rPr>
      </w:pPr>
      <w:r>
        <w:rPr>
          <w:spacing w:val="-2"/>
          <w:sz w:val="21"/>
        </w:rPr>
        <w:t>受益人</w:t>
      </w:r>
      <w:r>
        <w:rPr>
          <w:rFonts w:ascii="微软雅黑" w:eastAsia="微软雅黑"/>
          <w:b/>
          <w:spacing w:val="-2"/>
          <w:sz w:val="21"/>
        </w:rPr>
        <w:t>有效身份证件</w:t>
      </w:r>
      <w:r>
        <w:rPr>
          <w:rFonts w:ascii="微软雅黑" w:eastAsia="微软雅黑"/>
          <w:b/>
          <w:spacing w:val="-5"/>
          <w:position w:val="11"/>
          <w:sz w:val="11"/>
        </w:rPr>
        <w:t>61</w:t>
      </w:r>
      <w:r>
        <w:rPr>
          <w:spacing w:val="-5"/>
          <w:sz w:val="21"/>
        </w:rPr>
        <w:t>；</w:t>
      </w:r>
    </w:p>
    <w:p>
      <w:pPr>
        <w:pStyle w:val="ListParagraph"/>
        <w:numPr>
          <w:ilvl w:val="0"/>
          <w:numId w:val="12"/>
        </w:numPr>
        <w:tabs>
          <w:tab w:pos="3587" w:val="left" w:leader="none"/>
        </w:tabs>
        <w:spacing w:line="300" w:lineRule="auto" w:before="172" w:after="0"/>
        <w:ind w:left="3057" w:right="207" w:firstLine="0"/>
        <w:jc w:val="both"/>
        <w:rPr>
          <w:sz w:val="21"/>
        </w:rPr>
      </w:pPr>
      <w:r>
        <w:rPr>
          <w:spacing w:val="-2"/>
          <w:sz w:val="21"/>
        </w:rPr>
        <w:t>本公司指定医疗机构出具的支持索赔的账单明细、证明、信息和证据，包</w:t>
      </w:r>
      <w:r>
        <w:rPr>
          <w:sz w:val="21"/>
        </w:rPr>
        <w:t>括但不限于医院出具的病历资料 医学诊断书、处方、病理检查报告、化验检查</w:t>
      </w:r>
      <w:r>
        <w:rPr>
          <w:spacing w:val="-2"/>
          <w:sz w:val="21"/>
        </w:rPr>
        <w:t>报告、医疗费用原始单据、费用明细单据等。受益人因特殊原因不能提供上述材</w:t>
      </w:r>
      <w:r>
        <w:rPr>
          <w:spacing w:val="-2"/>
          <w:sz w:val="21"/>
        </w:rPr>
        <w:t>料的，应提供其它合法有效的材料，包括但不限于被保险人的诊断证明、门急诊</w:t>
      </w:r>
      <w:r>
        <w:rPr>
          <w:spacing w:val="-2"/>
          <w:sz w:val="21"/>
        </w:rPr>
        <w:t>病历、出院小结或出院病历（加盖医院病历专用章</w:t>
      </w:r>
      <w:r>
        <w:rPr>
          <w:spacing w:val="-108"/>
          <w:sz w:val="21"/>
        </w:rPr>
        <w:t>）</w:t>
      </w:r>
      <w:r>
        <w:rPr>
          <w:spacing w:val="-2"/>
          <w:sz w:val="21"/>
        </w:rPr>
        <w:t>、医疗费用发票及明细；</w:t>
      </w:r>
    </w:p>
    <w:p>
      <w:pPr>
        <w:pStyle w:val="ListParagraph"/>
        <w:numPr>
          <w:ilvl w:val="0"/>
          <w:numId w:val="12"/>
        </w:numPr>
        <w:tabs>
          <w:tab w:pos="3587" w:val="left" w:leader="none"/>
        </w:tabs>
        <w:spacing w:line="240" w:lineRule="auto" w:before="157" w:after="0"/>
        <w:ind w:left="3586" w:right="0" w:hanging="530"/>
        <w:jc w:val="left"/>
        <w:rPr>
          <w:sz w:val="21"/>
        </w:rPr>
      </w:pPr>
      <w:r>
        <w:rPr>
          <w:spacing w:val="-3"/>
          <w:sz w:val="21"/>
        </w:rPr>
        <w:t>所能提供的与确认事故的性质、原因等有关的其他证明和资料。</w:t>
      </w:r>
    </w:p>
    <w:p>
      <w:pPr>
        <w:pStyle w:val="BodyText"/>
        <w:spacing w:before="8"/>
        <w:rPr>
          <w:sz w:val="17"/>
        </w:rPr>
      </w:pPr>
    </w:p>
    <w:p>
      <w:pPr>
        <w:pStyle w:val="BodyText"/>
        <w:spacing w:line="300" w:lineRule="auto"/>
        <w:ind w:left="3057" w:right="218"/>
      </w:pPr>
      <w:r>
        <w:rPr>
          <w:spacing w:val="1"/>
          <w:w w:val="100"/>
        </w:rPr>
        <w:t>以上证明和资料不完整的，本公司将及时一次性通知补充提供有关的证明和资料。</w:t>
      </w:r>
    </w:p>
    <w:p>
      <w:pPr>
        <w:pStyle w:val="BodyText"/>
        <w:spacing w:before="1"/>
        <w:rPr>
          <w:sz w:val="19"/>
        </w:rPr>
      </w:pPr>
    </w:p>
    <w:p>
      <w:pPr>
        <w:pStyle w:val="ListParagraph"/>
        <w:numPr>
          <w:ilvl w:val="1"/>
          <w:numId w:val="3"/>
        </w:numPr>
        <w:tabs>
          <w:tab w:pos="1288" w:val="left" w:leader="none"/>
          <w:tab w:pos="1289" w:val="left" w:leader="none"/>
          <w:tab w:pos="3057" w:val="left" w:leader="none"/>
        </w:tabs>
        <w:spacing w:line="249" w:lineRule="auto" w:before="0" w:after="0"/>
        <w:ind w:left="3057" w:right="151" w:hanging="2730"/>
        <w:jc w:val="left"/>
        <w:rPr>
          <w:sz w:val="21"/>
        </w:rPr>
      </w:pPr>
      <w:r>
        <w:rPr>
          <w:rFonts w:ascii="微软雅黑" w:eastAsia="微软雅黑"/>
          <w:b/>
          <w:spacing w:val="-2"/>
          <w:sz w:val="21"/>
        </w:rPr>
        <w:t>代</w:t>
      </w:r>
      <w:r>
        <w:rPr>
          <w:rFonts w:ascii="微软雅黑" w:eastAsia="微软雅黑"/>
          <w:b/>
          <w:spacing w:val="-2"/>
          <w:sz w:val="21"/>
        </w:rPr>
        <w:t>理</w:t>
      </w:r>
      <w:r>
        <w:rPr>
          <w:rFonts w:ascii="微软雅黑" w:eastAsia="微软雅黑"/>
          <w:b/>
          <w:spacing w:val="-2"/>
          <w:sz w:val="21"/>
        </w:rPr>
        <w:t>申</w:t>
      </w:r>
      <w:r>
        <w:rPr>
          <w:rFonts w:ascii="微软雅黑" w:eastAsia="微软雅黑"/>
          <w:b/>
          <w:spacing w:val="-2"/>
          <w:sz w:val="21"/>
        </w:rPr>
        <w:t>请</w:t>
      </w:r>
      <w:r>
        <w:rPr>
          <w:rFonts w:ascii="微软雅黑" w:eastAsia="微软雅黑"/>
          <w:b/>
          <w:spacing w:val="-2"/>
          <w:sz w:val="21"/>
        </w:rPr>
        <w:t>及</w:t>
      </w:r>
      <w:r>
        <w:rPr>
          <w:rFonts w:ascii="微软雅黑" w:eastAsia="微软雅黑"/>
          <w:b/>
          <w:spacing w:val="-2"/>
          <w:sz w:val="21"/>
        </w:rPr>
        <w:t>其</w:t>
      </w:r>
      <w:r>
        <w:rPr>
          <w:rFonts w:ascii="微软雅黑" w:eastAsia="微软雅黑"/>
          <w:b/>
          <w:spacing w:val="-2"/>
          <w:sz w:val="21"/>
        </w:rPr>
        <w:t>他</w:t>
      </w:r>
      <w:r>
        <w:rPr>
          <w:rFonts w:ascii="微软雅黑" w:eastAsia="微软雅黑"/>
          <w:b/>
          <w:sz w:val="21"/>
        </w:rPr>
        <w:tab/>
      </w:r>
      <w:r>
        <w:rPr>
          <w:spacing w:val="-2"/>
          <w:sz w:val="21"/>
        </w:rPr>
        <w:t>受</w:t>
      </w:r>
      <w:r>
        <w:rPr>
          <w:spacing w:val="-2"/>
          <w:sz w:val="21"/>
        </w:rPr>
        <w:t>益</w:t>
      </w:r>
      <w:r>
        <w:rPr>
          <w:spacing w:val="-2"/>
          <w:sz w:val="21"/>
        </w:rPr>
        <w:t>人委托他人申请给付</w:t>
      </w:r>
      <w:r>
        <w:rPr>
          <w:spacing w:val="-2"/>
          <w:sz w:val="21"/>
        </w:rPr>
        <w:t>保</w:t>
      </w:r>
      <w:r>
        <w:rPr>
          <w:spacing w:val="-2"/>
          <w:sz w:val="21"/>
        </w:rPr>
        <w:t>险</w:t>
      </w:r>
      <w:r>
        <w:rPr>
          <w:spacing w:val="-2"/>
          <w:sz w:val="21"/>
        </w:rPr>
        <w:t>金的，还应当提供受</w:t>
      </w:r>
      <w:r>
        <w:rPr>
          <w:spacing w:val="-2"/>
          <w:sz w:val="21"/>
        </w:rPr>
        <w:t>托</w:t>
      </w:r>
      <w:r>
        <w:rPr>
          <w:spacing w:val="-2"/>
          <w:sz w:val="21"/>
        </w:rPr>
        <w:t>人</w:t>
      </w:r>
      <w:r>
        <w:rPr>
          <w:spacing w:val="-2"/>
          <w:sz w:val="21"/>
        </w:rPr>
        <w:t>身份证明、授权委托书。</w:t>
      </w:r>
      <w:r>
        <w:rPr>
          <w:spacing w:val="-2"/>
          <w:sz w:val="21"/>
        </w:rPr>
        <w:t>保</w:t>
      </w:r>
      <w:r>
        <w:rPr>
          <w:spacing w:val="-2"/>
          <w:sz w:val="21"/>
        </w:rPr>
        <w:t>险</w:t>
      </w:r>
      <w:r>
        <w:rPr>
          <w:spacing w:val="-2"/>
          <w:sz w:val="21"/>
        </w:rPr>
        <w:t>金作为被保险人的遗</w:t>
      </w:r>
      <w:r>
        <w:rPr>
          <w:spacing w:val="-2"/>
          <w:sz w:val="21"/>
        </w:rPr>
        <w:t>产</w:t>
      </w:r>
      <w:r>
        <w:rPr>
          <w:spacing w:val="-2"/>
          <w:sz w:val="21"/>
        </w:rPr>
        <w:t>时</w:t>
      </w:r>
      <w:r>
        <w:rPr>
          <w:spacing w:val="-2"/>
          <w:sz w:val="21"/>
        </w:rPr>
        <w:t>，还应当提供可证明</w:t>
      </w:r>
      <w:r>
        <w:rPr>
          <w:spacing w:val="-2"/>
          <w:sz w:val="21"/>
        </w:rPr>
        <w:t>合</w:t>
      </w:r>
      <w:r>
        <w:rPr>
          <w:spacing w:val="-2"/>
          <w:sz w:val="21"/>
        </w:rPr>
        <w:t>法</w:t>
      </w:r>
      <w:r>
        <w:rPr>
          <w:spacing w:val="-2"/>
          <w:sz w:val="21"/>
        </w:rPr>
        <w:t>继承权的相关权利文件。</w:t>
      </w:r>
    </w:p>
    <w:p>
      <w:pPr>
        <w:pStyle w:val="BodyText"/>
        <w:spacing w:line="300" w:lineRule="auto" w:before="59"/>
        <w:ind w:left="3057" w:right="218"/>
      </w:pPr>
      <w:r>
        <w:rPr>
          <w:spacing w:val="1"/>
          <w:w w:val="100"/>
        </w:rPr>
        <w:t>受益人为未成年人或无民事行为能力人时，由其合法监护人代其申请领取保险</w:t>
      </w:r>
      <w:r>
        <w:rPr>
          <w:spacing w:val="-3"/>
          <w:w w:val="100"/>
        </w:rPr>
        <w:t>金，并提供未成年人或无民事行为能力证明和合法监护权证明。</w:t>
      </w:r>
    </w:p>
    <w:p>
      <w:pPr>
        <w:pStyle w:val="BodyText"/>
        <w:rPr>
          <w:sz w:val="19"/>
        </w:rPr>
      </w:pPr>
    </w:p>
    <w:p>
      <w:pPr>
        <w:pStyle w:val="ListParagraph"/>
        <w:numPr>
          <w:ilvl w:val="1"/>
          <w:numId w:val="3"/>
        </w:numPr>
        <w:tabs>
          <w:tab w:pos="1289" w:val="left" w:leader="none"/>
          <w:tab w:pos="3057" w:val="left" w:leader="none"/>
        </w:tabs>
        <w:spacing w:line="240" w:lineRule="auto" w:before="1" w:after="0"/>
        <w:ind w:left="3057" w:right="0" w:hanging="2730"/>
        <w:jc w:val="both"/>
        <w:rPr>
          <w:sz w:val="21"/>
        </w:rPr>
      </w:pPr>
      <w:r>
        <w:rPr>
          <w:rFonts w:ascii="微软雅黑" w:eastAsia="微软雅黑"/>
          <w:b/>
          <w:sz w:val="21"/>
        </w:rPr>
        <w:t>配合调</w:t>
      </w:r>
      <w:r>
        <w:rPr>
          <w:rFonts w:ascii="微软雅黑" w:eastAsia="微软雅黑"/>
          <w:b/>
          <w:spacing w:val="-10"/>
          <w:sz w:val="21"/>
        </w:rPr>
        <w:t>查</w:t>
      </w:r>
      <w:r>
        <w:rPr>
          <w:rFonts w:ascii="微软雅黑" w:eastAsia="微软雅黑"/>
          <w:b/>
          <w:sz w:val="21"/>
        </w:rPr>
        <w:tab/>
      </w:r>
      <w:r>
        <w:rPr>
          <w:spacing w:val="-2"/>
          <w:sz w:val="21"/>
        </w:rPr>
        <w:t>被</w:t>
      </w:r>
      <w:r>
        <w:rPr>
          <w:spacing w:val="-2"/>
          <w:sz w:val="21"/>
        </w:rPr>
        <w:t>保</w:t>
      </w:r>
      <w:r>
        <w:rPr>
          <w:spacing w:val="-2"/>
          <w:sz w:val="21"/>
        </w:rPr>
        <w:t>险人遭受事故的，除</w:t>
      </w:r>
      <w:r>
        <w:rPr>
          <w:spacing w:val="-2"/>
          <w:sz w:val="21"/>
        </w:rPr>
        <w:t>法</w:t>
      </w:r>
      <w:r>
        <w:rPr>
          <w:spacing w:val="-2"/>
          <w:sz w:val="21"/>
        </w:rPr>
        <w:t>律</w:t>
      </w:r>
      <w:r>
        <w:rPr>
          <w:spacing w:val="-2"/>
          <w:sz w:val="21"/>
        </w:rPr>
        <w:t>禁止的情况外，本公司有权对投保人、被保</w:t>
      </w:r>
      <w:r>
        <w:rPr>
          <w:spacing w:val="-2"/>
          <w:sz w:val="21"/>
        </w:rPr>
        <w:t>险</w:t>
      </w:r>
      <w:r>
        <w:rPr>
          <w:spacing w:val="-2"/>
          <w:sz w:val="21"/>
        </w:rPr>
        <w:t>人</w:t>
      </w:r>
      <w:r>
        <w:rPr>
          <w:spacing w:val="-10"/>
          <w:sz w:val="21"/>
        </w:rPr>
        <w:t>、</w:t>
      </w:r>
    </w:p>
    <w:p>
      <w:pPr>
        <w:pStyle w:val="BodyText"/>
        <w:spacing w:line="300" w:lineRule="auto" w:before="18"/>
        <w:ind w:left="3057" w:right="207"/>
        <w:jc w:val="both"/>
      </w:pPr>
      <w:r>
        <w:rPr>
          <w:spacing w:val="-2"/>
        </w:rPr>
        <w:t>受益人等，就事故的性质、原因、结果及被保险人的损伤程度和身体情况等，进</w:t>
      </w:r>
      <w:r>
        <w:rPr>
          <w:spacing w:val="-2"/>
        </w:rPr>
        <w:t>行调查、检查、评估和鉴定（包括但不限于提请作必要、合理的解剖检验），投</w:t>
      </w:r>
      <w:r>
        <w:rPr>
          <w:spacing w:val="-2"/>
        </w:rPr>
        <w:t>保人、被保险人、受益人等应当予以充分配合。</w:t>
      </w:r>
    </w:p>
    <w:p>
      <w:pPr>
        <w:pStyle w:val="BodyText"/>
        <w:spacing w:before="3"/>
        <w:rPr>
          <w:sz w:val="19"/>
        </w:rPr>
      </w:pPr>
    </w:p>
    <w:p>
      <w:pPr>
        <w:pStyle w:val="ListParagraph"/>
        <w:numPr>
          <w:ilvl w:val="1"/>
          <w:numId w:val="3"/>
        </w:numPr>
        <w:tabs>
          <w:tab w:pos="1288" w:val="left" w:leader="none"/>
          <w:tab w:pos="1289" w:val="left" w:leader="none"/>
          <w:tab w:pos="3057" w:val="left" w:leader="none"/>
        </w:tabs>
        <w:spacing w:line="249" w:lineRule="auto" w:before="0" w:after="0"/>
        <w:ind w:left="3057" w:right="206" w:hanging="2730"/>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的</w:t>
      </w:r>
      <w:r>
        <w:rPr>
          <w:rFonts w:ascii="微软雅黑" w:eastAsia="微软雅黑"/>
          <w:b/>
          <w:spacing w:val="-2"/>
          <w:sz w:val="21"/>
        </w:rPr>
        <w:t>给</w:t>
      </w:r>
      <w:r>
        <w:rPr>
          <w:rFonts w:ascii="微软雅黑" w:eastAsia="微软雅黑"/>
          <w:b/>
          <w:spacing w:val="-2"/>
          <w:sz w:val="21"/>
        </w:rPr>
        <w:t>付</w:t>
      </w:r>
      <w:r>
        <w:rPr>
          <w:rFonts w:ascii="微软雅黑" w:eastAsia="微软雅黑"/>
          <w:b/>
          <w:sz w:val="21"/>
        </w:rPr>
        <w:tab/>
      </w:r>
      <w:r>
        <w:rPr>
          <w:sz w:val="21"/>
        </w:rPr>
        <w:t>收到保险金给付申请书及</w:t>
      </w:r>
      <w:r>
        <w:rPr>
          <w:sz w:val="21"/>
        </w:rPr>
        <w:t>有关证明和资料后，本公</w:t>
      </w:r>
      <w:r>
        <w:rPr>
          <w:sz w:val="21"/>
        </w:rPr>
        <w:t>司将在</w:t>
      </w:r>
      <w:r>
        <w:rPr>
          <w:spacing w:val="-31"/>
          <w:sz w:val="21"/>
        </w:rPr>
        <w:t> </w:t>
      </w:r>
      <w:r>
        <w:rPr>
          <w:sz w:val="21"/>
        </w:rPr>
        <w:t>10</w:t>
      </w:r>
      <w:r>
        <w:rPr>
          <w:spacing w:val="-28"/>
          <w:sz w:val="21"/>
        </w:rPr>
        <w:t> </w:t>
      </w:r>
      <w:r>
        <w:rPr>
          <w:sz w:val="21"/>
        </w:rPr>
        <w:t>个工作日内作</w:t>
      </w:r>
      <w:r>
        <w:rPr>
          <w:sz w:val="21"/>
        </w:rPr>
        <w:t>出核定；情形复杂的，在</w:t>
      </w:r>
      <w:r>
        <w:rPr>
          <w:spacing w:val="-20"/>
          <w:sz w:val="21"/>
        </w:rPr>
        <w:t> </w:t>
      </w:r>
      <w:r>
        <w:rPr>
          <w:sz w:val="21"/>
        </w:rPr>
        <w:t>30</w:t>
      </w:r>
      <w:r>
        <w:rPr>
          <w:spacing w:val="-25"/>
          <w:sz w:val="21"/>
        </w:rPr>
        <w:t> </w:t>
      </w:r>
      <w:r>
        <w:rPr>
          <w:sz w:val="21"/>
        </w:rPr>
        <w:t>日</w:t>
      </w:r>
      <w:r>
        <w:rPr>
          <w:sz w:val="21"/>
        </w:rPr>
        <w:t>内作出核定。</w:t>
      </w:r>
    </w:p>
    <w:p>
      <w:pPr>
        <w:pStyle w:val="BodyText"/>
        <w:spacing w:before="8"/>
        <w:rPr>
          <w:sz w:val="16"/>
        </w:rPr>
      </w:pPr>
    </w:p>
    <w:p>
      <w:pPr>
        <w:pStyle w:val="BodyText"/>
        <w:spacing w:line="300" w:lineRule="auto"/>
        <w:ind w:left="3057" w:right="207"/>
      </w:pPr>
      <w:r>
        <w:rPr>
          <w:spacing w:val="-2"/>
        </w:rPr>
        <w:t>本公司应当将核定结果通知受益人。对属于保险责任的，在与受益人达成给付保</w:t>
      </w:r>
      <w:r>
        <w:rPr>
          <w:spacing w:val="-4"/>
        </w:rPr>
        <w:t>险金的协议后 </w:t>
      </w:r>
      <w:r>
        <w:rPr>
          <w:spacing w:val="-2"/>
        </w:rPr>
        <w:t>10</w:t>
      </w:r>
      <w:r>
        <w:rPr>
          <w:spacing w:val="-7"/>
        </w:rPr>
        <w:t> 日内履行给付保险金义务；对不属于保险责任的，本公司自作</w:t>
      </w:r>
    </w:p>
    <w:p>
      <w:pPr>
        <w:pStyle w:val="BodyText"/>
        <w:spacing w:line="300" w:lineRule="auto" w:before="2"/>
        <w:ind w:left="3057" w:right="101"/>
      </w:pPr>
      <w:r>
        <w:rPr>
          <w:spacing w:val="-6"/>
        </w:rPr>
        <w:t>出核定之日起 </w:t>
      </w:r>
      <w:r>
        <w:rPr/>
        <w:t>3</w:t>
      </w:r>
      <w:r>
        <w:rPr>
          <w:spacing w:val="-7"/>
        </w:rPr>
        <w:t> 日内向受益人发出拒绝给付保险金通知书，并说明理由。对属于</w:t>
      </w:r>
      <w:r>
        <w:rPr>
          <w:spacing w:val="-15"/>
        </w:rPr>
        <w:t>保险责任情形，本公司未履行前两款约定的义务的，除履行给付保险金的义务外，</w:t>
      </w:r>
      <w:r>
        <w:rPr>
          <w:spacing w:val="-5"/>
        </w:rPr>
        <w:t>还应当赔偿受益人因此受到的利息损失。利息按照中国人民银行公布的金融机构</w:t>
      </w:r>
      <w:r>
        <w:rPr>
          <w:spacing w:val="-2"/>
        </w:rPr>
        <w:t>人民币活期存款基准利率，就超过日数以单利方式计算。</w:t>
      </w:r>
    </w:p>
    <w:p>
      <w:pPr>
        <w:pStyle w:val="BodyText"/>
        <w:spacing w:line="300" w:lineRule="auto" w:before="157"/>
        <w:ind w:left="3057" w:right="207"/>
        <w:jc w:val="both"/>
      </w:pPr>
      <w:r>
        <w:rPr>
          <w:spacing w:val="-3"/>
        </w:rPr>
        <w:t>自收到保险金给付申请书及有关证明和资料之日起 </w:t>
      </w:r>
      <w:r>
        <w:rPr>
          <w:spacing w:val="-2"/>
        </w:rPr>
        <w:t>60</w:t>
      </w:r>
      <w:r>
        <w:rPr>
          <w:spacing w:val="-4"/>
        </w:rPr>
        <w:t> 日内，本公司对给付保险</w:t>
      </w:r>
      <w:r>
        <w:rPr>
          <w:spacing w:val="-8"/>
        </w:rPr>
        <w:t>金的数额不能确定的，本公司应当按照根据已有证明和资料可以确定的数额先予</w:t>
      </w:r>
      <w:r>
        <w:rPr>
          <w:spacing w:val="-2"/>
        </w:rPr>
        <w:t>支付；最终确定给付保险金的数额后，本公司支付相应的差额。</w:t>
      </w:r>
    </w:p>
    <w:p>
      <w:pPr>
        <w:pStyle w:val="BodyText"/>
        <w:spacing w:before="3"/>
        <w:rPr>
          <w:sz w:val="19"/>
        </w:rPr>
      </w:pPr>
    </w:p>
    <w:p>
      <w:pPr>
        <w:pStyle w:val="ListParagraph"/>
        <w:numPr>
          <w:ilvl w:val="1"/>
          <w:numId w:val="3"/>
        </w:numPr>
        <w:tabs>
          <w:tab w:pos="1288" w:val="left" w:leader="none"/>
          <w:tab w:pos="1289" w:val="left" w:leader="none"/>
          <w:tab w:pos="3057" w:val="left" w:leader="none"/>
        </w:tabs>
        <w:spacing w:line="240" w:lineRule="auto" w:before="0" w:after="0"/>
        <w:ind w:left="1288" w:right="0" w:hanging="961"/>
        <w:jc w:val="left"/>
        <w:rPr>
          <w:sz w:val="21"/>
        </w:rPr>
      </w:pPr>
      <w:r>
        <w:rPr>
          <w:rFonts w:ascii="微软雅黑" w:eastAsia="微软雅黑"/>
          <w:b/>
          <w:sz w:val="21"/>
        </w:rPr>
        <w:t>诉讼时</w:t>
      </w:r>
      <w:r>
        <w:rPr>
          <w:rFonts w:ascii="微软雅黑" w:eastAsia="微软雅黑"/>
          <w:b/>
          <w:spacing w:val="-10"/>
          <w:sz w:val="21"/>
        </w:rPr>
        <w:t>效</w:t>
      </w:r>
      <w:r>
        <w:rPr>
          <w:rFonts w:ascii="微软雅黑" w:eastAsia="微软雅黑"/>
          <w:b/>
          <w:sz w:val="21"/>
        </w:rPr>
        <w:tab/>
      </w:r>
      <w:r>
        <w:rPr>
          <w:spacing w:val="-2"/>
          <w:sz w:val="21"/>
        </w:rPr>
        <w:t>受</w:t>
      </w:r>
      <w:r>
        <w:rPr>
          <w:spacing w:val="-2"/>
          <w:sz w:val="21"/>
        </w:rPr>
        <w:t>益</w:t>
      </w:r>
      <w:r>
        <w:rPr>
          <w:spacing w:val="-2"/>
          <w:sz w:val="21"/>
        </w:rPr>
        <w:t>人向本公司请求给付</w:t>
      </w:r>
      <w:r>
        <w:rPr>
          <w:spacing w:val="-2"/>
          <w:sz w:val="21"/>
        </w:rPr>
        <w:t>保</w:t>
      </w:r>
      <w:r>
        <w:rPr>
          <w:spacing w:val="-2"/>
          <w:sz w:val="21"/>
        </w:rPr>
        <w:t>险</w:t>
      </w:r>
      <w:r>
        <w:rPr>
          <w:spacing w:val="-2"/>
          <w:sz w:val="21"/>
        </w:rPr>
        <w:t>金的诉讼时效期间为</w:t>
      </w:r>
      <w:r>
        <w:rPr>
          <w:spacing w:val="-47"/>
          <w:sz w:val="21"/>
        </w:rPr>
        <w:t> </w:t>
      </w:r>
      <w:r>
        <w:rPr>
          <w:spacing w:val="-2"/>
          <w:sz w:val="21"/>
        </w:rPr>
        <w:t>2</w:t>
      </w:r>
      <w:r>
        <w:rPr>
          <w:spacing w:val="-43"/>
          <w:sz w:val="21"/>
        </w:rPr>
        <w:t> </w:t>
      </w:r>
      <w:r>
        <w:rPr>
          <w:spacing w:val="-2"/>
          <w:sz w:val="21"/>
        </w:rPr>
        <w:t>年</w:t>
      </w:r>
      <w:r>
        <w:rPr>
          <w:spacing w:val="-56"/>
          <w:sz w:val="21"/>
        </w:rPr>
        <w:t>，</w:t>
      </w:r>
      <w:r>
        <w:rPr>
          <w:spacing w:val="-2"/>
          <w:sz w:val="21"/>
        </w:rPr>
        <w:t>自其知道或应当知道</w:t>
      </w:r>
      <w:r>
        <w:rPr>
          <w:spacing w:val="-10"/>
          <w:sz w:val="21"/>
        </w:rPr>
        <w:t>保</w:t>
      </w:r>
    </w:p>
    <w:p>
      <w:pPr>
        <w:pStyle w:val="BodyText"/>
        <w:rPr>
          <w:sz w:val="20"/>
        </w:rPr>
      </w:pPr>
    </w:p>
    <w:p>
      <w:pPr>
        <w:pStyle w:val="BodyText"/>
        <w:spacing w:before="11"/>
        <w:rPr>
          <w:sz w:val="11"/>
        </w:rPr>
      </w:pPr>
      <w:r>
        <w:rPr/>
        <w:drawing>
          <wp:anchor distT="0" distB="0" distL="0" distR="0" allowOverlap="1" layoutInCell="1" locked="0" behindDoc="0" simplePos="0" relativeHeight="15">
            <wp:simplePos x="0" y="0"/>
            <wp:positionH relativeFrom="page">
              <wp:posOffset>685800</wp:posOffset>
            </wp:positionH>
            <wp:positionV relativeFrom="paragraph">
              <wp:posOffset>112335</wp:posOffset>
            </wp:positionV>
            <wp:extent cx="1829511" cy="6096"/>
            <wp:effectExtent l="0" t="0" r="0" b="0"/>
            <wp:wrapTopAndBottom/>
            <wp:docPr id="31" name="image5.png"/>
            <wp:cNvGraphicFramePr>
              <a:graphicFrameLocks noChangeAspect="1"/>
            </wp:cNvGraphicFramePr>
            <a:graphic>
              <a:graphicData uri="http://schemas.openxmlformats.org/drawingml/2006/picture">
                <pic:pic>
                  <pic:nvPicPr>
                    <pic:cNvPr id="32" name="image5.png"/>
                    <pic:cNvPicPr/>
                  </pic:nvPicPr>
                  <pic:blipFill>
                    <a:blip r:embed="rId10" cstate="print"/>
                    <a:stretch>
                      <a:fillRect/>
                    </a:stretch>
                  </pic:blipFill>
                  <pic:spPr>
                    <a:xfrm>
                      <a:off x="0" y="0"/>
                      <a:ext cx="1829511" cy="6096"/>
                    </a:xfrm>
                    <a:prstGeom prst="rect">
                      <a:avLst/>
                    </a:prstGeom>
                  </pic:spPr>
                </pic:pic>
              </a:graphicData>
            </a:graphic>
          </wp:anchor>
        </w:drawing>
      </w:r>
    </w:p>
    <w:p>
      <w:pPr>
        <w:spacing w:line="313" w:lineRule="exact" w:before="36"/>
        <w:ind w:left="220" w:right="0" w:firstLine="0"/>
        <w:jc w:val="left"/>
        <w:rPr>
          <w:sz w:val="18"/>
        </w:rPr>
      </w:pPr>
      <w:r>
        <w:rPr>
          <w:position w:val="9"/>
          <w:sz w:val="9"/>
        </w:rPr>
        <w:t>61</w:t>
      </w:r>
      <w:r>
        <w:rPr>
          <w:rFonts w:ascii="Microsoft JhengHei" w:eastAsia="Microsoft JhengHei"/>
          <w:b/>
          <w:sz w:val="18"/>
        </w:rPr>
        <w:t>有效身份证件</w:t>
      </w:r>
      <w:r>
        <w:rPr>
          <w:spacing w:val="-1"/>
          <w:sz w:val="18"/>
        </w:rPr>
        <w:t>：指由政府主管部门规定的证明个人身份的证件，如：居民身份证、按规定可使用的有效护照、军官证、警</w:t>
      </w:r>
    </w:p>
    <w:p>
      <w:pPr>
        <w:spacing w:line="212" w:lineRule="exact" w:before="0"/>
        <w:ind w:left="220" w:right="0" w:firstLine="0"/>
        <w:jc w:val="left"/>
        <w:rPr>
          <w:sz w:val="18"/>
        </w:rPr>
      </w:pPr>
      <w:r>
        <w:rPr>
          <w:spacing w:val="-1"/>
          <w:sz w:val="18"/>
        </w:rPr>
        <w:t>官证、士兵证、户口簿等证件。</w:t>
      </w:r>
    </w:p>
    <w:p>
      <w:pPr>
        <w:spacing w:after="0" w:line="212" w:lineRule="exact"/>
        <w:jc w:val="left"/>
        <w:rPr>
          <w:sz w:val="18"/>
        </w:rPr>
        <w:sectPr>
          <w:pgSz w:w="11910" w:h="16840"/>
          <w:pgMar w:header="0" w:footer="967" w:top="1400" w:bottom="1240" w:left="860" w:right="480"/>
        </w:sectPr>
      </w:pPr>
    </w:p>
    <w:p>
      <w:pPr>
        <w:pStyle w:val="BodyText"/>
        <w:spacing w:before="56"/>
        <w:ind w:left="3057"/>
      </w:pPr>
      <w:r>
        <w:rPr>
          <w:spacing w:val="-3"/>
        </w:rPr>
        <w:t>险事故发生之日起计算。</w:t>
      </w:r>
    </w:p>
    <w:p>
      <w:pPr>
        <w:pStyle w:val="BodyText"/>
        <w:spacing w:before="10"/>
        <w:rPr>
          <w:sz w:val="27"/>
        </w:rPr>
      </w:pPr>
    </w:p>
    <w:p>
      <w:pPr>
        <w:pStyle w:val="Heading2"/>
        <w:numPr>
          <w:ilvl w:val="0"/>
          <w:numId w:val="3"/>
        </w:numPr>
        <w:tabs>
          <w:tab w:pos="1288" w:val="left" w:leader="none"/>
          <w:tab w:pos="1289" w:val="left" w:leader="none"/>
        </w:tabs>
        <w:spacing w:line="657" w:lineRule="exact" w:before="0" w:after="0"/>
        <w:ind w:left="1288" w:right="0" w:hanging="961"/>
        <w:jc w:val="left"/>
        <w:rPr>
          <w:sz w:val="40"/>
        </w:rPr>
      </w:pPr>
      <w:r>
        <w:rPr>
          <w:spacing w:val="-2"/>
        </w:rPr>
        <w:t>保险费交纳</w:t>
      </w:r>
    </w:p>
    <w:p>
      <w:pPr>
        <w:pStyle w:val="BodyText"/>
        <w:spacing w:before="14"/>
        <w:rPr>
          <w:rFonts w:ascii="微软雅黑"/>
          <w:b/>
          <w:sz w:val="4"/>
        </w:rPr>
      </w:pPr>
      <w:r>
        <w:rPr/>
        <w:drawing>
          <wp:anchor distT="0" distB="0" distL="0" distR="0" allowOverlap="1" layoutInCell="1" locked="0" behindDoc="0" simplePos="0" relativeHeight="16">
            <wp:simplePos x="0" y="0"/>
            <wp:positionH relativeFrom="page">
              <wp:posOffset>685800</wp:posOffset>
            </wp:positionH>
            <wp:positionV relativeFrom="paragraph">
              <wp:posOffset>71262</wp:posOffset>
            </wp:positionV>
            <wp:extent cx="6502391" cy="6096"/>
            <wp:effectExtent l="0" t="0" r="0" b="0"/>
            <wp:wrapTopAndBottom/>
            <wp:docPr id="33" name="image8.png"/>
            <wp:cNvGraphicFramePr>
              <a:graphicFrameLocks noChangeAspect="1"/>
            </wp:cNvGraphicFramePr>
            <a:graphic>
              <a:graphicData uri="http://schemas.openxmlformats.org/drawingml/2006/picture">
                <pic:pic>
                  <pic:nvPicPr>
                    <pic:cNvPr id="34" name="image8.png"/>
                    <pic:cNvPicPr/>
                  </pic:nvPicPr>
                  <pic:blipFill>
                    <a:blip r:embed="rId13" cstate="print"/>
                    <a:stretch>
                      <a:fillRect/>
                    </a:stretch>
                  </pic:blipFill>
                  <pic:spPr>
                    <a:xfrm>
                      <a:off x="0" y="0"/>
                      <a:ext cx="6502391" cy="6096"/>
                    </a:xfrm>
                    <a:prstGeom prst="rect">
                      <a:avLst/>
                    </a:prstGeom>
                  </pic:spPr>
                </pic:pic>
              </a:graphicData>
            </a:graphic>
          </wp:anchor>
        </w:drawing>
      </w:r>
    </w:p>
    <w:p>
      <w:pPr>
        <w:pStyle w:val="ListParagraph"/>
        <w:numPr>
          <w:ilvl w:val="1"/>
          <w:numId w:val="3"/>
        </w:numPr>
        <w:tabs>
          <w:tab w:pos="1288" w:val="left" w:leader="none"/>
          <w:tab w:pos="1289" w:val="left" w:leader="none"/>
          <w:tab w:pos="3057" w:val="left" w:leader="none"/>
        </w:tabs>
        <w:spacing w:line="252" w:lineRule="auto" w:before="123" w:after="0"/>
        <w:ind w:left="3057" w:right="361" w:hanging="2730"/>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的</w:t>
      </w:r>
      <w:r>
        <w:rPr>
          <w:rFonts w:ascii="微软雅黑" w:eastAsia="微软雅黑"/>
          <w:b/>
          <w:spacing w:val="-2"/>
          <w:sz w:val="21"/>
        </w:rPr>
        <w:t>交</w:t>
      </w:r>
      <w:r>
        <w:rPr>
          <w:rFonts w:ascii="微软雅黑" w:eastAsia="微软雅黑"/>
          <w:b/>
          <w:spacing w:val="-2"/>
          <w:sz w:val="21"/>
        </w:rPr>
        <w:t>纳</w:t>
      </w:r>
      <w:r>
        <w:rPr>
          <w:rFonts w:ascii="微软雅黑" w:eastAsia="微软雅黑"/>
          <w:b/>
          <w:sz w:val="21"/>
        </w:rPr>
        <w:tab/>
      </w:r>
      <w:r>
        <w:rPr>
          <w:spacing w:val="-2"/>
          <w:sz w:val="21"/>
        </w:rPr>
        <w:t>本</w:t>
      </w:r>
      <w:r>
        <w:rPr>
          <w:spacing w:val="-2"/>
          <w:sz w:val="21"/>
        </w:rPr>
        <w:t>合</w:t>
      </w:r>
      <w:r>
        <w:rPr>
          <w:spacing w:val="-2"/>
          <w:sz w:val="21"/>
        </w:rPr>
        <w:t>同是非保证续保产品，</w:t>
      </w:r>
      <w:r>
        <w:rPr>
          <w:spacing w:val="-2"/>
          <w:sz w:val="21"/>
        </w:rPr>
        <w:t>除</w:t>
      </w:r>
      <w:r>
        <w:rPr>
          <w:spacing w:val="-2"/>
          <w:sz w:val="21"/>
        </w:rPr>
        <w:t>另有约定外，本合同</w:t>
      </w:r>
      <w:r>
        <w:rPr>
          <w:spacing w:val="-2"/>
          <w:sz w:val="21"/>
        </w:rPr>
        <w:t>的</w:t>
      </w:r>
      <w:r>
        <w:rPr>
          <w:spacing w:val="-2"/>
          <w:sz w:val="21"/>
        </w:rPr>
        <w:t>保</w:t>
      </w:r>
      <w:r>
        <w:rPr>
          <w:spacing w:val="-2"/>
          <w:sz w:val="21"/>
        </w:rPr>
        <w:t>险费应当在投保时一次</w:t>
      </w:r>
      <w:r>
        <w:rPr>
          <w:spacing w:val="-4"/>
          <w:sz w:val="21"/>
        </w:rPr>
        <w:t>交</w:t>
      </w:r>
      <w:r>
        <w:rPr>
          <w:spacing w:val="-4"/>
          <w:sz w:val="21"/>
        </w:rPr>
        <w:t>清</w:t>
      </w:r>
      <w:r>
        <w:rPr>
          <w:spacing w:val="-4"/>
          <w:sz w:val="21"/>
        </w:rPr>
        <w:t>。</w:t>
      </w:r>
    </w:p>
    <w:p>
      <w:pPr>
        <w:pStyle w:val="BodyText"/>
        <w:spacing w:before="8"/>
        <w:rPr>
          <w:sz w:val="26"/>
        </w:rPr>
      </w:pPr>
    </w:p>
    <w:p>
      <w:pPr>
        <w:pStyle w:val="Heading2"/>
        <w:numPr>
          <w:ilvl w:val="0"/>
          <w:numId w:val="3"/>
        </w:numPr>
        <w:tabs>
          <w:tab w:pos="1288" w:val="left" w:leader="none"/>
          <w:tab w:pos="1289" w:val="left" w:leader="none"/>
        </w:tabs>
        <w:spacing w:line="657" w:lineRule="exact" w:before="0" w:after="0"/>
        <w:ind w:left="1288" w:right="0" w:hanging="961"/>
        <w:jc w:val="left"/>
        <w:rPr>
          <w:sz w:val="40"/>
        </w:rPr>
      </w:pPr>
      <w:r>
        <w:rPr>
          <w:spacing w:val="-3"/>
        </w:rPr>
        <w:t>合同解除</w:t>
      </w:r>
    </w:p>
    <w:p>
      <w:pPr>
        <w:pStyle w:val="BodyText"/>
        <w:spacing w:before="14"/>
        <w:rPr>
          <w:rFonts w:ascii="微软雅黑"/>
          <w:b/>
          <w:sz w:val="4"/>
        </w:rPr>
      </w:pPr>
      <w:r>
        <w:rPr/>
        <w:drawing>
          <wp:anchor distT="0" distB="0" distL="0" distR="0" allowOverlap="1" layoutInCell="1" locked="0" behindDoc="0" simplePos="0" relativeHeight="17">
            <wp:simplePos x="0" y="0"/>
            <wp:positionH relativeFrom="page">
              <wp:posOffset>685800</wp:posOffset>
            </wp:positionH>
            <wp:positionV relativeFrom="paragraph">
              <wp:posOffset>71262</wp:posOffset>
            </wp:positionV>
            <wp:extent cx="6502526" cy="6096"/>
            <wp:effectExtent l="0" t="0" r="0" b="0"/>
            <wp:wrapTopAndBottom/>
            <wp:docPr id="35" name="image9.png"/>
            <wp:cNvGraphicFramePr>
              <a:graphicFrameLocks noChangeAspect="1"/>
            </wp:cNvGraphicFramePr>
            <a:graphic>
              <a:graphicData uri="http://schemas.openxmlformats.org/drawingml/2006/picture">
                <pic:pic>
                  <pic:nvPicPr>
                    <pic:cNvPr id="36" name="image9.png"/>
                    <pic:cNvPicPr/>
                  </pic:nvPicPr>
                  <pic:blipFill>
                    <a:blip r:embed="rId14" cstate="print"/>
                    <a:stretch>
                      <a:fillRect/>
                    </a:stretch>
                  </pic:blipFill>
                  <pic:spPr>
                    <a:xfrm>
                      <a:off x="0" y="0"/>
                      <a:ext cx="6502526" cy="6096"/>
                    </a:xfrm>
                    <a:prstGeom prst="rect">
                      <a:avLst/>
                    </a:prstGeom>
                  </pic:spPr>
                </pic:pic>
              </a:graphicData>
            </a:graphic>
          </wp:anchor>
        </w:drawing>
      </w:r>
    </w:p>
    <w:p>
      <w:pPr>
        <w:pStyle w:val="BodyText"/>
        <w:spacing w:before="8"/>
        <w:rPr>
          <w:rFonts w:ascii="微软雅黑"/>
          <w:b/>
          <w:sz w:val="6"/>
        </w:rPr>
      </w:pPr>
    </w:p>
    <w:p>
      <w:pPr>
        <w:spacing w:after="0"/>
        <w:rPr>
          <w:rFonts w:ascii="微软雅黑"/>
          <w:sz w:val="6"/>
        </w:rPr>
        <w:sectPr>
          <w:pgSz w:w="11910" w:h="16840"/>
          <w:pgMar w:header="0" w:footer="967" w:top="1400" w:bottom="1240" w:left="860" w:right="480"/>
        </w:sectPr>
      </w:pPr>
    </w:p>
    <w:p>
      <w:pPr>
        <w:pStyle w:val="Heading3"/>
        <w:numPr>
          <w:ilvl w:val="1"/>
          <w:numId w:val="3"/>
        </w:numPr>
        <w:tabs>
          <w:tab w:pos="1288" w:val="left" w:leader="none"/>
          <w:tab w:pos="1289" w:val="left" w:leader="none"/>
        </w:tabs>
        <w:spacing w:line="208" w:lineRule="auto" w:before="41" w:after="0"/>
        <w:ind w:left="1288" w:right="0" w:hanging="961"/>
        <w:jc w:val="left"/>
      </w:pPr>
      <w:r>
        <w:rPr>
          <w:spacing w:val="8"/>
        </w:rPr>
        <w:t>解除合同的手续</w:t>
      </w:r>
      <w:r>
        <w:rPr>
          <w:spacing w:val="-4"/>
        </w:rPr>
        <w:t>及风险</w:t>
      </w:r>
    </w:p>
    <w:p>
      <w:pPr>
        <w:pStyle w:val="BodyText"/>
        <w:spacing w:before="72"/>
        <w:ind w:left="174"/>
      </w:pPr>
      <w:r>
        <w:rPr/>
        <w:br w:type="column"/>
      </w:r>
      <w:r>
        <w:rPr>
          <w:spacing w:val="-3"/>
        </w:rPr>
        <w:t>本合同成立后，投保人可申请解除合同。</w:t>
      </w:r>
    </w:p>
    <w:p>
      <w:pPr>
        <w:pStyle w:val="BodyText"/>
        <w:spacing w:before="5"/>
        <w:rPr>
          <w:sz w:val="17"/>
        </w:rPr>
      </w:pPr>
    </w:p>
    <w:p>
      <w:pPr>
        <w:pStyle w:val="BodyText"/>
        <w:spacing w:before="1"/>
        <w:ind w:left="174"/>
      </w:pPr>
      <w:r>
        <w:rPr>
          <w:spacing w:val="-3"/>
        </w:rPr>
        <w:t>投保人申请解除本合同时，应当向本公司送达：</w:t>
      </w:r>
    </w:p>
    <w:p>
      <w:pPr>
        <w:pStyle w:val="BodyText"/>
        <w:spacing w:before="7"/>
        <w:rPr>
          <w:sz w:val="17"/>
        </w:rPr>
      </w:pPr>
    </w:p>
    <w:p>
      <w:pPr>
        <w:pStyle w:val="ListParagraph"/>
        <w:numPr>
          <w:ilvl w:val="0"/>
          <w:numId w:val="13"/>
        </w:numPr>
        <w:tabs>
          <w:tab w:pos="705" w:val="left" w:leader="none"/>
        </w:tabs>
        <w:spacing w:line="240" w:lineRule="auto" w:before="0" w:after="0"/>
        <w:ind w:left="704" w:right="0" w:hanging="531"/>
        <w:jc w:val="left"/>
        <w:rPr>
          <w:sz w:val="21"/>
        </w:rPr>
      </w:pPr>
      <w:r>
        <w:rPr>
          <w:spacing w:val="-4"/>
          <w:sz w:val="21"/>
        </w:rPr>
        <w:t>解除合同申请书；</w:t>
      </w:r>
    </w:p>
    <w:p>
      <w:pPr>
        <w:pStyle w:val="BodyText"/>
        <w:spacing w:before="5"/>
        <w:rPr>
          <w:sz w:val="17"/>
        </w:rPr>
      </w:pPr>
    </w:p>
    <w:p>
      <w:pPr>
        <w:pStyle w:val="ListParagraph"/>
        <w:numPr>
          <w:ilvl w:val="0"/>
          <w:numId w:val="13"/>
        </w:numPr>
        <w:tabs>
          <w:tab w:pos="705" w:val="left" w:leader="none"/>
        </w:tabs>
        <w:spacing w:line="240" w:lineRule="auto" w:before="0" w:after="0"/>
        <w:ind w:left="704" w:right="0" w:hanging="531"/>
        <w:jc w:val="left"/>
        <w:rPr>
          <w:sz w:val="21"/>
        </w:rPr>
      </w:pPr>
      <w:r>
        <w:rPr>
          <w:spacing w:val="-4"/>
          <w:sz w:val="21"/>
        </w:rPr>
        <w:t>本合同；</w:t>
      </w:r>
    </w:p>
    <w:p>
      <w:pPr>
        <w:pStyle w:val="BodyText"/>
        <w:spacing w:before="5"/>
        <w:rPr>
          <w:sz w:val="17"/>
        </w:rPr>
      </w:pPr>
    </w:p>
    <w:p>
      <w:pPr>
        <w:pStyle w:val="ListParagraph"/>
        <w:numPr>
          <w:ilvl w:val="0"/>
          <w:numId w:val="13"/>
        </w:numPr>
        <w:tabs>
          <w:tab w:pos="705" w:val="left" w:leader="none"/>
        </w:tabs>
        <w:spacing w:line="240" w:lineRule="auto" w:before="0" w:after="0"/>
        <w:ind w:left="704" w:right="0" w:hanging="531"/>
        <w:jc w:val="left"/>
        <w:rPr>
          <w:sz w:val="21"/>
        </w:rPr>
      </w:pPr>
      <w:r>
        <w:rPr>
          <w:spacing w:val="-3"/>
          <w:sz w:val="21"/>
        </w:rPr>
        <w:t>投保人的有效身份证明。</w:t>
      </w:r>
    </w:p>
    <w:p>
      <w:pPr>
        <w:pStyle w:val="BodyText"/>
        <w:spacing w:line="336" w:lineRule="exact" w:before="167"/>
        <w:ind w:left="174" w:right="255"/>
        <w:jc w:val="both"/>
        <w:rPr>
          <w:rFonts w:ascii="微软雅黑" w:eastAsia="微软雅黑"/>
          <w:b/>
        </w:rPr>
      </w:pPr>
      <w:r>
        <w:rPr>
          <w:spacing w:val="-2"/>
        </w:rPr>
        <w:t>本合同的效力至本公司接到解除合同申请书之日的次日零时或解除合同申请书</w:t>
      </w:r>
      <w:r>
        <w:rPr>
          <w:spacing w:val="-2"/>
        </w:rPr>
        <w:t>上载明的合同终止时间（二者中以较晚者为准）终止。本公司自收到完整的证</w:t>
      </w:r>
      <w:r>
        <w:rPr>
          <w:spacing w:val="-7"/>
        </w:rPr>
        <w:t>明和资料之日起 </w:t>
      </w:r>
      <w:r>
        <w:rPr/>
        <w:t>30</w:t>
      </w:r>
      <w:r>
        <w:rPr>
          <w:spacing w:val="-8"/>
        </w:rPr>
        <w:t> 日内向投保人退还本合同项下各被保险人名下的</w:t>
      </w:r>
      <w:r>
        <w:rPr>
          <w:rFonts w:ascii="微软雅黑" w:eastAsia="微软雅黑"/>
          <w:b/>
        </w:rPr>
        <w:t>未满期净保</w:t>
      </w:r>
    </w:p>
    <w:p>
      <w:pPr>
        <w:pStyle w:val="BodyText"/>
        <w:spacing w:line="381" w:lineRule="exact"/>
        <w:ind w:left="174"/>
      </w:pPr>
      <w:r>
        <w:rPr>
          <w:rFonts w:ascii="微软雅黑" w:eastAsia="微软雅黑"/>
          <w:b/>
          <w:spacing w:val="-2"/>
        </w:rPr>
        <w:t>费</w:t>
      </w:r>
      <w:r>
        <w:rPr>
          <w:spacing w:val="-2"/>
          <w:position w:val="11"/>
          <w:sz w:val="11"/>
        </w:rPr>
        <w:t>62</w:t>
      </w:r>
      <w:r>
        <w:rPr>
          <w:spacing w:val="-2"/>
        </w:rPr>
        <w:t>。</w:t>
      </w:r>
      <w:r>
        <w:rPr>
          <w:color w:val="000000"/>
          <w:spacing w:val="-3"/>
          <w:shd w:fill="E4E4E4" w:color="auto" w:val="clear"/>
        </w:rPr>
        <w:t>但不包含已领取或即将领取保险金的被保险人对应的未满期净保费。</w:t>
      </w:r>
    </w:p>
    <w:p>
      <w:pPr>
        <w:spacing w:after="0" w:line="381" w:lineRule="exact"/>
        <w:sectPr>
          <w:type w:val="continuous"/>
          <w:pgSz w:w="11910" w:h="16840"/>
          <w:pgMar w:header="0" w:footer="967" w:top="480" w:bottom="1160" w:left="860" w:right="480"/>
          <w:cols w:num="2" w:equalWidth="0">
            <w:col w:w="2843" w:space="40"/>
            <w:col w:w="7687"/>
          </w:cols>
        </w:sectPr>
      </w:pPr>
    </w:p>
    <w:p>
      <w:pPr>
        <w:pStyle w:val="BodyText"/>
        <w:spacing w:before="11"/>
        <w:rPr>
          <w:sz w:val="7"/>
        </w:rPr>
      </w:pPr>
    </w:p>
    <w:p>
      <w:pPr>
        <w:pStyle w:val="BodyText"/>
        <w:spacing w:before="71"/>
        <w:ind w:left="3057"/>
      </w:pPr>
      <w:r>
        <w:rPr>
          <w:color w:val="000000"/>
          <w:spacing w:val="-3"/>
          <w:shd w:fill="E4E4E4" w:color="auto" w:val="clear"/>
        </w:rPr>
        <w:t>投保人解除合同会遭受一定损失。</w:t>
      </w:r>
    </w:p>
    <w:p>
      <w:pPr>
        <w:pStyle w:val="BodyText"/>
        <w:spacing w:before="10"/>
        <w:rPr>
          <w:sz w:val="27"/>
        </w:rPr>
      </w:pPr>
    </w:p>
    <w:p>
      <w:pPr>
        <w:pStyle w:val="Heading1"/>
        <w:numPr>
          <w:ilvl w:val="0"/>
          <w:numId w:val="3"/>
        </w:numPr>
        <w:tabs>
          <w:tab w:pos="1180" w:val="left" w:leader="none"/>
          <w:tab w:pos="1181" w:val="left" w:leader="none"/>
        </w:tabs>
        <w:spacing w:line="651" w:lineRule="exact" w:before="0" w:after="0"/>
        <w:ind w:left="1180" w:right="0" w:hanging="961"/>
        <w:jc w:val="left"/>
        <w:rPr>
          <w:sz w:val="40"/>
        </w:rPr>
      </w:pPr>
      <w:r>
        <w:rPr>
          <w:spacing w:val="-3"/>
        </w:rPr>
        <w:t>其他事项</w:t>
      </w:r>
    </w:p>
    <w:p>
      <w:pPr>
        <w:pStyle w:val="BodyText"/>
        <w:spacing w:before="1"/>
        <w:rPr>
          <w:rFonts w:ascii="微软雅黑"/>
          <w:b/>
          <w:sz w:val="5"/>
        </w:rPr>
      </w:pPr>
      <w:r>
        <w:rPr/>
        <w:drawing>
          <wp:anchor distT="0" distB="0" distL="0" distR="0" allowOverlap="1" layoutInCell="1" locked="0" behindDoc="0" simplePos="0" relativeHeight="18">
            <wp:simplePos x="0" y="0"/>
            <wp:positionH relativeFrom="page">
              <wp:posOffset>617219</wp:posOffset>
            </wp:positionH>
            <wp:positionV relativeFrom="paragraph">
              <wp:posOffset>74819</wp:posOffset>
            </wp:positionV>
            <wp:extent cx="6502797" cy="6096"/>
            <wp:effectExtent l="0" t="0" r="0" b="0"/>
            <wp:wrapTopAndBottom/>
            <wp:docPr id="37" name="image10.png"/>
            <wp:cNvGraphicFramePr>
              <a:graphicFrameLocks noChangeAspect="1"/>
            </wp:cNvGraphicFramePr>
            <a:graphic>
              <a:graphicData uri="http://schemas.openxmlformats.org/drawingml/2006/picture">
                <pic:pic>
                  <pic:nvPicPr>
                    <pic:cNvPr id="38" name="image10.png"/>
                    <pic:cNvPicPr/>
                  </pic:nvPicPr>
                  <pic:blipFill>
                    <a:blip r:embed="rId15" cstate="print"/>
                    <a:stretch>
                      <a:fillRect/>
                    </a:stretch>
                  </pic:blipFill>
                  <pic:spPr>
                    <a:xfrm>
                      <a:off x="0" y="0"/>
                      <a:ext cx="6502797" cy="6096"/>
                    </a:xfrm>
                    <a:prstGeom prst="rect">
                      <a:avLst/>
                    </a:prstGeom>
                  </pic:spPr>
                </pic:pic>
              </a:graphicData>
            </a:graphic>
          </wp:anchor>
        </w:drawing>
      </w:r>
    </w:p>
    <w:p>
      <w:pPr>
        <w:pStyle w:val="BodyText"/>
        <w:spacing w:before="8"/>
        <w:rPr>
          <w:rFonts w:ascii="微软雅黑"/>
          <w:b/>
          <w:sz w:val="6"/>
        </w:rPr>
      </w:pPr>
    </w:p>
    <w:p>
      <w:pPr>
        <w:spacing w:after="0"/>
        <w:rPr>
          <w:rFonts w:ascii="微软雅黑"/>
          <w:sz w:val="6"/>
        </w:rPr>
        <w:sectPr>
          <w:type w:val="continuous"/>
          <w:pgSz w:w="11910" w:h="16840"/>
          <w:pgMar w:header="0" w:footer="967" w:top="480" w:bottom="1160" w:left="860" w:right="480"/>
        </w:sectPr>
      </w:pPr>
    </w:p>
    <w:p>
      <w:pPr>
        <w:pStyle w:val="Heading3"/>
        <w:numPr>
          <w:ilvl w:val="1"/>
          <w:numId w:val="3"/>
        </w:numPr>
        <w:tabs>
          <w:tab w:pos="1180" w:val="left" w:leader="none"/>
          <w:tab w:pos="1181" w:val="left" w:leader="none"/>
        </w:tabs>
        <w:spacing w:line="208" w:lineRule="auto" w:before="41" w:after="0"/>
        <w:ind w:left="1180" w:right="0" w:hanging="961"/>
        <w:jc w:val="left"/>
      </w:pPr>
      <w:r>
        <w:rPr>
          <w:spacing w:val="8"/>
        </w:rPr>
        <w:t>明确说明与如实</w:t>
      </w:r>
      <w:r>
        <w:rPr>
          <w:spacing w:val="-6"/>
        </w:rPr>
        <w:t>告知</w:t>
      </w:r>
    </w:p>
    <w:p>
      <w:pPr>
        <w:pStyle w:val="BodyText"/>
        <w:spacing w:line="300" w:lineRule="auto" w:before="72"/>
        <w:ind w:left="174" w:right="469"/>
        <w:jc w:val="both"/>
      </w:pPr>
      <w:r>
        <w:rPr/>
        <w:br w:type="column"/>
      </w:r>
      <w:r>
        <w:rPr>
          <w:spacing w:val="-2"/>
        </w:rPr>
        <w:t>订立本合同时，本公司会向投保人明确说明本合同的内容。对本合同中免除本</w:t>
      </w:r>
      <w:r>
        <w:rPr>
          <w:spacing w:val="-2"/>
        </w:rPr>
        <w:t>公司责任的条款，本公司在订立合同时会在投保单、保险单或其他保险凭证上</w:t>
      </w:r>
      <w:r>
        <w:rPr>
          <w:spacing w:val="-2"/>
        </w:rPr>
        <w:t>作出足以引起投保人注意的提示，并对该条款的内容以书面或口头形式向投保</w:t>
      </w:r>
      <w:r>
        <w:rPr>
          <w:spacing w:val="-2"/>
        </w:rPr>
        <w:t>人作出明确说明，未作提示或明确说明的，该条款不产生效力。</w:t>
      </w:r>
    </w:p>
    <w:p>
      <w:pPr>
        <w:pStyle w:val="BodyText"/>
        <w:spacing w:before="157"/>
        <w:ind w:left="174"/>
      </w:pPr>
      <w:r>
        <w:rPr>
          <w:spacing w:val="-3"/>
        </w:rPr>
        <w:t>本公司就投保人、被保险人的有关情况提出询问，投保人应当如实告知。</w:t>
      </w:r>
    </w:p>
    <w:p>
      <w:pPr>
        <w:spacing w:after="0"/>
        <w:sectPr>
          <w:type w:val="continuous"/>
          <w:pgSz w:w="11910" w:h="16840"/>
          <w:pgMar w:header="0" w:footer="967" w:top="480" w:bottom="1160" w:left="860" w:right="480"/>
          <w:cols w:num="2" w:equalWidth="0">
            <w:col w:w="2735" w:space="40"/>
            <w:col w:w="7795"/>
          </w:cols>
        </w:sectPr>
      </w:pPr>
    </w:p>
    <w:p>
      <w:pPr>
        <w:pStyle w:val="BodyText"/>
        <w:rPr>
          <w:sz w:val="12"/>
        </w:rPr>
      </w:pPr>
    </w:p>
    <w:p>
      <w:pPr>
        <w:pStyle w:val="BodyText"/>
        <w:spacing w:line="300" w:lineRule="auto" w:before="72"/>
        <w:ind w:left="2949" w:right="469"/>
      </w:pPr>
      <w:r>
        <w:rPr>
          <w:color w:val="000000"/>
          <w:spacing w:val="-2"/>
          <w:shd w:fill="E4E4E4" w:color="auto" w:val="clear"/>
        </w:rPr>
        <w:t>投保人故意或因重大过失未履行前款规定的如实告知义务，足以影响本公司决</w:t>
      </w:r>
      <w:r>
        <w:rPr>
          <w:color w:val="000000"/>
          <w:spacing w:val="80"/>
          <w:w w:val="150"/>
          <w:shd w:fill="E4E4E4" w:color="auto" w:val="clear"/>
        </w:rPr>
        <w:t>                                       </w:t>
      </w:r>
      <w:r>
        <w:rPr>
          <w:color w:val="000000"/>
          <w:spacing w:val="-2"/>
          <w:shd w:fill="E4E4E4" w:color="auto" w:val="clear"/>
        </w:rPr>
        <w:t>定是否同意承保或提高保险费率的，本公司有权解除或部分解除本合同。</w:t>
      </w:r>
    </w:p>
    <w:p>
      <w:pPr>
        <w:pStyle w:val="BodyText"/>
        <w:spacing w:before="156"/>
        <w:ind w:left="2949"/>
      </w:pPr>
      <w:r>
        <w:rPr>
          <w:color w:val="000000"/>
          <w:spacing w:val="-3"/>
          <w:shd w:fill="E4E4E4" w:color="auto" w:val="clear"/>
        </w:rPr>
        <w:t>投保人故意不履行如实告知义务的，本公司对于本合同解除或部分解除前发生</w:t>
      </w:r>
    </w:p>
    <w:p>
      <w:pPr>
        <w:pStyle w:val="BodyText"/>
        <w:spacing w:before="6"/>
        <w:rPr>
          <w:sz w:val="16"/>
        </w:rPr>
      </w:pPr>
      <w:r>
        <w:rPr/>
        <w:drawing>
          <wp:anchor distT="0" distB="0" distL="0" distR="0" allowOverlap="1" layoutInCell="1" locked="0" behindDoc="0" simplePos="0" relativeHeight="19">
            <wp:simplePos x="0" y="0"/>
            <wp:positionH relativeFrom="page">
              <wp:posOffset>685800</wp:posOffset>
            </wp:positionH>
            <wp:positionV relativeFrom="paragraph">
              <wp:posOffset>149834</wp:posOffset>
            </wp:positionV>
            <wp:extent cx="1829511" cy="6095"/>
            <wp:effectExtent l="0" t="0" r="0" b="0"/>
            <wp:wrapTopAndBottom/>
            <wp:docPr id="39" name="image6.png"/>
            <wp:cNvGraphicFramePr>
              <a:graphicFrameLocks noChangeAspect="1"/>
            </wp:cNvGraphicFramePr>
            <a:graphic>
              <a:graphicData uri="http://schemas.openxmlformats.org/drawingml/2006/picture">
                <pic:pic>
                  <pic:nvPicPr>
                    <pic:cNvPr id="40"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line="313" w:lineRule="exact" w:before="36"/>
        <w:ind w:left="220" w:right="0" w:firstLine="0"/>
        <w:jc w:val="left"/>
        <w:rPr>
          <w:sz w:val="18"/>
        </w:rPr>
      </w:pPr>
      <w:r>
        <w:rPr>
          <w:spacing w:val="-2"/>
          <w:position w:val="9"/>
          <w:sz w:val="9"/>
        </w:rPr>
        <w:t>62</w:t>
      </w:r>
      <w:r>
        <w:rPr>
          <w:rFonts w:ascii="Microsoft JhengHei" w:hAnsi="Microsoft JhengHei" w:eastAsia="Microsoft JhengHei"/>
          <w:b/>
          <w:spacing w:val="-2"/>
          <w:sz w:val="18"/>
        </w:rPr>
        <w:t>未满期净保费</w:t>
      </w:r>
      <w:r>
        <w:rPr>
          <w:spacing w:val="-2"/>
          <w:sz w:val="18"/>
        </w:rPr>
        <w:t>：与被保险人对应的保险费系一次性交费时，该被保险人名下的未满期净保费=P×（1-N÷M）*（1-25%）</w:t>
      </w:r>
      <w:r>
        <w:rPr>
          <w:spacing w:val="-6"/>
          <w:sz w:val="18"/>
        </w:rPr>
        <w:t>，其</w:t>
      </w:r>
    </w:p>
    <w:p>
      <w:pPr>
        <w:spacing w:line="212" w:lineRule="exact" w:before="0"/>
        <w:ind w:left="220" w:right="0" w:firstLine="0"/>
        <w:jc w:val="left"/>
        <w:rPr>
          <w:sz w:val="18"/>
        </w:rPr>
      </w:pPr>
      <w:r>
        <w:rPr>
          <w:sz w:val="18"/>
        </w:rPr>
        <w:t>中：P</w:t>
      </w:r>
      <w:r>
        <w:rPr>
          <w:spacing w:val="-7"/>
          <w:sz w:val="18"/>
        </w:rPr>
        <w:t> 指为该被保险人一次性交纳的保险费</w:t>
      </w:r>
      <w:r>
        <w:rPr>
          <w:sz w:val="18"/>
        </w:rPr>
        <w:t>，M</w:t>
      </w:r>
      <w:r>
        <w:rPr>
          <w:spacing w:val="-7"/>
          <w:sz w:val="18"/>
        </w:rPr>
        <w:t> 指该被保险人的保险期间所包含的日数</w:t>
      </w:r>
      <w:r>
        <w:rPr>
          <w:sz w:val="18"/>
        </w:rPr>
        <w:t>（</w:t>
      </w:r>
      <w:r>
        <w:rPr>
          <w:spacing w:val="-1"/>
          <w:sz w:val="18"/>
        </w:rPr>
        <w:t>计算日数时不足一日部分按一日</w:t>
      </w:r>
    </w:p>
    <w:p>
      <w:pPr>
        <w:spacing w:before="2"/>
        <w:ind w:left="220" w:right="0" w:firstLine="0"/>
        <w:jc w:val="left"/>
        <w:rPr>
          <w:sz w:val="18"/>
        </w:rPr>
      </w:pPr>
      <w:r>
        <w:rPr>
          <w:spacing w:val="-2"/>
          <w:sz w:val="18"/>
        </w:rPr>
        <w:t>计，下同），N</w:t>
      </w:r>
      <w:r>
        <w:rPr>
          <w:spacing w:val="-9"/>
          <w:sz w:val="18"/>
        </w:rPr>
        <w:t> 指从该被保险人的保险期间起始之日至本公司对该被保险人的保险责任提前终止之日实际经过的日数。</w:t>
      </w:r>
    </w:p>
    <w:p>
      <w:pPr>
        <w:spacing w:line="242" w:lineRule="auto" w:before="3"/>
        <w:ind w:left="220" w:right="670" w:firstLine="0"/>
        <w:jc w:val="left"/>
        <w:rPr>
          <w:sz w:val="18"/>
        </w:rPr>
      </w:pPr>
      <w:r>
        <w:rPr>
          <w:spacing w:val="-2"/>
          <w:sz w:val="18"/>
        </w:rPr>
        <w:t>与被保险人对应的保险费系分期交费时，该被保险人名下的未满期净保费=P×（1-N÷M）*（1-25%），其中：P</w:t>
      </w:r>
      <w:r>
        <w:rPr>
          <w:spacing w:val="-10"/>
          <w:sz w:val="18"/>
        </w:rPr>
        <w:t> 指为该被保</w:t>
      </w:r>
      <w:r>
        <w:rPr>
          <w:spacing w:val="-4"/>
          <w:sz w:val="18"/>
        </w:rPr>
        <w:t>险人交纳的最近一期保险费（以下简称“当期保险费”），M</w:t>
      </w:r>
      <w:r>
        <w:rPr>
          <w:spacing w:val="-11"/>
          <w:sz w:val="18"/>
        </w:rPr>
        <w:t> 指从当期保险费的约定交纳日至下一期保险费的约定交纳日之间</w:t>
      </w:r>
      <w:r>
        <w:rPr>
          <w:sz w:val="18"/>
        </w:rPr>
        <w:t>所包含的日数，N</w:t>
      </w:r>
      <w:r>
        <w:rPr>
          <w:spacing w:val="-7"/>
          <w:sz w:val="18"/>
        </w:rPr>
        <w:t> 指从当期保险费的约定交纳日至本公司对该被保险人的保险责任提前终止之日实际经过的日数。</w:t>
      </w:r>
    </w:p>
    <w:p>
      <w:pPr>
        <w:spacing w:after="0" w:line="242" w:lineRule="auto"/>
        <w:jc w:val="left"/>
        <w:rPr>
          <w:sz w:val="18"/>
        </w:rPr>
        <w:sectPr>
          <w:type w:val="continuous"/>
          <w:pgSz w:w="11910" w:h="16840"/>
          <w:pgMar w:header="0" w:footer="967" w:top="480" w:bottom="1160" w:left="860" w:right="480"/>
        </w:sectPr>
      </w:pPr>
    </w:p>
    <w:p>
      <w:pPr>
        <w:pStyle w:val="BodyText"/>
        <w:spacing w:line="20" w:lineRule="exact"/>
        <w:ind w:left="112"/>
        <w:rPr>
          <w:sz w:val="2"/>
        </w:rPr>
      </w:pPr>
      <w:r>
        <w:rPr>
          <w:sz w:val="2"/>
        </w:rPr>
        <w:drawing>
          <wp:inline distT="0" distB="0" distL="0" distR="0">
            <wp:extent cx="6502526" cy="6096"/>
            <wp:effectExtent l="0" t="0" r="0" b="0"/>
            <wp:docPr id="41" name="image10.png"/>
            <wp:cNvGraphicFramePr>
              <a:graphicFrameLocks noChangeAspect="1"/>
            </wp:cNvGraphicFramePr>
            <a:graphic>
              <a:graphicData uri="http://schemas.openxmlformats.org/drawingml/2006/picture">
                <pic:pic>
                  <pic:nvPicPr>
                    <pic:cNvPr id="42" name="image10.png"/>
                    <pic:cNvPicPr/>
                  </pic:nvPicPr>
                  <pic:blipFill>
                    <a:blip r:embed="rId15" cstate="print"/>
                    <a:stretch>
                      <a:fillRect/>
                    </a:stretch>
                  </pic:blipFill>
                  <pic:spPr>
                    <a:xfrm>
                      <a:off x="0" y="0"/>
                      <a:ext cx="6502526" cy="6096"/>
                    </a:xfrm>
                    <a:prstGeom prst="rect">
                      <a:avLst/>
                    </a:prstGeom>
                  </pic:spPr>
                </pic:pic>
              </a:graphicData>
            </a:graphic>
          </wp:inline>
        </w:drawing>
      </w:r>
      <w:r>
        <w:rPr>
          <w:sz w:val="2"/>
        </w:rPr>
      </w:r>
    </w:p>
    <w:p>
      <w:pPr>
        <w:pStyle w:val="BodyText"/>
        <w:spacing w:line="300" w:lineRule="auto" w:before="24"/>
        <w:ind w:left="2949" w:right="469"/>
      </w:pPr>
      <w:r>
        <w:rPr>
          <w:color w:val="000000"/>
          <w:spacing w:val="-2"/>
          <w:shd w:fill="E4E4E4" w:color="auto" w:val="clear"/>
        </w:rPr>
        <w:t>的保险事故，对本合同解除或部分解除所涉及的全部或部分被保险人不承担给</w:t>
      </w:r>
      <w:r>
        <w:rPr>
          <w:color w:val="000000"/>
          <w:spacing w:val="80"/>
          <w:w w:val="150"/>
          <w:shd w:fill="E4E4E4" w:color="auto" w:val="clear"/>
        </w:rPr>
        <w:t>                                       </w:t>
      </w:r>
      <w:r>
        <w:rPr>
          <w:color w:val="000000"/>
          <w:spacing w:val="-2"/>
          <w:shd w:fill="E4E4E4" w:color="auto" w:val="clear"/>
        </w:rPr>
        <w:t>付保险金的责任，并不退还保险费。</w:t>
      </w:r>
    </w:p>
    <w:p>
      <w:pPr>
        <w:pStyle w:val="BodyText"/>
        <w:spacing w:line="300" w:lineRule="auto" w:before="158"/>
        <w:ind w:left="2949" w:right="469"/>
        <w:jc w:val="both"/>
      </w:pPr>
      <w:r>
        <w:rPr>
          <w:color w:val="000000"/>
          <w:spacing w:val="-2"/>
          <w:shd w:fill="E4E4E4" w:color="auto" w:val="clear"/>
        </w:rPr>
        <w:t>投保人因重大过失未履行如实告知义务，对保险事故的发生有严重影响的，本</w:t>
      </w:r>
      <w:r>
        <w:rPr>
          <w:color w:val="000000"/>
          <w:spacing w:val="40"/>
          <w:shd w:fill="E4E4E4" w:color="auto" w:val="clear"/>
        </w:rPr>
        <w:t> </w:t>
      </w:r>
      <w:r>
        <w:rPr>
          <w:color w:val="000000"/>
          <w:spacing w:val="-2"/>
          <w:shd w:fill="E4E4E4" w:color="auto" w:val="clear"/>
        </w:rPr>
        <w:t>公司对于本合同解除或部分解除前发生的保险事故，对本合同解除或部分解除</w:t>
      </w:r>
      <w:r>
        <w:rPr>
          <w:color w:val="000000"/>
          <w:spacing w:val="-2"/>
          <w:shd w:fill="E4E4E4" w:color="auto" w:val="clear"/>
        </w:rPr>
        <w:t>所涉及的全部或部分被保险人不承担给付保险金的责任，但会退还保险费。</w:t>
      </w:r>
    </w:p>
    <w:p>
      <w:pPr>
        <w:pStyle w:val="BodyText"/>
        <w:spacing w:line="300" w:lineRule="auto" w:before="158"/>
        <w:ind w:left="2949" w:right="469"/>
      </w:pPr>
      <w:r>
        <w:rPr>
          <w:spacing w:val="-2"/>
        </w:rPr>
        <w:t>本公司在本合同订立时已经知道投保人未如实告知的情况的，本公司不得解除</w:t>
      </w:r>
      <w:r>
        <w:rPr>
          <w:spacing w:val="-2"/>
        </w:rPr>
        <w:t>合同；发生保险事故的，本公司承担给付保险金的责任。</w:t>
      </w:r>
    </w:p>
    <w:p>
      <w:pPr>
        <w:pStyle w:val="BodyText"/>
        <w:spacing w:before="9"/>
        <w:rPr>
          <w:sz w:val="18"/>
        </w:rPr>
      </w:pPr>
    </w:p>
    <w:p>
      <w:pPr>
        <w:spacing w:after="0"/>
        <w:rPr>
          <w:sz w:val="18"/>
        </w:rPr>
        <w:sectPr>
          <w:pgSz w:w="11910" w:h="16840"/>
          <w:pgMar w:header="0" w:footer="967" w:top="1420" w:bottom="1240" w:left="860" w:right="480"/>
        </w:sectPr>
      </w:pPr>
    </w:p>
    <w:p>
      <w:pPr>
        <w:pStyle w:val="Heading3"/>
        <w:numPr>
          <w:ilvl w:val="1"/>
          <w:numId w:val="3"/>
        </w:numPr>
        <w:tabs>
          <w:tab w:pos="1180" w:val="left" w:leader="none"/>
          <w:tab w:pos="1181" w:val="left" w:leader="none"/>
        </w:tabs>
        <w:spacing w:line="208" w:lineRule="auto" w:before="40" w:after="0"/>
        <w:ind w:left="1180" w:right="0" w:hanging="961"/>
        <w:jc w:val="left"/>
      </w:pPr>
      <w:r>
        <w:rPr>
          <w:spacing w:val="8"/>
        </w:rPr>
        <w:t>本公司合同解除</w:t>
      </w:r>
      <w:r>
        <w:rPr>
          <w:spacing w:val="-4"/>
        </w:rPr>
        <w:t>权的限制</w:t>
      </w:r>
    </w:p>
    <w:p>
      <w:pPr>
        <w:pStyle w:val="BodyText"/>
        <w:spacing w:line="300" w:lineRule="auto" w:before="71"/>
        <w:ind w:left="174" w:right="418"/>
      </w:pPr>
      <w:r>
        <w:rPr/>
        <w:br w:type="column"/>
      </w:r>
      <w:r>
        <w:rPr/>
        <w:t>6.1</w:t>
      </w:r>
      <w:r>
        <w:rPr>
          <w:spacing w:val="-10"/>
        </w:rPr>
        <w:t> 款规定的合同解除权，自本公司知道有解除事由之日起，超过 </w:t>
      </w:r>
      <w:r>
        <w:rPr/>
        <w:t>30</w:t>
      </w:r>
      <w:r>
        <w:rPr>
          <w:spacing w:val="-12"/>
        </w:rPr>
        <w:t> 日不行使</w:t>
      </w:r>
      <w:r>
        <w:rPr>
          <w:spacing w:val="-4"/>
        </w:rPr>
        <w:t>而消灭。</w:t>
      </w:r>
    </w:p>
    <w:p>
      <w:pPr>
        <w:spacing w:after="0" w:line="300" w:lineRule="auto"/>
        <w:sectPr>
          <w:type w:val="continuous"/>
          <w:pgSz w:w="11910" w:h="16840"/>
          <w:pgMar w:header="0" w:footer="967" w:top="480" w:bottom="1160" w:left="860" w:right="480"/>
          <w:cols w:num="2" w:equalWidth="0">
            <w:col w:w="2735" w:space="40"/>
            <w:col w:w="7795"/>
          </w:cols>
        </w:sectPr>
      </w:pPr>
    </w:p>
    <w:p>
      <w:pPr>
        <w:pStyle w:val="BodyText"/>
        <w:rPr>
          <w:sz w:val="19"/>
        </w:rPr>
      </w:pPr>
    </w:p>
    <w:p>
      <w:pPr>
        <w:pStyle w:val="ListParagraph"/>
        <w:numPr>
          <w:ilvl w:val="1"/>
          <w:numId w:val="14"/>
        </w:numPr>
        <w:tabs>
          <w:tab w:pos="1180" w:val="left" w:leader="none"/>
          <w:tab w:pos="1181" w:val="left" w:leader="none"/>
          <w:tab w:pos="2949" w:val="left" w:leader="none"/>
        </w:tabs>
        <w:spacing w:line="249" w:lineRule="auto" w:before="4" w:after="0"/>
        <w:ind w:left="2949" w:right="469" w:hanging="2730"/>
        <w:jc w:val="left"/>
        <w:rPr>
          <w:sz w:val="21"/>
        </w:rPr>
      </w:pPr>
      <w:r>
        <w:rPr>
          <w:rFonts w:ascii="微软雅黑" w:eastAsia="微软雅黑"/>
          <w:b/>
          <w:spacing w:val="-4"/>
          <w:sz w:val="21"/>
        </w:rPr>
        <w:t>年</w:t>
      </w:r>
      <w:r>
        <w:rPr>
          <w:rFonts w:ascii="微软雅黑" w:eastAsia="微软雅黑"/>
          <w:b/>
          <w:spacing w:val="-4"/>
          <w:sz w:val="21"/>
        </w:rPr>
        <w:t>龄</w:t>
      </w:r>
      <w:r>
        <w:rPr>
          <w:rFonts w:ascii="微软雅黑" w:eastAsia="微软雅黑"/>
          <w:b/>
          <w:spacing w:val="-4"/>
          <w:sz w:val="21"/>
        </w:rPr>
        <w:t>错</w:t>
      </w:r>
      <w:r>
        <w:rPr>
          <w:rFonts w:ascii="微软雅黑" w:eastAsia="微软雅黑"/>
          <w:b/>
          <w:spacing w:val="-4"/>
          <w:sz w:val="21"/>
        </w:rPr>
        <w:t>误</w:t>
      </w:r>
      <w:r>
        <w:rPr>
          <w:rFonts w:ascii="微软雅黑" w:eastAsia="微软雅黑"/>
          <w:b/>
          <w:sz w:val="21"/>
        </w:rPr>
        <w:tab/>
      </w:r>
      <w:r>
        <w:rPr>
          <w:spacing w:val="-2"/>
          <w:sz w:val="21"/>
        </w:rPr>
        <w:t>投</w:t>
      </w:r>
      <w:r>
        <w:rPr>
          <w:spacing w:val="-2"/>
          <w:sz w:val="21"/>
        </w:rPr>
        <w:t>保</w:t>
      </w:r>
      <w:r>
        <w:rPr>
          <w:spacing w:val="-2"/>
          <w:sz w:val="21"/>
        </w:rPr>
        <w:t>人在申请投保时，应</w:t>
      </w:r>
      <w:r>
        <w:rPr>
          <w:spacing w:val="-2"/>
          <w:sz w:val="21"/>
        </w:rPr>
        <w:t>将</w:t>
      </w:r>
      <w:r>
        <w:rPr>
          <w:spacing w:val="-2"/>
          <w:sz w:val="21"/>
        </w:rPr>
        <w:t>与</w:t>
      </w:r>
      <w:r>
        <w:rPr>
          <w:spacing w:val="-2"/>
          <w:sz w:val="21"/>
        </w:rPr>
        <w:t>有效身份证件相符的</w:t>
      </w:r>
      <w:r>
        <w:rPr>
          <w:spacing w:val="-2"/>
          <w:sz w:val="21"/>
        </w:rPr>
        <w:t>被</w:t>
      </w:r>
      <w:r>
        <w:rPr>
          <w:spacing w:val="-2"/>
          <w:sz w:val="21"/>
        </w:rPr>
        <w:t>保</w:t>
      </w:r>
      <w:r>
        <w:rPr>
          <w:spacing w:val="-2"/>
          <w:sz w:val="21"/>
        </w:rPr>
        <w:t>险人的出生日期或周岁</w:t>
      </w:r>
      <w:r>
        <w:rPr>
          <w:spacing w:val="-2"/>
          <w:sz w:val="21"/>
        </w:rPr>
        <w:t>年</w:t>
      </w:r>
      <w:r>
        <w:rPr>
          <w:spacing w:val="-2"/>
          <w:sz w:val="21"/>
        </w:rPr>
        <w:t>龄</w:t>
      </w:r>
      <w:r>
        <w:rPr>
          <w:spacing w:val="-2"/>
          <w:sz w:val="21"/>
        </w:rPr>
        <w:t>在投保单或其他投保</w:t>
      </w:r>
      <w:r>
        <w:rPr>
          <w:spacing w:val="-2"/>
          <w:sz w:val="21"/>
        </w:rPr>
        <w:t>文</w:t>
      </w:r>
      <w:r>
        <w:rPr>
          <w:spacing w:val="-2"/>
          <w:sz w:val="21"/>
        </w:rPr>
        <w:t>件</w:t>
      </w:r>
      <w:r>
        <w:rPr>
          <w:spacing w:val="-2"/>
          <w:sz w:val="21"/>
        </w:rPr>
        <w:t>上填明，若发生错误</w:t>
      </w:r>
      <w:r>
        <w:rPr>
          <w:spacing w:val="-2"/>
          <w:sz w:val="21"/>
        </w:rPr>
        <w:t>按</w:t>
      </w:r>
      <w:r>
        <w:rPr>
          <w:spacing w:val="-2"/>
          <w:sz w:val="21"/>
        </w:rPr>
        <w:t>照</w:t>
      </w:r>
      <w:r>
        <w:rPr>
          <w:spacing w:val="-2"/>
          <w:sz w:val="21"/>
        </w:rPr>
        <w:t>下列方式办</w:t>
      </w:r>
      <w:r>
        <w:rPr>
          <w:spacing w:val="-2"/>
          <w:sz w:val="21"/>
        </w:rPr>
        <w:t>理</w:t>
      </w:r>
      <w:r>
        <w:rPr>
          <w:spacing w:val="-2"/>
          <w:sz w:val="21"/>
        </w:rPr>
        <w:t>：</w:t>
      </w:r>
    </w:p>
    <w:p>
      <w:pPr>
        <w:pStyle w:val="BodyText"/>
        <w:rPr>
          <w:sz w:val="11"/>
        </w:rPr>
      </w:pPr>
    </w:p>
    <w:p>
      <w:pPr>
        <w:pStyle w:val="ListParagraph"/>
        <w:numPr>
          <w:ilvl w:val="2"/>
          <w:numId w:val="14"/>
        </w:numPr>
        <w:tabs>
          <w:tab w:pos="3479" w:val="left" w:leader="none"/>
        </w:tabs>
        <w:spacing w:line="300" w:lineRule="auto" w:before="72" w:after="0"/>
        <w:ind w:left="2949" w:right="365" w:firstLine="0"/>
        <w:jc w:val="left"/>
        <w:rPr>
          <w:sz w:val="21"/>
        </w:rPr>
      </w:pPr>
      <w:r>
        <w:rPr>
          <w:color w:val="000000"/>
          <w:spacing w:val="-2"/>
          <w:sz w:val="21"/>
          <w:shd w:fill="E4E4E4" w:color="auto" w:val="clear"/>
        </w:rPr>
        <w:t>投保人申报的被保险人年龄不真实，并且其真实年龄不符合本合同约定投</w:t>
      </w:r>
      <w:r>
        <w:rPr>
          <w:color w:val="000000"/>
          <w:spacing w:val="13965"/>
          <w:sz w:val="21"/>
          <w:shd w:fill="E4E4E4" w:color="auto" w:val="clear"/>
        </w:rPr>
        <w:t> </w:t>
      </w:r>
      <w:r>
        <w:rPr>
          <w:color w:val="000000"/>
          <w:spacing w:val="-2"/>
          <w:sz w:val="21"/>
          <w:shd w:fill="E4E4E4" w:color="auto" w:val="clear"/>
        </w:rPr>
        <w:t>保年龄限制的，本公司有权取消该被保险人的被保资格，并向投保人退还相应</w:t>
      </w:r>
      <w:r>
        <w:rPr>
          <w:color w:val="000000"/>
          <w:sz w:val="21"/>
          <w:shd w:fill="E4E4E4" w:color="auto" w:val="clear"/>
        </w:rPr>
        <w:t>未满期净保费。本公司行使被保险人的被保资格取消权适用“6.2</w:t>
      </w:r>
      <w:r>
        <w:rPr>
          <w:color w:val="000000"/>
          <w:spacing w:val="-9"/>
          <w:sz w:val="21"/>
          <w:shd w:fill="E4E4E4" w:color="auto" w:val="clear"/>
        </w:rPr>
        <w:t> 本公司合同</w:t>
      </w:r>
      <w:r>
        <w:rPr>
          <w:color w:val="000000"/>
          <w:spacing w:val="-2"/>
          <w:sz w:val="21"/>
          <w:shd w:fill="E4E4E4" w:color="auto" w:val="clear"/>
        </w:rPr>
        <w:t>解除权的限制”的规定。</w:t>
      </w:r>
    </w:p>
    <w:p>
      <w:pPr>
        <w:pStyle w:val="ListParagraph"/>
        <w:numPr>
          <w:ilvl w:val="2"/>
          <w:numId w:val="14"/>
        </w:numPr>
        <w:tabs>
          <w:tab w:pos="3479" w:val="left" w:leader="none"/>
        </w:tabs>
        <w:spacing w:line="300" w:lineRule="auto" w:before="159" w:after="0"/>
        <w:ind w:left="2949" w:right="365" w:firstLine="0"/>
        <w:jc w:val="left"/>
        <w:rPr>
          <w:sz w:val="21"/>
        </w:rPr>
      </w:pPr>
      <w:r>
        <w:rPr>
          <w:color w:val="000000"/>
          <w:spacing w:val="-2"/>
          <w:sz w:val="21"/>
          <w:shd w:fill="E4E4E4" w:color="auto" w:val="clear"/>
        </w:rPr>
        <w:t>投保人申报的被保险人年龄不真实，致使投保人实交保险费少于应交保险</w:t>
      </w:r>
      <w:r>
        <w:rPr>
          <w:color w:val="000000"/>
          <w:spacing w:val="13965"/>
          <w:sz w:val="21"/>
          <w:shd w:fill="E4E4E4" w:color="auto" w:val="clear"/>
        </w:rPr>
        <w:t> </w:t>
      </w:r>
      <w:r>
        <w:rPr>
          <w:color w:val="000000"/>
          <w:spacing w:val="-2"/>
          <w:sz w:val="21"/>
          <w:shd w:fill="E4E4E4" w:color="auto" w:val="clear"/>
        </w:rPr>
        <w:t>费的，本公司有权更正并要求投保人补交保险费，但若已经发生保险事故，本</w:t>
      </w:r>
      <w:r>
        <w:rPr>
          <w:color w:val="000000"/>
          <w:spacing w:val="-2"/>
          <w:sz w:val="21"/>
          <w:shd w:fill="E4E4E4" w:color="auto" w:val="clear"/>
        </w:rPr>
        <w:t>公司有权按实收保险费占应交保险费的比例给付第 </w:t>
      </w:r>
      <w:r>
        <w:rPr>
          <w:color w:val="000000"/>
          <w:sz w:val="21"/>
          <w:shd w:fill="E4E4E4" w:color="auto" w:val="clear"/>
        </w:rPr>
        <w:t>2</w:t>
      </w:r>
      <w:r>
        <w:rPr>
          <w:color w:val="000000"/>
          <w:spacing w:val="-5"/>
          <w:sz w:val="21"/>
          <w:shd w:fill="E4E4E4" w:color="auto" w:val="clear"/>
        </w:rPr>
        <w:t> 部分“提供的保障”约定</w:t>
      </w:r>
      <w:r>
        <w:rPr>
          <w:color w:val="000000"/>
          <w:spacing w:val="-2"/>
          <w:sz w:val="21"/>
          <w:shd w:fill="E4E4E4" w:color="auto" w:val="clear"/>
        </w:rPr>
        <w:t>的保险金。</w:t>
      </w:r>
    </w:p>
    <w:p>
      <w:pPr>
        <w:pStyle w:val="ListParagraph"/>
        <w:numPr>
          <w:ilvl w:val="2"/>
          <w:numId w:val="14"/>
        </w:numPr>
        <w:tabs>
          <w:tab w:pos="3479" w:val="left" w:leader="none"/>
        </w:tabs>
        <w:spacing w:line="300" w:lineRule="auto" w:before="158" w:after="0"/>
        <w:ind w:left="2949" w:right="365" w:firstLine="0"/>
        <w:jc w:val="left"/>
        <w:rPr>
          <w:sz w:val="21"/>
        </w:rPr>
      </w:pPr>
      <w:r>
        <w:rPr>
          <w:color w:val="000000"/>
          <w:spacing w:val="-2"/>
          <w:sz w:val="21"/>
          <w:shd w:fill="E4E4E4" w:color="auto" w:val="clear"/>
        </w:rPr>
        <w:t>投保人申报的被保险人年龄不真实，致使投保人实交保险费多于应交保险</w:t>
      </w:r>
      <w:r>
        <w:rPr>
          <w:color w:val="000000"/>
          <w:spacing w:val="13965"/>
          <w:sz w:val="21"/>
          <w:shd w:fill="E4E4E4" w:color="auto" w:val="clear"/>
        </w:rPr>
        <w:t> </w:t>
      </w:r>
      <w:r>
        <w:rPr>
          <w:color w:val="000000"/>
          <w:spacing w:val="-2"/>
          <w:sz w:val="21"/>
          <w:shd w:fill="E4E4E4" w:color="auto" w:val="clear"/>
        </w:rPr>
        <w:t>费的，本公司会将多收的保险费无息退还给投保人。</w:t>
      </w:r>
    </w:p>
    <w:p>
      <w:pPr>
        <w:pStyle w:val="BodyText"/>
        <w:rPr>
          <w:sz w:val="19"/>
        </w:rPr>
      </w:pPr>
    </w:p>
    <w:p>
      <w:pPr>
        <w:pStyle w:val="ListParagraph"/>
        <w:numPr>
          <w:ilvl w:val="1"/>
          <w:numId w:val="14"/>
        </w:numPr>
        <w:tabs>
          <w:tab w:pos="1180" w:val="left" w:leader="none"/>
          <w:tab w:pos="1181" w:val="left" w:leader="none"/>
          <w:tab w:pos="2949" w:val="left" w:leader="none"/>
        </w:tabs>
        <w:spacing w:line="240" w:lineRule="auto" w:before="1" w:after="0"/>
        <w:ind w:left="2949" w:right="0" w:hanging="2730"/>
        <w:jc w:val="left"/>
        <w:rPr>
          <w:sz w:val="21"/>
        </w:rPr>
      </w:pPr>
      <w:r>
        <w:rPr>
          <w:rFonts w:ascii="微软雅黑" w:eastAsia="微软雅黑"/>
          <w:b/>
          <w:sz w:val="21"/>
        </w:rPr>
        <w:t>被保险人变</w:t>
      </w:r>
      <w:r>
        <w:rPr>
          <w:rFonts w:ascii="微软雅黑" w:eastAsia="微软雅黑"/>
          <w:b/>
          <w:spacing w:val="-10"/>
          <w:sz w:val="21"/>
        </w:rPr>
        <w:t>动</w:t>
      </w:r>
      <w:r>
        <w:rPr>
          <w:rFonts w:ascii="微软雅黑" w:eastAsia="微软雅黑"/>
          <w:b/>
          <w:sz w:val="21"/>
        </w:rPr>
        <w:tab/>
      </w:r>
      <w:r>
        <w:rPr>
          <w:spacing w:val="-2"/>
          <w:sz w:val="21"/>
        </w:rPr>
        <w:t>在</w:t>
      </w:r>
      <w:r>
        <w:rPr>
          <w:spacing w:val="-2"/>
          <w:sz w:val="21"/>
        </w:rPr>
        <w:t>保</w:t>
      </w:r>
      <w:r>
        <w:rPr>
          <w:spacing w:val="-2"/>
          <w:sz w:val="21"/>
        </w:rPr>
        <w:t>险期间内，投保人可</w:t>
      </w:r>
      <w:r>
        <w:rPr>
          <w:spacing w:val="-2"/>
          <w:sz w:val="21"/>
        </w:rPr>
        <w:t>以</w:t>
      </w:r>
      <w:r>
        <w:rPr>
          <w:spacing w:val="-2"/>
          <w:sz w:val="21"/>
        </w:rPr>
        <w:t>书</w:t>
      </w:r>
      <w:r>
        <w:rPr>
          <w:spacing w:val="-2"/>
          <w:sz w:val="21"/>
        </w:rPr>
        <w:t>面或投保人与本公司</w:t>
      </w:r>
      <w:r>
        <w:rPr>
          <w:spacing w:val="-2"/>
          <w:sz w:val="21"/>
        </w:rPr>
        <w:t>约</w:t>
      </w:r>
      <w:r>
        <w:rPr>
          <w:spacing w:val="-2"/>
          <w:sz w:val="21"/>
        </w:rPr>
        <w:t>定</w:t>
      </w:r>
      <w:r>
        <w:rPr>
          <w:spacing w:val="-2"/>
          <w:sz w:val="21"/>
        </w:rPr>
        <w:t>的其他形式，按本合</w:t>
      </w:r>
      <w:r>
        <w:rPr>
          <w:spacing w:val="-10"/>
          <w:sz w:val="21"/>
        </w:rPr>
        <w:t>同</w:t>
      </w:r>
    </w:p>
    <w:p>
      <w:pPr>
        <w:pStyle w:val="BodyText"/>
        <w:spacing w:line="300" w:lineRule="auto" w:before="18"/>
        <w:ind w:left="2949" w:right="469"/>
      </w:pPr>
      <w:r>
        <w:rPr>
          <w:spacing w:val="-2"/>
        </w:rPr>
        <w:t>有关约定及时向本公司提出申请，减少被保险人（简称“减保</w:t>
      </w:r>
      <w:r>
        <w:rPr>
          <w:spacing w:val="-106"/>
        </w:rPr>
        <w:t>”）</w:t>
      </w:r>
      <w:r>
        <w:rPr>
          <w:spacing w:val="-2"/>
        </w:rPr>
        <w:t>。本公司审核</w:t>
      </w:r>
      <w:r>
        <w:rPr>
          <w:spacing w:val="-2"/>
        </w:rPr>
        <w:t>同意后出具批单。</w:t>
      </w:r>
    </w:p>
    <w:p>
      <w:pPr>
        <w:pStyle w:val="BodyText"/>
        <w:spacing w:before="1"/>
        <w:rPr>
          <w:sz w:val="19"/>
        </w:rPr>
      </w:pPr>
    </w:p>
    <w:p>
      <w:pPr>
        <w:pStyle w:val="BodyText"/>
        <w:tabs>
          <w:tab w:pos="1180" w:val="left" w:leader="none"/>
          <w:tab w:pos="2949" w:val="left" w:leader="none"/>
        </w:tabs>
        <w:spacing w:line="249" w:lineRule="auto"/>
        <w:ind w:left="2949" w:right="468" w:hanging="2730"/>
      </w:pPr>
      <w:r>
        <w:rPr>
          <w:rFonts w:ascii="微软雅黑" w:eastAsia="微软雅黑"/>
          <w:b/>
          <w:spacing w:val="-2"/>
        </w:rPr>
        <w:t>6.4.1</w:t>
      </w:r>
      <w:r>
        <w:rPr>
          <w:rFonts w:ascii="微软雅黑" w:eastAsia="微软雅黑"/>
          <w:b/>
        </w:rPr>
        <w:tab/>
      </w:r>
      <w:r>
        <w:rPr>
          <w:rFonts w:ascii="微软雅黑" w:eastAsia="微软雅黑"/>
          <w:b/>
          <w:spacing w:val="-6"/>
        </w:rPr>
        <w:t>减</w:t>
      </w:r>
      <w:r>
        <w:rPr>
          <w:rFonts w:ascii="微软雅黑" w:eastAsia="微软雅黑"/>
          <w:b/>
          <w:spacing w:val="-6"/>
        </w:rPr>
        <w:t>保</w:t>
      </w:r>
      <w:r>
        <w:rPr>
          <w:rFonts w:ascii="微软雅黑" w:eastAsia="微软雅黑"/>
          <w:b/>
        </w:rPr>
        <w:tab/>
      </w:r>
      <w:r>
        <w:rPr>
          <w:spacing w:val="-2"/>
        </w:rPr>
        <w:t>本</w:t>
      </w:r>
      <w:r>
        <w:rPr>
          <w:spacing w:val="-2"/>
        </w:rPr>
        <w:t>公</w:t>
      </w:r>
      <w:r>
        <w:rPr>
          <w:spacing w:val="-2"/>
        </w:rPr>
        <w:t>司自收到申请之日起</w:t>
      </w:r>
      <w:r>
        <w:rPr>
          <w:spacing w:val="-2"/>
        </w:rPr>
        <w:t>次</w:t>
      </w:r>
      <w:r>
        <w:rPr>
          <w:spacing w:val="-2"/>
        </w:rPr>
        <w:t>日</w:t>
      </w:r>
      <w:r>
        <w:rPr>
          <w:spacing w:val="-2"/>
        </w:rPr>
        <w:t>零时或申请载明的终</w:t>
      </w:r>
      <w:r>
        <w:rPr>
          <w:spacing w:val="-2"/>
        </w:rPr>
        <w:t>止</w:t>
      </w:r>
      <w:r>
        <w:rPr>
          <w:spacing w:val="-2"/>
        </w:rPr>
        <w:t>日</w:t>
      </w:r>
      <w:r>
        <w:rPr>
          <w:spacing w:val="-2"/>
        </w:rPr>
        <w:t>期（以较晚者为准）二</w:t>
      </w:r>
      <w:r>
        <w:rPr>
          <w:spacing w:val="-2"/>
        </w:rPr>
        <w:t>十</w:t>
      </w:r>
      <w:r>
        <w:rPr>
          <w:spacing w:val="-2"/>
        </w:rPr>
        <w:t>四</w:t>
      </w:r>
      <w:r>
        <w:rPr>
          <w:spacing w:val="-2"/>
        </w:rPr>
        <w:t>时起终止对相应被保</w:t>
      </w:r>
      <w:r>
        <w:rPr>
          <w:spacing w:val="-2"/>
        </w:rPr>
        <w:t>险</w:t>
      </w:r>
      <w:r>
        <w:rPr>
          <w:spacing w:val="-2"/>
        </w:rPr>
        <w:t>人</w:t>
      </w:r>
      <w:r>
        <w:rPr>
          <w:spacing w:val="-2"/>
        </w:rPr>
        <w:t>的保险责任，并退还</w:t>
      </w:r>
      <w:r>
        <w:rPr>
          <w:spacing w:val="-2"/>
        </w:rPr>
        <w:t>相</w:t>
      </w:r>
      <w:r>
        <w:rPr>
          <w:spacing w:val="-2"/>
        </w:rPr>
        <w:t>应</w:t>
      </w:r>
      <w:r>
        <w:rPr>
          <w:spacing w:val="-2"/>
        </w:rPr>
        <w:t>未满期净保费，</w:t>
      </w:r>
      <w:r>
        <w:rPr>
          <w:color w:val="000000"/>
          <w:spacing w:val="-2"/>
          <w:shd w:fill="E4E4E4" w:color="auto" w:val="clear"/>
        </w:rPr>
        <w:t>但本</w:t>
      </w:r>
      <w:r>
        <w:rPr>
          <w:color w:val="000000"/>
          <w:spacing w:val="-10"/>
          <w:shd w:fill="E4E4E4" w:color="auto" w:val="clear"/>
        </w:rPr>
        <w:t>公</w:t>
      </w:r>
    </w:p>
    <w:p>
      <w:pPr>
        <w:pStyle w:val="BodyText"/>
        <w:spacing w:before="59"/>
        <w:ind w:left="2949"/>
      </w:pPr>
      <w:r>
        <w:rPr>
          <w:color w:val="000000"/>
          <w:spacing w:val="-2"/>
          <w:shd w:fill="E4E4E4" w:color="auto" w:val="clear"/>
        </w:rPr>
        <w:t>司已根据本合同给付保险金或已发生保险事故但尚未给付保险金的不予退还</w:t>
      </w:r>
      <w:r>
        <w:rPr>
          <w:color w:val="000000"/>
          <w:spacing w:val="-10"/>
        </w:rPr>
        <w:t>。</w:t>
      </w:r>
    </w:p>
    <w:p>
      <w:pPr>
        <w:pStyle w:val="BodyText"/>
        <w:spacing w:before="5"/>
        <w:rPr>
          <w:sz w:val="24"/>
        </w:rPr>
      </w:pPr>
    </w:p>
    <w:p>
      <w:pPr>
        <w:pStyle w:val="ListParagraph"/>
        <w:numPr>
          <w:ilvl w:val="1"/>
          <w:numId w:val="14"/>
        </w:numPr>
        <w:tabs>
          <w:tab w:pos="1180" w:val="left" w:leader="none"/>
          <w:tab w:pos="1181" w:val="left" w:leader="none"/>
          <w:tab w:pos="2949" w:val="left" w:leader="none"/>
        </w:tabs>
        <w:spacing w:line="249" w:lineRule="auto" w:before="0" w:after="0"/>
        <w:ind w:left="2949" w:right="469" w:hanging="2730"/>
        <w:jc w:val="left"/>
        <w:rPr>
          <w:sz w:val="21"/>
        </w:rPr>
      </w:pPr>
      <w:r>
        <w:rPr>
          <w:rFonts w:ascii="微软雅黑" w:eastAsia="微软雅黑"/>
          <w:b/>
          <w:spacing w:val="-4"/>
          <w:sz w:val="21"/>
        </w:rPr>
        <w:t>未</w:t>
      </w:r>
      <w:r>
        <w:rPr>
          <w:rFonts w:ascii="微软雅黑" w:eastAsia="微软雅黑"/>
          <w:b/>
          <w:spacing w:val="-4"/>
          <w:sz w:val="21"/>
        </w:rPr>
        <w:t>还</w:t>
      </w:r>
      <w:r>
        <w:rPr>
          <w:rFonts w:ascii="微软雅黑" w:eastAsia="微软雅黑"/>
          <w:b/>
          <w:spacing w:val="-4"/>
          <w:sz w:val="21"/>
        </w:rPr>
        <w:t>款</w:t>
      </w:r>
      <w:r>
        <w:rPr>
          <w:rFonts w:ascii="微软雅黑" w:eastAsia="微软雅黑"/>
          <w:b/>
          <w:spacing w:val="-4"/>
          <w:sz w:val="21"/>
        </w:rPr>
        <w:t>项</w:t>
      </w:r>
      <w:r>
        <w:rPr>
          <w:rFonts w:ascii="微软雅黑" w:eastAsia="微软雅黑"/>
          <w:b/>
          <w:sz w:val="21"/>
        </w:rPr>
        <w:tab/>
      </w:r>
      <w:r>
        <w:rPr>
          <w:spacing w:val="-2"/>
          <w:sz w:val="21"/>
        </w:rPr>
        <w:t>本</w:t>
      </w:r>
      <w:r>
        <w:rPr>
          <w:spacing w:val="-2"/>
          <w:sz w:val="21"/>
        </w:rPr>
        <w:t>公</w:t>
      </w:r>
      <w:r>
        <w:rPr>
          <w:spacing w:val="-2"/>
          <w:sz w:val="21"/>
        </w:rPr>
        <w:t>司在给付各项保险金</w:t>
      </w:r>
      <w:r>
        <w:rPr>
          <w:spacing w:val="-2"/>
          <w:sz w:val="21"/>
        </w:rPr>
        <w:t>、</w:t>
      </w:r>
      <w:r>
        <w:rPr>
          <w:spacing w:val="-2"/>
          <w:sz w:val="21"/>
        </w:rPr>
        <w:t>退</w:t>
      </w:r>
      <w:r>
        <w:rPr>
          <w:spacing w:val="-2"/>
          <w:sz w:val="21"/>
        </w:rPr>
        <w:t>还未满期净保费或保</w:t>
      </w:r>
      <w:r>
        <w:rPr>
          <w:spacing w:val="-2"/>
          <w:sz w:val="21"/>
        </w:rPr>
        <w:t>险</w:t>
      </w:r>
      <w:r>
        <w:rPr>
          <w:spacing w:val="-2"/>
          <w:sz w:val="21"/>
        </w:rPr>
        <w:t>费</w:t>
      </w:r>
      <w:r>
        <w:rPr>
          <w:spacing w:val="-2"/>
          <w:sz w:val="21"/>
        </w:rPr>
        <w:t>等款项时，若投保人有</w:t>
      </w:r>
      <w:r>
        <w:rPr>
          <w:spacing w:val="-2"/>
          <w:sz w:val="21"/>
        </w:rPr>
        <w:t>欠</w:t>
      </w:r>
      <w:r>
        <w:rPr>
          <w:spacing w:val="-2"/>
          <w:sz w:val="21"/>
        </w:rPr>
        <w:t>交</w:t>
      </w:r>
      <w:r>
        <w:rPr>
          <w:spacing w:val="-2"/>
          <w:sz w:val="21"/>
        </w:rPr>
        <w:t>或未还清款项，本公</w:t>
      </w:r>
      <w:r>
        <w:rPr>
          <w:spacing w:val="-2"/>
          <w:sz w:val="21"/>
        </w:rPr>
        <w:t>司</w:t>
      </w:r>
      <w:r>
        <w:rPr>
          <w:spacing w:val="-2"/>
          <w:sz w:val="21"/>
        </w:rPr>
        <w:t>会</w:t>
      </w:r>
      <w:r>
        <w:rPr>
          <w:spacing w:val="-2"/>
          <w:sz w:val="21"/>
        </w:rPr>
        <w:t>在投保人清偿款项后</w:t>
      </w:r>
      <w:r>
        <w:rPr>
          <w:spacing w:val="-2"/>
          <w:sz w:val="21"/>
        </w:rPr>
        <w:t>给</w:t>
      </w:r>
      <w:r>
        <w:rPr>
          <w:spacing w:val="-2"/>
          <w:sz w:val="21"/>
        </w:rPr>
        <w:t>付</w:t>
      </w:r>
      <w:r>
        <w:rPr>
          <w:spacing w:val="-2"/>
          <w:sz w:val="21"/>
        </w:rPr>
        <w:t>。</w:t>
      </w:r>
    </w:p>
    <w:p>
      <w:pPr>
        <w:pStyle w:val="BodyText"/>
        <w:spacing w:before="5"/>
        <w:rPr>
          <w:sz w:val="24"/>
        </w:rPr>
      </w:pPr>
    </w:p>
    <w:p>
      <w:pPr>
        <w:pStyle w:val="ListParagraph"/>
        <w:numPr>
          <w:ilvl w:val="1"/>
          <w:numId w:val="14"/>
        </w:numPr>
        <w:tabs>
          <w:tab w:pos="1180" w:val="left" w:leader="none"/>
          <w:tab w:pos="1181" w:val="left" w:leader="none"/>
          <w:tab w:pos="2949" w:val="left" w:leader="none"/>
        </w:tabs>
        <w:spacing w:line="336" w:lineRule="exact" w:before="0" w:after="0"/>
        <w:ind w:left="2949" w:right="469" w:hanging="2730"/>
        <w:jc w:val="left"/>
        <w:rPr>
          <w:sz w:val="21"/>
        </w:rPr>
      </w:pP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内</w:t>
      </w:r>
      <w:r>
        <w:rPr>
          <w:rFonts w:ascii="微软雅黑" w:eastAsia="微软雅黑"/>
          <w:b/>
          <w:spacing w:val="-2"/>
          <w:sz w:val="21"/>
        </w:rPr>
        <w:t>容</w:t>
      </w:r>
      <w:r>
        <w:rPr>
          <w:rFonts w:ascii="微软雅黑" w:eastAsia="微软雅黑"/>
          <w:b/>
          <w:spacing w:val="-2"/>
          <w:sz w:val="21"/>
        </w:rPr>
        <w:t>变</w:t>
      </w:r>
      <w:r>
        <w:rPr>
          <w:rFonts w:ascii="微软雅黑" w:eastAsia="微软雅黑"/>
          <w:b/>
          <w:spacing w:val="-2"/>
          <w:sz w:val="21"/>
        </w:rPr>
        <w:t>更</w:t>
      </w:r>
      <w:r>
        <w:rPr>
          <w:rFonts w:ascii="微软雅黑" w:eastAsia="微软雅黑"/>
          <w:b/>
          <w:sz w:val="21"/>
        </w:rPr>
        <w:tab/>
      </w:r>
      <w:r>
        <w:rPr>
          <w:spacing w:val="-2"/>
          <w:sz w:val="21"/>
        </w:rPr>
        <w:t>在</w:t>
      </w:r>
      <w:r>
        <w:rPr>
          <w:spacing w:val="-2"/>
          <w:sz w:val="21"/>
        </w:rPr>
        <w:t>本</w:t>
      </w:r>
      <w:r>
        <w:rPr>
          <w:spacing w:val="-2"/>
          <w:sz w:val="21"/>
        </w:rPr>
        <w:t>合同有效期内，经投</w:t>
      </w:r>
      <w:r>
        <w:rPr>
          <w:spacing w:val="-2"/>
          <w:sz w:val="21"/>
        </w:rPr>
        <w:t>保</w:t>
      </w:r>
      <w:r>
        <w:rPr>
          <w:spacing w:val="-2"/>
          <w:sz w:val="21"/>
        </w:rPr>
        <w:t>人</w:t>
      </w:r>
      <w:r>
        <w:rPr>
          <w:spacing w:val="-2"/>
          <w:sz w:val="21"/>
        </w:rPr>
        <w:t>与本公司协商一致，</w:t>
      </w:r>
      <w:r>
        <w:rPr>
          <w:spacing w:val="-2"/>
          <w:sz w:val="21"/>
        </w:rPr>
        <w:t>可</w:t>
      </w:r>
      <w:r>
        <w:rPr>
          <w:spacing w:val="-2"/>
          <w:sz w:val="21"/>
        </w:rPr>
        <w:t>以</w:t>
      </w:r>
      <w:r>
        <w:rPr>
          <w:spacing w:val="-2"/>
          <w:sz w:val="21"/>
        </w:rPr>
        <w:t>变更本合同的有</w:t>
      </w:r>
      <w:r>
        <w:rPr>
          <w:spacing w:val="-2"/>
          <w:sz w:val="21"/>
        </w:rPr>
        <w:t>关</w:t>
      </w:r>
      <w:r>
        <w:rPr>
          <w:spacing w:val="-2"/>
          <w:sz w:val="21"/>
        </w:rPr>
        <w:t>内</w:t>
      </w:r>
      <w:r>
        <w:rPr>
          <w:spacing w:val="40"/>
          <w:sz w:val="21"/>
        </w:rPr>
        <w:t> </w:t>
      </w:r>
      <w:r>
        <w:rPr>
          <w:spacing w:val="-2"/>
          <w:sz w:val="21"/>
        </w:rPr>
        <w:t>容</w:t>
      </w:r>
      <w:r>
        <w:rPr>
          <w:spacing w:val="-2"/>
          <w:sz w:val="21"/>
        </w:rPr>
        <w:t>，并由本公司在保险单</w:t>
      </w:r>
      <w:r>
        <w:rPr>
          <w:spacing w:val="-2"/>
          <w:sz w:val="21"/>
        </w:rPr>
        <w:t>或</w:t>
      </w:r>
      <w:r>
        <w:rPr>
          <w:spacing w:val="-2"/>
          <w:sz w:val="21"/>
        </w:rPr>
        <w:t>其</w:t>
      </w:r>
      <w:r>
        <w:rPr>
          <w:spacing w:val="-2"/>
          <w:sz w:val="21"/>
        </w:rPr>
        <w:t>他保险凭证上批注或</w:t>
      </w:r>
      <w:r>
        <w:rPr>
          <w:spacing w:val="-2"/>
          <w:sz w:val="21"/>
        </w:rPr>
        <w:t>附</w:t>
      </w:r>
      <w:r>
        <w:rPr>
          <w:spacing w:val="-2"/>
          <w:sz w:val="21"/>
        </w:rPr>
        <w:t>贴</w:t>
      </w:r>
      <w:r>
        <w:rPr>
          <w:spacing w:val="-2"/>
          <w:sz w:val="21"/>
        </w:rPr>
        <w:t>批单，或由投保人与本</w:t>
      </w:r>
      <w:r>
        <w:rPr>
          <w:spacing w:val="-2"/>
          <w:sz w:val="21"/>
        </w:rPr>
        <w:t>公</w:t>
      </w:r>
      <w:r>
        <w:rPr>
          <w:spacing w:val="-2"/>
          <w:sz w:val="21"/>
        </w:rPr>
        <w:t>司</w:t>
      </w:r>
      <w:r>
        <w:rPr>
          <w:spacing w:val="-2"/>
          <w:sz w:val="21"/>
        </w:rPr>
        <w:t>订立书面的变更协议。</w:t>
      </w:r>
    </w:p>
    <w:p>
      <w:pPr>
        <w:spacing w:after="0" w:line="336" w:lineRule="exact"/>
        <w:jc w:val="left"/>
        <w:rPr>
          <w:sz w:val="21"/>
        </w:rPr>
        <w:sectPr>
          <w:type w:val="continuous"/>
          <w:pgSz w:w="11910" w:h="16840"/>
          <w:pgMar w:header="0" w:footer="967" w:top="480" w:bottom="1160" w:left="860" w:right="480"/>
        </w:sectPr>
      </w:pPr>
    </w:p>
    <w:p>
      <w:pPr>
        <w:pStyle w:val="ListParagraph"/>
        <w:numPr>
          <w:ilvl w:val="1"/>
          <w:numId w:val="14"/>
        </w:numPr>
        <w:tabs>
          <w:tab w:pos="1181" w:val="left" w:leader="none"/>
        </w:tabs>
        <w:spacing w:line="373" w:lineRule="exact" w:before="0" w:after="0"/>
        <w:ind w:left="1180" w:right="0" w:hanging="961"/>
        <w:jc w:val="both"/>
        <w:rPr>
          <w:sz w:val="21"/>
        </w:rPr>
      </w:pPr>
      <w:r>
        <w:rPr>
          <w:rFonts w:ascii="微软雅黑" w:eastAsia="微软雅黑"/>
          <w:b/>
          <w:spacing w:val="56"/>
          <w:sz w:val="21"/>
        </w:rPr>
        <w:t>联系方式变更 </w:t>
      </w:r>
      <w:r>
        <w:rPr>
          <w:spacing w:val="-1"/>
          <w:sz w:val="21"/>
        </w:rPr>
        <w:t>为保障投保人的合法权益，投保人的住所、通讯地址或电话等联系方式变更</w:t>
      </w:r>
    </w:p>
    <w:p>
      <w:pPr>
        <w:pStyle w:val="BodyText"/>
        <w:spacing w:line="300" w:lineRule="auto" w:before="16"/>
        <w:ind w:left="2949" w:right="469"/>
        <w:jc w:val="both"/>
      </w:pPr>
      <w:r>
        <w:rPr>
          <w:spacing w:val="-2"/>
        </w:rPr>
        <w:t>时，请及时以书面形式或投保人与本公司约定的其他形式通知本公司。若投保</w:t>
      </w:r>
      <w:r>
        <w:rPr>
          <w:spacing w:val="-2"/>
        </w:rPr>
        <w:t>人未通知本公司，本公司按本合同载明的最后住所或通讯地址所发送的有关通</w:t>
      </w:r>
      <w:r>
        <w:rPr>
          <w:spacing w:val="-2"/>
        </w:rPr>
        <w:t>知，均视为已送达。</w:t>
      </w:r>
    </w:p>
    <w:p>
      <w:pPr>
        <w:pStyle w:val="BodyText"/>
        <w:spacing w:before="2"/>
        <w:rPr>
          <w:sz w:val="19"/>
        </w:rPr>
      </w:pPr>
    </w:p>
    <w:p>
      <w:pPr>
        <w:pStyle w:val="ListParagraph"/>
        <w:numPr>
          <w:ilvl w:val="1"/>
          <w:numId w:val="14"/>
        </w:numPr>
        <w:tabs>
          <w:tab w:pos="1180" w:val="left" w:leader="none"/>
          <w:tab w:pos="1181" w:val="left" w:leader="none"/>
          <w:tab w:pos="2949" w:val="left" w:leader="none"/>
        </w:tabs>
        <w:spacing w:line="249" w:lineRule="auto" w:before="1" w:after="0"/>
        <w:ind w:left="2949" w:right="469" w:hanging="2730"/>
        <w:jc w:val="left"/>
        <w:rPr>
          <w:sz w:val="21"/>
        </w:rPr>
      </w:pPr>
      <w:r>
        <w:rPr>
          <w:rFonts w:ascii="微软雅黑" w:eastAsia="微软雅黑"/>
          <w:b/>
          <w:spacing w:val="-4"/>
          <w:sz w:val="21"/>
        </w:rPr>
        <w:t>争</w:t>
      </w:r>
      <w:r>
        <w:rPr>
          <w:rFonts w:ascii="微软雅黑" w:eastAsia="微软雅黑"/>
          <w:b/>
          <w:spacing w:val="-4"/>
          <w:sz w:val="21"/>
        </w:rPr>
        <w:t>议</w:t>
      </w:r>
      <w:r>
        <w:rPr>
          <w:rFonts w:ascii="微软雅黑" w:eastAsia="微软雅黑"/>
          <w:b/>
          <w:spacing w:val="-4"/>
          <w:sz w:val="21"/>
        </w:rPr>
        <w:t>处</w:t>
      </w:r>
      <w:r>
        <w:rPr>
          <w:rFonts w:ascii="微软雅黑" w:eastAsia="微软雅黑"/>
          <w:b/>
          <w:spacing w:val="-4"/>
          <w:sz w:val="21"/>
        </w:rPr>
        <w:t>理</w:t>
      </w:r>
      <w:r>
        <w:rPr>
          <w:rFonts w:ascii="微软雅黑" w:eastAsia="微软雅黑"/>
          <w:b/>
          <w:sz w:val="21"/>
        </w:rPr>
        <w:tab/>
      </w:r>
      <w:r>
        <w:rPr>
          <w:spacing w:val="-2"/>
          <w:sz w:val="21"/>
        </w:rPr>
        <w:t>因</w:t>
      </w:r>
      <w:r>
        <w:rPr>
          <w:spacing w:val="-2"/>
          <w:sz w:val="21"/>
        </w:rPr>
        <w:t>履</w:t>
      </w:r>
      <w:r>
        <w:rPr>
          <w:spacing w:val="-2"/>
          <w:sz w:val="21"/>
        </w:rPr>
        <w:t>行本合同发生的争议，</w:t>
      </w:r>
      <w:r>
        <w:rPr>
          <w:spacing w:val="-2"/>
          <w:sz w:val="21"/>
        </w:rPr>
        <w:t>由</w:t>
      </w:r>
      <w:r>
        <w:rPr>
          <w:spacing w:val="-2"/>
          <w:sz w:val="21"/>
        </w:rPr>
        <w:t>当事人协商解决。协</w:t>
      </w:r>
      <w:r>
        <w:rPr>
          <w:spacing w:val="-2"/>
          <w:sz w:val="21"/>
        </w:rPr>
        <w:t>商</w:t>
      </w:r>
      <w:r>
        <w:rPr>
          <w:spacing w:val="-2"/>
          <w:sz w:val="21"/>
        </w:rPr>
        <w:t>不</w:t>
      </w:r>
      <w:r>
        <w:rPr>
          <w:spacing w:val="-2"/>
          <w:sz w:val="21"/>
        </w:rPr>
        <w:t>成的，可向本合同载明</w:t>
      </w:r>
      <w:r>
        <w:rPr>
          <w:spacing w:val="-2"/>
          <w:sz w:val="21"/>
        </w:rPr>
        <w:t>的</w:t>
      </w:r>
      <w:r>
        <w:rPr>
          <w:spacing w:val="-2"/>
          <w:sz w:val="21"/>
        </w:rPr>
        <w:t>仲</w:t>
      </w:r>
      <w:r>
        <w:rPr>
          <w:spacing w:val="-2"/>
          <w:sz w:val="21"/>
        </w:rPr>
        <w:t>裁机构提交仲裁；本</w:t>
      </w:r>
      <w:r>
        <w:rPr>
          <w:spacing w:val="-2"/>
          <w:sz w:val="21"/>
        </w:rPr>
        <w:t>合</w:t>
      </w:r>
      <w:r>
        <w:rPr>
          <w:spacing w:val="-2"/>
          <w:sz w:val="21"/>
        </w:rPr>
        <w:t>同</w:t>
      </w:r>
      <w:r>
        <w:rPr>
          <w:spacing w:val="-2"/>
          <w:sz w:val="21"/>
        </w:rPr>
        <w:t>未载明仲裁机构或者</w:t>
      </w:r>
      <w:r>
        <w:rPr>
          <w:spacing w:val="-2"/>
          <w:sz w:val="21"/>
        </w:rPr>
        <w:t>争</w:t>
      </w:r>
      <w:r>
        <w:rPr>
          <w:spacing w:val="-2"/>
          <w:sz w:val="21"/>
        </w:rPr>
        <w:t>议</w:t>
      </w:r>
      <w:r>
        <w:rPr>
          <w:spacing w:val="-2"/>
          <w:sz w:val="21"/>
        </w:rPr>
        <w:t>发生后未达成仲裁协议</w:t>
      </w:r>
    </w:p>
    <w:p>
      <w:pPr>
        <w:pStyle w:val="BodyText"/>
        <w:spacing w:before="59"/>
        <w:ind w:left="2949"/>
      </w:pPr>
      <w:r>
        <w:rPr>
          <w:spacing w:val="-3"/>
        </w:rPr>
        <w:t>的，依法向人民法院起诉。</w:t>
      </w:r>
    </w:p>
    <w:p>
      <w:pPr>
        <w:pStyle w:val="BodyText"/>
        <w:spacing w:before="5"/>
        <w:rPr>
          <w:sz w:val="17"/>
        </w:rPr>
      </w:pPr>
    </w:p>
    <w:p>
      <w:pPr>
        <w:pStyle w:val="BodyText"/>
        <w:ind w:left="2949"/>
      </w:pPr>
      <w:r>
        <w:rPr>
          <w:spacing w:val="-3"/>
        </w:rPr>
        <w:t>与本合同有关的以及履行本合同产生的一切争议处理适用中华人民共和国法律</w:t>
      </w:r>
    </w:p>
    <w:p>
      <w:pPr>
        <w:pStyle w:val="BodyText"/>
        <w:spacing w:before="67"/>
        <w:ind w:left="2949"/>
      </w:pPr>
      <w:r>
        <w:rPr>
          <w:color w:val="000000"/>
          <w:spacing w:val="-2"/>
          <w:shd w:fill="E4E4E4" w:color="auto" w:val="clear"/>
        </w:rPr>
        <w:t>（不包括港、澳、台地区法律</w:t>
      </w:r>
      <w:r>
        <w:rPr>
          <w:color w:val="000000"/>
          <w:spacing w:val="-108"/>
          <w:shd w:fill="E4E4E4" w:color="auto" w:val="clear"/>
        </w:rPr>
        <w:t>）</w:t>
      </w:r>
      <w:r>
        <w:rPr>
          <w:color w:val="000000"/>
          <w:spacing w:val="-10"/>
          <w:shd w:fill="E4E4E4" w:color="auto" w:val="clear"/>
        </w:rPr>
        <w:t>。</w:t>
      </w:r>
    </w:p>
    <w:p>
      <w:pPr>
        <w:spacing w:after="0"/>
        <w:sectPr>
          <w:pgSz w:w="11910" w:h="16840"/>
          <w:pgMar w:header="0" w:footer="967" w:top="1560" w:bottom="1240" w:left="860" w:right="480"/>
        </w:sectPr>
      </w:pPr>
    </w:p>
    <w:p>
      <w:pPr>
        <w:pStyle w:val="Heading3"/>
        <w:spacing w:line="208" w:lineRule="auto" w:before="21"/>
        <w:ind w:left="1197" w:hanging="870"/>
        <w:jc w:val="both"/>
      </w:pPr>
      <w:r>
        <w:rPr/>
        <w:t>附表</w:t>
      </w:r>
      <w:r>
        <w:rPr>
          <w:spacing w:val="373"/>
        </w:rPr>
        <w:t> </w:t>
      </w:r>
      <w:r>
        <w:rPr>
          <w:spacing w:val="27"/>
        </w:rPr>
        <w:t>重大疾病病</w:t>
      </w:r>
      <w:r>
        <w:rPr>
          <w:spacing w:val="24"/>
        </w:rPr>
        <w:t>种名称及定</w:t>
      </w:r>
      <w:r>
        <w:rPr>
          <w:spacing w:val="-10"/>
        </w:rPr>
        <w:t>义</w:t>
      </w:r>
    </w:p>
    <w:p>
      <w:pPr>
        <w:pStyle w:val="BodyText"/>
        <w:spacing w:line="266" w:lineRule="auto" w:before="48"/>
        <w:ind w:left="144" w:right="509"/>
        <w:jc w:val="both"/>
      </w:pPr>
      <w:r>
        <w:rPr/>
        <w:br w:type="column"/>
      </w:r>
      <w:r>
        <w:rPr>
          <w:spacing w:val="-4"/>
        </w:rPr>
        <w:t>本合同重大疾病医疗保险责任中所定义的 </w:t>
      </w:r>
      <w:r>
        <w:rPr>
          <w:spacing w:val="-2"/>
        </w:rPr>
        <w:t>28</w:t>
      </w:r>
      <w:r>
        <w:rPr>
          <w:spacing w:val="-7"/>
        </w:rPr>
        <w:t> 种重大疾病是中国保险行业协会</w:t>
      </w:r>
      <w:r>
        <w:rPr>
          <w:spacing w:val="-2"/>
        </w:rPr>
        <w:t>（以</w:t>
      </w:r>
      <w:r>
        <w:rPr/>
        <w:t>下简称中保协）制定的《重大疾病保险的疾病定义使用规范（2020</w:t>
      </w:r>
      <w:r>
        <w:rPr>
          <w:spacing w:val="-9"/>
        </w:rPr>
        <w:t> 年修订版</w:t>
      </w:r>
      <w:r>
        <w:rPr>
          <w:spacing w:val="-106"/>
        </w:rPr>
        <w:t>）</w:t>
      </w:r>
      <w:r>
        <w:rPr/>
        <w:t>》</w:t>
      </w:r>
    </w:p>
    <w:p>
      <w:pPr>
        <w:pStyle w:val="BodyText"/>
        <w:spacing w:line="266" w:lineRule="auto" w:before="2"/>
        <w:ind w:left="144" w:right="612"/>
        <w:jc w:val="both"/>
      </w:pPr>
      <w:r>
        <w:rPr>
          <w:spacing w:val="-2"/>
        </w:rPr>
        <w:t>（以下简称规范）规定的重大疾病，疾病名称、病种名称、疾病定义与中保协颁</w:t>
      </w:r>
      <w:r>
        <w:rPr>
          <w:spacing w:val="-2"/>
        </w:rPr>
        <w:t>布的规范保持一致。被保险人发生符合以下重大疾病定义所述条件的疾病，应当</w:t>
      </w:r>
      <w:r>
        <w:rPr>
          <w:spacing w:val="-2"/>
        </w:rPr>
        <w:t>由专科医生明确诊断。</w:t>
      </w:r>
    </w:p>
    <w:p>
      <w:pPr>
        <w:pStyle w:val="BodyText"/>
        <w:spacing w:before="6"/>
        <w:rPr>
          <w:sz w:val="19"/>
        </w:rPr>
      </w:pPr>
    </w:p>
    <w:p>
      <w:pPr>
        <w:pStyle w:val="Heading3"/>
        <w:numPr>
          <w:ilvl w:val="0"/>
          <w:numId w:val="15"/>
        </w:numPr>
        <w:tabs>
          <w:tab w:pos="463" w:val="left" w:leader="none"/>
        </w:tabs>
        <w:spacing w:line="240" w:lineRule="auto" w:before="0" w:after="0"/>
        <w:ind w:left="462" w:right="0" w:hanging="319"/>
        <w:jc w:val="left"/>
      </w:pPr>
      <w:r>
        <w:rPr>
          <w:w w:val="95"/>
        </w:rPr>
        <w:t>恶</w:t>
      </w:r>
      <w:r>
        <w:rPr>
          <w:w w:val="95"/>
        </w:rPr>
        <w:t>性</w:t>
      </w:r>
      <w:r>
        <w:rPr>
          <w:w w:val="95"/>
        </w:rPr>
        <w:t>肿</w:t>
      </w:r>
      <w:r>
        <w:rPr>
          <w:w w:val="95"/>
        </w:rPr>
        <w:t>瘤</w:t>
      </w:r>
      <w:r>
        <w:rPr>
          <w:w w:val="95"/>
        </w:rPr>
        <w:t>——</w:t>
      </w:r>
      <w:r>
        <w:rPr>
          <w:w w:val="95"/>
        </w:rPr>
        <w:t>重</w:t>
      </w:r>
      <w:r>
        <w:rPr>
          <w:w w:val="95"/>
        </w:rPr>
        <w:t>度</w:t>
      </w:r>
      <w:r>
        <w:rPr>
          <w:spacing w:val="-10"/>
          <w:w w:val="95"/>
        </w:rPr>
        <w:t>:</w:t>
      </w:r>
    </w:p>
    <w:p>
      <w:pPr>
        <w:pStyle w:val="BodyText"/>
        <w:spacing w:line="218" w:lineRule="auto" w:before="155"/>
        <w:ind w:left="144" w:right="492"/>
        <w:rPr>
          <w:rFonts w:ascii="微软雅黑" w:eastAsia="微软雅黑"/>
          <w:b/>
        </w:rPr>
      </w:pPr>
      <w:r>
        <w:rPr>
          <w:spacing w:val="-2"/>
        </w:rPr>
        <w:t>指恶性细胞不受控制的进行性增长和扩散，浸润和破坏周围正常组织，可以经血</w:t>
      </w:r>
      <w:r>
        <w:rPr>
          <w:spacing w:val="-2"/>
        </w:rPr>
        <w:t>管、淋巴管和体腔扩散转移到身体其它部位，病灶经</w:t>
      </w:r>
      <w:r>
        <w:rPr>
          <w:rFonts w:ascii="微软雅黑" w:eastAsia="微软雅黑"/>
          <w:b/>
          <w:spacing w:val="-2"/>
        </w:rPr>
        <w:t>组织病理学检查</w:t>
      </w:r>
      <w:r>
        <w:rPr>
          <w:rFonts w:ascii="微软雅黑" w:eastAsia="微软雅黑"/>
          <w:b/>
          <w:spacing w:val="-2"/>
          <w:position w:val="11"/>
          <w:sz w:val="11"/>
        </w:rPr>
        <w:t>63</w:t>
      </w:r>
      <w:r>
        <w:rPr>
          <w:spacing w:val="-2"/>
        </w:rPr>
        <w:t>（涵盖骨髓</w:t>
      </w:r>
      <w:r>
        <w:rPr/>
        <w:t>病理学检查）结果明确诊断，临床诊断属于世界卫生组织（WHO， World Health </w:t>
      </w:r>
      <w:r>
        <w:rPr>
          <w:spacing w:val="6"/>
        </w:rPr>
        <w:t>Organ</w:t>
      </w:r>
      <w:r>
        <w:rPr>
          <w:spacing w:val="3"/>
        </w:rPr>
        <w:t>i</w:t>
      </w:r>
      <w:r>
        <w:rPr>
          <w:spacing w:val="6"/>
        </w:rPr>
        <w:t>zat</w:t>
      </w:r>
      <w:r>
        <w:rPr>
          <w:spacing w:val="3"/>
        </w:rPr>
        <w:t>i</w:t>
      </w:r>
      <w:r>
        <w:rPr>
          <w:spacing w:val="6"/>
        </w:rPr>
        <w:t>on</w:t>
      </w:r>
      <w:r>
        <w:rPr>
          <w:spacing w:val="-102"/>
        </w:rPr>
        <w:t>）</w:t>
      </w:r>
      <w:r>
        <w:rPr>
          <w:spacing w:val="-2"/>
        </w:rPr>
        <w:t>《疾病和有关健康问题的国际统计分类》第十次修订版（</w:t>
      </w:r>
      <w:r>
        <w:rPr>
          <w:rFonts w:ascii="微软雅黑" w:eastAsia="微软雅黑"/>
          <w:b/>
          <w:spacing w:val="-2"/>
        </w:rPr>
        <w:t>ICD-</w:t>
      </w:r>
    </w:p>
    <w:p>
      <w:pPr>
        <w:pStyle w:val="BodyText"/>
        <w:spacing w:line="297" w:lineRule="exact"/>
        <w:ind w:left="144"/>
      </w:pPr>
      <w:r>
        <w:rPr>
          <w:rFonts w:ascii="微软雅黑" w:eastAsia="微软雅黑"/>
          <w:b/>
          <w:w w:val="95"/>
        </w:rPr>
        <w:t>10</w:t>
      </w:r>
      <w:r>
        <w:rPr>
          <w:rFonts w:ascii="微软雅黑" w:eastAsia="微软雅黑"/>
          <w:b/>
          <w:w w:val="95"/>
          <w:position w:val="11"/>
          <w:sz w:val="11"/>
        </w:rPr>
        <w:t>64</w:t>
      </w:r>
      <w:r>
        <w:rPr>
          <w:w w:val="95"/>
        </w:rPr>
        <w:t>）</w:t>
      </w:r>
      <w:r>
        <w:rPr>
          <w:w w:val="95"/>
        </w:rPr>
        <w:t>的</w:t>
      </w:r>
      <w:r>
        <w:rPr>
          <w:w w:val="95"/>
        </w:rPr>
        <w:t>恶性肿瘤类别</w:t>
      </w:r>
      <w:r>
        <w:rPr>
          <w:w w:val="95"/>
        </w:rPr>
        <w:t>及</w:t>
      </w:r>
      <w:r>
        <w:rPr>
          <w:w w:val="95"/>
        </w:rPr>
        <w:t>《</w:t>
      </w:r>
      <w:r>
        <w:rPr>
          <w:w w:val="95"/>
        </w:rPr>
        <w:t>国</w:t>
      </w:r>
      <w:r>
        <w:rPr>
          <w:w w:val="95"/>
        </w:rPr>
        <w:t>际</w:t>
      </w:r>
      <w:r>
        <w:rPr>
          <w:w w:val="95"/>
        </w:rPr>
        <w:t>疾病分类肿瘤学专辑</w:t>
      </w:r>
      <w:r>
        <w:rPr>
          <w:w w:val="95"/>
        </w:rPr>
        <w:t>》</w:t>
      </w:r>
      <w:r>
        <w:rPr>
          <w:w w:val="95"/>
        </w:rPr>
        <w:t>第</w:t>
      </w:r>
      <w:r>
        <w:rPr>
          <w:w w:val="95"/>
        </w:rPr>
        <w:t>三版（ICD-O-3）</w:t>
      </w:r>
      <w:r>
        <w:rPr>
          <w:w w:val="95"/>
        </w:rPr>
        <w:t>的</w:t>
      </w:r>
      <w:r>
        <w:rPr>
          <w:w w:val="95"/>
        </w:rPr>
        <w:t>肿</w:t>
      </w:r>
      <w:r>
        <w:rPr>
          <w:spacing w:val="-10"/>
          <w:w w:val="95"/>
        </w:rPr>
        <w:t>瘤</w:t>
      </w:r>
    </w:p>
    <w:p>
      <w:pPr>
        <w:pStyle w:val="BodyText"/>
        <w:spacing w:line="259" w:lineRule="exact"/>
        <w:ind w:left="144"/>
      </w:pPr>
      <w:r>
        <w:rPr>
          <w:spacing w:val="-7"/>
        </w:rPr>
        <w:t>形态学编码属于 </w:t>
      </w:r>
      <w:r>
        <w:rPr>
          <w:spacing w:val="-2"/>
        </w:rPr>
        <w:t>3、6、9（恶性肿瘤）</w:t>
      </w:r>
      <w:r>
        <w:rPr>
          <w:spacing w:val="-4"/>
        </w:rPr>
        <w:t>范畴的疾病。</w:t>
      </w:r>
    </w:p>
    <w:p>
      <w:pPr>
        <w:spacing w:after="0" w:line="259" w:lineRule="exact"/>
        <w:sectPr>
          <w:pgSz w:w="11910" w:h="16840"/>
          <w:pgMar w:header="0" w:footer="967" w:top="1560" w:bottom="1240" w:left="860" w:right="480"/>
          <w:cols w:num="2" w:equalWidth="0">
            <w:col w:w="2410" w:space="40"/>
            <w:col w:w="8120"/>
          </w:cols>
        </w:sectPr>
      </w:pPr>
    </w:p>
    <w:p>
      <w:pPr>
        <w:pStyle w:val="BodyText"/>
        <w:rPr>
          <w:sz w:val="9"/>
        </w:rPr>
      </w:pPr>
    </w:p>
    <w:p>
      <w:pPr>
        <w:pStyle w:val="BodyText"/>
        <w:spacing w:before="71"/>
        <w:ind w:left="2657" w:right="2672"/>
        <w:jc w:val="center"/>
      </w:pPr>
      <w:r>
        <w:rPr>
          <w:color w:val="000000"/>
          <w:spacing w:val="-10"/>
          <w:shd w:fill="D9D9D9" w:color="auto" w:val="clear"/>
        </w:rPr>
        <w:t>下列疾病不属于“恶性肿瘤——重度”，不在保障范围内：</w:t>
      </w:r>
    </w:p>
    <w:p>
      <w:pPr>
        <w:pStyle w:val="BodyText"/>
        <w:rPr>
          <w:sz w:val="9"/>
        </w:rPr>
      </w:pPr>
    </w:p>
    <w:p>
      <w:pPr>
        <w:pStyle w:val="ListParagraph"/>
        <w:numPr>
          <w:ilvl w:val="1"/>
          <w:numId w:val="15"/>
        </w:numPr>
        <w:tabs>
          <w:tab w:pos="3123" w:val="left" w:leader="none"/>
        </w:tabs>
        <w:spacing w:line="266" w:lineRule="auto" w:before="72" w:after="0"/>
        <w:ind w:left="2594" w:right="622" w:firstLine="0"/>
        <w:jc w:val="left"/>
        <w:rPr>
          <w:sz w:val="21"/>
        </w:rPr>
      </w:pPr>
      <w:r>
        <w:rPr>
          <w:color w:val="000000"/>
          <w:spacing w:val="-2"/>
          <w:sz w:val="21"/>
          <w:shd w:fill="D9D9D9" w:color="auto" w:val="clear"/>
        </w:rPr>
        <w:t>ICD-O-3</w:t>
      </w:r>
      <w:r>
        <w:rPr>
          <w:color w:val="000000"/>
          <w:spacing w:val="-11"/>
          <w:sz w:val="21"/>
          <w:shd w:fill="D9D9D9" w:color="auto" w:val="clear"/>
        </w:rPr>
        <w:t> 肿瘤形态学编码属于 </w:t>
      </w:r>
      <w:r>
        <w:rPr>
          <w:color w:val="000000"/>
          <w:spacing w:val="-2"/>
          <w:sz w:val="21"/>
          <w:shd w:fill="D9D9D9" w:color="auto" w:val="clear"/>
        </w:rPr>
        <w:t>0（良性肿瘤</w:t>
      </w:r>
      <w:r>
        <w:rPr>
          <w:color w:val="000000"/>
          <w:spacing w:val="-108"/>
          <w:sz w:val="21"/>
          <w:shd w:fill="D9D9D9" w:color="auto" w:val="clear"/>
        </w:rPr>
        <w:t>）</w:t>
      </w:r>
      <w:r>
        <w:rPr>
          <w:color w:val="000000"/>
          <w:spacing w:val="-2"/>
          <w:sz w:val="21"/>
          <w:shd w:fill="D9D9D9" w:color="auto" w:val="clear"/>
        </w:rPr>
        <w:t>、1（动态未定性肿瘤</w:t>
      </w:r>
      <w:r>
        <w:rPr>
          <w:color w:val="000000"/>
          <w:spacing w:val="-108"/>
          <w:sz w:val="21"/>
          <w:shd w:fill="D9D9D9" w:color="auto" w:val="clear"/>
        </w:rPr>
        <w:t>）</w:t>
      </w:r>
      <w:r>
        <w:rPr>
          <w:color w:val="000000"/>
          <w:spacing w:val="-2"/>
          <w:sz w:val="21"/>
          <w:shd w:fill="D9D9D9" w:color="auto" w:val="clear"/>
        </w:rPr>
        <w:t>、2（原</w:t>
      </w:r>
      <w:r>
        <w:rPr>
          <w:color w:val="000000"/>
          <w:spacing w:val="14175"/>
          <w:sz w:val="21"/>
          <w:shd w:fill="D9D9D9" w:color="auto" w:val="clear"/>
        </w:rPr>
        <w:t> </w:t>
      </w:r>
      <w:r>
        <w:rPr>
          <w:color w:val="000000"/>
          <w:spacing w:val="-2"/>
          <w:sz w:val="21"/>
          <w:shd w:fill="D9D9D9" w:color="auto" w:val="clear"/>
        </w:rPr>
        <w:t>位癌和非侵袭性癌）范畴的疾病，如：</w:t>
      </w:r>
    </w:p>
    <w:p>
      <w:pPr>
        <w:pStyle w:val="ListParagraph"/>
        <w:numPr>
          <w:ilvl w:val="0"/>
          <w:numId w:val="16"/>
        </w:numPr>
        <w:tabs>
          <w:tab w:pos="2807" w:val="left" w:leader="none"/>
        </w:tabs>
        <w:spacing w:line="266" w:lineRule="auto" w:before="159" w:after="0"/>
        <w:ind w:left="2594" w:right="613" w:firstLine="0"/>
        <w:jc w:val="left"/>
        <w:rPr>
          <w:sz w:val="21"/>
        </w:rPr>
      </w:pPr>
      <w:r>
        <w:rPr>
          <w:color w:val="000000"/>
          <w:spacing w:val="-2"/>
          <w:sz w:val="21"/>
          <w:shd w:fill="D9D9D9" w:color="auto" w:val="clear"/>
        </w:rPr>
        <w:t>原位癌，癌前病变，非浸润性癌，非侵袭性癌，肿瘤细胞未侵犯基底层，上皮</w:t>
      </w:r>
      <w:r>
        <w:rPr>
          <w:color w:val="000000"/>
          <w:spacing w:val="14175"/>
          <w:sz w:val="21"/>
          <w:shd w:fill="D9D9D9" w:color="auto" w:val="clear"/>
        </w:rPr>
        <w:t> </w:t>
      </w:r>
      <w:r>
        <w:rPr>
          <w:color w:val="000000"/>
          <w:spacing w:val="-2"/>
          <w:sz w:val="21"/>
          <w:shd w:fill="D9D9D9" w:color="auto" w:val="clear"/>
        </w:rPr>
        <w:t>内瘤变，细胞不典型性增生等；</w:t>
      </w:r>
    </w:p>
    <w:p>
      <w:pPr>
        <w:pStyle w:val="ListParagraph"/>
        <w:numPr>
          <w:ilvl w:val="0"/>
          <w:numId w:val="16"/>
        </w:numPr>
        <w:tabs>
          <w:tab w:pos="2807" w:val="left" w:leader="none"/>
        </w:tabs>
        <w:spacing w:line="240" w:lineRule="auto" w:before="158" w:after="0"/>
        <w:ind w:left="2806" w:right="0" w:hanging="213"/>
        <w:jc w:val="left"/>
        <w:rPr>
          <w:sz w:val="21"/>
        </w:rPr>
      </w:pPr>
      <w:r>
        <w:rPr>
          <w:color w:val="000000"/>
          <w:spacing w:val="-3"/>
          <w:sz w:val="21"/>
          <w:shd w:fill="D9D9D9" w:color="auto" w:val="clear"/>
        </w:rPr>
        <w:t>交界性肿瘤，交界恶性肿瘤，肿瘤低度恶性潜能，潜在低度恶性肿瘤等；</w:t>
      </w:r>
    </w:p>
    <w:p>
      <w:pPr>
        <w:pStyle w:val="ListParagraph"/>
        <w:numPr>
          <w:ilvl w:val="1"/>
          <w:numId w:val="15"/>
        </w:numPr>
        <w:tabs>
          <w:tab w:pos="3123" w:val="left" w:leader="none"/>
        </w:tabs>
        <w:spacing w:line="240" w:lineRule="auto" w:before="120" w:after="0"/>
        <w:ind w:left="3123" w:right="0" w:hanging="529"/>
        <w:jc w:val="left"/>
        <w:rPr>
          <w:sz w:val="21"/>
        </w:rPr>
      </w:pPr>
      <w:r>
        <w:rPr>
          <w:rFonts w:ascii="微软雅黑" w:hAnsi="微软雅黑" w:eastAsia="微软雅黑"/>
          <w:b/>
          <w:color w:val="000000"/>
          <w:w w:val="90"/>
          <w:sz w:val="21"/>
          <w:shd w:fill="D9D9D9" w:color="auto" w:val="clear"/>
        </w:rPr>
        <w:t>TNM</w:t>
      </w:r>
      <w:r>
        <w:rPr>
          <w:rFonts w:ascii="微软雅黑" w:hAnsi="微软雅黑" w:eastAsia="微软雅黑"/>
          <w:b/>
          <w:color w:val="000000"/>
          <w:spacing w:val="28"/>
          <w:sz w:val="21"/>
          <w:shd w:fill="D9D9D9" w:color="auto" w:val="clear"/>
        </w:rPr>
        <w:t>  </w:t>
      </w:r>
      <w:r>
        <w:rPr>
          <w:rFonts w:ascii="微软雅黑" w:hAnsi="微软雅黑" w:eastAsia="微软雅黑"/>
          <w:b/>
          <w:color w:val="000000"/>
          <w:w w:val="90"/>
          <w:sz w:val="21"/>
          <w:shd w:fill="D9D9D9" w:color="auto" w:val="clear"/>
        </w:rPr>
        <w:t>分</w:t>
      </w:r>
      <w:r>
        <w:rPr>
          <w:rFonts w:ascii="微软雅黑" w:hAnsi="微软雅黑" w:eastAsia="微软雅黑"/>
          <w:b/>
          <w:color w:val="000000"/>
          <w:w w:val="90"/>
          <w:sz w:val="21"/>
          <w:shd w:fill="D9D9D9" w:color="auto" w:val="clear"/>
        </w:rPr>
        <w:t>期</w:t>
      </w:r>
      <w:r>
        <w:rPr>
          <w:rFonts w:ascii="微软雅黑" w:hAnsi="微软雅黑" w:eastAsia="微软雅黑"/>
          <w:b/>
          <w:color w:val="000000"/>
          <w:w w:val="90"/>
          <w:position w:val="11"/>
          <w:sz w:val="11"/>
        </w:rPr>
        <w:t>65</w:t>
      </w:r>
      <w:r>
        <w:rPr>
          <w:color w:val="000000"/>
          <w:w w:val="90"/>
          <w:sz w:val="21"/>
          <w:shd w:fill="D9D9D9" w:color="auto" w:val="clear"/>
        </w:rPr>
        <w:t>为Ⅰ期或更</w:t>
      </w:r>
      <w:r>
        <w:rPr>
          <w:color w:val="000000"/>
          <w:w w:val="90"/>
          <w:sz w:val="21"/>
          <w:shd w:fill="D9D9D9" w:color="auto" w:val="clear"/>
        </w:rPr>
        <w:t>轻</w:t>
      </w:r>
      <w:r>
        <w:rPr>
          <w:color w:val="000000"/>
          <w:w w:val="90"/>
          <w:sz w:val="21"/>
          <w:shd w:fill="D9D9D9" w:color="auto" w:val="clear"/>
        </w:rPr>
        <w:t>分</w:t>
      </w:r>
      <w:r>
        <w:rPr>
          <w:color w:val="000000"/>
          <w:w w:val="90"/>
          <w:sz w:val="21"/>
          <w:shd w:fill="D9D9D9" w:color="auto" w:val="clear"/>
        </w:rPr>
        <w:t>期的甲状腺</w:t>
      </w:r>
      <w:r>
        <w:rPr>
          <w:color w:val="000000"/>
          <w:w w:val="90"/>
          <w:sz w:val="21"/>
          <w:shd w:fill="D9D9D9" w:color="auto" w:val="clear"/>
        </w:rPr>
        <w:t>癌</w:t>
      </w:r>
      <w:r>
        <w:rPr>
          <w:color w:val="000000"/>
          <w:spacing w:val="-10"/>
          <w:w w:val="90"/>
          <w:sz w:val="21"/>
          <w:shd w:fill="D9D9D9" w:color="auto" w:val="clear"/>
        </w:rPr>
        <w:t>；</w:t>
      </w:r>
    </w:p>
    <w:p>
      <w:pPr>
        <w:pStyle w:val="BodyText"/>
        <w:spacing w:before="6"/>
        <w:rPr>
          <w:sz w:val="8"/>
        </w:rPr>
      </w:pPr>
      <w:r>
        <w:rPr/>
        <w:pict>
          <v:shape style="position:absolute;margin-left:172.699997pt;margin-top:6.647256pt;width:230.25pt;height:13.7pt;mso-position-horizontal-relative:page;mso-position-vertical-relative:paragraph;z-index:-15718400;mso-wrap-distance-left:0;mso-wrap-distance-right:0" type="#_x0000_t202" id="docshape4" filled="true" fillcolor="#d9d9d9" stroked="false">
            <v:textbox inset="0,0,0,0">
              <w:txbxContent>
                <w:p>
                  <w:pPr>
                    <w:pStyle w:val="BodyText"/>
                    <w:spacing w:before="3"/>
                    <w:ind w:right="-15"/>
                    <w:rPr>
                      <w:color w:val="000000"/>
                    </w:rPr>
                  </w:pPr>
                  <w:r>
                    <w:rPr>
                      <w:color w:val="000000"/>
                      <w:spacing w:val="-2"/>
                      <w:position w:val="1"/>
                    </w:rPr>
                    <w:t>（3）TNM</w:t>
                  </w:r>
                  <w:r>
                    <w:rPr>
                      <w:color w:val="000000"/>
                      <w:spacing w:val="-20"/>
                      <w:position w:val="1"/>
                    </w:rPr>
                    <w:t> 分期为 </w:t>
                  </w:r>
                  <w:r>
                    <w:rPr>
                      <w:color w:val="000000"/>
                      <w:spacing w:val="-2"/>
                      <w:position w:val="1"/>
                    </w:rPr>
                    <w:t>T</w:t>
                  </w:r>
                  <w:r>
                    <w:rPr>
                      <w:color w:val="000000"/>
                      <w:spacing w:val="-2"/>
                      <w:sz w:val="11"/>
                    </w:rPr>
                    <w:t>1</w:t>
                  </w:r>
                  <w:r>
                    <w:rPr>
                      <w:color w:val="000000"/>
                      <w:spacing w:val="-2"/>
                      <w:position w:val="1"/>
                    </w:rPr>
                    <w:t>N</w:t>
                  </w:r>
                  <w:r>
                    <w:rPr>
                      <w:color w:val="000000"/>
                      <w:spacing w:val="-2"/>
                      <w:sz w:val="11"/>
                    </w:rPr>
                    <w:t>0</w:t>
                  </w:r>
                  <w:r>
                    <w:rPr>
                      <w:color w:val="000000"/>
                      <w:spacing w:val="-2"/>
                      <w:position w:val="1"/>
                    </w:rPr>
                    <w:t>M</w:t>
                  </w:r>
                  <w:r>
                    <w:rPr>
                      <w:color w:val="000000"/>
                      <w:spacing w:val="-2"/>
                      <w:sz w:val="11"/>
                    </w:rPr>
                    <w:t>0</w:t>
                  </w:r>
                  <w:r>
                    <w:rPr>
                      <w:color w:val="000000"/>
                      <w:spacing w:val="-23"/>
                      <w:sz w:val="11"/>
                    </w:rPr>
                    <w:t> </w:t>
                  </w:r>
                  <w:r>
                    <w:rPr>
                      <w:color w:val="000000"/>
                      <w:spacing w:val="-3"/>
                      <w:position w:val="1"/>
                    </w:rPr>
                    <w:t>期或更轻分期的前列腺癌；</w:t>
                  </w:r>
                </w:p>
              </w:txbxContent>
            </v:textbox>
            <v:fill type="solid"/>
            <w10:wrap type="topAndBottom"/>
          </v:shape>
        </w:pict>
      </w:r>
    </w:p>
    <w:p>
      <w:pPr>
        <w:pStyle w:val="BodyText"/>
        <w:spacing w:before="12"/>
        <w:rPr>
          <w:sz w:val="8"/>
        </w:rPr>
      </w:pPr>
    </w:p>
    <w:p>
      <w:pPr>
        <w:pStyle w:val="ListParagraph"/>
        <w:numPr>
          <w:ilvl w:val="0"/>
          <w:numId w:val="17"/>
        </w:numPr>
        <w:tabs>
          <w:tab w:pos="3123" w:val="left" w:leader="none"/>
        </w:tabs>
        <w:spacing w:line="240" w:lineRule="auto" w:before="72" w:after="0"/>
        <w:ind w:left="3123" w:right="0" w:hanging="529"/>
        <w:jc w:val="left"/>
        <w:rPr>
          <w:sz w:val="21"/>
        </w:rPr>
      </w:pPr>
      <w:r>
        <w:rPr>
          <w:color w:val="000000"/>
          <w:spacing w:val="-3"/>
          <w:sz w:val="21"/>
          <w:shd w:fill="D9D9D9" w:color="auto" w:val="clear"/>
        </w:rPr>
        <w:t>黑色素瘤以外的未发生淋巴结和远处转移的皮肤恶性肿瘤；</w:t>
      </w:r>
    </w:p>
    <w:p>
      <w:pPr>
        <w:pStyle w:val="BodyText"/>
        <w:rPr>
          <w:sz w:val="9"/>
        </w:rPr>
      </w:pPr>
    </w:p>
    <w:p>
      <w:pPr>
        <w:pStyle w:val="ListParagraph"/>
        <w:numPr>
          <w:ilvl w:val="0"/>
          <w:numId w:val="17"/>
        </w:numPr>
        <w:tabs>
          <w:tab w:pos="3123" w:val="left" w:leader="none"/>
        </w:tabs>
        <w:spacing w:line="240" w:lineRule="auto" w:before="71" w:after="0"/>
        <w:ind w:left="3123" w:right="0" w:hanging="2722"/>
        <w:jc w:val="left"/>
        <w:rPr>
          <w:sz w:val="21"/>
        </w:rPr>
      </w:pPr>
      <w:r>
        <w:rPr>
          <w:color w:val="000000"/>
          <w:spacing w:val="-14"/>
          <w:sz w:val="21"/>
          <w:shd w:fill="D9D9D9" w:color="auto" w:val="clear"/>
        </w:rPr>
        <w:t>相当于 </w:t>
      </w:r>
      <w:r>
        <w:rPr>
          <w:color w:val="000000"/>
          <w:spacing w:val="-2"/>
          <w:sz w:val="21"/>
          <w:shd w:fill="D9D9D9" w:color="auto" w:val="clear"/>
        </w:rPr>
        <w:t>Binet</w:t>
      </w:r>
      <w:r>
        <w:rPr>
          <w:color w:val="000000"/>
          <w:spacing w:val="-19"/>
          <w:sz w:val="21"/>
          <w:shd w:fill="D9D9D9" w:color="auto" w:val="clear"/>
        </w:rPr>
        <w:t> 分期方案 </w:t>
      </w:r>
      <w:r>
        <w:rPr>
          <w:color w:val="000000"/>
          <w:spacing w:val="-2"/>
          <w:sz w:val="21"/>
          <w:shd w:fill="D9D9D9" w:color="auto" w:val="clear"/>
        </w:rPr>
        <w:t>A</w:t>
      </w:r>
      <w:r>
        <w:rPr>
          <w:color w:val="000000"/>
          <w:spacing w:val="-10"/>
          <w:sz w:val="21"/>
          <w:shd w:fill="D9D9D9" w:color="auto" w:val="clear"/>
        </w:rPr>
        <w:t> 期程度的慢性淋巴细胞白血病；</w:t>
      </w:r>
    </w:p>
    <w:p>
      <w:pPr>
        <w:pStyle w:val="BodyText"/>
        <w:rPr>
          <w:sz w:val="9"/>
        </w:rPr>
      </w:pPr>
    </w:p>
    <w:p>
      <w:pPr>
        <w:pStyle w:val="ListParagraph"/>
        <w:numPr>
          <w:ilvl w:val="0"/>
          <w:numId w:val="17"/>
        </w:numPr>
        <w:tabs>
          <w:tab w:pos="3123" w:val="left" w:leader="none"/>
        </w:tabs>
        <w:spacing w:line="240" w:lineRule="auto" w:before="72" w:after="0"/>
        <w:ind w:left="3123" w:right="16" w:hanging="3123"/>
        <w:jc w:val="left"/>
        <w:rPr>
          <w:sz w:val="21"/>
        </w:rPr>
      </w:pPr>
      <w:r>
        <w:rPr>
          <w:color w:val="000000"/>
          <w:spacing w:val="-14"/>
          <w:sz w:val="21"/>
          <w:shd w:fill="D9D9D9" w:color="auto" w:val="clear"/>
        </w:rPr>
        <w:t>相当于 </w:t>
      </w:r>
      <w:r>
        <w:rPr>
          <w:color w:val="000000"/>
          <w:spacing w:val="-2"/>
          <w:sz w:val="21"/>
          <w:shd w:fill="D9D9D9" w:color="auto" w:val="clear"/>
        </w:rPr>
        <w:t>Ann</w:t>
      </w:r>
      <w:r>
        <w:rPr>
          <w:color w:val="000000"/>
          <w:spacing w:val="12"/>
          <w:sz w:val="21"/>
          <w:shd w:fill="D9D9D9" w:color="auto" w:val="clear"/>
        </w:rPr>
        <w:t> </w:t>
      </w:r>
      <w:r>
        <w:rPr>
          <w:color w:val="000000"/>
          <w:spacing w:val="-2"/>
          <w:sz w:val="21"/>
          <w:shd w:fill="D9D9D9" w:color="auto" w:val="clear"/>
        </w:rPr>
        <w:t>Arbor</w:t>
      </w:r>
      <w:r>
        <w:rPr>
          <w:color w:val="000000"/>
          <w:spacing w:val="-10"/>
          <w:sz w:val="21"/>
          <w:shd w:fill="D9D9D9" w:color="auto" w:val="clear"/>
        </w:rPr>
        <w:t> 分期方案Ⅰ期程度的何杰金氏病；</w:t>
      </w:r>
    </w:p>
    <w:p>
      <w:pPr>
        <w:pStyle w:val="BodyText"/>
        <w:rPr>
          <w:sz w:val="9"/>
        </w:rPr>
      </w:pPr>
    </w:p>
    <w:p>
      <w:pPr>
        <w:pStyle w:val="ListParagraph"/>
        <w:numPr>
          <w:ilvl w:val="0"/>
          <w:numId w:val="17"/>
        </w:numPr>
        <w:tabs>
          <w:tab w:pos="3123" w:val="left" w:leader="none"/>
        </w:tabs>
        <w:spacing w:line="266" w:lineRule="auto" w:before="71" w:after="0"/>
        <w:ind w:left="2594" w:right="776" w:firstLine="0"/>
        <w:jc w:val="left"/>
        <w:rPr>
          <w:sz w:val="21"/>
        </w:rPr>
      </w:pPr>
      <w:r>
        <w:rPr>
          <w:color w:val="000000"/>
          <w:spacing w:val="-5"/>
          <w:sz w:val="21"/>
          <w:shd w:fill="D9D9D9" w:color="auto" w:val="clear"/>
        </w:rPr>
        <w:t>未发生淋巴结和远处转移且 </w:t>
      </w:r>
      <w:r>
        <w:rPr>
          <w:color w:val="000000"/>
          <w:sz w:val="21"/>
          <w:shd w:fill="D9D9D9" w:color="auto" w:val="clear"/>
        </w:rPr>
        <w:t>WHO</w:t>
      </w:r>
      <w:r>
        <w:rPr>
          <w:color w:val="000000"/>
          <w:spacing w:val="-23"/>
          <w:sz w:val="21"/>
          <w:shd w:fill="D9D9D9" w:color="auto" w:val="clear"/>
        </w:rPr>
        <w:t> 分级为 </w:t>
      </w:r>
      <w:r>
        <w:rPr>
          <w:color w:val="000000"/>
          <w:sz w:val="21"/>
          <w:shd w:fill="D9D9D9" w:color="auto" w:val="clear"/>
        </w:rPr>
        <w:t>G1</w:t>
      </w:r>
      <w:r>
        <w:rPr>
          <w:color w:val="000000"/>
          <w:spacing w:val="-18"/>
          <w:sz w:val="21"/>
          <w:shd w:fill="D9D9D9" w:color="auto" w:val="clear"/>
        </w:rPr>
        <w:t> 级别</w:t>
      </w:r>
      <w:r>
        <w:rPr>
          <w:color w:val="000000"/>
          <w:sz w:val="21"/>
          <w:shd w:fill="D9D9D9" w:color="auto" w:val="clear"/>
        </w:rPr>
        <w:t>（核分裂像&lt;10/50</w:t>
      </w:r>
      <w:r>
        <w:rPr>
          <w:color w:val="000000"/>
          <w:spacing w:val="-27"/>
          <w:sz w:val="21"/>
          <w:shd w:fill="D9D9D9" w:color="auto" w:val="clear"/>
        </w:rPr>
        <w:t> </w:t>
      </w:r>
      <w:r>
        <w:rPr>
          <w:color w:val="000000"/>
          <w:sz w:val="21"/>
          <w:shd w:fill="D9D9D9" w:color="auto" w:val="clear"/>
        </w:rPr>
        <w:t>HPF</w:t>
      </w:r>
      <w:r>
        <w:rPr>
          <w:color w:val="000000"/>
          <w:spacing w:val="-28"/>
          <w:sz w:val="21"/>
          <w:shd w:fill="D9D9D9" w:color="auto" w:val="clear"/>
        </w:rPr>
        <w:t> 和</w:t>
      </w:r>
      <w:r>
        <w:rPr>
          <w:color w:val="000000"/>
          <w:sz w:val="21"/>
        </w:rPr>
        <w:t> </w:t>
      </w:r>
      <w:r>
        <w:rPr>
          <w:color w:val="000000"/>
          <w:spacing w:val="-2"/>
          <w:sz w:val="21"/>
          <w:shd w:fill="D9D9D9" w:color="auto" w:val="clear"/>
        </w:rPr>
        <w:t>ki-67≤2%）或更轻分级的神经内分泌肿瘤。</w:t>
      </w:r>
    </w:p>
    <w:p>
      <w:pPr>
        <w:pStyle w:val="Heading3"/>
        <w:numPr>
          <w:ilvl w:val="0"/>
          <w:numId w:val="15"/>
        </w:numPr>
        <w:tabs>
          <w:tab w:pos="3017" w:val="left" w:leader="none"/>
        </w:tabs>
        <w:spacing w:line="240" w:lineRule="auto" w:before="92" w:after="0"/>
        <w:ind w:left="3016" w:right="0" w:hanging="423"/>
        <w:jc w:val="left"/>
      </w:pPr>
      <w:r>
        <w:rPr>
          <w:spacing w:val="-2"/>
        </w:rPr>
        <w:t>较重急性心肌梗死:</w:t>
      </w:r>
    </w:p>
    <w:p>
      <w:pPr>
        <w:pStyle w:val="BodyText"/>
        <w:spacing w:line="266" w:lineRule="auto" w:before="136"/>
        <w:ind w:left="2594" w:right="613"/>
      </w:pPr>
      <w:r>
        <w:rPr>
          <w:spacing w:val="-2"/>
        </w:rPr>
        <w:t>急性心肌梗死指由于冠状动脉闭塞或梗阻引起部分心肌严重的持久性缺血造成急</w:t>
      </w:r>
      <w:r>
        <w:rPr>
          <w:spacing w:val="-2"/>
        </w:rPr>
        <w:t>性心肌坏死。急性心肌梗死的诊断必须依据国际国内诊断标准，符合</w:t>
      </w:r>
    </w:p>
    <w:p>
      <w:pPr>
        <w:pStyle w:val="ListParagraph"/>
        <w:numPr>
          <w:ilvl w:val="0"/>
          <w:numId w:val="18"/>
        </w:numPr>
        <w:tabs>
          <w:tab w:pos="3123" w:val="left" w:leader="none"/>
        </w:tabs>
        <w:spacing w:line="240" w:lineRule="auto" w:before="159" w:after="0"/>
        <w:ind w:left="3123" w:right="0" w:hanging="529"/>
        <w:jc w:val="left"/>
        <w:rPr>
          <w:sz w:val="21"/>
        </w:rPr>
      </w:pPr>
      <w:r>
        <w:rPr>
          <w:spacing w:val="-2"/>
          <w:sz w:val="21"/>
        </w:rPr>
        <w:t>检测到肌酸激酶同工酶（CK-MB）或肌钙蛋白（cTn）</w:t>
      </w:r>
      <w:r>
        <w:rPr>
          <w:spacing w:val="-3"/>
          <w:sz w:val="21"/>
        </w:rPr>
        <w:t>升高和/或降低的动态</w:t>
      </w:r>
    </w:p>
    <w:p>
      <w:pPr>
        <w:pStyle w:val="BodyText"/>
        <w:spacing w:before="1"/>
        <w:rPr>
          <w:sz w:val="11"/>
        </w:rPr>
      </w:pPr>
      <w:r>
        <w:rPr/>
        <w:drawing>
          <wp:anchor distT="0" distB="0" distL="0" distR="0" allowOverlap="1" layoutInCell="1" locked="0" behindDoc="0" simplePos="0" relativeHeight="21">
            <wp:simplePos x="0" y="0"/>
            <wp:positionH relativeFrom="page">
              <wp:posOffset>685800</wp:posOffset>
            </wp:positionH>
            <wp:positionV relativeFrom="paragraph">
              <wp:posOffset>105784</wp:posOffset>
            </wp:positionV>
            <wp:extent cx="1829511" cy="6095"/>
            <wp:effectExtent l="0" t="0" r="0" b="0"/>
            <wp:wrapTopAndBottom/>
            <wp:docPr id="43" name="image5.png"/>
            <wp:cNvGraphicFramePr>
              <a:graphicFrameLocks noChangeAspect="1"/>
            </wp:cNvGraphicFramePr>
            <a:graphic>
              <a:graphicData uri="http://schemas.openxmlformats.org/drawingml/2006/picture">
                <pic:pic>
                  <pic:nvPicPr>
                    <pic:cNvPr id="44" name="image5.png"/>
                    <pic:cNvPicPr/>
                  </pic:nvPicPr>
                  <pic:blipFill>
                    <a:blip r:embed="rId10" cstate="print"/>
                    <a:stretch>
                      <a:fillRect/>
                    </a:stretch>
                  </pic:blipFill>
                  <pic:spPr>
                    <a:xfrm>
                      <a:off x="0" y="0"/>
                      <a:ext cx="1829511" cy="6095"/>
                    </a:xfrm>
                    <a:prstGeom prst="rect">
                      <a:avLst/>
                    </a:prstGeom>
                  </pic:spPr>
                </pic:pic>
              </a:graphicData>
            </a:graphic>
          </wp:anchor>
        </w:drawing>
      </w:r>
    </w:p>
    <w:p>
      <w:pPr>
        <w:spacing w:line="312" w:lineRule="exact" w:before="37"/>
        <w:ind w:left="220" w:right="0" w:firstLine="0"/>
        <w:jc w:val="left"/>
        <w:rPr>
          <w:sz w:val="18"/>
        </w:rPr>
      </w:pPr>
      <w:r>
        <w:rPr>
          <w:position w:val="9"/>
          <w:sz w:val="9"/>
        </w:rPr>
        <w:t>63</w:t>
      </w:r>
      <w:r>
        <w:rPr>
          <w:rFonts w:ascii="Microsoft JhengHei" w:eastAsia="Microsoft JhengHei"/>
          <w:b/>
          <w:sz w:val="18"/>
        </w:rPr>
        <w:t>组织病理学检查</w:t>
      </w:r>
      <w:r>
        <w:rPr>
          <w:spacing w:val="-1"/>
          <w:sz w:val="18"/>
        </w:rPr>
        <w:t>：组织病理学检查是通过局部切除、钳取、穿刺等手术方法，从患者机体采取病变组织块，经过包埋、切</w:t>
      </w:r>
    </w:p>
    <w:p>
      <w:pPr>
        <w:spacing w:line="184" w:lineRule="exact" w:before="0"/>
        <w:ind w:left="220" w:right="0" w:firstLine="0"/>
        <w:jc w:val="left"/>
        <w:rPr>
          <w:sz w:val="18"/>
        </w:rPr>
      </w:pPr>
      <w:r>
        <w:rPr>
          <w:spacing w:val="-1"/>
          <w:sz w:val="18"/>
        </w:rPr>
        <w:t>片后，进行病理检查的方法。</w:t>
      </w:r>
    </w:p>
    <w:p>
      <w:pPr>
        <w:spacing w:line="284" w:lineRule="exact" w:before="0"/>
        <w:ind w:left="220" w:right="0" w:firstLine="0"/>
        <w:jc w:val="left"/>
        <w:rPr>
          <w:sz w:val="18"/>
        </w:rPr>
      </w:pPr>
      <w:r>
        <w:rPr>
          <w:w w:val="95"/>
          <w:position w:val="9"/>
          <w:sz w:val="9"/>
        </w:rPr>
        <w:t>64</w:t>
      </w:r>
      <w:r>
        <w:rPr>
          <w:rFonts w:ascii="Microsoft JhengHei" w:eastAsia="Microsoft JhengHei"/>
          <w:b/>
          <w:w w:val="95"/>
          <w:sz w:val="18"/>
        </w:rPr>
        <w:t>ICD-10</w:t>
      </w:r>
      <w:r>
        <w:rPr>
          <w:w w:val="95"/>
          <w:sz w:val="18"/>
        </w:rPr>
        <w:t>:</w:t>
      </w:r>
      <w:r>
        <w:rPr>
          <w:w w:val="95"/>
          <w:sz w:val="18"/>
        </w:rPr>
        <w:t>《</w:t>
      </w:r>
      <w:r>
        <w:rPr>
          <w:w w:val="95"/>
          <w:sz w:val="18"/>
        </w:rPr>
        <w:t>疾</w:t>
      </w:r>
      <w:r>
        <w:rPr>
          <w:w w:val="95"/>
          <w:sz w:val="18"/>
        </w:rPr>
        <w:t>病</w:t>
      </w:r>
      <w:r>
        <w:rPr>
          <w:w w:val="95"/>
          <w:sz w:val="18"/>
        </w:rPr>
        <w:t>和</w:t>
      </w:r>
      <w:r>
        <w:rPr>
          <w:w w:val="95"/>
          <w:sz w:val="18"/>
        </w:rPr>
        <w:t>有</w:t>
      </w:r>
      <w:r>
        <w:rPr>
          <w:w w:val="95"/>
          <w:sz w:val="18"/>
        </w:rPr>
        <w:t>关</w:t>
      </w:r>
      <w:r>
        <w:rPr>
          <w:w w:val="95"/>
          <w:sz w:val="18"/>
        </w:rPr>
        <w:t>健</w:t>
      </w:r>
      <w:r>
        <w:rPr>
          <w:w w:val="95"/>
          <w:sz w:val="18"/>
        </w:rPr>
        <w:t>康</w:t>
      </w:r>
      <w:r>
        <w:rPr>
          <w:w w:val="95"/>
          <w:sz w:val="18"/>
        </w:rPr>
        <w:t>问</w:t>
      </w:r>
      <w:r>
        <w:rPr>
          <w:w w:val="95"/>
          <w:sz w:val="18"/>
        </w:rPr>
        <w:t>题</w:t>
      </w:r>
      <w:r>
        <w:rPr>
          <w:w w:val="95"/>
          <w:sz w:val="18"/>
        </w:rPr>
        <w:t>的</w:t>
      </w:r>
      <w:r>
        <w:rPr>
          <w:w w:val="95"/>
          <w:sz w:val="18"/>
        </w:rPr>
        <w:t>国</w:t>
      </w:r>
      <w:r>
        <w:rPr>
          <w:w w:val="95"/>
          <w:sz w:val="18"/>
        </w:rPr>
        <w:t>际</w:t>
      </w:r>
      <w:r>
        <w:rPr>
          <w:w w:val="95"/>
          <w:sz w:val="18"/>
        </w:rPr>
        <w:t>统</w:t>
      </w:r>
      <w:r>
        <w:rPr>
          <w:w w:val="95"/>
          <w:sz w:val="18"/>
        </w:rPr>
        <w:t>计</w:t>
      </w:r>
      <w:r>
        <w:rPr>
          <w:w w:val="95"/>
          <w:sz w:val="18"/>
        </w:rPr>
        <w:t>分</w:t>
      </w:r>
      <w:r>
        <w:rPr>
          <w:w w:val="95"/>
          <w:sz w:val="18"/>
        </w:rPr>
        <w:t>类</w:t>
      </w:r>
      <w:r>
        <w:rPr>
          <w:w w:val="95"/>
          <w:sz w:val="18"/>
        </w:rPr>
        <w:t>》</w:t>
      </w:r>
      <w:r>
        <w:rPr>
          <w:w w:val="95"/>
          <w:sz w:val="18"/>
        </w:rPr>
        <w:t>第</w:t>
      </w:r>
      <w:r>
        <w:rPr>
          <w:w w:val="95"/>
          <w:sz w:val="18"/>
        </w:rPr>
        <w:t>十</w:t>
      </w:r>
      <w:r>
        <w:rPr>
          <w:w w:val="95"/>
          <w:sz w:val="18"/>
        </w:rPr>
        <w:t>次</w:t>
      </w:r>
      <w:r>
        <w:rPr>
          <w:w w:val="95"/>
          <w:sz w:val="18"/>
        </w:rPr>
        <w:t>修</w:t>
      </w:r>
      <w:r>
        <w:rPr>
          <w:w w:val="95"/>
          <w:sz w:val="18"/>
        </w:rPr>
        <w:t>订</w:t>
      </w:r>
      <w:r>
        <w:rPr>
          <w:w w:val="95"/>
          <w:sz w:val="18"/>
        </w:rPr>
        <w:t>版</w:t>
      </w:r>
      <w:r>
        <w:rPr>
          <w:w w:val="95"/>
          <w:sz w:val="18"/>
        </w:rPr>
        <w:t>（ICD-10）,</w:t>
      </w:r>
      <w:r>
        <w:rPr>
          <w:w w:val="95"/>
          <w:sz w:val="18"/>
        </w:rPr>
        <w:t>是</w:t>
      </w:r>
      <w:r>
        <w:rPr>
          <w:w w:val="95"/>
          <w:sz w:val="18"/>
        </w:rPr>
        <w:t>世</w:t>
      </w:r>
      <w:r>
        <w:rPr>
          <w:w w:val="95"/>
          <w:sz w:val="18"/>
        </w:rPr>
        <w:t>界</w:t>
      </w:r>
      <w:r>
        <w:rPr>
          <w:w w:val="95"/>
          <w:sz w:val="18"/>
        </w:rPr>
        <w:t>卫</w:t>
      </w:r>
      <w:r>
        <w:rPr>
          <w:w w:val="95"/>
          <w:sz w:val="18"/>
        </w:rPr>
        <w:t>生</w:t>
      </w:r>
      <w:r>
        <w:rPr>
          <w:w w:val="95"/>
          <w:sz w:val="18"/>
        </w:rPr>
        <w:t>组</w:t>
      </w:r>
      <w:r>
        <w:rPr>
          <w:w w:val="95"/>
          <w:sz w:val="18"/>
        </w:rPr>
        <w:t>织</w:t>
      </w:r>
      <w:r>
        <w:rPr>
          <w:w w:val="95"/>
          <w:sz w:val="18"/>
        </w:rPr>
        <w:t>（WHO）</w:t>
      </w:r>
      <w:r>
        <w:rPr>
          <w:w w:val="95"/>
          <w:sz w:val="18"/>
        </w:rPr>
        <w:t>发</w:t>
      </w:r>
      <w:r>
        <w:rPr>
          <w:w w:val="95"/>
          <w:sz w:val="18"/>
        </w:rPr>
        <w:t>布</w:t>
      </w:r>
      <w:r>
        <w:rPr>
          <w:w w:val="95"/>
          <w:sz w:val="18"/>
        </w:rPr>
        <w:t>的</w:t>
      </w:r>
      <w:r>
        <w:rPr>
          <w:w w:val="95"/>
          <w:sz w:val="18"/>
        </w:rPr>
        <w:t>国</w:t>
      </w:r>
      <w:r>
        <w:rPr>
          <w:w w:val="95"/>
          <w:sz w:val="18"/>
        </w:rPr>
        <w:t>际</w:t>
      </w:r>
      <w:r>
        <w:rPr>
          <w:w w:val="95"/>
          <w:sz w:val="18"/>
        </w:rPr>
        <w:t>通</w:t>
      </w:r>
      <w:r>
        <w:rPr>
          <w:w w:val="95"/>
          <w:sz w:val="18"/>
        </w:rPr>
        <w:t>用</w:t>
      </w:r>
      <w:r>
        <w:rPr>
          <w:w w:val="95"/>
          <w:sz w:val="18"/>
        </w:rPr>
        <w:t>的</w:t>
      </w:r>
      <w:r>
        <w:rPr>
          <w:w w:val="95"/>
          <w:sz w:val="18"/>
        </w:rPr>
        <w:t>疾</w:t>
      </w:r>
      <w:r>
        <w:rPr>
          <w:spacing w:val="-10"/>
          <w:w w:val="95"/>
          <w:sz w:val="18"/>
        </w:rPr>
        <w:t>病</w:t>
      </w:r>
    </w:p>
    <w:p>
      <w:pPr>
        <w:spacing w:line="211" w:lineRule="exact" w:before="0"/>
        <w:ind w:left="220" w:right="0" w:firstLine="0"/>
        <w:jc w:val="left"/>
        <w:rPr>
          <w:sz w:val="18"/>
        </w:rPr>
      </w:pPr>
      <w:r>
        <w:rPr>
          <w:spacing w:val="-12"/>
          <w:sz w:val="18"/>
        </w:rPr>
        <w:t>分类方法。《国际疾病分类肿瘤学专辑》第三版</w:t>
      </w:r>
      <w:r>
        <w:rPr>
          <w:spacing w:val="-2"/>
          <w:sz w:val="18"/>
        </w:rPr>
        <w:t>（ICD-O-3）</w:t>
      </w:r>
      <w:r>
        <w:rPr>
          <w:spacing w:val="-7"/>
          <w:sz w:val="18"/>
        </w:rPr>
        <w:t>,是 </w:t>
      </w:r>
      <w:r>
        <w:rPr>
          <w:spacing w:val="-2"/>
          <w:sz w:val="18"/>
        </w:rPr>
        <w:t>WHO</w:t>
      </w:r>
      <w:r>
        <w:rPr>
          <w:spacing w:val="-8"/>
          <w:sz w:val="18"/>
        </w:rPr>
        <w:t> 发布的针对 </w:t>
      </w:r>
      <w:r>
        <w:rPr>
          <w:spacing w:val="-2"/>
          <w:sz w:val="18"/>
        </w:rPr>
        <w:t>ICD</w:t>
      </w:r>
      <w:r>
        <w:rPr>
          <w:spacing w:val="-7"/>
          <w:sz w:val="18"/>
        </w:rPr>
        <w:t> 中肿瘤形态学组织学细胞分类、动态、</w:t>
      </w:r>
    </w:p>
    <w:p>
      <w:pPr>
        <w:spacing w:line="242" w:lineRule="auto" w:before="2"/>
        <w:ind w:left="220" w:right="622" w:firstLine="0"/>
        <w:jc w:val="left"/>
        <w:rPr>
          <w:sz w:val="18"/>
        </w:rPr>
      </w:pPr>
      <w:r>
        <w:rPr>
          <w:sz w:val="18"/>
        </w:rPr>
        <w:t>分化程度的补充编码。其中形态学编码：0</w:t>
      </w:r>
      <w:r>
        <w:rPr>
          <w:spacing w:val="-7"/>
          <w:sz w:val="18"/>
        </w:rPr>
        <w:t> 代表良性肿瘤；</w:t>
      </w:r>
      <w:r>
        <w:rPr>
          <w:sz w:val="18"/>
        </w:rPr>
        <w:t>1</w:t>
      </w:r>
      <w:r>
        <w:rPr>
          <w:spacing w:val="-7"/>
          <w:sz w:val="18"/>
        </w:rPr>
        <w:t> 代表动态未定性肿瘤</w:t>
      </w:r>
      <w:r>
        <w:rPr>
          <w:sz w:val="18"/>
        </w:rPr>
        <w:t>；2</w:t>
      </w:r>
      <w:r>
        <w:rPr>
          <w:spacing w:val="-7"/>
          <w:sz w:val="18"/>
        </w:rPr>
        <w:t> 代表原位癌和非侵袭性癌</w:t>
      </w:r>
      <w:r>
        <w:rPr>
          <w:sz w:val="18"/>
        </w:rPr>
        <w:t>；3</w:t>
      </w:r>
      <w:r>
        <w:rPr>
          <w:spacing w:val="-10"/>
          <w:sz w:val="18"/>
        </w:rPr>
        <w:t> 代表恶性</w:t>
      </w:r>
      <w:r>
        <w:rPr>
          <w:spacing w:val="-2"/>
          <w:sz w:val="18"/>
        </w:rPr>
        <w:t>肿瘤（原发性）；6</w:t>
      </w:r>
      <w:r>
        <w:rPr>
          <w:spacing w:val="-10"/>
          <w:sz w:val="18"/>
        </w:rPr>
        <w:t> 代表恶性肿瘤</w:t>
      </w:r>
      <w:r>
        <w:rPr>
          <w:spacing w:val="-2"/>
          <w:sz w:val="18"/>
        </w:rPr>
        <w:t>（转移性）；9</w:t>
      </w:r>
      <w:r>
        <w:rPr>
          <w:spacing w:val="-10"/>
          <w:sz w:val="18"/>
        </w:rPr>
        <w:t> 代表恶性肿瘤</w:t>
      </w:r>
      <w:r>
        <w:rPr>
          <w:spacing w:val="-2"/>
          <w:sz w:val="18"/>
        </w:rPr>
        <w:t>（原发性或转移性未肯定</w:t>
      </w:r>
      <w:r>
        <w:rPr>
          <w:spacing w:val="-92"/>
          <w:sz w:val="18"/>
        </w:rPr>
        <w:t>）</w:t>
      </w:r>
      <w:r>
        <w:rPr>
          <w:spacing w:val="-9"/>
          <w:sz w:val="18"/>
        </w:rPr>
        <w:t>。如果出现 </w:t>
      </w:r>
      <w:r>
        <w:rPr>
          <w:spacing w:val="-2"/>
          <w:sz w:val="18"/>
        </w:rPr>
        <w:t>ICD-10</w:t>
      </w:r>
      <w:r>
        <w:rPr>
          <w:spacing w:val="-31"/>
          <w:sz w:val="18"/>
        </w:rPr>
        <w:t> 与 </w:t>
      </w:r>
      <w:r>
        <w:rPr>
          <w:spacing w:val="-2"/>
          <w:sz w:val="18"/>
        </w:rPr>
        <w:t>ICD-0-3</w:t>
      </w:r>
      <w:r>
        <w:rPr>
          <w:spacing w:val="-17"/>
          <w:sz w:val="18"/>
        </w:rPr>
        <w:t> 不一</w:t>
      </w:r>
      <w:r>
        <w:rPr>
          <w:spacing w:val="-3"/>
          <w:sz w:val="18"/>
        </w:rPr>
        <w:t>致的情况，以 </w:t>
      </w:r>
      <w:r>
        <w:rPr>
          <w:sz w:val="18"/>
        </w:rPr>
        <w:t>ICD-0-3</w:t>
      </w:r>
      <w:r>
        <w:rPr>
          <w:spacing w:val="-6"/>
          <w:sz w:val="18"/>
        </w:rPr>
        <w:t> 为准。</w:t>
      </w:r>
    </w:p>
    <w:p>
      <w:pPr>
        <w:spacing w:line="254" w:lineRule="exact" w:before="0"/>
        <w:ind w:left="220" w:right="0" w:firstLine="0"/>
        <w:jc w:val="left"/>
        <w:rPr>
          <w:sz w:val="18"/>
        </w:rPr>
      </w:pPr>
      <w:r>
        <w:rPr>
          <w:w w:val="95"/>
          <w:position w:val="9"/>
          <w:sz w:val="9"/>
        </w:rPr>
        <w:t>65</w:t>
      </w:r>
      <w:r>
        <w:rPr>
          <w:rFonts w:ascii="Microsoft JhengHei" w:eastAsia="Microsoft JhengHei"/>
          <w:b/>
          <w:w w:val="95"/>
          <w:sz w:val="18"/>
        </w:rPr>
        <w:t>TNM</w:t>
      </w:r>
      <w:r>
        <w:rPr>
          <w:rFonts w:ascii="Microsoft JhengHei" w:eastAsia="Microsoft JhengHei"/>
          <w:b/>
          <w:spacing w:val="54"/>
          <w:sz w:val="18"/>
        </w:rPr>
        <w:t> </w:t>
      </w:r>
      <w:r>
        <w:rPr>
          <w:rFonts w:ascii="Microsoft JhengHei" w:eastAsia="Microsoft JhengHei"/>
          <w:b/>
          <w:w w:val="95"/>
          <w:sz w:val="18"/>
        </w:rPr>
        <w:t>分期</w:t>
      </w:r>
      <w:r>
        <w:rPr>
          <w:w w:val="95"/>
          <w:sz w:val="18"/>
        </w:rPr>
        <w:t>：TNM</w:t>
      </w:r>
      <w:r>
        <w:rPr>
          <w:spacing w:val="3"/>
          <w:sz w:val="18"/>
        </w:rPr>
        <w:t> </w:t>
      </w:r>
      <w:r>
        <w:rPr>
          <w:w w:val="95"/>
          <w:sz w:val="18"/>
        </w:rPr>
        <w:t>分</w:t>
      </w:r>
      <w:r>
        <w:rPr>
          <w:w w:val="95"/>
          <w:sz w:val="18"/>
        </w:rPr>
        <w:t>期</w:t>
      </w:r>
      <w:r>
        <w:rPr>
          <w:w w:val="95"/>
          <w:sz w:val="18"/>
        </w:rPr>
        <w:t>采</w:t>
      </w:r>
      <w:r>
        <w:rPr>
          <w:w w:val="95"/>
          <w:sz w:val="18"/>
        </w:rPr>
        <w:t>用</w:t>
      </w:r>
      <w:r>
        <w:rPr>
          <w:spacing w:val="5"/>
          <w:sz w:val="18"/>
        </w:rPr>
        <w:t> </w:t>
      </w:r>
      <w:r>
        <w:rPr>
          <w:w w:val="95"/>
          <w:sz w:val="18"/>
        </w:rPr>
        <w:t>AJCC</w:t>
      </w:r>
      <w:r>
        <w:rPr>
          <w:spacing w:val="3"/>
          <w:sz w:val="18"/>
        </w:rPr>
        <w:t> </w:t>
      </w:r>
      <w:r>
        <w:rPr>
          <w:w w:val="95"/>
          <w:sz w:val="18"/>
        </w:rPr>
        <w:t>癌</w:t>
      </w:r>
      <w:r>
        <w:rPr>
          <w:w w:val="95"/>
          <w:sz w:val="18"/>
        </w:rPr>
        <w:t>症</w:t>
      </w:r>
      <w:r>
        <w:rPr>
          <w:w w:val="95"/>
          <w:sz w:val="18"/>
        </w:rPr>
        <w:t>分</w:t>
      </w:r>
      <w:r>
        <w:rPr>
          <w:w w:val="95"/>
          <w:sz w:val="18"/>
        </w:rPr>
        <w:t>期</w:t>
      </w:r>
      <w:r>
        <w:rPr>
          <w:w w:val="95"/>
          <w:sz w:val="18"/>
        </w:rPr>
        <w:t>手</w:t>
      </w:r>
      <w:r>
        <w:rPr>
          <w:w w:val="95"/>
          <w:sz w:val="18"/>
        </w:rPr>
        <w:t>册</w:t>
      </w:r>
      <w:r>
        <w:rPr>
          <w:w w:val="95"/>
          <w:sz w:val="18"/>
        </w:rPr>
        <w:t>标</w:t>
      </w:r>
      <w:r>
        <w:rPr>
          <w:w w:val="95"/>
          <w:sz w:val="18"/>
        </w:rPr>
        <w:t>准</w:t>
      </w:r>
      <w:r>
        <w:rPr>
          <w:w w:val="95"/>
          <w:sz w:val="18"/>
        </w:rPr>
        <w:t>。</w:t>
      </w:r>
      <w:r>
        <w:rPr>
          <w:w w:val="95"/>
          <w:sz w:val="18"/>
        </w:rPr>
        <w:t>该</w:t>
      </w:r>
      <w:r>
        <w:rPr>
          <w:w w:val="95"/>
          <w:sz w:val="18"/>
        </w:rPr>
        <w:t>标</w:t>
      </w:r>
      <w:r>
        <w:rPr>
          <w:w w:val="95"/>
          <w:sz w:val="18"/>
        </w:rPr>
        <w:t>准</w:t>
      </w:r>
      <w:r>
        <w:rPr>
          <w:w w:val="95"/>
          <w:sz w:val="18"/>
        </w:rPr>
        <w:t>由</w:t>
      </w:r>
      <w:r>
        <w:rPr>
          <w:w w:val="95"/>
          <w:sz w:val="18"/>
        </w:rPr>
        <w:t>美</w:t>
      </w:r>
      <w:r>
        <w:rPr>
          <w:w w:val="95"/>
          <w:sz w:val="18"/>
        </w:rPr>
        <w:t>国</w:t>
      </w:r>
      <w:r>
        <w:rPr>
          <w:w w:val="95"/>
          <w:sz w:val="18"/>
        </w:rPr>
        <w:t>癌</w:t>
      </w:r>
      <w:r>
        <w:rPr>
          <w:w w:val="95"/>
          <w:sz w:val="18"/>
        </w:rPr>
        <w:t>症</w:t>
      </w:r>
      <w:r>
        <w:rPr>
          <w:w w:val="95"/>
          <w:sz w:val="18"/>
        </w:rPr>
        <w:t>联</w:t>
      </w:r>
      <w:r>
        <w:rPr>
          <w:w w:val="95"/>
          <w:sz w:val="18"/>
        </w:rPr>
        <w:t>合</w:t>
      </w:r>
      <w:r>
        <w:rPr>
          <w:w w:val="95"/>
          <w:sz w:val="18"/>
        </w:rPr>
        <w:t>委</w:t>
      </w:r>
      <w:r>
        <w:rPr>
          <w:w w:val="95"/>
          <w:sz w:val="18"/>
        </w:rPr>
        <w:t>员</w:t>
      </w:r>
      <w:r>
        <w:rPr>
          <w:w w:val="95"/>
          <w:sz w:val="18"/>
        </w:rPr>
        <w:t>会</w:t>
      </w:r>
      <w:r>
        <w:rPr>
          <w:w w:val="95"/>
          <w:sz w:val="18"/>
        </w:rPr>
        <w:t>与</w:t>
      </w:r>
      <w:r>
        <w:rPr>
          <w:w w:val="95"/>
          <w:sz w:val="18"/>
        </w:rPr>
        <w:t>国</w:t>
      </w:r>
      <w:r>
        <w:rPr>
          <w:w w:val="95"/>
          <w:sz w:val="18"/>
        </w:rPr>
        <w:t>际</w:t>
      </w:r>
      <w:r>
        <w:rPr>
          <w:w w:val="95"/>
          <w:sz w:val="18"/>
        </w:rPr>
        <w:t>抗</w:t>
      </w:r>
      <w:r>
        <w:rPr>
          <w:w w:val="95"/>
          <w:sz w:val="18"/>
        </w:rPr>
        <w:t>癌</w:t>
      </w:r>
      <w:r>
        <w:rPr>
          <w:w w:val="95"/>
          <w:sz w:val="18"/>
        </w:rPr>
        <w:t>联</w:t>
      </w:r>
      <w:r>
        <w:rPr>
          <w:w w:val="95"/>
          <w:sz w:val="18"/>
        </w:rPr>
        <w:t>合</w:t>
      </w:r>
      <w:r>
        <w:rPr>
          <w:w w:val="95"/>
          <w:sz w:val="18"/>
        </w:rPr>
        <w:t>会</w:t>
      </w:r>
      <w:r>
        <w:rPr>
          <w:spacing w:val="7"/>
          <w:sz w:val="18"/>
        </w:rPr>
        <w:t> </w:t>
      </w:r>
      <w:r>
        <w:rPr>
          <w:w w:val="95"/>
          <w:sz w:val="18"/>
        </w:rPr>
        <w:t>TNM</w:t>
      </w:r>
      <w:r>
        <w:rPr>
          <w:spacing w:val="5"/>
          <w:sz w:val="18"/>
        </w:rPr>
        <w:t> </w:t>
      </w:r>
      <w:r>
        <w:rPr>
          <w:w w:val="95"/>
          <w:sz w:val="18"/>
        </w:rPr>
        <w:t>委</w:t>
      </w:r>
      <w:r>
        <w:rPr>
          <w:w w:val="95"/>
          <w:sz w:val="18"/>
        </w:rPr>
        <w:t>员</w:t>
      </w:r>
      <w:r>
        <w:rPr>
          <w:w w:val="95"/>
          <w:sz w:val="18"/>
        </w:rPr>
        <w:t>会</w:t>
      </w:r>
      <w:r>
        <w:rPr>
          <w:w w:val="95"/>
          <w:sz w:val="18"/>
        </w:rPr>
        <w:t>联</w:t>
      </w:r>
      <w:r>
        <w:rPr>
          <w:w w:val="95"/>
          <w:sz w:val="18"/>
        </w:rPr>
        <w:t>合</w:t>
      </w:r>
      <w:r>
        <w:rPr>
          <w:w w:val="95"/>
          <w:sz w:val="18"/>
        </w:rPr>
        <w:t>制</w:t>
      </w:r>
      <w:r>
        <w:rPr>
          <w:w w:val="95"/>
          <w:sz w:val="18"/>
        </w:rPr>
        <w:t>定</w:t>
      </w:r>
      <w:r>
        <w:rPr>
          <w:spacing w:val="-10"/>
          <w:w w:val="95"/>
          <w:sz w:val="18"/>
        </w:rPr>
        <w:t>，</w:t>
      </w:r>
    </w:p>
    <w:p>
      <w:pPr>
        <w:spacing w:line="211" w:lineRule="exact" w:before="0"/>
        <w:ind w:left="220" w:right="0" w:firstLine="0"/>
        <w:jc w:val="left"/>
        <w:rPr>
          <w:sz w:val="18"/>
        </w:rPr>
      </w:pPr>
      <w:r>
        <w:rPr>
          <w:sz w:val="18"/>
        </w:rPr>
        <w:t>是目前肿瘤医学分期的国际通用标准。T</w:t>
      </w:r>
      <w:r>
        <w:rPr>
          <w:spacing w:val="-7"/>
          <w:sz w:val="18"/>
        </w:rPr>
        <w:t> 指原发肿瘤大小、形态等</w:t>
      </w:r>
      <w:r>
        <w:rPr>
          <w:sz w:val="18"/>
        </w:rPr>
        <w:t>；N</w:t>
      </w:r>
      <w:r>
        <w:rPr>
          <w:spacing w:val="-7"/>
          <w:sz w:val="18"/>
        </w:rPr>
        <w:t> 指淋巴结的转移情况</w:t>
      </w:r>
      <w:r>
        <w:rPr>
          <w:sz w:val="18"/>
        </w:rPr>
        <w:t>；M</w:t>
      </w:r>
      <w:r>
        <w:rPr>
          <w:spacing w:val="-8"/>
          <w:sz w:val="18"/>
        </w:rPr>
        <w:t> 指有无其他脏器的转移情</w:t>
      </w:r>
    </w:p>
    <w:p>
      <w:pPr>
        <w:spacing w:before="5"/>
        <w:ind w:left="220" w:right="0" w:firstLine="0"/>
        <w:jc w:val="left"/>
        <w:rPr>
          <w:sz w:val="18"/>
        </w:rPr>
      </w:pPr>
      <w:r>
        <w:rPr>
          <w:spacing w:val="-5"/>
          <w:sz w:val="18"/>
        </w:rPr>
        <w:t>况。</w:t>
      </w:r>
    </w:p>
    <w:p>
      <w:pPr>
        <w:spacing w:after="0"/>
        <w:jc w:val="left"/>
        <w:rPr>
          <w:sz w:val="18"/>
        </w:rPr>
        <w:sectPr>
          <w:type w:val="continuous"/>
          <w:pgSz w:w="11910" w:h="16840"/>
          <w:pgMar w:header="0" w:footer="967" w:top="480" w:bottom="1160" w:left="860" w:right="480"/>
        </w:sectPr>
      </w:pPr>
    </w:p>
    <w:p>
      <w:pPr>
        <w:pStyle w:val="BodyText"/>
        <w:spacing w:before="51"/>
        <w:ind w:left="2594"/>
      </w:pPr>
      <w:r>
        <w:rPr>
          <w:spacing w:val="-3"/>
        </w:rPr>
        <w:t>变化，至少一次达到或超过心肌梗死的临床诊断标准；</w:t>
      </w:r>
    </w:p>
    <w:p>
      <w:pPr>
        <w:pStyle w:val="BodyText"/>
        <w:spacing w:before="8"/>
        <w:rPr>
          <w:sz w:val="14"/>
        </w:rPr>
      </w:pPr>
    </w:p>
    <w:p>
      <w:pPr>
        <w:pStyle w:val="ListParagraph"/>
        <w:numPr>
          <w:ilvl w:val="0"/>
          <w:numId w:val="18"/>
        </w:numPr>
        <w:tabs>
          <w:tab w:pos="3123" w:val="left" w:leader="none"/>
        </w:tabs>
        <w:spacing w:line="266" w:lineRule="auto" w:before="0" w:after="0"/>
        <w:ind w:left="2594" w:right="509" w:firstLine="0"/>
        <w:jc w:val="left"/>
        <w:rPr>
          <w:sz w:val="21"/>
        </w:rPr>
      </w:pPr>
      <w:r>
        <w:rPr>
          <w:spacing w:val="-2"/>
          <w:sz w:val="21"/>
        </w:rPr>
        <w:t>同时存在下列之一的证据，包括：缺血性胸痛症状、新发生的缺血性心电图</w:t>
      </w:r>
      <w:r>
        <w:rPr>
          <w:spacing w:val="-2"/>
          <w:sz w:val="21"/>
        </w:rPr>
        <w:t>改变、新生成的病理性 </w:t>
      </w:r>
      <w:r>
        <w:rPr>
          <w:sz w:val="21"/>
        </w:rPr>
        <w:t>Q</w:t>
      </w:r>
      <w:r>
        <w:rPr>
          <w:spacing w:val="-5"/>
          <w:sz w:val="21"/>
        </w:rPr>
        <w:t> 波、影像学证据显示有新出现的心肌活性丧失或新出现</w:t>
      </w:r>
      <w:r>
        <w:rPr>
          <w:spacing w:val="-2"/>
          <w:sz w:val="21"/>
        </w:rPr>
        <w:t>局部室壁运动异常、冠脉造影证实存在冠状动脉血栓。</w:t>
      </w:r>
    </w:p>
    <w:p>
      <w:pPr>
        <w:pStyle w:val="BodyText"/>
        <w:spacing w:line="266" w:lineRule="auto" w:before="160"/>
        <w:ind w:left="2594" w:right="613"/>
      </w:pPr>
      <w:r>
        <w:rPr>
          <w:spacing w:val="-2"/>
        </w:rPr>
        <w:t>较重急性心肌梗死指依照上述标准被明确诊断为急性心肌梗死，并且必须同时满</w:t>
      </w:r>
      <w:r>
        <w:rPr>
          <w:spacing w:val="-2"/>
        </w:rPr>
        <w:t>足下列至少一项条件：</w:t>
      </w:r>
    </w:p>
    <w:p>
      <w:pPr>
        <w:pStyle w:val="ListParagraph"/>
        <w:numPr>
          <w:ilvl w:val="0"/>
          <w:numId w:val="19"/>
        </w:numPr>
        <w:tabs>
          <w:tab w:pos="3123" w:val="left" w:leader="none"/>
        </w:tabs>
        <w:spacing w:line="266" w:lineRule="auto" w:before="159" w:after="0"/>
        <w:ind w:left="2594" w:right="617" w:firstLine="0"/>
        <w:jc w:val="left"/>
        <w:rPr>
          <w:sz w:val="21"/>
        </w:rPr>
      </w:pPr>
      <w:r>
        <w:rPr>
          <w:spacing w:val="-2"/>
          <w:sz w:val="21"/>
        </w:rPr>
        <w:t>心肌损伤标志物肌钙蛋白（cTn）升高，至少一次检测结果达到该检验正常</w:t>
      </w:r>
      <w:r>
        <w:rPr>
          <w:spacing w:val="-3"/>
          <w:sz w:val="21"/>
        </w:rPr>
        <w:t>参考值上限的 </w:t>
      </w:r>
      <w:r>
        <w:rPr>
          <w:sz w:val="21"/>
        </w:rPr>
        <w:t>15</w:t>
      </w:r>
      <w:r>
        <w:rPr>
          <w:spacing w:val="-11"/>
          <w:sz w:val="21"/>
        </w:rPr>
        <w:t> 倍</w:t>
      </w:r>
      <w:r>
        <w:rPr>
          <w:sz w:val="21"/>
        </w:rPr>
        <w:t>（含）以上；</w:t>
      </w:r>
    </w:p>
    <w:p>
      <w:pPr>
        <w:pStyle w:val="ListParagraph"/>
        <w:numPr>
          <w:ilvl w:val="0"/>
          <w:numId w:val="19"/>
        </w:numPr>
        <w:tabs>
          <w:tab w:pos="3123" w:val="left" w:leader="none"/>
        </w:tabs>
        <w:spacing w:line="266" w:lineRule="auto" w:before="159" w:after="0"/>
        <w:ind w:left="2594" w:right="617" w:firstLine="0"/>
        <w:jc w:val="left"/>
        <w:rPr>
          <w:sz w:val="21"/>
        </w:rPr>
      </w:pPr>
      <w:r>
        <w:rPr>
          <w:spacing w:val="-2"/>
          <w:sz w:val="21"/>
        </w:rPr>
        <w:t>肌酸激酶同工酶（CK-MB）升高，至少一次检测结果达到该检验正常参考上</w:t>
      </w:r>
      <w:r>
        <w:rPr>
          <w:spacing w:val="-7"/>
          <w:sz w:val="21"/>
        </w:rPr>
        <w:t>限的 </w:t>
      </w:r>
      <w:r>
        <w:rPr>
          <w:sz w:val="21"/>
        </w:rPr>
        <w:t>2</w:t>
      </w:r>
      <w:r>
        <w:rPr>
          <w:spacing w:val="-13"/>
          <w:sz w:val="21"/>
        </w:rPr>
        <w:t> 倍</w:t>
      </w:r>
      <w:r>
        <w:rPr>
          <w:sz w:val="21"/>
        </w:rPr>
        <w:t>（含）以上；</w:t>
      </w:r>
    </w:p>
    <w:p>
      <w:pPr>
        <w:pStyle w:val="ListParagraph"/>
        <w:numPr>
          <w:ilvl w:val="0"/>
          <w:numId w:val="19"/>
        </w:numPr>
        <w:tabs>
          <w:tab w:pos="3123" w:val="left" w:leader="none"/>
        </w:tabs>
        <w:spacing w:line="268" w:lineRule="auto" w:before="158" w:after="0"/>
        <w:ind w:left="2594" w:right="509" w:firstLine="0"/>
        <w:jc w:val="left"/>
        <w:rPr>
          <w:sz w:val="21"/>
        </w:rPr>
      </w:pPr>
      <w:r>
        <w:rPr>
          <w:spacing w:val="-4"/>
          <w:sz w:val="21"/>
        </w:rPr>
        <w:t>出现左心室收缩功能下降，在确诊 </w:t>
      </w:r>
      <w:r>
        <w:rPr>
          <w:spacing w:val="-2"/>
          <w:sz w:val="21"/>
        </w:rPr>
        <w:t>6</w:t>
      </w:r>
      <w:r>
        <w:rPr>
          <w:spacing w:val="-8"/>
          <w:sz w:val="21"/>
        </w:rPr>
        <w:t> 周以后，检测左室射血分数</w:t>
      </w:r>
      <w:r>
        <w:rPr>
          <w:spacing w:val="-2"/>
          <w:sz w:val="21"/>
        </w:rPr>
        <w:t>（LVEF）低</w:t>
      </w:r>
      <w:r>
        <w:rPr>
          <w:sz w:val="21"/>
        </w:rPr>
        <w:t>于 50%（不含</w:t>
      </w:r>
      <w:r>
        <w:rPr>
          <w:spacing w:val="-108"/>
          <w:sz w:val="21"/>
        </w:rPr>
        <w:t>）</w:t>
      </w:r>
      <w:r>
        <w:rPr>
          <w:sz w:val="21"/>
        </w:rPr>
        <w:t>；</w:t>
      </w:r>
    </w:p>
    <w:p>
      <w:pPr>
        <w:pStyle w:val="ListParagraph"/>
        <w:numPr>
          <w:ilvl w:val="0"/>
          <w:numId w:val="19"/>
        </w:numPr>
        <w:tabs>
          <w:tab w:pos="3123" w:val="left" w:leader="none"/>
        </w:tabs>
        <w:spacing w:line="266" w:lineRule="auto" w:before="154" w:after="0"/>
        <w:ind w:left="2594" w:right="509" w:firstLine="0"/>
        <w:jc w:val="left"/>
        <w:rPr>
          <w:sz w:val="21"/>
        </w:rPr>
      </w:pPr>
      <w:r>
        <w:rPr>
          <w:spacing w:val="-2"/>
          <w:sz w:val="21"/>
        </w:rPr>
        <w:t>影像学检查证实存在新发的乳头肌功能失调或断裂引起的中度（含）以上的</w:t>
      </w:r>
      <w:r>
        <w:rPr>
          <w:spacing w:val="-2"/>
          <w:sz w:val="21"/>
        </w:rPr>
        <w:t>二尖瓣反流；</w:t>
      </w:r>
    </w:p>
    <w:p>
      <w:pPr>
        <w:pStyle w:val="ListParagraph"/>
        <w:numPr>
          <w:ilvl w:val="0"/>
          <w:numId w:val="19"/>
        </w:numPr>
        <w:tabs>
          <w:tab w:pos="3123" w:val="left" w:leader="none"/>
        </w:tabs>
        <w:spacing w:line="240" w:lineRule="auto" w:before="159" w:after="0"/>
        <w:ind w:left="3123" w:right="0" w:hanging="529"/>
        <w:jc w:val="left"/>
        <w:rPr>
          <w:sz w:val="21"/>
        </w:rPr>
      </w:pPr>
      <w:r>
        <w:rPr>
          <w:spacing w:val="-3"/>
          <w:sz w:val="21"/>
        </w:rPr>
        <w:t>影像学检查证实存在新出现的室壁瘤；</w:t>
      </w:r>
    </w:p>
    <w:p>
      <w:pPr>
        <w:pStyle w:val="BodyText"/>
        <w:spacing w:before="7"/>
        <w:rPr>
          <w:sz w:val="14"/>
        </w:rPr>
      </w:pPr>
    </w:p>
    <w:p>
      <w:pPr>
        <w:pStyle w:val="ListParagraph"/>
        <w:numPr>
          <w:ilvl w:val="0"/>
          <w:numId w:val="19"/>
        </w:numPr>
        <w:tabs>
          <w:tab w:pos="3123" w:val="left" w:leader="none"/>
        </w:tabs>
        <w:spacing w:line="240" w:lineRule="auto" w:before="0" w:after="0"/>
        <w:ind w:left="3123" w:right="0" w:hanging="529"/>
        <w:jc w:val="left"/>
        <w:rPr>
          <w:sz w:val="21"/>
        </w:rPr>
      </w:pPr>
      <w:r>
        <w:rPr>
          <w:spacing w:val="-3"/>
          <w:sz w:val="21"/>
        </w:rPr>
        <w:t>出现室性心动过速、心室颤动或心源性休克。</w:t>
      </w:r>
    </w:p>
    <w:p>
      <w:pPr>
        <w:pStyle w:val="BodyText"/>
        <w:rPr>
          <w:sz w:val="9"/>
        </w:rPr>
      </w:pPr>
    </w:p>
    <w:p>
      <w:pPr>
        <w:spacing w:line="348" w:lineRule="auto" w:before="72"/>
        <w:ind w:left="2594" w:right="929" w:firstLine="0"/>
        <w:jc w:val="left"/>
        <w:rPr>
          <w:rFonts w:ascii="微软雅黑" w:eastAsia="微软雅黑"/>
          <w:b/>
          <w:sz w:val="21"/>
        </w:rPr>
      </w:pPr>
      <w:r>
        <w:rPr>
          <w:color w:val="000000"/>
          <w:spacing w:val="-2"/>
          <w:sz w:val="21"/>
          <w:shd w:fill="D9D9D9" w:color="auto" w:val="clear"/>
        </w:rPr>
        <w:t>其他非冠状动脉阻塞性疾病所引起的肌钙蛋白（cTn）升高不在保障范围内。</w:t>
      </w:r>
      <w:r>
        <w:rPr>
          <w:color w:val="000000"/>
          <w:spacing w:val="-2"/>
          <w:sz w:val="21"/>
        </w:rPr>
        <w:t> </w:t>
      </w:r>
      <w:r>
        <w:rPr>
          <w:rFonts w:ascii="微软雅黑" w:eastAsia="微软雅黑"/>
          <w:b/>
          <w:color w:val="000000"/>
          <w:spacing w:val="-2"/>
          <w:sz w:val="21"/>
        </w:rPr>
        <w:t>3）严重脑中风后遗症</w:t>
      </w:r>
      <w:r>
        <w:rPr>
          <w:rFonts w:ascii="微软雅黑" w:eastAsia="微软雅黑"/>
          <w:b/>
          <w:color w:val="000000"/>
          <w:spacing w:val="-2"/>
          <w:w w:val="145"/>
          <w:sz w:val="21"/>
        </w:rPr>
        <w:t>:</w:t>
      </w:r>
    </w:p>
    <w:p>
      <w:pPr>
        <w:pStyle w:val="BodyText"/>
        <w:spacing w:line="230" w:lineRule="exact"/>
        <w:ind w:left="2594"/>
      </w:pPr>
      <w:r>
        <w:rPr>
          <w:spacing w:val="-6"/>
        </w:rPr>
        <w:t>指因脑血管的突发病变引起脑血管出血、栓塞或梗塞，须由头颅断层扫描</w:t>
      </w:r>
      <w:r>
        <w:rPr>
          <w:spacing w:val="19"/>
        </w:rPr>
        <w:t>（</w:t>
      </w:r>
      <w:r>
        <w:rPr>
          <w:spacing w:val="18"/>
        </w:rPr>
        <w:t>C</w:t>
      </w:r>
      <w:r>
        <w:rPr>
          <w:spacing w:val="21"/>
        </w:rPr>
        <w:t>T</w:t>
      </w:r>
      <w:r>
        <w:rPr>
          <w:spacing w:val="-85"/>
        </w:rPr>
        <w:t>）</w:t>
      </w:r>
      <w:r>
        <w:rPr>
          <w:spacing w:val="-116"/>
        </w:rPr>
        <w:t>、</w:t>
      </w:r>
    </w:p>
    <w:p>
      <w:pPr>
        <w:pStyle w:val="BodyText"/>
        <w:spacing w:line="268" w:lineRule="auto" w:before="31"/>
        <w:ind w:left="2594" w:right="509"/>
      </w:pPr>
      <w:r>
        <w:rPr>
          <w:spacing w:val="-2"/>
        </w:rPr>
        <w:t>核磁共振检查（MRI）等影像学检查证实，并导致神经系统永久性的功能障碍。神</w:t>
      </w:r>
      <w:r>
        <w:rPr>
          <w:spacing w:val="-2"/>
        </w:rPr>
        <w:t>经系统永久性的功能障碍，指疾病确诊 </w:t>
      </w:r>
      <w:r>
        <w:rPr/>
        <w:t>180</w:t>
      </w:r>
      <w:r>
        <w:rPr>
          <w:spacing w:val="-5"/>
        </w:rPr>
        <w:t> 天后，仍遗留下列至少一种障碍：</w:t>
      </w:r>
    </w:p>
    <w:p>
      <w:pPr>
        <w:pStyle w:val="ListParagraph"/>
        <w:numPr>
          <w:ilvl w:val="0"/>
          <w:numId w:val="20"/>
        </w:numPr>
        <w:tabs>
          <w:tab w:pos="3123" w:val="left" w:leader="none"/>
          <w:tab w:pos="5875" w:val="left" w:leader="none"/>
        </w:tabs>
        <w:spacing w:line="240" w:lineRule="auto" w:before="87" w:after="0"/>
        <w:ind w:left="3123" w:right="0" w:hanging="529"/>
        <w:jc w:val="left"/>
        <w:rPr>
          <w:sz w:val="21"/>
        </w:rPr>
      </w:pPr>
      <w:r>
        <w:rPr>
          <w:w w:val="95"/>
          <w:sz w:val="21"/>
        </w:rPr>
        <w:t>一肢（含）以上</w:t>
      </w:r>
      <w:r>
        <w:rPr>
          <w:rFonts w:ascii="微软雅黑" w:eastAsia="微软雅黑"/>
          <w:b/>
          <w:w w:val="95"/>
          <w:sz w:val="21"/>
        </w:rPr>
        <w:t>肢</w:t>
      </w:r>
      <w:r>
        <w:rPr>
          <w:rFonts w:ascii="微软雅黑" w:eastAsia="微软雅黑"/>
          <w:b/>
          <w:w w:val="95"/>
          <w:sz w:val="21"/>
        </w:rPr>
        <w:t>体</w:t>
      </w:r>
      <w:r>
        <w:rPr>
          <w:rFonts w:ascii="微软雅黑" w:eastAsia="微软雅黑"/>
          <w:b/>
          <w:w w:val="95"/>
          <w:position w:val="11"/>
          <w:sz w:val="11"/>
        </w:rPr>
        <w:t>66</w:t>
      </w:r>
      <w:r>
        <w:rPr>
          <w:rFonts w:ascii="微软雅黑" w:eastAsia="微软雅黑"/>
          <w:b/>
          <w:w w:val="95"/>
          <w:sz w:val="21"/>
        </w:rPr>
        <w:t>肌</w:t>
      </w:r>
      <w:r>
        <w:rPr>
          <w:rFonts w:ascii="微软雅黑" w:eastAsia="微软雅黑"/>
          <w:b/>
          <w:w w:val="95"/>
          <w:sz w:val="21"/>
        </w:rPr>
        <w:t>力</w:t>
      </w:r>
      <w:r>
        <w:rPr>
          <w:rFonts w:ascii="微软雅黑" w:eastAsia="微软雅黑"/>
          <w:b/>
          <w:spacing w:val="-5"/>
          <w:w w:val="95"/>
          <w:position w:val="11"/>
          <w:sz w:val="11"/>
        </w:rPr>
        <w:t>67</w:t>
      </w:r>
      <w:r>
        <w:rPr>
          <w:rFonts w:ascii="微软雅黑" w:eastAsia="微软雅黑"/>
          <w:b/>
          <w:position w:val="11"/>
          <w:sz w:val="11"/>
        </w:rPr>
        <w:tab/>
      </w:r>
      <w:r>
        <w:rPr>
          <w:spacing w:val="-2"/>
          <w:sz w:val="21"/>
        </w:rPr>
        <w:t>2</w:t>
      </w:r>
      <w:r>
        <w:rPr>
          <w:spacing w:val="-52"/>
          <w:sz w:val="21"/>
        </w:rPr>
        <w:t> </w:t>
      </w:r>
      <w:r>
        <w:rPr>
          <w:spacing w:val="-2"/>
          <w:sz w:val="21"/>
        </w:rPr>
        <w:t>级（含）以下</w:t>
      </w:r>
      <w:r>
        <w:rPr>
          <w:spacing w:val="-10"/>
          <w:sz w:val="21"/>
        </w:rPr>
        <w:t>；</w:t>
      </w:r>
    </w:p>
    <w:p>
      <w:pPr>
        <w:pStyle w:val="ListParagraph"/>
        <w:numPr>
          <w:ilvl w:val="0"/>
          <w:numId w:val="20"/>
        </w:numPr>
        <w:tabs>
          <w:tab w:pos="3123" w:val="left" w:leader="none"/>
        </w:tabs>
        <w:spacing w:line="240" w:lineRule="auto" w:before="68" w:after="0"/>
        <w:ind w:left="3123" w:right="0" w:hanging="529"/>
        <w:jc w:val="left"/>
        <w:rPr>
          <w:sz w:val="21"/>
        </w:rPr>
      </w:pPr>
      <w:r>
        <w:rPr>
          <w:rFonts w:ascii="微软雅黑" w:eastAsia="微软雅黑"/>
          <w:b/>
          <w:w w:val="95"/>
          <w:sz w:val="21"/>
        </w:rPr>
        <w:t>语</w:t>
      </w:r>
      <w:r>
        <w:rPr>
          <w:rFonts w:ascii="微软雅黑" w:eastAsia="微软雅黑"/>
          <w:b/>
          <w:w w:val="95"/>
          <w:sz w:val="21"/>
        </w:rPr>
        <w:t>言</w:t>
      </w:r>
      <w:r>
        <w:rPr>
          <w:rFonts w:ascii="微软雅黑" w:eastAsia="微软雅黑"/>
          <w:b/>
          <w:w w:val="95"/>
          <w:sz w:val="21"/>
        </w:rPr>
        <w:t>能</w:t>
      </w:r>
      <w:r>
        <w:rPr>
          <w:rFonts w:ascii="微软雅黑" w:eastAsia="微软雅黑"/>
          <w:b/>
          <w:w w:val="95"/>
          <w:sz w:val="21"/>
        </w:rPr>
        <w:t>力</w:t>
      </w:r>
      <w:r>
        <w:rPr>
          <w:rFonts w:ascii="微软雅黑" w:eastAsia="微软雅黑"/>
          <w:b/>
          <w:w w:val="95"/>
          <w:sz w:val="21"/>
        </w:rPr>
        <w:t>完</w:t>
      </w:r>
      <w:r>
        <w:rPr>
          <w:rFonts w:ascii="微软雅黑" w:eastAsia="微软雅黑"/>
          <w:b/>
          <w:w w:val="95"/>
          <w:sz w:val="21"/>
        </w:rPr>
        <w:t>全</w:t>
      </w:r>
      <w:r>
        <w:rPr>
          <w:rFonts w:ascii="微软雅黑" w:eastAsia="微软雅黑"/>
          <w:b/>
          <w:w w:val="95"/>
          <w:sz w:val="21"/>
        </w:rPr>
        <w:t>丧</w:t>
      </w:r>
      <w:r>
        <w:rPr>
          <w:rFonts w:ascii="微软雅黑" w:eastAsia="微软雅黑"/>
          <w:b/>
          <w:w w:val="95"/>
          <w:sz w:val="21"/>
        </w:rPr>
        <w:t>失</w:t>
      </w:r>
      <w:r>
        <w:rPr>
          <w:rFonts w:ascii="微软雅黑" w:eastAsia="微软雅黑"/>
          <w:b/>
          <w:w w:val="95"/>
          <w:position w:val="11"/>
          <w:sz w:val="11"/>
        </w:rPr>
        <w:t>68</w:t>
      </w:r>
      <w:r>
        <w:rPr>
          <w:w w:val="95"/>
          <w:sz w:val="21"/>
        </w:rPr>
        <w:t>，</w:t>
      </w:r>
      <w:r>
        <w:rPr>
          <w:w w:val="95"/>
          <w:sz w:val="21"/>
        </w:rPr>
        <w:t>或</w:t>
      </w:r>
      <w:r>
        <w:rPr>
          <w:rFonts w:ascii="微软雅黑" w:eastAsia="微软雅黑"/>
          <w:b/>
          <w:w w:val="95"/>
          <w:sz w:val="21"/>
        </w:rPr>
        <w:t>严</w:t>
      </w:r>
      <w:r>
        <w:rPr>
          <w:rFonts w:ascii="微软雅黑" w:eastAsia="微软雅黑"/>
          <w:b/>
          <w:w w:val="95"/>
          <w:sz w:val="21"/>
        </w:rPr>
        <w:t>重</w:t>
      </w:r>
      <w:r>
        <w:rPr>
          <w:rFonts w:ascii="微软雅黑" w:eastAsia="微软雅黑"/>
          <w:b/>
          <w:w w:val="95"/>
          <w:sz w:val="21"/>
        </w:rPr>
        <w:t>咀</w:t>
      </w:r>
      <w:r>
        <w:rPr>
          <w:rFonts w:ascii="微软雅黑" w:eastAsia="微软雅黑"/>
          <w:b/>
          <w:w w:val="95"/>
          <w:sz w:val="21"/>
        </w:rPr>
        <w:t>嚼</w:t>
      </w:r>
      <w:r>
        <w:rPr>
          <w:rFonts w:ascii="微软雅黑" w:eastAsia="微软雅黑"/>
          <w:b/>
          <w:w w:val="95"/>
          <w:sz w:val="21"/>
        </w:rPr>
        <w:t>吞</w:t>
      </w:r>
      <w:r>
        <w:rPr>
          <w:rFonts w:ascii="微软雅黑" w:eastAsia="微软雅黑"/>
          <w:b/>
          <w:w w:val="95"/>
          <w:sz w:val="21"/>
        </w:rPr>
        <w:t>咽</w:t>
      </w:r>
      <w:r>
        <w:rPr>
          <w:rFonts w:ascii="微软雅黑" w:eastAsia="微软雅黑"/>
          <w:b/>
          <w:w w:val="95"/>
          <w:sz w:val="21"/>
        </w:rPr>
        <w:t>功</w:t>
      </w:r>
      <w:r>
        <w:rPr>
          <w:rFonts w:ascii="微软雅黑" w:eastAsia="微软雅黑"/>
          <w:b/>
          <w:w w:val="95"/>
          <w:sz w:val="21"/>
        </w:rPr>
        <w:t>能</w:t>
      </w:r>
      <w:r>
        <w:rPr>
          <w:rFonts w:ascii="微软雅黑" w:eastAsia="微软雅黑"/>
          <w:b/>
          <w:w w:val="95"/>
          <w:sz w:val="21"/>
        </w:rPr>
        <w:t>障</w:t>
      </w:r>
      <w:r>
        <w:rPr>
          <w:rFonts w:ascii="微软雅黑" w:eastAsia="微软雅黑"/>
          <w:b/>
          <w:w w:val="95"/>
          <w:sz w:val="21"/>
        </w:rPr>
        <w:t>碍</w:t>
      </w:r>
      <w:r>
        <w:rPr>
          <w:rFonts w:ascii="微软雅黑" w:eastAsia="微软雅黑"/>
          <w:b/>
          <w:w w:val="95"/>
          <w:position w:val="11"/>
          <w:sz w:val="11"/>
        </w:rPr>
        <w:t>69</w:t>
      </w:r>
      <w:r>
        <w:rPr>
          <w:rFonts w:ascii="微软雅黑" w:eastAsia="微软雅黑"/>
          <w:b/>
          <w:spacing w:val="58"/>
          <w:position w:val="11"/>
          <w:sz w:val="11"/>
        </w:rPr>
        <w:t>   </w:t>
      </w:r>
      <w:r>
        <w:rPr>
          <w:spacing w:val="-10"/>
          <w:w w:val="95"/>
          <w:sz w:val="21"/>
        </w:rPr>
        <w:t>；</w:t>
      </w:r>
    </w:p>
    <w:p>
      <w:pPr>
        <w:pStyle w:val="ListParagraph"/>
        <w:numPr>
          <w:ilvl w:val="0"/>
          <w:numId w:val="20"/>
        </w:numPr>
        <w:tabs>
          <w:tab w:pos="3123" w:val="left" w:leader="none"/>
        </w:tabs>
        <w:spacing w:line="225" w:lineRule="auto" w:before="86" w:after="0"/>
        <w:ind w:left="2594" w:right="502" w:firstLine="0"/>
        <w:jc w:val="left"/>
        <w:rPr>
          <w:sz w:val="21"/>
        </w:rPr>
      </w:pPr>
      <w:r>
        <w:rPr>
          <w:spacing w:val="-2"/>
          <w:sz w:val="21"/>
        </w:rPr>
        <w:t>自主生活能力完全丧失，无法独立完成</w:t>
      </w:r>
      <w:r>
        <w:rPr>
          <w:rFonts w:ascii="微软雅黑" w:eastAsia="微软雅黑"/>
          <w:b/>
          <w:spacing w:val="-2"/>
          <w:sz w:val="21"/>
        </w:rPr>
        <w:t>六项基本日常生活活动</w:t>
      </w:r>
      <w:r>
        <w:rPr>
          <w:spacing w:val="-2"/>
          <w:sz w:val="21"/>
        </w:rPr>
        <w:t>中的三项或三</w:t>
      </w:r>
      <w:r>
        <w:rPr>
          <w:spacing w:val="-4"/>
          <w:sz w:val="21"/>
        </w:rPr>
        <w:t>项以上。</w:t>
      </w:r>
    </w:p>
    <w:p>
      <w:pPr>
        <w:pStyle w:val="Heading3"/>
        <w:numPr>
          <w:ilvl w:val="0"/>
          <w:numId w:val="21"/>
        </w:numPr>
        <w:tabs>
          <w:tab w:pos="2912" w:val="left" w:leader="none"/>
        </w:tabs>
        <w:spacing w:line="240" w:lineRule="auto" w:before="123" w:after="0"/>
        <w:ind w:left="2911" w:right="0" w:hanging="318"/>
        <w:jc w:val="left"/>
      </w:pPr>
      <w:r>
        <w:rPr>
          <w:spacing w:val="-3"/>
        </w:rPr>
        <w:t>重大器官移植术或造血干细胞移植术:</w:t>
      </w:r>
    </w:p>
    <w:p>
      <w:pPr>
        <w:pStyle w:val="BodyText"/>
        <w:spacing w:before="136"/>
        <w:ind w:left="2594"/>
      </w:pPr>
      <w:r>
        <w:rPr>
          <w:spacing w:val="-3"/>
        </w:rPr>
        <w:t>重大器官移植术，指因相应器官功能衰竭，已经实施了肾脏、肝脏、心脏、肺脏</w:t>
      </w:r>
    </w:p>
    <w:p>
      <w:pPr>
        <w:pStyle w:val="BodyText"/>
        <w:rPr>
          <w:sz w:val="20"/>
        </w:rPr>
      </w:pPr>
    </w:p>
    <w:p>
      <w:pPr>
        <w:pStyle w:val="BodyText"/>
        <w:spacing w:before="7"/>
        <w:rPr>
          <w:sz w:val="13"/>
        </w:rPr>
      </w:pPr>
      <w:r>
        <w:rPr/>
        <w:drawing>
          <wp:anchor distT="0" distB="0" distL="0" distR="0" allowOverlap="1" layoutInCell="1" locked="0" behindDoc="0" simplePos="0" relativeHeight="22">
            <wp:simplePos x="0" y="0"/>
            <wp:positionH relativeFrom="page">
              <wp:posOffset>685800</wp:posOffset>
            </wp:positionH>
            <wp:positionV relativeFrom="paragraph">
              <wp:posOffset>125913</wp:posOffset>
            </wp:positionV>
            <wp:extent cx="1829511" cy="6095"/>
            <wp:effectExtent l="0" t="0" r="0" b="0"/>
            <wp:wrapTopAndBottom/>
            <wp:docPr id="45" name="image6.png"/>
            <wp:cNvGraphicFramePr>
              <a:graphicFrameLocks noChangeAspect="1"/>
            </wp:cNvGraphicFramePr>
            <a:graphic>
              <a:graphicData uri="http://schemas.openxmlformats.org/drawingml/2006/picture">
                <pic:pic>
                  <pic:nvPicPr>
                    <pic:cNvPr id="46"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line="282" w:lineRule="exact" w:before="39"/>
        <w:ind w:left="220" w:right="0" w:firstLine="0"/>
        <w:jc w:val="left"/>
        <w:rPr>
          <w:sz w:val="18"/>
        </w:rPr>
      </w:pPr>
      <w:r>
        <w:rPr>
          <w:position w:val="9"/>
          <w:sz w:val="9"/>
        </w:rPr>
        <w:t>66</w:t>
      </w:r>
      <w:r>
        <w:rPr>
          <w:rFonts w:ascii="Microsoft JhengHei" w:eastAsia="Microsoft JhengHei"/>
          <w:b/>
          <w:sz w:val="18"/>
        </w:rPr>
        <w:t>肢体</w:t>
      </w:r>
      <w:r>
        <w:rPr>
          <w:spacing w:val="-1"/>
          <w:sz w:val="18"/>
        </w:rPr>
        <w:t>：是指包括肩关节的整个上肢或包括髋关节的整个下肢。</w:t>
      </w:r>
    </w:p>
    <w:p>
      <w:pPr>
        <w:spacing w:line="263" w:lineRule="exact" w:before="0"/>
        <w:ind w:left="220" w:right="0" w:firstLine="0"/>
        <w:jc w:val="left"/>
        <w:rPr>
          <w:sz w:val="18"/>
        </w:rPr>
      </w:pPr>
      <w:r>
        <w:rPr>
          <w:position w:val="9"/>
          <w:sz w:val="9"/>
        </w:rPr>
        <w:t>67</w:t>
      </w:r>
      <w:r>
        <w:rPr>
          <w:rFonts w:ascii="Microsoft JhengHei" w:eastAsia="Microsoft JhengHei"/>
          <w:b/>
          <w:sz w:val="18"/>
        </w:rPr>
        <w:t>肌力</w:t>
      </w:r>
      <w:r>
        <w:rPr>
          <w:spacing w:val="-3"/>
          <w:sz w:val="18"/>
        </w:rPr>
        <w:t>：指肌肉收缩时的力量。肌力划分为 </w:t>
      </w:r>
      <w:r>
        <w:rPr>
          <w:sz w:val="18"/>
        </w:rPr>
        <w:t>0-5</w:t>
      </w:r>
      <w:r>
        <w:rPr>
          <w:spacing w:val="-10"/>
          <w:sz w:val="18"/>
        </w:rPr>
        <w:t> 级，具体为：</w:t>
      </w:r>
    </w:p>
    <w:p>
      <w:pPr>
        <w:pStyle w:val="ListParagraph"/>
        <w:numPr>
          <w:ilvl w:val="0"/>
          <w:numId w:val="22"/>
        </w:numPr>
        <w:tabs>
          <w:tab w:pos="355" w:val="left" w:leader="none"/>
        </w:tabs>
        <w:spacing w:line="212" w:lineRule="exact" w:before="0" w:after="0"/>
        <w:ind w:left="354" w:right="0" w:hanging="135"/>
        <w:jc w:val="left"/>
        <w:rPr>
          <w:sz w:val="18"/>
        </w:rPr>
      </w:pPr>
      <w:r>
        <w:rPr>
          <w:spacing w:val="-1"/>
          <w:sz w:val="18"/>
        </w:rPr>
        <w:t>级：肌肉完全瘫痪，毫无收缩。</w:t>
      </w:r>
    </w:p>
    <w:p>
      <w:pPr>
        <w:pStyle w:val="ListParagraph"/>
        <w:numPr>
          <w:ilvl w:val="0"/>
          <w:numId w:val="22"/>
        </w:numPr>
        <w:tabs>
          <w:tab w:pos="355" w:val="left" w:leader="none"/>
        </w:tabs>
        <w:spacing w:line="240" w:lineRule="auto" w:before="2" w:after="0"/>
        <w:ind w:left="354" w:right="0" w:hanging="135"/>
        <w:jc w:val="left"/>
        <w:rPr>
          <w:sz w:val="18"/>
        </w:rPr>
      </w:pPr>
      <w:r>
        <w:rPr>
          <w:spacing w:val="-1"/>
          <w:sz w:val="18"/>
        </w:rPr>
        <w:t>级：可看到或则触及肌肉轻微收缩，但不能产生动作。</w:t>
      </w:r>
    </w:p>
    <w:p>
      <w:pPr>
        <w:pStyle w:val="ListParagraph"/>
        <w:numPr>
          <w:ilvl w:val="0"/>
          <w:numId w:val="22"/>
        </w:numPr>
        <w:tabs>
          <w:tab w:pos="401" w:val="left" w:leader="none"/>
        </w:tabs>
        <w:spacing w:line="240" w:lineRule="auto" w:before="4" w:after="0"/>
        <w:ind w:left="400" w:right="0" w:hanging="181"/>
        <w:jc w:val="left"/>
        <w:rPr>
          <w:sz w:val="18"/>
        </w:rPr>
      </w:pPr>
      <w:r>
        <w:rPr>
          <w:spacing w:val="-1"/>
          <w:sz w:val="18"/>
        </w:rPr>
        <w:t>级：肌肉在不受重力影响下，可进行运动，即肢体能在床面上移动，但不能抬高。</w:t>
      </w:r>
    </w:p>
    <w:p>
      <w:pPr>
        <w:pStyle w:val="ListParagraph"/>
        <w:numPr>
          <w:ilvl w:val="0"/>
          <w:numId w:val="22"/>
        </w:numPr>
        <w:tabs>
          <w:tab w:pos="401" w:val="left" w:leader="none"/>
        </w:tabs>
        <w:spacing w:line="240" w:lineRule="auto" w:before="3" w:after="0"/>
        <w:ind w:left="400" w:right="0" w:hanging="181"/>
        <w:jc w:val="left"/>
        <w:rPr>
          <w:sz w:val="18"/>
        </w:rPr>
      </w:pPr>
      <w:r>
        <w:rPr>
          <w:spacing w:val="-1"/>
          <w:sz w:val="18"/>
        </w:rPr>
        <w:t>级：在和地心引力相反的方向中尚能完成其动作，但不能对抗外加阻力。</w:t>
      </w:r>
    </w:p>
    <w:p>
      <w:pPr>
        <w:pStyle w:val="ListParagraph"/>
        <w:numPr>
          <w:ilvl w:val="0"/>
          <w:numId w:val="22"/>
        </w:numPr>
        <w:tabs>
          <w:tab w:pos="401" w:val="left" w:leader="none"/>
        </w:tabs>
        <w:spacing w:line="240" w:lineRule="auto" w:before="2" w:after="0"/>
        <w:ind w:left="400" w:right="0" w:hanging="181"/>
        <w:jc w:val="left"/>
        <w:rPr>
          <w:sz w:val="18"/>
        </w:rPr>
      </w:pPr>
      <w:r>
        <w:rPr>
          <w:spacing w:val="-1"/>
          <w:sz w:val="18"/>
        </w:rPr>
        <w:t>级：能对抗一定的阻力，但较正常人为低。</w:t>
      </w:r>
    </w:p>
    <w:p>
      <w:pPr>
        <w:pStyle w:val="ListParagraph"/>
        <w:numPr>
          <w:ilvl w:val="0"/>
          <w:numId w:val="22"/>
        </w:numPr>
        <w:tabs>
          <w:tab w:pos="401" w:val="left" w:leader="none"/>
        </w:tabs>
        <w:spacing w:line="202" w:lineRule="exact" w:before="4" w:after="0"/>
        <w:ind w:left="400" w:right="0" w:hanging="181"/>
        <w:jc w:val="left"/>
        <w:rPr>
          <w:sz w:val="18"/>
        </w:rPr>
      </w:pPr>
      <w:r>
        <w:rPr>
          <w:spacing w:val="-2"/>
          <w:sz w:val="18"/>
        </w:rPr>
        <w:t>级：正常肌力。</w:t>
      </w:r>
    </w:p>
    <w:p>
      <w:pPr>
        <w:spacing w:line="283" w:lineRule="exact" w:before="0"/>
        <w:ind w:left="220" w:right="0" w:firstLine="0"/>
        <w:jc w:val="left"/>
        <w:rPr>
          <w:sz w:val="18"/>
        </w:rPr>
      </w:pPr>
      <w:r>
        <w:rPr>
          <w:position w:val="9"/>
          <w:sz w:val="9"/>
        </w:rPr>
        <w:t>68</w:t>
      </w:r>
      <w:r>
        <w:rPr>
          <w:rFonts w:ascii="Microsoft JhengHei" w:eastAsia="Microsoft JhengHei"/>
          <w:b/>
          <w:sz w:val="18"/>
        </w:rPr>
        <w:t>语言能力完全丧失</w:t>
      </w:r>
      <w:r>
        <w:rPr>
          <w:sz w:val="18"/>
        </w:rPr>
        <w:t>：指无法发出四种语音（包括口唇音、齿舌音、口盖音和喉头音）</w:t>
      </w:r>
      <w:r>
        <w:rPr>
          <w:spacing w:val="-1"/>
          <w:sz w:val="18"/>
        </w:rPr>
        <w:t>中的任何三种、或声带全部切除，或</w:t>
      </w:r>
    </w:p>
    <w:p>
      <w:pPr>
        <w:spacing w:line="183" w:lineRule="exact" w:before="0"/>
        <w:ind w:left="220" w:right="0" w:firstLine="0"/>
        <w:jc w:val="left"/>
        <w:rPr>
          <w:sz w:val="18"/>
        </w:rPr>
      </w:pPr>
      <w:r>
        <w:rPr>
          <w:spacing w:val="-1"/>
          <w:sz w:val="18"/>
        </w:rPr>
        <w:t>因大脑语言中枢受伤害而患失语症。</w:t>
      </w:r>
    </w:p>
    <w:p>
      <w:pPr>
        <w:spacing w:line="284" w:lineRule="exact" w:before="0"/>
        <w:ind w:left="220" w:right="0" w:firstLine="0"/>
        <w:jc w:val="left"/>
        <w:rPr>
          <w:sz w:val="18"/>
        </w:rPr>
      </w:pPr>
      <w:r>
        <w:rPr>
          <w:position w:val="9"/>
          <w:sz w:val="9"/>
        </w:rPr>
        <w:t>69</w:t>
      </w:r>
      <w:r>
        <w:rPr>
          <w:rFonts w:ascii="Microsoft JhengHei" w:eastAsia="Microsoft JhengHei"/>
          <w:b/>
          <w:sz w:val="18"/>
        </w:rPr>
        <w:t>严重咀嚼吞咽功能障碍</w:t>
      </w:r>
      <w:r>
        <w:rPr>
          <w:spacing w:val="-1"/>
          <w:sz w:val="18"/>
        </w:rPr>
        <w:t>：指因牙齿以外的原因导致器质障碍或机能障碍，以致不能作咀嚼吞咽运动，除流质食物外不能摄</w:t>
      </w:r>
    </w:p>
    <w:p>
      <w:pPr>
        <w:spacing w:line="212" w:lineRule="exact" w:before="0"/>
        <w:ind w:left="220" w:right="0" w:firstLine="0"/>
        <w:jc w:val="left"/>
        <w:rPr>
          <w:sz w:val="18"/>
        </w:rPr>
      </w:pPr>
      <w:r>
        <w:rPr>
          <w:spacing w:val="-2"/>
          <w:sz w:val="18"/>
        </w:rPr>
        <w:t>取或吞咽的状态。</w:t>
      </w:r>
    </w:p>
    <w:p>
      <w:pPr>
        <w:spacing w:after="0" w:line="212" w:lineRule="exact"/>
        <w:jc w:val="left"/>
        <w:rPr>
          <w:sz w:val="18"/>
        </w:rPr>
        <w:sectPr>
          <w:pgSz w:w="11910" w:h="16840"/>
          <w:pgMar w:header="0" w:footer="967" w:top="1400" w:bottom="1240" w:left="860" w:right="480"/>
        </w:sectPr>
      </w:pPr>
    </w:p>
    <w:p>
      <w:pPr>
        <w:pStyle w:val="BodyText"/>
        <w:spacing w:before="51"/>
        <w:ind w:left="2594"/>
      </w:pPr>
      <w:r>
        <w:rPr>
          <w:spacing w:val="-3"/>
        </w:rPr>
        <w:t>或小肠的异体移植手术；</w:t>
      </w:r>
    </w:p>
    <w:p>
      <w:pPr>
        <w:pStyle w:val="BodyText"/>
        <w:spacing w:before="8"/>
        <w:rPr>
          <w:sz w:val="14"/>
        </w:rPr>
      </w:pPr>
    </w:p>
    <w:p>
      <w:pPr>
        <w:pStyle w:val="BodyText"/>
        <w:spacing w:line="266" w:lineRule="auto"/>
        <w:ind w:left="2594" w:right="613"/>
      </w:pPr>
      <w:r>
        <w:rPr>
          <w:spacing w:val="-2"/>
        </w:rPr>
        <w:t>造血干细胞移植术，指因造血功能损害或造血系统恶性肿瘤，已经实施了造血干</w:t>
      </w:r>
      <w:r>
        <w:rPr>
          <w:spacing w:val="-2"/>
        </w:rPr>
        <w:t>细胞（包括骨髓造血干细胞、外周血造血干细胞和脐血造血干细胞）的移植手</w:t>
      </w:r>
      <w:r>
        <w:rPr>
          <w:spacing w:val="40"/>
        </w:rPr>
        <w:t> </w:t>
      </w:r>
      <w:r>
        <w:rPr>
          <w:spacing w:val="-6"/>
        </w:rPr>
        <w:t>术。</w:t>
      </w:r>
    </w:p>
    <w:p>
      <w:pPr>
        <w:pStyle w:val="Heading3"/>
        <w:numPr>
          <w:ilvl w:val="0"/>
          <w:numId w:val="21"/>
        </w:numPr>
        <w:tabs>
          <w:tab w:pos="2912" w:val="left" w:leader="none"/>
        </w:tabs>
        <w:spacing w:line="240" w:lineRule="auto" w:before="93" w:after="0"/>
        <w:ind w:left="2911" w:right="0" w:hanging="318"/>
        <w:jc w:val="left"/>
      </w:pPr>
      <w:r>
        <w:rPr>
          <w:spacing w:val="-2"/>
        </w:rPr>
        <w:t>冠状动脉搭桥术（或称冠状动脉旁路移植术</w:t>
      </w:r>
      <w:r>
        <w:rPr>
          <w:spacing w:val="-5"/>
          <w:w w:val="120"/>
        </w:rPr>
        <w:t>）:</w:t>
      </w:r>
    </w:p>
    <w:p>
      <w:pPr>
        <w:pStyle w:val="BodyText"/>
        <w:spacing w:line="266" w:lineRule="auto" w:before="136"/>
        <w:ind w:left="2594" w:right="613"/>
      </w:pPr>
      <w:r>
        <w:rPr>
          <w:spacing w:val="-2"/>
        </w:rPr>
        <w:t>指为治疗严重的冠心病，已经实施了切开心包进行的冠状动脉血管旁路移植的手</w:t>
      </w:r>
      <w:r>
        <w:rPr>
          <w:spacing w:val="-6"/>
        </w:rPr>
        <w:t>术。</w:t>
      </w:r>
    </w:p>
    <w:p>
      <w:pPr>
        <w:spacing w:line="348" w:lineRule="auto" w:before="159"/>
        <w:ind w:left="2594" w:right="2924" w:firstLine="0"/>
        <w:jc w:val="left"/>
        <w:rPr>
          <w:rFonts w:ascii="微软雅黑" w:eastAsia="微软雅黑"/>
          <w:b/>
          <w:sz w:val="21"/>
        </w:rPr>
      </w:pPr>
      <w:r>
        <w:rPr>
          <w:color w:val="000000"/>
          <w:spacing w:val="-2"/>
          <w:sz w:val="21"/>
          <w:shd w:fill="D9D9D9" w:color="auto" w:val="clear"/>
        </w:rPr>
        <w:t>所有未切开心包的冠状动脉介入治疗不在保障范围内。</w:t>
      </w:r>
      <w:r>
        <w:rPr>
          <w:color w:val="000000"/>
          <w:spacing w:val="-2"/>
          <w:sz w:val="21"/>
        </w:rPr>
        <w:t> </w:t>
      </w:r>
      <w:r>
        <w:rPr>
          <w:rFonts w:ascii="微软雅黑" w:eastAsia="微软雅黑"/>
          <w:b/>
          <w:color w:val="000000"/>
          <w:spacing w:val="-2"/>
          <w:sz w:val="21"/>
        </w:rPr>
        <w:t>6）严重慢性肾衰竭</w:t>
      </w:r>
      <w:r>
        <w:rPr>
          <w:rFonts w:ascii="微软雅黑" w:eastAsia="微软雅黑"/>
          <w:b/>
          <w:color w:val="000000"/>
          <w:spacing w:val="-2"/>
          <w:w w:val="155"/>
          <w:sz w:val="21"/>
        </w:rPr>
        <w:t>:</w:t>
      </w:r>
    </w:p>
    <w:p>
      <w:pPr>
        <w:pStyle w:val="BodyText"/>
        <w:spacing w:line="230" w:lineRule="exact"/>
        <w:ind w:left="2594"/>
      </w:pPr>
      <w:r>
        <w:rPr>
          <w:spacing w:val="-2"/>
        </w:rPr>
        <w:t>指双肾功能慢性不可逆性衰竭，依据肾脏病预后质量倡议（K/DOQI）</w:t>
      </w:r>
      <w:r>
        <w:rPr>
          <w:spacing w:val="-4"/>
        </w:rPr>
        <w:t>制定的指</w:t>
      </w:r>
    </w:p>
    <w:p>
      <w:pPr>
        <w:pStyle w:val="BodyText"/>
        <w:spacing w:line="266" w:lineRule="auto" w:before="31"/>
        <w:ind w:left="2594" w:right="512"/>
      </w:pPr>
      <w:r>
        <w:rPr>
          <w:spacing w:val="-5"/>
        </w:rPr>
        <w:t>南，分期达到慢性肾脏病 </w:t>
      </w:r>
      <w:r>
        <w:rPr/>
        <w:t>5</w:t>
      </w:r>
      <w:r>
        <w:rPr>
          <w:spacing w:val="-11"/>
        </w:rPr>
        <w:t> 期，且经诊断后已经进行了至少 </w:t>
      </w:r>
      <w:r>
        <w:rPr/>
        <w:t>90</w:t>
      </w:r>
      <w:r>
        <w:rPr>
          <w:spacing w:val="-8"/>
        </w:rPr>
        <w:t> 天的规律性透析治</w:t>
      </w:r>
      <w:r>
        <w:rPr>
          <w:spacing w:val="-2"/>
        </w:rPr>
        <w:t>疗。规律性透析是指每周进行血液透析或每天进行腹膜透析。</w:t>
      </w:r>
    </w:p>
    <w:p>
      <w:pPr>
        <w:pStyle w:val="Heading3"/>
        <w:numPr>
          <w:ilvl w:val="0"/>
          <w:numId w:val="23"/>
        </w:numPr>
        <w:tabs>
          <w:tab w:pos="2912" w:val="left" w:leader="none"/>
        </w:tabs>
        <w:spacing w:line="240" w:lineRule="auto" w:before="92" w:after="0"/>
        <w:ind w:left="2911" w:right="0" w:hanging="318"/>
        <w:jc w:val="left"/>
      </w:pPr>
      <w:r>
        <w:rPr>
          <w:spacing w:val="-2"/>
        </w:rPr>
        <w:t>多个肢体缺失:</w:t>
      </w:r>
    </w:p>
    <w:p>
      <w:pPr>
        <w:pStyle w:val="BodyText"/>
        <w:spacing w:line="266" w:lineRule="auto" w:before="136"/>
        <w:ind w:left="2594" w:right="613"/>
      </w:pPr>
      <w:r>
        <w:rPr>
          <w:spacing w:val="-2"/>
        </w:rPr>
        <w:t>指因疾病或意外伤害导致两个或两个以上肢体自腕关节或踝关节近端（靠近躯干</w:t>
      </w:r>
      <w:r>
        <w:rPr>
          <w:spacing w:val="-2"/>
        </w:rPr>
        <w:t>端）以上完全性断离。</w:t>
      </w:r>
    </w:p>
    <w:p>
      <w:pPr>
        <w:pStyle w:val="Heading3"/>
        <w:numPr>
          <w:ilvl w:val="0"/>
          <w:numId w:val="23"/>
        </w:numPr>
        <w:tabs>
          <w:tab w:pos="2912" w:val="left" w:leader="none"/>
        </w:tabs>
        <w:spacing w:line="240" w:lineRule="auto" w:before="92" w:after="0"/>
        <w:ind w:left="2911" w:right="0" w:hanging="318"/>
        <w:jc w:val="left"/>
      </w:pPr>
      <w:r>
        <w:rPr>
          <w:spacing w:val="-3"/>
        </w:rPr>
        <w:t>急性重症肝炎或亚急性重症肝炎:</w:t>
      </w:r>
    </w:p>
    <w:p>
      <w:pPr>
        <w:pStyle w:val="BodyText"/>
        <w:spacing w:line="266" w:lineRule="auto" w:before="136"/>
        <w:ind w:left="2594" w:right="613"/>
      </w:pPr>
      <w:r>
        <w:rPr>
          <w:spacing w:val="-2"/>
        </w:rPr>
        <w:t>指因肝炎病毒感染引起肝脏组织弥漫性坏死，导致急性肝功能衰竭，且经血清学</w:t>
      </w:r>
      <w:r>
        <w:rPr>
          <w:spacing w:val="-2"/>
        </w:rPr>
        <w:t>或病毒学检查证实，并须满足下列全部条件：</w:t>
      </w:r>
    </w:p>
    <w:p>
      <w:pPr>
        <w:pStyle w:val="ListParagraph"/>
        <w:numPr>
          <w:ilvl w:val="0"/>
          <w:numId w:val="24"/>
        </w:numPr>
        <w:tabs>
          <w:tab w:pos="3123" w:val="left" w:leader="none"/>
        </w:tabs>
        <w:spacing w:line="240" w:lineRule="auto" w:before="158" w:after="0"/>
        <w:ind w:left="3123" w:right="0" w:hanging="529"/>
        <w:jc w:val="left"/>
        <w:rPr>
          <w:sz w:val="21"/>
        </w:rPr>
      </w:pPr>
      <w:r>
        <w:rPr>
          <w:spacing w:val="-3"/>
          <w:sz w:val="21"/>
        </w:rPr>
        <w:t>重度黄疸或黄疸迅速加重；</w:t>
      </w:r>
    </w:p>
    <w:p>
      <w:pPr>
        <w:pStyle w:val="BodyText"/>
        <w:spacing w:before="8"/>
        <w:rPr>
          <w:sz w:val="14"/>
        </w:rPr>
      </w:pPr>
    </w:p>
    <w:p>
      <w:pPr>
        <w:pStyle w:val="ListParagraph"/>
        <w:numPr>
          <w:ilvl w:val="0"/>
          <w:numId w:val="24"/>
        </w:numPr>
        <w:tabs>
          <w:tab w:pos="3123" w:val="left" w:leader="none"/>
        </w:tabs>
        <w:spacing w:line="240" w:lineRule="auto" w:before="0" w:after="0"/>
        <w:ind w:left="3123" w:right="0" w:hanging="529"/>
        <w:jc w:val="left"/>
        <w:rPr>
          <w:sz w:val="21"/>
        </w:rPr>
      </w:pPr>
      <w:r>
        <w:rPr>
          <w:spacing w:val="-4"/>
          <w:sz w:val="21"/>
        </w:rPr>
        <w:t>肝性脑病；</w:t>
      </w:r>
    </w:p>
    <w:p>
      <w:pPr>
        <w:pStyle w:val="BodyText"/>
        <w:spacing w:before="8"/>
        <w:rPr>
          <w:sz w:val="14"/>
        </w:rPr>
      </w:pPr>
    </w:p>
    <w:p>
      <w:pPr>
        <w:pStyle w:val="BodyText"/>
        <w:ind w:left="2594"/>
      </w:pPr>
      <w:r>
        <w:rPr>
          <w:spacing w:val="-2"/>
        </w:rPr>
        <w:t>（3）B</w:t>
      </w:r>
      <w:r>
        <w:rPr>
          <w:spacing w:val="-10"/>
        </w:rPr>
        <w:t> 超或其它影像学检查显示肝脏体积急速萎缩；</w:t>
      </w:r>
    </w:p>
    <w:p>
      <w:pPr>
        <w:pStyle w:val="BodyText"/>
        <w:spacing w:before="7"/>
        <w:rPr>
          <w:sz w:val="14"/>
        </w:rPr>
      </w:pPr>
    </w:p>
    <w:p>
      <w:pPr>
        <w:spacing w:line="348" w:lineRule="auto" w:before="0"/>
        <w:ind w:left="2594" w:right="5133" w:firstLine="0"/>
        <w:jc w:val="left"/>
        <w:rPr>
          <w:rFonts w:ascii="微软雅黑" w:eastAsia="微软雅黑"/>
          <w:b/>
          <w:sz w:val="21"/>
        </w:rPr>
      </w:pPr>
      <w:r>
        <w:rPr>
          <w:spacing w:val="-2"/>
          <w:sz w:val="21"/>
        </w:rPr>
        <w:t>（4）肝功能指标进行性恶化。</w:t>
      </w:r>
      <w:r>
        <w:rPr>
          <w:spacing w:val="-2"/>
          <w:sz w:val="21"/>
        </w:rPr>
        <w:t> </w:t>
      </w:r>
      <w:r>
        <w:rPr>
          <w:rFonts w:ascii="微软雅黑" w:eastAsia="微软雅黑"/>
          <w:b/>
          <w:spacing w:val="-2"/>
          <w:w w:val="105"/>
          <w:sz w:val="21"/>
        </w:rPr>
        <w:t>9）</w:t>
      </w:r>
      <w:r>
        <w:rPr>
          <w:rFonts w:ascii="微软雅黑" w:eastAsia="微软雅黑"/>
          <w:b/>
          <w:spacing w:val="-2"/>
          <w:w w:val="105"/>
          <w:sz w:val="21"/>
        </w:rPr>
        <w:t>严</w:t>
      </w:r>
      <w:r>
        <w:rPr>
          <w:rFonts w:ascii="微软雅黑" w:eastAsia="微软雅黑"/>
          <w:b/>
          <w:spacing w:val="-2"/>
          <w:w w:val="105"/>
          <w:sz w:val="21"/>
        </w:rPr>
        <w:t>重</w:t>
      </w:r>
      <w:r>
        <w:rPr>
          <w:rFonts w:ascii="微软雅黑" w:eastAsia="微软雅黑"/>
          <w:b/>
          <w:spacing w:val="-2"/>
          <w:w w:val="105"/>
          <w:sz w:val="21"/>
        </w:rPr>
        <w:t>非</w:t>
      </w:r>
      <w:r>
        <w:rPr>
          <w:rFonts w:ascii="微软雅黑" w:eastAsia="微软雅黑"/>
          <w:b/>
          <w:spacing w:val="-2"/>
          <w:w w:val="105"/>
          <w:sz w:val="21"/>
        </w:rPr>
        <w:t>恶</w:t>
      </w:r>
      <w:r>
        <w:rPr>
          <w:rFonts w:ascii="微软雅黑" w:eastAsia="微软雅黑"/>
          <w:b/>
          <w:spacing w:val="-2"/>
          <w:w w:val="105"/>
          <w:sz w:val="21"/>
        </w:rPr>
        <w:t>性</w:t>
      </w:r>
      <w:r>
        <w:rPr>
          <w:rFonts w:ascii="微软雅黑" w:eastAsia="微软雅黑"/>
          <w:b/>
          <w:spacing w:val="-2"/>
          <w:w w:val="105"/>
          <w:sz w:val="21"/>
        </w:rPr>
        <w:t>颅</w:t>
      </w:r>
      <w:r>
        <w:rPr>
          <w:rFonts w:ascii="微软雅黑" w:eastAsia="微软雅黑"/>
          <w:b/>
          <w:spacing w:val="-2"/>
          <w:w w:val="105"/>
          <w:sz w:val="21"/>
        </w:rPr>
        <w:t>内</w:t>
      </w:r>
      <w:r>
        <w:rPr>
          <w:rFonts w:ascii="微软雅黑" w:eastAsia="微软雅黑"/>
          <w:b/>
          <w:spacing w:val="-2"/>
          <w:w w:val="105"/>
          <w:sz w:val="21"/>
        </w:rPr>
        <w:t>肿</w:t>
      </w:r>
      <w:r>
        <w:rPr>
          <w:rFonts w:ascii="微软雅黑" w:eastAsia="微软雅黑"/>
          <w:b/>
          <w:spacing w:val="-2"/>
          <w:w w:val="105"/>
          <w:sz w:val="21"/>
        </w:rPr>
        <w:t>瘤</w:t>
      </w:r>
      <w:r>
        <w:rPr>
          <w:rFonts w:ascii="微软雅黑" w:eastAsia="微软雅黑"/>
          <w:b/>
          <w:spacing w:val="-2"/>
          <w:w w:val="150"/>
          <w:sz w:val="21"/>
        </w:rPr>
        <w:t>:</w:t>
      </w:r>
    </w:p>
    <w:p>
      <w:pPr>
        <w:pStyle w:val="BodyText"/>
        <w:spacing w:line="230" w:lineRule="exact"/>
        <w:ind w:left="2594"/>
      </w:pPr>
      <w:r>
        <w:rPr>
          <w:spacing w:val="-2"/>
        </w:rPr>
        <w:t>指起源于脑、脑神经、脑被膜的非恶性肿瘤，ICD-0-3</w:t>
      </w:r>
      <w:r>
        <w:rPr>
          <w:spacing w:val="-11"/>
        </w:rPr>
        <w:t> 肿瘤形态学编码属于 </w:t>
      </w:r>
      <w:r>
        <w:rPr>
          <w:spacing w:val="-2"/>
        </w:rPr>
        <w:t>0（</w:t>
      </w:r>
      <w:r>
        <w:rPr>
          <w:spacing w:val="-10"/>
        </w:rPr>
        <w:t>良</w:t>
      </w:r>
    </w:p>
    <w:p>
      <w:pPr>
        <w:pStyle w:val="BodyText"/>
        <w:spacing w:line="266" w:lineRule="auto" w:before="31"/>
        <w:ind w:left="2594" w:right="514"/>
      </w:pPr>
      <w:r>
        <w:rPr>
          <w:spacing w:val="-2"/>
        </w:rPr>
        <w:t>性肿瘤</w:t>
      </w:r>
      <w:r>
        <w:rPr>
          <w:spacing w:val="-106"/>
        </w:rPr>
        <w:t>）</w:t>
      </w:r>
      <w:r>
        <w:rPr>
          <w:spacing w:val="-2"/>
        </w:rPr>
        <w:t>、1（动态未定性肿瘤）范畴，并已经引起颅内压升高或神经系统功能损</w:t>
      </w:r>
      <w:r>
        <w:rPr>
          <w:spacing w:val="-2"/>
        </w:rPr>
        <w:t>害，出现视乳头水肿或视觉受损、听觉受损、面部或肢体瘫痪、癫痫等，须由头</w:t>
      </w:r>
      <w:r>
        <w:rPr>
          <w:spacing w:val="-4"/>
        </w:rPr>
        <w:t>颅断层扫描</w:t>
      </w:r>
      <w:r>
        <w:rPr>
          <w:spacing w:val="23"/>
        </w:rPr>
        <w:t>（C</w:t>
      </w:r>
      <w:r>
        <w:rPr>
          <w:spacing w:val="20"/>
        </w:rPr>
        <w:t>T</w:t>
      </w:r>
      <w:r>
        <w:rPr>
          <w:spacing w:val="-83"/>
        </w:rPr>
        <w:t>）</w:t>
      </w:r>
      <w:r>
        <w:rPr>
          <w:spacing w:val="-4"/>
        </w:rPr>
        <w:t>、核磁共振检查（MRI）或正电子发射断层扫描（PET）等影像学</w:t>
      </w:r>
      <w:r>
        <w:rPr>
          <w:spacing w:val="-2"/>
        </w:rPr>
        <w:t>检查证实，且必须满足下列至少一项条件：</w:t>
      </w:r>
    </w:p>
    <w:p>
      <w:pPr>
        <w:pStyle w:val="ListParagraph"/>
        <w:numPr>
          <w:ilvl w:val="0"/>
          <w:numId w:val="25"/>
        </w:numPr>
        <w:tabs>
          <w:tab w:pos="3123" w:val="left" w:leader="none"/>
        </w:tabs>
        <w:spacing w:line="240" w:lineRule="auto" w:before="162" w:after="0"/>
        <w:ind w:left="3123" w:right="0" w:hanging="529"/>
        <w:jc w:val="left"/>
        <w:rPr>
          <w:sz w:val="21"/>
        </w:rPr>
      </w:pPr>
      <w:r>
        <w:rPr>
          <w:spacing w:val="-3"/>
          <w:sz w:val="21"/>
        </w:rPr>
        <w:t>已经实施了开颅进行的颅内肿瘤完全或部分切除手术；</w:t>
      </w:r>
    </w:p>
    <w:p>
      <w:pPr>
        <w:pStyle w:val="BodyText"/>
        <w:spacing w:before="8"/>
        <w:rPr>
          <w:sz w:val="14"/>
        </w:rPr>
      </w:pPr>
    </w:p>
    <w:p>
      <w:pPr>
        <w:pStyle w:val="ListParagraph"/>
        <w:numPr>
          <w:ilvl w:val="0"/>
          <w:numId w:val="25"/>
        </w:numPr>
        <w:tabs>
          <w:tab w:pos="3123" w:val="left" w:leader="none"/>
        </w:tabs>
        <w:spacing w:line="240" w:lineRule="auto" w:before="0" w:after="0"/>
        <w:ind w:left="3123" w:right="0" w:hanging="529"/>
        <w:jc w:val="left"/>
        <w:rPr>
          <w:sz w:val="21"/>
        </w:rPr>
      </w:pPr>
      <w:r>
        <w:rPr>
          <w:spacing w:val="-2"/>
          <w:sz w:val="21"/>
        </w:rPr>
        <w:t>已经实施了针对颅内肿瘤的放射治疗，如γ</w:t>
      </w:r>
      <w:r>
        <w:rPr>
          <w:spacing w:val="-3"/>
          <w:sz w:val="21"/>
        </w:rPr>
        <w:t>刀、质子重离子治疗等。</w:t>
      </w:r>
    </w:p>
    <w:p>
      <w:pPr>
        <w:pStyle w:val="BodyText"/>
        <w:rPr>
          <w:sz w:val="9"/>
        </w:rPr>
      </w:pPr>
    </w:p>
    <w:p>
      <w:pPr>
        <w:pStyle w:val="BodyText"/>
        <w:spacing w:before="71"/>
        <w:ind w:left="2594"/>
      </w:pPr>
      <w:r>
        <w:rPr>
          <w:color w:val="000000"/>
          <w:spacing w:val="-3"/>
          <w:shd w:fill="D9D9D9" w:color="auto" w:val="clear"/>
        </w:rPr>
        <w:t>下列疾病不在保障范围内：</w:t>
      </w:r>
    </w:p>
    <w:p>
      <w:pPr>
        <w:pStyle w:val="BodyText"/>
        <w:rPr>
          <w:sz w:val="9"/>
        </w:rPr>
      </w:pPr>
    </w:p>
    <w:p>
      <w:pPr>
        <w:pStyle w:val="ListParagraph"/>
        <w:numPr>
          <w:ilvl w:val="0"/>
          <w:numId w:val="26"/>
        </w:numPr>
        <w:tabs>
          <w:tab w:pos="3123" w:val="left" w:leader="none"/>
        </w:tabs>
        <w:spacing w:line="240" w:lineRule="auto" w:before="72" w:after="0"/>
        <w:ind w:left="3123" w:right="0" w:hanging="529"/>
        <w:jc w:val="left"/>
        <w:rPr>
          <w:sz w:val="21"/>
        </w:rPr>
      </w:pPr>
      <w:r>
        <w:rPr>
          <w:color w:val="000000"/>
          <w:spacing w:val="-4"/>
          <w:sz w:val="21"/>
          <w:shd w:fill="D9D9D9" w:color="auto" w:val="clear"/>
        </w:rPr>
        <w:t>脑垂体瘤；</w:t>
      </w:r>
    </w:p>
    <w:p>
      <w:pPr>
        <w:pStyle w:val="BodyText"/>
        <w:rPr>
          <w:sz w:val="9"/>
        </w:rPr>
      </w:pPr>
    </w:p>
    <w:p>
      <w:pPr>
        <w:pStyle w:val="ListParagraph"/>
        <w:numPr>
          <w:ilvl w:val="0"/>
          <w:numId w:val="26"/>
        </w:numPr>
        <w:tabs>
          <w:tab w:pos="3123" w:val="left" w:leader="none"/>
        </w:tabs>
        <w:spacing w:line="240" w:lineRule="auto" w:before="72" w:after="0"/>
        <w:ind w:left="3123" w:right="0" w:hanging="529"/>
        <w:jc w:val="left"/>
        <w:rPr>
          <w:sz w:val="21"/>
        </w:rPr>
      </w:pPr>
      <w:r>
        <w:rPr>
          <w:color w:val="000000"/>
          <w:spacing w:val="-4"/>
          <w:sz w:val="21"/>
          <w:shd w:fill="D9D9D9" w:color="auto" w:val="clear"/>
        </w:rPr>
        <w:t>脑囊肿；</w:t>
      </w:r>
    </w:p>
    <w:p>
      <w:pPr>
        <w:pStyle w:val="BodyText"/>
        <w:rPr>
          <w:sz w:val="9"/>
        </w:rPr>
      </w:pPr>
    </w:p>
    <w:p>
      <w:pPr>
        <w:pStyle w:val="ListParagraph"/>
        <w:numPr>
          <w:ilvl w:val="0"/>
          <w:numId w:val="26"/>
        </w:numPr>
        <w:tabs>
          <w:tab w:pos="3123" w:val="left" w:leader="none"/>
        </w:tabs>
        <w:spacing w:line="240" w:lineRule="auto" w:before="71" w:after="0"/>
        <w:ind w:left="3123" w:right="0" w:hanging="529"/>
        <w:jc w:val="left"/>
        <w:rPr>
          <w:sz w:val="21"/>
        </w:rPr>
      </w:pPr>
      <w:r>
        <w:rPr>
          <w:color w:val="000000"/>
          <w:spacing w:val="-2"/>
          <w:sz w:val="21"/>
          <w:shd w:fill="D9D9D9" w:color="auto" w:val="clear"/>
        </w:rPr>
        <w:t>颅内血管性疾病（</w:t>
      </w:r>
      <w:r>
        <w:rPr>
          <w:color w:val="000000"/>
          <w:spacing w:val="-3"/>
          <w:sz w:val="21"/>
          <w:shd w:fill="D9D9D9" w:color="auto" w:val="clear"/>
        </w:rPr>
        <w:t>如脑动脉瘤、脑动静脉畸形、海绵状血管瘤、毛细血管扩</w:t>
      </w:r>
    </w:p>
    <w:p>
      <w:pPr>
        <w:spacing w:after="0" w:line="240" w:lineRule="auto"/>
        <w:jc w:val="left"/>
        <w:rPr>
          <w:sz w:val="21"/>
        </w:rPr>
        <w:sectPr>
          <w:pgSz w:w="11910" w:h="16840"/>
          <w:pgMar w:header="0" w:footer="967" w:top="1400" w:bottom="1240" w:left="860" w:right="480"/>
        </w:sectPr>
      </w:pPr>
    </w:p>
    <w:p>
      <w:pPr>
        <w:pStyle w:val="BodyText"/>
        <w:spacing w:before="51"/>
        <w:ind w:left="2594"/>
      </w:pPr>
      <w:r>
        <w:rPr>
          <w:color w:val="000000"/>
          <w:spacing w:val="-2"/>
          <w:shd w:fill="D9D9D9" w:color="auto" w:val="clear"/>
        </w:rPr>
        <w:t>张症等</w:t>
      </w:r>
      <w:r>
        <w:rPr>
          <w:color w:val="000000"/>
          <w:spacing w:val="-106"/>
          <w:shd w:fill="D9D9D9" w:color="auto" w:val="clear"/>
        </w:rPr>
        <w:t>）</w:t>
      </w:r>
      <w:r>
        <w:rPr>
          <w:color w:val="000000"/>
          <w:spacing w:val="-10"/>
          <w:shd w:fill="D9D9D9" w:color="auto" w:val="clear"/>
        </w:rPr>
        <w:t>。</w:t>
      </w:r>
    </w:p>
    <w:p>
      <w:pPr>
        <w:pStyle w:val="Heading3"/>
        <w:spacing w:before="120"/>
        <w:ind w:left="2594"/>
      </w:pPr>
      <w:r>
        <w:rPr>
          <w:w w:val="95"/>
        </w:rPr>
        <w:t>10）</w:t>
      </w:r>
      <w:r>
        <w:rPr>
          <w:w w:val="95"/>
        </w:rPr>
        <w:t>严</w:t>
      </w:r>
      <w:r>
        <w:rPr>
          <w:w w:val="95"/>
        </w:rPr>
        <w:t>重</w:t>
      </w:r>
      <w:r>
        <w:rPr>
          <w:w w:val="95"/>
        </w:rPr>
        <w:t>慢</w:t>
      </w:r>
      <w:r>
        <w:rPr>
          <w:w w:val="95"/>
        </w:rPr>
        <w:t>性</w:t>
      </w:r>
      <w:r>
        <w:rPr>
          <w:w w:val="95"/>
        </w:rPr>
        <w:t>肝</w:t>
      </w:r>
      <w:r>
        <w:rPr>
          <w:w w:val="95"/>
        </w:rPr>
        <w:t>衰</w:t>
      </w:r>
      <w:r>
        <w:rPr>
          <w:w w:val="95"/>
        </w:rPr>
        <w:t>竭</w:t>
      </w:r>
      <w:r>
        <w:rPr>
          <w:spacing w:val="-10"/>
          <w:w w:val="95"/>
        </w:rPr>
        <w:t>:</w:t>
      </w:r>
    </w:p>
    <w:p>
      <w:pPr>
        <w:pStyle w:val="BodyText"/>
        <w:spacing w:before="137"/>
        <w:ind w:left="2594"/>
      </w:pPr>
      <w:r>
        <w:rPr>
          <w:spacing w:val="-3"/>
        </w:rPr>
        <w:t>指因慢性肝脏疾病导致的肝衰竭，且须满足下列全部条件：</w:t>
      </w:r>
    </w:p>
    <w:p>
      <w:pPr>
        <w:pStyle w:val="BodyText"/>
        <w:spacing w:before="7"/>
        <w:rPr>
          <w:sz w:val="14"/>
        </w:rPr>
      </w:pPr>
    </w:p>
    <w:p>
      <w:pPr>
        <w:pStyle w:val="BodyText"/>
        <w:ind w:left="2594"/>
      </w:pPr>
      <w:r>
        <w:rPr>
          <w:spacing w:val="-2"/>
        </w:rPr>
        <w:t>（1）</w:t>
      </w:r>
      <w:r>
        <w:rPr>
          <w:spacing w:val="-4"/>
        </w:rPr>
        <w:t>持续性黄疸；</w:t>
      </w:r>
    </w:p>
    <w:p>
      <w:pPr>
        <w:pStyle w:val="BodyText"/>
        <w:spacing w:before="7"/>
        <w:rPr>
          <w:sz w:val="14"/>
        </w:rPr>
      </w:pPr>
    </w:p>
    <w:p>
      <w:pPr>
        <w:pStyle w:val="BodyText"/>
        <w:spacing w:before="1"/>
        <w:ind w:left="2594"/>
      </w:pPr>
      <w:r>
        <w:rPr>
          <w:spacing w:val="-2"/>
        </w:rPr>
        <w:t>（2）</w:t>
      </w:r>
      <w:r>
        <w:rPr>
          <w:spacing w:val="-5"/>
        </w:rPr>
        <w:t>腹水；</w:t>
      </w:r>
    </w:p>
    <w:p>
      <w:pPr>
        <w:pStyle w:val="BodyText"/>
        <w:spacing w:before="7"/>
        <w:rPr>
          <w:sz w:val="14"/>
        </w:rPr>
      </w:pPr>
    </w:p>
    <w:p>
      <w:pPr>
        <w:pStyle w:val="ListParagraph"/>
        <w:numPr>
          <w:ilvl w:val="0"/>
          <w:numId w:val="27"/>
        </w:numPr>
        <w:tabs>
          <w:tab w:pos="3123" w:val="left" w:leader="none"/>
        </w:tabs>
        <w:spacing w:line="240" w:lineRule="auto" w:before="0" w:after="0"/>
        <w:ind w:left="3123" w:right="0" w:hanging="529"/>
        <w:jc w:val="left"/>
        <w:rPr>
          <w:sz w:val="21"/>
        </w:rPr>
      </w:pPr>
      <w:r>
        <w:rPr>
          <w:spacing w:val="-4"/>
          <w:sz w:val="21"/>
        </w:rPr>
        <w:t>肝性脑病；</w:t>
      </w:r>
    </w:p>
    <w:p>
      <w:pPr>
        <w:pStyle w:val="BodyText"/>
        <w:spacing w:before="8"/>
        <w:rPr>
          <w:sz w:val="14"/>
        </w:rPr>
      </w:pPr>
    </w:p>
    <w:p>
      <w:pPr>
        <w:pStyle w:val="ListParagraph"/>
        <w:numPr>
          <w:ilvl w:val="0"/>
          <w:numId w:val="27"/>
        </w:numPr>
        <w:tabs>
          <w:tab w:pos="3123" w:val="left" w:leader="none"/>
        </w:tabs>
        <w:spacing w:line="240" w:lineRule="auto" w:before="0" w:after="0"/>
        <w:ind w:left="3123" w:right="0" w:hanging="529"/>
        <w:jc w:val="left"/>
        <w:rPr>
          <w:sz w:val="21"/>
        </w:rPr>
      </w:pPr>
      <w:r>
        <w:rPr>
          <w:spacing w:val="-3"/>
          <w:sz w:val="21"/>
        </w:rPr>
        <w:t>充血性脾肿大伴脾功能亢进或食管胃底静脉曲张。</w:t>
      </w:r>
    </w:p>
    <w:p>
      <w:pPr>
        <w:pStyle w:val="BodyText"/>
        <w:rPr>
          <w:sz w:val="9"/>
        </w:rPr>
      </w:pPr>
    </w:p>
    <w:p>
      <w:pPr>
        <w:spacing w:line="348" w:lineRule="auto" w:before="71"/>
        <w:ind w:left="2594" w:right="3344" w:firstLine="0"/>
        <w:jc w:val="left"/>
        <w:rPr>
          <w:rFonts w:ascii="微软雅黑" w:eastAsia="微软雅黑"/>
          <w:b/>
          <w:sz w:val="21"/>
        </w:rPr>
      </w:pPr>
      <w:r>
        <w:rPr>
          <w:color w:val="000000"/>
          <w:spacing w:val="-2"/>
          <w:sz w:val="21"/>
          <w:shd w:fill="D9D9D9" w:color="auto" w:val="clear"/>
        </w:rPr>
        <w:t>因酗酒或药物滥用导致的肝衰竭不在保障范围内。</w:t>
      </w:r>
      <w:r>
        <w:rPr>
          <w:color w:val="000000"/>
          <w:spacing w:val="-2"/>
          <w:sz w:val="21"/>
        </w:rPr>
        <w:t> </w:t>
      </w:r>
      <w:r>
        <w:rPr>
          <w:rFonts w:ascii="微软雅黑" w:eastAsia="微软雅黑"/>
          <w:b/>
          <w:color w:val="000000"/>
          <w:spacing w:val="-2"/>
          <w:sz w:val="21"/>
        </w:rPr>
        <w:t>11）严重脑炎后遗症或严重脑膜炎后遗症</w:t>
      </w:r>
      <w:r>
        <w:rPr>
          <w:rFonts w:ascii="微软雅黑" w:eastAsia="微软雅黑"/>
          <w:b/>
          <w:color w:val="000000"/>
          <w:spacing w:val="-2"/>
          <w:w w:val="150"/>
          <w:sz w:val="21"/>
        </w:rPr>
        <w:t>:</w:t>
      </w:r>
    </w:p>
    <w:p>
      <w:pPr>
        <w:pStyle w:val="BodyText"/>
        <w:spacing w:line="230" w:lineRule="exact"/>
        <w:ind w:left="2594"/>
      </w:pPr>
      <w:r>
        <w:rPr>
          <w:spacing w:val="-3"/>
        </w:rPr>
        <w:t>指因患脑炎或脑膜炎导致的神经系统永久性的功能障碍。神经系统永久性的功能</w:t>
      </w:r>
    </w:p>
    <w:p>
      <w:pPr>
        <w:pStyle w:val="BodyText"/>
        <w:spacing w:before="31"/>
        <w:ind w:left="2594"/>
      </w:pPr>
      <w:r>
        <w:rPr>
          <w:spacing w:val="-5"/>
        </w:rPr>
        <w:t>障碍，指经相关专科医生确诊疾病 </w:t>
      </w:r>
      <w:r>
        <w:rPr>
          <w:spacing w:val="-2"/>
        </w:rPr>
        <w:t>180</w:t>
      </w:r>
      <w:r>
        <w:rPr>
          <w:spacing w:val="-10"/>
        </w:rPr>
        <w:t> 天后，仍遗留下列至少一种障碍：</w:t>
      </w:r>
    </w:p>
    <w:p>
      <w:pPr>
        <w:pStyle w:val="BodyText"/>
        <w:spacing w:before="8"/>
        <w:rPr>
          <w:sz w:val="14"/>
        </w:rPr>
      </w:pPr>
    </w:p>
    <w:p>
      <w:pPr>
        <w:pStyle w:val="ListParagraph"/>
        <w:numPr>
          <w:ilvl w:val="0"/>
          <w:numId w:val="28"/>
        </w:numPr>
        <w:tabs>
          <w:tab w:pos="3123" w:val="left" w:leader="none"/>
        </w:tabs>
        <w:spacing w:line="240" w:lineRule="auto" w:before="0" w:after="0"/>
        <w:ind w:left="3123" w:right="0" w:hanging="529"/>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BodyText"/>
        <w:spacing w:before="7"/>
        <w:rPr>
          <w:sz w:val="14"/>
        </w:rPr>
      </w:pPr>
    </w:p>
    <w:p>
      <w:pPr>
        <w:pStyle w:val="ListParagraph"/>
        <w:numPr>
          <w:ilvl w:val="0"/>
          <w:numId w:val="28"/>
        </w:numPr>
        <w:tabs>
          <w:tab w:pos="3123" w:val="left" w:leader="none"/>
        </w:tabs>
        <w:spacing w:line="240" w:lineRule="auto" w:before="0" w:after="0"/>
        <w:ind w:left="3123" w:right="0" w:hanging="529"/>
        <w:jc w:val="left"/>
        <w:rPr>
          <w:sz w:val="21"/>
        </w:rPr>
      </w:pPr>
      <w:r>
        <w:rPr>
          <w:spacing w:val="-3"/>
          <w:sz w:val="21"/>
        </w:rPr>
        <w:t>语言能力完全丧失，或严重咀嚼吞咽功能障碍；</w:t>
      </w:r>
    </w:p>
    <w:p>
      <w:pPr>
        <w:pStyle w:val="BodyText"/>
        <w:spacing w:before="8"/>
        <w:rPr>
          <w:sz w:val="14"/>
        </w:rPr>
      </w:pPr>
    </w:p>
    <w:p>
      <w:pPr>
        <w:pStyle w:val="ListParagraph"/>
        <w:numPr>
          <w:ilvl w:val="0"/>
          <w:numId w:val="28"/>
        </w:numPr>
        <w:tabs>
          <w:tab w:pos="3121" w:val="left" w:leader="none"/>
        </w:tabs>
        <w:spacing w:line="266" w:lineRule="auto" w:before="0" w:after="0"/>
        <w:ind w:left="2594" w:right="418" w:firstLine="0"/>
        <w:jc w:val="left"/>
        <w:rPr>
          <w:sz w:val="21"/>
        </w:rPr>
      </w:pPr>
      <w:r>
        <w:rPr>
          <w:spacing w:val="-2"/>
          <w:sz w:val="21"/>
        </w:rPr>
        <w:t>由具有评估资格的专科医生根据临床痴呆评定量表（CDR，Clinical</w:t>
      </w:r>
      <w:r>
        <w:rPr>
          <w:spacing w:val="40"/>
          <w:sz w:val="21"/>
        </w:rPr>
        <w:t> </w:t>
      </w:r>
      <w:r>
        <w:rPr>
          <w:sz w:val="21"/>
        </w:rPr>
        <w:t>Dementia Rating）</w:t>
      </w:r>
      <w:r>
        <w:rPr>
          <w:spacing w:val="-3"/>
          <w:sz w:val="21"/>
        </w:rPr>
        <w:t>评估结果为 </w:t>
      </w:r>
      <w:r>
        <w:rPr>
          <w:sz w:val="21"/>
        </w:rPr>
        <w:t>3</w:t>
      </w:r>
      <w:r>
        <w:rPr>
          <w:spacing w:val="-6"/>
          <w:sz w:val="21"/>
        </w:rPr>
        <w:t> 分；</w:t>
      </w:r>
    </w:p>
    <w:p>
      <w:pPr>
        <w:pStyle w:val="ListParagraph"/>
        <w:numPr>
          <w:ilvl w:val="0"/>
          <w:numId w:val="28"/>
        </w:numPr>
        <w:tabs>
          <w:tab w:pos="3123" w:val="left" w:leader="none"/>
        </w:tabs>
        <w:spacing w:line="266" w:lineRule="auto" w:before="159" w:after="0"/>
        <w:ind w:left="2594" w:right="416" w:firstLine="0"/>
        <w:jc w:val="left"/>
        <w:rPr>
          <w:sz w:val="21"/>
        </w:rPr>
      </w:pPr>
      <w:r>
        <w:rPr>
          <w:spacing w:val="-9"/>
          <w:w w:val="100"/>
          <w:sz w:val="21"/>
        </w:rPr>
        <w:t>自主生活能力完全丧失，无法独立完成六项基本日常生活活动中的三项或三项以上。</w:t>
      </w:r>
    </w:p>
    <w:p>
      <w:pPr>
        <w:pStyle w:val="Heading3"/>
        <w:spacing w:before="91"/>
        <w:ind w:left="2594"/>
      </w:pPr>
      <w:r>
        <w:rPr>
          <w:w w:val="95"/>
        </w:rPr>
        <w:t>12）</w:t>
      </w:r>
      <w:r>
        <w:rPr>
          <w:w w:val="95"/>
        </w:rPr>
        <w:t>深</w:t>
      </w:r>
      <w:r>
        <w:rPr>
          <w:w w:val="95"/>
        </w:rPr>
        <w:t>度</w:t>
      </w:r>
      <w:r>
        <w:rPr>
          <w:w w:val="95"/>
        </w:rPr>
        <w:t>昏</w:t>
      </w:r>
      <w:r>
        <w:rPr>
          <w:w w:val="95"/>
        </w:rPr>
        <w:t>迷</w:t>
      </w:r>
      <w:r>
        <w:rPr>
          <w:spacing w:val="-10"/>
          <w:w w:val="95"/>
        </w:rPr>
        <w:t>:</w:t>
      </w:r>
    </w:p>
    <w:p>
      <w:pPr>
        <w:pStyle w:val="BodyText"/>
        <w:spacing w:line="266" w:lineRule="auto" w:before="137"/>
        <w:ind w:left="2594" w:right="509"/>
      </w:pPr>
      <w:r>
        <w:rPr>
          <w:spacing w:val="-2"/>
        </w:rPr>
        <w:t>指因疾病或意外伤害导致意识丧失，对外界刺激和体内需求均无反应，昏迷程度</w:t>
      </w:r>
      <w:r>
        <w:rPr/>
        <w:t>按照格拉斯哥昏迷分级（GCS，Glasgow</w:t>
      </w:r>
      <w:r>
        <w:rPr>
          <w:spacing w:val="-19"/>
        </w:rPr>
        <w:t> </w:t>
      </w:r>
      <w:r>
        <w:rPr/>
        <w:t>Coma</w:t>
      </w:r>
      <w:r>
        <w:rPr>
          <w:spacing w:val="-7"/>
        </w:rPr>
        <w:t> </w:t>
      </w:r>
      <w:r>
        <w:rPr/>
        <w:t>Scale）</w:t>
      </w:r>
      <w:r>
        <w:rPr>
          <w:spacing w:val="-14"/>
        </w:rPr>
        <w:t>结果为 </w:t>
      </w:r>
      <w:r>
        <w:rPr/>
        <w:t>5</w:t>
      </w:r>
      <w:r>
        <w:rPr>
          <w:spacing w:val="-28"/>
        </w:rPr>
        <w:t> 分或 </w:t>
      </w:r>
      <w:r>
        <w:rPr/>
        <w:t>5</w:t>
      </w:r>
      <w:r>
        <w:rPr>
          <w:spacing w:val="-10"/>
        </w:rPr>
        <w:t> 分以下，且</w:t>
      </w:r>
      <w:r>
        <w:rPr>
          <w:spacing w:val="-2"/>
        </w:rPr>
        <w:t>已经持续使用呼吸机及其它生命维持系统 </w:t>
      </w:r>
      <w:r>
        <w:rPr/>
        <w:t>96</w:t>
      </w:r>
      <w:r>
        <w:rPr>
          <w:spacing w:val="-5"/>
        </w:rPr>
        <w:t> 小时以上。</w:t>
      </w:r>
    </w:p>
    <w:p>
      <w:pPr>
        <w:spacing w:line="348" w:lineRule="auto" w:before="160"/>
        <w:ind w:left="2594" w:right="3136" w:firstLine="0"/>
        <w:jc w:val="left"/>
        <w:rPr>
          <w:rFonts w:ascii="微软雅黑" w:eastAsia="微软雅黑"/>
          <w:b/>
          <w:sz w:val="21"/>
        </w:rPr>
      </w:pPr>
      <w:r>
        <w:rPr>
          <w:color w:val="000000"/>
          <w:spacing w:val="-2"/>
          <w:sz w:val="21"/>
          <w:shd w:fill="D9D9D9" w:color="auto" w:val="clear"/>
        </w:rPr>
        <w:t>因酗酒或药物滥用导致的深度昏迷不在保障范围内。</w:t>
      </w:r>
      <w:r>
        <w:rPr>
          <w:color w:val="000000"/>
          <w:spacing w:val="-2"/>
          <w:sz w:val="21"/>
        </w:rPr>
        <w:t> </w:t>
      </w:r>
      <w:r>
        <w:rPr>
          <w:rFonts w:ascii="微软雅黑" w:eastAsia="微软雅黑"/>
          <w:b/>
          <w:color w:val="000000"/>
          <w:spacing w:val="-2"/>
          <w:sz w:val="21"/>
        </w:rPr>
        <w:t>13）双耳失聪</w:t>
      </w:r>
      <w:r>
        <w:rPr>
          <w:rFonts w:ascii="微软雅黑" w:eastAsia="微软雅黑"/>
          <w:b/>
          <w:color w:val="000000"/>
          <w:spacing w:val="-2"/>
          <w:w w:val="150"/>
          <w:sz w:val="21"/>
        </w:rPr>
        <w:t>:</w:t>
      </w:r>
    </w:p>
    <w:p>
      <w:pPr>
        <w:pStyle w:val="BodyText"/>
        <w:spacing w:line="271" w:lineRule="exact"/>
        <w:ind w:left="2594"/>
      </w:pPr>
      <w:r>
        <w:rPr>
          <w:w w:val="95"/>
        </w:rPr>
        <w:t>指</w:t>
      </w:r>
      <w:r>
        <w:rPr>
          <w:w w:val="95"/>
        </w:rPr>
        <w:t>因</w:t>
      </w:r>
      <w:r>
        <w:rPr>
          <w:w w:val="95"/>
        </w:rPr>
        <w:t>疾病或意外伤害导致</w:t>
      </w:r>
      <w:r>
        <w:rPr>
          <w:w w:val="95"/>
        </w:rPr>
        <w:t>双</w:t>
      </w:r>
      <w:r>
        <w:rPr>
          <w:w w:val="95"/>
        </w:rPr>
        <w:t>耳</w:t>
      </w:r>
      <w:r>
        <w:rPr>
          <w:w w:val="95"/>
        </w:rPr>
        <w:t>听力</w:t>
      </w:r>
      <w:r>
        <w:rPr>
          <w:rFonts w:ascii="微软雅黑" w:eastAsia="微软雅黑"/>
          <w:b/>
          <w:w w:val="95"/>
        </w:rPr>
        <w:t>永</w:t>
      </w:r>
      <w:r>
        <w:rPr>
          <w:rFonts w:ascii="微软雅黑" w:eastAsia="微软雅黑"/>
          <w:b/>
          <w:w w:val="95"/>
        </w:rPr>
        <w:t>久</w:t>
      </w:r>
      <w:r>
        <w:rPr>
          <w:rFonts w:ascii="微软雅黑" w:eastAsia="微软雅黑"/>
          <w:b/>
          <w:w w:val="95"/>
        </w:rPr>
        <w:t>不</w:t>
      </w:r>
      <w:r>
        <w:rPr>
          <w:rFonts w:ascii="微软雅黑" w:eastAsia="微软雅黑"/>
          <w:b/>
          <w:w w:val="95"/>
        </w:rPr>
        <w:t>可</w:t>
      </w:r>
      <w:r>
        <w:rPr>
          <w:rFonts w:ascii="微软雅黑" w:eastAsia="微软雅黑"/>
          <w:b/>
          <w:w w:val="95"/>
        </w:rPr>
        <w:t>逆</w:t>
      </w:r>
      <w:r>
        <w:rPr>
          <w:rFonts w:ascii="微软雅黑" w:eastAsia="微软雅黑"/>
          <w:b/>
          <w:w w:val="95"/>
          <w:position w:val="11"/>
          <w:sz w:val="11"/>
        </w:rPr>
        <w:t>70</w:t>
      </w:r>
      <w:r>
        <w:rPr>
          <w:w w:val="95"/>
        </w:rPr>
        <w:t>性丧失，在</w:t>
      </w:r>
      <w:r>
        <w:rPr>
          <w:spacing w:val="49"/>
        </w:rPr>
        <w:t> </w:t>
      </w:r>
      <w:r>
        <w:rPr>
          <w:w w:val="95"/>
        </w:rPr>
        <w:t>500</w:t>
      </w:r>
      <w:r>
        <w:rPr>
          <w:spacing w:val="43"/>
        </w:rPr>
        <w:t> </w:t>
      </w:r>
      <w:r>
        <w:rPr>
          <w:w w:val="95"/>
        </w:rPr>
        <w:t>赫兹</w:t>
      </w:r>
      <w:r>
        <w:rPr>
          <w:w w:val="95"/>
        </w:rPr>
        <w:t>、</w:t>
      </w:r>
      <w:r>
        <w:rPr>
          <w:w w:val="95"/>
        </w:rPr>
        <w:t>1000</w:t>
      </w:r>
      <w:r>
        <w:rPr>
          <w:spacing w:val="43"/>
        </w:rPr>
        <w:t> </w:t>
      </w:r>
      <w:r>
        <w:rPr>
          <w:w w:val="95"/>
        </w:rPr>
        <w:t>赫</w:t>
      </w:r>
      <w:r>
        <w:rPr>
          <w:w w:val="95"/>
        </w:rPr>
        <w:t>兹</w:t>
      </w:r>
      <w:r>
        <w:rPr>
          <w:spacing w:val="-10"/>
          <w:w w:val="95"/>
        </w:rPr>
        <w:t>和</w:t>
      </w:r>
    </w:p>
    <w:p>
      <w:pPr>
        <w:pStyle w:val="BodyText"/>
        <w:spacing w:line="266" w:lineRule="auto"/>
        <w:ind w:left="2594" w:right="459"/>
      </w:pPr>
      <w:r>
        <w:rPr/>
        <w:t>2000</w:t>
      </w:r>
      <w:r>
        <w:rPr>
          <w:spacing w:val="-11"/>
        </w:rPr>
        <w:t> 赫兹语音频率下，平均听阈大于等于 </w:t>
      </w:r>
      <w:r>
        <w:rPr/>
        <w:t>91</w:t>
      </w:r>
      <w:r>
        <w:rPr>
          <w:spacing w:val="-8"/>
        </w:rPr>
        <w:t> 分贝，且经纯音听力测试、声导抗检</w:t>
      </w:r>
      <w:r>
        <w:rPr>
          <w:spacing w:val="-2"/>
        </w:rPr>
        <w:t>测或听觉诱发电位检测等证实。</w:t>
      </w:r>
    </w:p>
    <w:p>
      <w:pPr>
        <w:pStyle w:val="Heading3"/>
        <w:spacing w:before="81"/>
        <w:ind w:left="2594"/>
      </w:pPr>
      <w:r>
        <w:rPr>
          <w:w w:val="95"/>
        </w:rPr>
        <w:t>14）</w:t>
      </w:r>
      <w:r>
        <w:rPr>
          <w:w w:val="95"/>
        </w:rPr>
        <w:t>双</w:t>
      </w:r>
      <w:r>
        <w:rPr>
          <w:w w:val="95"/>
        </w:rPr>
        <w:t>目</w:t>
      </w:r>
      <w:r>
        <w:rPr>
          <w:w w:val="95"/>
        </w:rPr>
        <w:t>失</w:t>
      </w:r>
      <w:r>
        <w:rPr>
          <w:w w:val="95"/>
        </w:rPr>
        <w:t>明</w:t>
      </w:r>
      <w:r>
        <w:rPr>
          <w:spacing w:val="-10"/>
          <w:w w:val="95"/>
        </w:rPr>
        <w:t>:</w:t>
      </w:r>
    </w:p>
    <w:p>
      <w:pPr>
        <w:pStyle w:val="BodyText"/>
        <w:spacing w:line="268" w:lineRule="auto" w:before="136"/>
        <w:ind w:left="2594" w:right="613"/>
      </w:pPr>
      <w:r>
        <w:rPr>
          <w:spacing w:val="-2"/>
        </w:rPr>
        <w:t>指因疾病或意外伤害导致双眼视力永久不可逆性丧失，双眼中较好眼须满足下列</w:t>
      </w:r>
      <w:r>
        <w:rPr>
          <w:spacing w:val="-2"/>
        </w:rPr>
        <w:t>至少一项条件：</w:t>
      </w:r>
    </w:p>
    <w:p>
      <w:pPr>
        <w:pStyle w:val="ListParagraph"/>
        <w:numPr>
          <w:ilvl w:val="0"/>
          <w:numId w:val="29"/>
        </w:numPr>
        <w:tabs>
          <w:tab w:pos="3123" w:val="left" w:leader="none"/>
        </w:tabs>
        <w:spacing w:line="240" w:lineRule="auto" w:before="154" w:after="0"/>
        <w:ind w:left="3123" w:right="0" w:hanging="529"/>
        <w:jc w:val="left"/>
        <w:rPr>
          <w:sz w:val="21"/>
        </w:rPr>
      </w:pPr>
      <w:r>
        <w:rPr>
          <w:spacing w:val="-4"/>
          <w:sz w:val="21"/>
        </w:rPr>
        <w:t>眼球缺失或摘除；</w:t>
      </w:r>
    </w:p>
    <w:p>
      <w:pPr>
        <w:pStyle w:val="BodyText"/>
        <w:spacing w:before="8"/>
        <w:rPr>
          <w:sz w:val="14"/>
        </w:rPr>
      </w:pPr>
    </w:p>
    <w:p>
      <w:pPr>
        <w:pStyle w:val="ListParagraph"/>
        <w:numPr>
          <w:ilvl w:val="0"/>
          <w:numId w:val="29"/>
        </w:numPr>
        <w:tabs>
          <w:tab w:pos="3123" w:val="left" w:leader="none"/>
        </w:tabs>
        <w:spacing w:line="266" w:lineRule="auto" w:before="0" w:after="0"/>
        <w:ind w:left="2594" w:right="665" w:firstLine="0"/>
        <w:jc w:val="left"/>
        <w:rPr>
          <w:sz w:val="21"/>
        </w:rPr>
      </w:pPr>
      <w:r>
        <w:rPr>
          <w:spacing w:val="-8"/>
          <w:sz w:val="21"/>
        </w:rPr>
        <w:t>矫正视力低于 </w:t>
      </w:r>
      <w:r>
        <w:rPr>
          <w:sz w:val="21"/>
        </w:rPr>
        <w:t>0.02（采用国际标准视力表，如果使用其它视力表应进行换</w:t>
      </w:r>
      <w:r>
        <w:rPr>
          <w:spacing w:val="-10"/>
          <w:sz w:val="21"/>
        </w:rPr>
        <w:t>算</w:t>
      </w:r>
      <w:r>
        <w:rPr>
          <w:spacing w:val="-106"/>
          <w:sz w:val="21"/>
        </w:rPr>
        <w:t>）</w:t>
      </w:r>
      <w:r>
        <w:rPr>
          <w:sz w:val="21"/>
        </w:rPr>
        <w:t>；</w:t>
      </w:r>
    </w:p>
    <w:p>
      <w:pPr>
        <w:pStyle w:val="BodyText"/>
        <w:rPr>
          <w:sz w:val="20"/>
        </w:rPr>
      </w:pPr>
    </w:p>
    <w:p>
      <w:pPr>
        <w:pStyle w:val="BodyText"/>
        <w:spacing w:before="9"/>
      </w:pPr>
      <w:r>
        <w:rPr/>
        <w:drawing>
          <wp:anchor distT="0" distB="0" distL="0" distR="0" allowOverlap="1" layoutInCell="1" locked="0" behindDoc="0" simplePos="0" relativeHeight="23">
            <wp:simplePos x="0" y="0"/>
            <wp:positionH relativeFrom="page">
              <wp:posOffset>685800</wp:posOffset>
            </wp:positionH>
            <wp:positionV relativeFrom="paragraph">
              <wp:posOffset>191834</wp:posOffset>
            </wp:positionV>
            <wp:extent cx="1829511" cy="6096"/>
            <wp:effectExtent l="0" t="0" r="0" b="0"/>
            <wp:wrapTopAndBottom/>
            <wp:docPr id="47" name="image5.png"/>
            <wp:cNvGraphicFramePr>
              <a:graphicFrameLocks noChangeAspect="1"/>
            </wp:cNvGraphicFramePr>
            <a:graphic>
              <a:graphicData uri="http://schemas.openxmlformats.org/drawingml/2006/picture">
                <pic:pic>
                  <pic:nvPicPr>
                    <pic:cNvPr id="48" name="image5.png"/>
                    <pic:cNvPicPr/>
                  </pic:nvPicPr>
                  <pic:blipFill>
                    <a:blip r:embed="rId10" cstate="print"/>
                    <a:stretch>
                      <a:fillRect/>
                    </a:stretch>
                  </pic:blipFill>
                  <pic:spPr>
                    <a:xfrm>
                      <a:off x="0" y="0"/>
                      <a:ext cx="1829511" cy="6096"/>
                    </a:xfrm>
                    <a:prstGeom prst="rect">
                      <a:avLst/>
                    </a:prstGeom>
                  </pic:spPr>
                </pic:pic>
              </a:graphicData>
            </a:graphic>
          </wp:anchor>
        </w:drawing>
      </w:r>
    </w:p>
    <w:p>
      <w:pPr>
        <w:spacing w:before="39"/>
        <w:ind w:left="220" w:right="0" w:firstLine="0"/>
        <w:jc w:val="left"/>
        <w:rPr>
          <w:sz w:val="18"/>
        </w:rPr>
      </w:pPr>
      <w:r>
        <w:rPr>
          <w:rFonts w:ascii="微软雅黑" w:eastAsia="微软雅黑"/>
          <w:b/>
          <w:w w:val="95"/>
          <w:position w:val="9"/>
          <w:sz w:val="9"/>
        </w:rPr>
        <w:t>70</w:t>
      </w:r>
      <w:r>
        <w:rPr>
          <w:rFonts w:ascii="Microsoft JhengHei" w:eastAsia="Microsoft JhengHei"/>
          <w:b/>
          <w:w w:val="95"/>
          <w:sz w:val="18"/>
        </w:rPr>
        <w:t>永</w:t>
      </w:r>
      <w:r>
        <w:rPr>
          <w:rFonts w:ascii="Microsoft JhengHei" w:eastAsia="Microsoft JhengHei"/>
          <w:b/>
          <w:w w:val="95"/>
          <w:sz w:val="18"/>
        </w:rPr>
        <w:t>久</w:t>
      </w:r>
      <w:r>
        <w:rPr>
          <w:rFonts w:ascii="Microsoft JhengHei" w:eastAsia="Microsoft JhengHei"/>
          <w:b/>
          <w:w w:val="95"/>
          <w:sz w:val="18"/>
        </w:rPr>
        <w:t>不</w:t>
      </w:r>
      <w:r>
        <w:rPr>
          <w:rFonts w:ascii="Microsoft JhengHei" w:eastAsia="Microsoft JhengHei"/>
          <w:b/>
          <w:w w:val="95"/>
          <w:sz w:val="18"/>
        </w:rPr>
        <w:t>可</w:t>
      </w:r>
      <w:r>
        <w:rPr>
          <w:rFonts w:ascii="Microsoft JhengHei" w:eastAsia="Microsoft JhengHei"/>
          <w:b/>
          <w:w w:val="95"/>
          <w:sz w:val="18"/>
        </w:rPr>
        <w:t>逆</w:t>
      </w:r>
      <w:r>
        <w:rPr>
          <w:w w:val="95"/>
          <w:sz w:val="18"/>
        </w:rPr>
        <w:t>：</w:t>
      </w:r>
      <w:r>
        <w:rPr>
          <w:w w:val="95"/>
          <w:sz w:val="18"/>
        </w:rPr>
        <w:t>指</w:t>
      </w:r>
      <w:r>
        <w:rPr>
          <w:w w:val="95"/>
          <w:sz w:val="18"/>
        </w:rPr>
        <w:t>自</w:t>
      </w:r>
      <w:r>
        <w:rPr>
          <w:w w:val="95"/>
          <w:sz w:val="18"/>
        </w:rPr>
        <w:t>疾</w:t>
      </w:r>
      <w:r>
        <w:rPr>
          <w:w w:val="95"/>
          <w:sz w:val="18"/>
        </w:rPr>
        <w:t>病</w:t>
      </w:r>
      <w:r>
        <w:rPr>
          <w:w w:val="95"/>
          <w:sz w:val="18"/>
        </w:rPr>
        <w:t>确</w:t>
      </w:r>
      <w:r>
        <w:rPr>
          <w:w w:val="95"/>
          <w:sz w:val="18"/>
        </w:rPr>
        <w:t>诊</w:t>
      </w:r>
      <w:r>
        <w:rPr>
          <w:w w:val="95"/>
          <w:sz w:val="18"/>
        </w:rPr>
        <w:t>或</w:t>
      </w:r>
      <w:r>
        <w:rPr>
          <w:w w:val="95"/>
          <w:sz w:val="18"/>
        </w:rPr>
        <w:t>意</w:t>
      </w:r>
      <w:r>
        <w:rPr>
          <w:w w:val="95"/>
          <w:sz w:val="18"/>
        </w:rPr>
        <w:t>外</w:t>
      </w:r>
      <w:r>
        <w:rPr>
          <w:w w:val="95"/>
          <w:sz w:val="18"/>
        </w:rPr>
        <w:t>伤</w:t>
      </w:r>
      <w:r>
        <w:rPr>
          <w:w w:val="95"/>
          <w:sz w:val="18"/>
        </w:rPr>
        <w:t>害</w:t>
      </w:r>
      <w:r>
        <w:rPr>
          <w:w w:val="95"/>
          <w:sz w:val="18"/>
        </w:rPr>
        <w:t>发</w:t>
      </w:r>
      <w:r>
        <w:rPr>
          <w:w w:val="95"/>
          <w:sz w:val="18"/>
        </w:rPr>
        <w:t>生</w:t>
      </w:r>
      <w:r>
        <w:rPr>
          <w:w w:val="95"/>
          <w:sz w:val="18"/>
        </w:rPr>
        <w:t>之</w:t>
      </w:r>
      <w:r>
        <w:rPr>
          <w:w w:val="95"/>
          <w:sz w:val="18"/>
        </w:rPr>
        <w:t>日</w:t>
      </w:r>
      <w:r>
        <w:rPr>
          <w:w w:val="95"/>
          <w:sz w:val="18"/>
        </w:rPr>
        <w:t>起</w:t>
      </w:r>
      <w:r>
        <w:rPr>
          <w:w w:val="95"/>
          <w:sz w:val="18"/>
        </w:rPr>
        <w:t>，</w:t>
      </w:r>
      <w:r>
        <w:rPr>
          <w:w w:val="95"/>
          <w:sz w:val="18"/>
        </w:rPr>
        <w:t>经</w:t>
      </w:r>
      <w:r>
        <w:rPr>
          <w:w w:val="95"/>
          <w:sz w:val="18"/>
        </w:rPr>
        <w:t>过</w:t>
      </w:r>
      <w:r>
        <w:rPr>
          <w:w w:val="95"/>
          <w:sz w:val="18"/>
        </w:rPr>
        <w:t>积</w:t>
      </w:r>
      <w:r>
        <w:rPr>
          <w:w w:val="95"/>
          <w:sz w:val="18"/>
        </w:rPr>
        <w:t>极</w:t>
      </w:r>
      <w:r>
        <w:rPr>
          <w:w w:val="95"/>
          <w:sz w:val="18"/>
        </w:rPr>
        <w:t>治</w:t>
      </w:r>
      <w:r>
        <w:rPr>
          <w:w w:val="95"/>
          <w:sz w:val="18"/>
        </w:rPr>
        <w:t>疗</w:t>
      </w:r>
      <w:r>
        <w:rPr>
          <w:spacing w:val="38"/>
          <w:sz w:val="18"/>
        </w:rPr>
        <w:t>  </w:t>
      </w:r>
      <w:r>
        <w:rPr>
          <w:w w:val="95"/>
          <w:sz w:val="18"/>
        </w:rPr>
        <w:t>180</w:t>
      </w:r>
      <w:r>
        <w:rPr>
          <w:spacing w:val="33"/>
          <w:sz w:val="18"/>
        </w:rPr>
        <w:t>  </w:t>
      </w:r>
      <w:r>
        <w:rPr>
          <w:w w:val="95"/>
          <w:sz w:val="18"/>
        </w:rPr>
        <w:t>天</w:t>
      </w:r>
      <w:r>
        <w:rPr>
          <w:w w:val="95"/>
          <w:sz w:val="18"/>
        </w:rPr>
        <w:t>后</w:t>
      </w:r>
      <w:r>
        <w:rPr>
          <w:w w:val="95"/>
          <w:sz w:val="18"/>
        </w:rPr>
        <w:t>，</w:t>
      </w:r>
      <w:r>
        <w:rPr>
          <w:w w:val="95"/>
          <w:sz w:val="18"/>
        </w:rPr>
        <w:t>仍</w:t>
      </w:r>
      <w:r>
        <w:rPr>
          <w:w w:val="95"/>
          <w:sz w:val="18"/>
        </w:rPr>
        <w:t>无</w:t>
      </w:r>
      <w:r>
        <w:rPr>
          <w:w w:val="95"/>
          <w:sz w:val="18"/>
        </w:rPr>
        <w:t>法</w:t>
      </w:r>
      <w:r>
        <w:rPr>
          <w:w w:val="95"/>
          <w:sz w:val="18"/>
        </w:rPr>
        <w:t>通</w:t>
      </w:r>
      <w:r>
        <w:rPr>
          <w:w w:val="95"/>
          <w:sz w:val="18"/>
        </w:rPr>
        <w:t>过</w:t>
      </w:r>
      <w:r>
        <w:rPr>
          <w:w w:val="95"/>
          <w:sz w:val="18"/>
        </w:rPr>
        <w:t>现</w:t>
      </w:r>
      <w:r>
        <w:rPr>
          <w:w w:val="95"/>
          <w:sz w:val="18"/>
        </w:rPr>
        <w:t>有</w:t>
      </w:r>
      <w:r>
        <w:rPr>
          <w:w w:val="95"/>
          <w:sz w:val="18"/>
        </w:rPr>
        <w:t>医</w:t>
      </w:r>
      <w:r>
        <w:rPr>
          <w:w w:val="95"/>
          <w:sz w:val="18"/>
        </w:rPr>
        <w:t>疗</w:t>
      </w:r>
      <w:r>
        <w:rPr>
          <w:w w:val="95"/>
          <w:sz w:val="18"/>
        </w:rPr>
        <w:t>手</w:t>
      </w:r>
      <w:r>
        <w:rPr>
          <w:w w:val="95"/>
          <w:sz w:val="18"/>
        </w:rPr>
        <w:t>段</w:t>
      </w:r>
      <w:r>
        <w:rPr>
          <w:w w:val="95"/>
          <w:sz w:val="18"/>
        </w:rPr>
        <w:t>回</w:t>
      </w:r>
      <w:r>
        <w:rPr>
          <w:w w:val="95"/>
          <w:sz w:val="18"/>
        </w:rPr>
        <w:t>复</w:t>
      </w:r>
      <w:r>
        <w:rPr>
          <w:spacing w:val="-10"/>
          <w:w w:val="95"/>
          <w:sz w:val="18"/>
        </w:rPr>
        <w:t>。</w:t>
      </w:r>
    </w:p>
    <w:p>
      <w:pPr>
        <w:spacing w:after="0"/>
        <w:jc w:val="left"/>
        <w:rPr>
          <w:sz w:val="18"/>
        </w:rPr>
        <w:sectPr>
          <w:pgSz w:w="11910" w:h="16840"/>
          <w:pgMar w:header="0" w:footer="967" w:top="1400" w:bottom="1240" w:left="860" w:right="480"/>
        </w:sectPr>
      </w:pPr>
    </w:p>
    <w:p>
      <w:pPr>
        <w:pStyle w:val="ListParagraph"/>
        <w:numPr>
          <w:ilvl w:val="0"/>
          <w:numId w:val="29"/>
        </w:numPr>
        <w:tabs>
          <w:tab w:pos="3123" w:val="left" w:leader="none"/>
        </w:tabs>
        <w:spacing w:line="348" w:lineRule="auto" w:before="51" w:after="0"/>
        <w:ind w:left="2594" w:right="5555" w:firstLine="0"/>
        <w:jc w:val="left"/>
        <w:rPr>
          <w:rFonts w:ascii="微软雅黑" w:eastAsia="微软雅黑"/>
          <w:b/>
          <w:sz w:val="21"/>
        </w:rPr>
      </w:pPr>
      <w:r>
        <w:rPr>
          <w:spacing w:val="-10"/>
          <w:sz w:val="21"/>
        </w:rPr>
        <w:t>视野半径小于 </w:t>
      </w:r>
      <w:r>
        <w:rPr>
          <w:spacing w:val="-2"/>
          <w:sz w:val="21"/>
        </w:rPr>
        <w:t>5</w:t>
      </w:r>
      <w:r>
        <w:rPr>
          <w:spacing w:val="-20"/>
          <w:sz w:val="21"/>
        </w:rPr>
        <w:t> 度。</w:t>
      </w:r>
      <w:r>
        <w:rPr>
          <w:spacing w:val="-2"/>
          <w:sz w:val="21"/>
        </w:rPr>
        <w:t> </w:t>
      </w:r>
      <w:r>
        <w:rPr>
          <w:rFonts w:ascii="微软雅黑" w:eastAsia="微软雅黑"/>
          <w:b/>
          <w:spacing w:val="-2"/>
          <w:sz w:val="21"/>
        </w:rPr>
        <w:t>15）瘫痪</w:t>
      </w:r>
      <w:r>
        <w:rPr>
          <w:rFonts w:ascii="微软雅黑" w:eastAsia="微软雅黑"/>
          <w:b/>
          <w:spacing w:val="-2"/>
          <w:w w:val="150"/>
          <w:sz w:val="21"/>
        </w:rPr>
        <w:t>:</w:t>
      </w:r>
    </w:p>
    <w:p>
      <w:pPr>
        <w:pStyle w:val="BodyText"/>
        <w:spacing w:line="230" w:lineRule="exact"/>
        <w:ind w:left="2594"/>
      </w:pPr>
      <w:r>
        <w:rPr>
          <w:spacing w:val="-3"/>
        </w:rPr>
        <w:t>指因疾病或意外伤害导致两肢或两肢以上肢体随意运动功能永久完全丧失。肢体</w:t>
      </w:r>
    </w:p>
    <w:p>
      <w:pPr>
        <w:pStyle w:val="BodyText"/>
        <w:spacing w:before="31"/>
        <w:ind w:left="2594"/>
      </w:pPr>
      <w:r>
        <w:rPr>
          <w:spacing w:val="-5"/>
        </w:rPr>
        <w:t>随意运动功能永久完全丧失，指疾病确诊 </w:t>
      </w:r>
      <w:r>
        <w:rPr>
          <w:spacing w:val="-2"/>
        </w:rPr>
        <w:t>180</w:t>
      </w:r>
      <w:r>
        <w:rPr>
          <w:spacing w:val="-13"/>
        </w:rPr>
        <w:t> 天后或意外伤害发生 </w:t>
      </w:r>
      <w:r>
        <w:rPr>
          <w:spacing w:val="-2"/>
        </w:rPr>
        <w:t>180</w:t>
      </w:r>
      <w:r>
        <w:rPr>
          <w:spacing w:val="-14"/>
        </w:rPr>
        <w:t> 天后，每</w:t>
      </w:r>
    </w:p>
    <w:p>
      <w:pPr>
        <w:spacing w:line="348" w:lineRule="auto" w:before="31"/>
        <w:ind w:left="2594" w:right="1244" w:firstLine="0"/>
        <w:jc w:val="left"/>
        <w:rPr>
          <w:rFonts w:ascii="微软雅黑" w:eastAsia="微软雅黑"/>
          <w:b/>
          <w:sz w:val="21"/>
        </w:rPr>
      </w:pPr>
      <w:r>
        <w:rPr>
          <w:spacing w:val="-3"/>
          <w:sz w:val="21"/>
        </w:rPr>
        <w:t>肢三大关节中的两大关节仍然完全僵硬，或肢体肌力在 </w:t>
      </w:r>
      <w:r>
        <w:rPr>
          <w:sz w:val="21"/>
        </w:rPr>
        <w:t>2</w:t>
      </w:r>
      <w:r>
        <w:rPr>
          <w:spacing w:val="-28"/>
          <w:sz w:val="21"/>
        </w:rPr>
        <w:t> 级</w:t>
      </w:r>
      <w:r>
        <w:rPr>
          <w:sz w:val="21"/>
        </w:rPr>
        <w:t>（含）以下。 </w:t>
      </w:r>
      <w:r>
        <w:rPr>
          <w:rFonts w:ascii="微软雅黑" w:eastAsia="微软雅黑"/>
          <w:b/>
          <w:spacing w:val="-2"/>
          <w:sz w:val="21"/>
        </w:rPr>
        <w:t>16）心脏瓣膜手术</w:t>
      </w:r>
      <w:r>
        <w:rPr>
          <w:rFonts w:ascii="微软雅黑" w:eastAsia="微软雅黑"/>
          <w:b/>
          <w:spacing w:val="-2"/>
          <w:w w:val="150"/>
          <w:sz w:val="21"/>
        </w:rPr>
        <w:t>:</w:t>
      </w:r>
    </w:p>
    <w:p>
      <w:pPr>
        <w:pStyle w:val="BodyText"/>
        <w:spacing w:line="230" w:lineRule="exact"/>
        <w:ind w:left="2594"/>
      </w:pPr>
      <w:r>
        <w:rPr>
          <w:spacing w:val="-3"/>
        </w:rPr>
        <w:t>指为治疗心脏瓣膜疾病，已经实施了切开心脏进行的心脏瓣膜置换或修复的手</w:t>
      </w:r>
    </w:p>
    <w:p>
      <w:pPr>
        <w:pStyle w:val="BodyText"/>
        <w:spacing w:before="31"/>
        <w:ind w:left="2594"/>
      </w:pPr>
      <w:r>
        <w:rPr>
          <w:spacing w:val="-5"/>
        </w:rPr>
        <w:t>术。</w:t>
      </w:r>
    </w:p>
    <w:p>
      <w:pPr>
        <w:pStyle w:val="BodyText"/>
        <w:rPr>
          <w:sz w:val="9"/>
        </w:rPr>
      </w:pPr>
    </w:p>
    <w:p>
      <w:pPr>
        <w:spacing w:line="348" w:lineRule="auto" w:before="72"/>
        <w:ind w:left="2594" w:right="2924" w:firstLine="0"/>
        <w:jc w:val="left"/>
        <w:rPr>
          <w:rFonts w:ascii="微软雅黑" w:eastAsia="微软雅黑"/>
          <w:b/>
          <w:sz w:val="21"/>
        </w:rPr>
      </w:pPr>
      <w:r>
        <w:rPr>
          <w:color w:val="000000"/>
          <w:spacing w:val="-2"/>
          <w:sz w:val="21"/>
          <w:shd w:fill="D9D9D9" w:color="auto" w:val="clear"/>
        </w:rPr>
        <w:t>所有未切开心脏的心脏瓣膜介入手术不在保障范围内。</w:t>
      </w:r>
      <w:r>
        <w:rPr>
          <w:color w:val="000000"/>
          <w:spacing w:val="-2"/>
          <w:sz w:val="21"/>
        </w:rPr>
        <w:t> </w:t>
      </w:r>
      <w:r>
        <w:rPr>
          <w:rFonts w:ascii="微软雅黑" w:eastAsia="微软雅黑"/>
          <w:b/>
          <w:color w:val="000000"/>
          <w:spacing w:val="-2"/>
          <w:sz w:val="21"/>
        </w:rPr>
        <w:t>17）严重阿尔茨海默病</w:t>
      </w:r>
      <w:r>
        <w:rPr>
          <w:rFonts w:ascii="微软雅黑" w:eastAsia="微软雅黑"/>
          <w:b/>
          <w:color w:val="000000"/>
          <w:spacing w:val="-2"/>
          <w:w w:val="150"/>
          <w:sz w:val="21"/>
        </w:rPr>
        <w:t>:</w:t>
      </w:r>
    </w:p>
    <w:p>
      <w:pPr>
        <w:pStyle w:val="BodyText"/>
        <w:spacing w:line="230" w:lineRule="exact"/>
        <w:ind w:left="2594"/>
      </w:pPr>
      <w:r>
        <w:rPr>
          <w:spacing w:val="-3"/>
        </w:rPr>
        <w:t>指因大脑进行性、不可逆性改变导致智能严重衰退或丧失，临床表现为严重的认</w:t>
      </w:r>
    </w:p>
    <w:p>
      <w:pPr>
        <w:pStyle w:val="BodyText"/>
        <w:spacing w:line="266" w:lineRule="auto" w:before="31"/>
        <w:ind w:left="2594" w:right="613"/>
      </w:pPr>
      <w:r>
        <w:rPr>
          <w:spacing w:val="-2"/>
        </w:rPr>
        <w:t>知功能障碍、精神行为异常和社交能力减退等，其日常生活必须持续受到他人监</w:t>
      </w:r>
      <w:r>
        <w:rPr>
          <w:spacing w:val="-2"/>
        </w:rPr>
        <w:t>护。须由头颅断层扫描</w:t>
      </w:r>
      <w:r>
        <w:rPr>
          <w:spacing w:val="23"/>
        </w:rPr>
        <w:t>（C</w:t>
      </w:r>
      <w:r>
        <w:rPr>
          <w:spacing w:val="26"/>
        </w:rPr>
        <w:t>T</w:t>
      </w:r>
      <w:r>
        <w:rPr>
          <w:spacing w:val="-80"/>
        </w:rPr>
        <w:t>）</w:t>
      </w:r>
      <w:r>
        <w:rPr>
          <w:spacing w:val="-2"/>
        </w:rPr>
        <w:t>、核磁共振检查（MRI）或正电子发射断层扫描</w:t>
      </w:r>
    </w:p>
    <w:p>
      <w:pPr>
        <w:pStyle w:val="BodyText"/>
        <w:spacing w:line="266" w:lineRule="auto" w:before="2"/>
        <w:ind w:left="2594" w:right="720"/>
      </w:pPr>
      <w:r>
        <w:rPr>
          <w:spacing w:val="-2"/>
        </w:rPr>
        <w:t>（PET）等影像学检查证实，并经相关专科医生确诊，且须满足下列至少一项条</w:t>
      </w:r>
      <w:r>
        <w:rPr>
          <w:spacing w:val="-6"/>
        </w:rPr>
        <w:t>件：</w:t>
      </w:r>
    </w:p>
    <w:p>
      <w:pPr>
        <w:pStyle w:val="ListParagraph"/>
        <w:numPr>
          <w:ilvl w:val="0"/>
          <w:numId w:val="30"/>
        </w:numPr>
        <w:tabs>
          <w:tab w:pos="3123" w:val="left" w:leader="none"/>
        </w:tabs>
        <w:spacing w:line="266" w:lineRule="auto" w:before="159" w:after="0"/>
        <w:ind w:left="2594" w:right="1246" w:firstLine="0"/>
        <w:jc w:val="left"/>
        <w:rPr>
          <w:sz w:val="21"/>
        </w:rPr>
      </w:pPr>
      <w:r>
        <w:rPr>
          <w:spacing w:val="-2"/>
          <w:sz w:val="21"/>
        </w:rPr>
        <w:t>由具有评估资格的专科医生根据临床痴呆评定量表（CDR，Clinical </w:t>
      </w:r>
      <w:r>
        <w:rPr>
          <w:sz w:val="21"/>
        </w:rPr>
        <w:t>Dementia Rating）</w:t>
      </w:r>
      <w:r>
        <w:rPr>
          <w:spacing w:val="-3"/>
          <w:sz w:val="21"/>
        </w:rPr>
        <w:t>评估结果为 </w:t>
      </w:r>
      <w:r>
        <w:rPr>
          <w:sz w:val="21"/>
        </w:rPr>
        <w:t>3</w:t>
      </w:r>
      <w:r>
        <w:rPr>
          <w:spacing w:val="-6"/>
          <w:sz w:val="21"/>
        </w:rPr>
        <w:t> 分；</w:t>
      </w:r>
    </w:p>
    <w:p>
      <w:pPr>
        <w:pStyle w:val="ListParagraph"/>
        <w:numPr>
          <w:ilvl w:val="0"/>
          <w:numId w:val="30"/>
        </w:numPr>
        <w:tabs>
          <w:tab w:pos="3123" w:val="left" w:leader="none"/>
        </w:tabs>
        <w:spacing w:line="266" w:lineRule="auto" w:before="159" w:after="0"/>
        <w:ind w:left="2594" w:right="509" w:firstLine="0"/>
        <w:jc w:val="left"/>
        <w:rPr>
          <w:sz w:val="21"/>
        </w:rPr>
      </w:pPr>
      <w:r>
        <w:rPr>
          <w:spacing w:val="-2"/>
          <w:sz w:val="21"/>
        </w:rPr>
        <w:t>自主生活能力完全丧失，无法独立完成六项基本日常生活活动中的三项或三</w:t>
      </w:r>
      <w:r>
        <w:rPr>
          <w:spacing w:val="-4"/>
          <w:sz w:val="21"/>
        </w:rPr>
        <w:t>项以上。</w:t>
      </w:r>
    </w:p>
    <w:p>
      <w:pPr>
        <w:spacing w:line="348" w:lineRule="auto" w:before="158"/>
        <w:ind w:left="2594" w:right="3136" w:firstLine="0"/>
        <w:jc w:val="left"/>
        <w:rPr>
          <w:rFonts w:ascii="微软雅黑" w:eastAsia="微软雅黑"/>
          <w:b/>
          <w:sz w:val="21"/>
        </w:rPr>
      </w:pPr>
      <w:r>
        <w:rPr>
          <w:color w:val="000000"/>
          <w:spacing w:val="-2"/>
          <w:sz w:val="21"/>
          <w:shd w:fill="D9D9D9" w:color="auto" w:val="clear"/>
        </w:rPr>
        <w:t>阿尔茨海默病之外的其它类型痴呆不在保障范围内。</w:t>
      </w:r>
      <w:r>
        <w:rPr>
          <w:color w:val="000000"/>
          <w:spacing w:val="-2"/>
          <w:sz w:val="21"/>
        </w:rPr>
        <w:t> </w:t>
      </w:r>
      <w:r>
        <w:rPr>
          <w:rFonts w:ascii="微软雅黑" w:eastAsia="微软雅黑"/>
          <w:b/>
          <w:color w:val="000000"/>
          <w:spacing w:val="-2"/>
          <w:sz w:val="21"/>
        </w:rPr>
        <w:t>18）严重脑损伤</w:t>
      </w:r>
      <w:r>
        <w:rPr>
          <w:rFonts w:ascii="微软雅黑" w:eastAsia="微软雅黑"/>
          <w:b/>
          <w:color w:val="000000"/>
          <w:spacing w:val="-2"/>
          <w:w w:val="150"/>
          <w:sz w:val="21"/>
        </w:rPr>
        <w:t>:</w:t>
      </w:r>
    </w:p>
    <w:p>
      <w:pPr>
        <w:pStyle w:val="BodyText"/>
        <w:spacing w:line="230" w:lineRule="exact"/>
        <w:ind w:left="2594"/>
      </w:pPr>
      <w:r>
        <w:rPr>
          <w:spacing w:val="-3"/>
        </w:rPr>
        <w:t>指因头部遭受机械性外力，引起脑重要部位损伤，导致神经系统永久性的功能障</w:t>
      </w:r>
    </w:p>
    <w:p>
      <w:pPr>
        <w:pStyle w:val="BodyText"/>
        <w:spacing w:before="31"/>
        <w:ind w:left="2594"/>
      </w:pPr>
      <w:r>
        <w:rPr>
          <w:spacing w:val="-6"/>
        </w:rPr>
        <w:t>碍。须由头颅断层扫描</w:t>
      </w:r>
      <w:r>
        <w:rPr>
          <w:spacing w:val="19"/>
        </w:rPr>
        <w:t>（C</w:t>
      </w:r>
      <w:r>
        <w:rPr>
          <w:spacing w:val="22"/>
        </w:rPr>
        <w:t>T</w:t>
      </w:r>
      <w:r>
        <w:rPr>
          <w:spacing w:val="-84"/>
        </w:rPr>
        <w:t>）</w:t>
      </w:r>
      <w:r>
        <w:rPr>
          <w:spacing w:val="-6"/>
        </w:rPr>
        <w:t>、核磁共振检查（MRI）</w:t>
      </w:r>
      <w:r>
        <w:rPr>
          <w:spacing w:val="-7"/>
        </w:rPr>
        <w:t>或正电子发射断层扫描</w:t>
      </w:r>
    </w:p>
    <w:p>
      <w:pPr>
        <w:pStyle w:val="BodyText"/>
        <w:spacing w:line="266" w:lineRule="auto" w:before="31"/>
        <w:ind w:left="2594" w:right="509"/>
      </w:pPr>
      <w:r>
        <w:rPr/>
        <w:t>（PET）</w:t>
      </w:r>
      <w:r>
        <w:rPr>
          <w:spacing w:val="-2"/>
        </w:rPr>
        <w:t>等影像学检查证实。神经系统永久性的功能障碍，指脑损伤 </w:t>
      </w:r>
      <w:r>
        <w:rPr/>
        <w:t>180</w:t>
      </w:r>
      <w:r>
        <w:rPr>
          <w:spacing w:val="-12"/>
        </w:rPr>
        <w:t> 天后，仍</w:t>
      </w:r>
      <w:r>
        <w:rPr>
          <w:spacing w:val="-2"/>
        </w:rPr>
        <w:t>遗留下列至少一种障碍：</w:t>
      </w:r>
    </w:p>
    <w:p>
      <w:pPr>
        <w:pStyle w:val="ListParagraph"/>
        <w:numPr>
          <w:ilvl w:val="0"/>
          <w:numId w:val="31"/>
        </w:numPr>
        <w:tabs>
          <w:tab w:pos="3123" w:val="left" w:leader="none"/>
        </w:tabs>
        <w:spacing w:line="240" w:lineRule="auto" w:before="159" w:after="0"/>
        <w:ind w:left="3123" w:right="0" w:hanging="529"/>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BodyText"/>
        <w:spacing w:before="7"/>
        <w:rPr>
          <w:sz w:val="14"/>
        </w:rPr>
      </w:pPr>
    </w:p>
    <w:p>
      <w:pPr>
        <w:pStyle w:val="ListParagraph"/>
        <w:numPr>
          <w:ilvl w:val="0"/>
          <w:numId w:val="31"/>
        </w:numPr>
        <w:tabs>
          <w:tab w:pos="3123" w:val="left" w:leader="none"/>
        </w:tabs>
        <w:spacing w:line="240" w:lineRule="auto" w:before="1" w:after="0"/>
        <w:ind w:left="3123" w:right="0" w:hanging="529"/>
        <w:jc w:val="left"/>
        <w:rPr>
          <w:sz w:val="21"/>
        </w:rPr>
      </w:pPr>
      <w:r>
        <w:rPr>
          <w:spacing w:val="-3"/>
          <w:sz w:val="21"/>
        </w:rPr>
        <w:t>语言能力完全丧失，或严重咀嚼吞咽功能障碍；</w:t>
      </w:r>
    </w:p>
    <w:p>
      <w:pPr>
        <w:pStyle w:val="BodyText"/>
        <w:spacing w:before="7"/>
        <w:rPr>
          <w:sz w:val="14"/>
        </w:rPr>
      </w:pPr>
    </w:p>
    <w:p>
      <w:pPr>
        <w:pStyle w:val="ListParagraph"/>
        <w:numPr>
          <w:ilvl w:val="0"/>
          <w:numId w:val="31"/>
        </w:numPr>
        <w:tabs>
          <w:tab w:pos="3123" w:val="left" w:leader="none"/>
        </w:tabs>
        <w:spacing w:line="266" w:lineRule="auto" w:before="0" w:after="0"/>
        <w:ind w:left="2594" w:right="509" w:firstLine="0"/>
        <w:jc w:val="left"/>
        <w:rPr>
          <w:sz w:val="21"/>
        </w:rPr>
      </w:pPr>
      <w:r>
        <w:rPr>
          <w:spacing w:val="-2"/>
          <w:sz w:val="21"/>
        </w:rPr>
        <w:t>自主生活能力完全丧失，无法独立完成六项基本日常生活活动中的三项或三</w:t>
      </w:r>
      <w:r>
        <w:rPr>
          <w:spacing w:val="-4"/>
          <w:sz w:val="21"/>
        </w:rPr>
        <w:t>项以上。</w:t>
      </w:r>
    </w:p>
    <w:p>
      <w:pPr>
        <w:pStyle w:val="Heading3"/>
        <w:spacing w:before="92"/>
        <w:ind w:left="2594"/>
      </w:pPr>
      <w:r>
        <w:rPr>
          <w:w w:val="95"/>
        </w:rPr>
        <w:t>19）</w:t>
      </w:r>
      <w:r>
        <w:rPr>
          <w:w w:val="95"/>
        </w:rPr>
        <w:t>严</w:t>
      </w:r>
      <w:r>
        <w:rPr>
          <w:w w:val="95"/>
        </w:rPr>
        <w:t>重</w:t>
      </w:r>
      <w:r>
        <w:rPr>
          <w:w w:val="95"/>
        </w:rPr>
        <w:t>原</w:t>
      </w:r>
      <w:r>
        <w:rPr>
          <w:w w:val="95"/>
        </w:rPr>
        <w:t>发</w:t>
      </w:r>
      <w:r>
        <w:rPr>
          <w:w w:val="95"/>
        </w:rPr>
        <w:t>性</w:t>
      </w:r>
      <w:r>
        <w:rPr>
          <w:w w:val="95"/>
        </w:rPr>
        <w:t>帕</w:t>
      </w:r>
      <w:r>
        <w:rPr>
          <w:w w:val="95"/>
        </w:rPr>
        <w:t>金</w:t>
      </w:r>
      <w:r>
        <w:rPr>
          <w:w w:val="95"/>
        </w:rPr>
        <w:t>森</w:t>
      </w:r>
      <w:r>
        <w:rPr>
          <w:w w:val="95"/>
        </w:rPr>
        <w:t>病</w:t>
      </w:r>
      <w:r>
        <w:rPr>
          <w:spacing w:val="-10"/>
          <w:w w:val="95"/>
        </w:rPr>
        <w:t>:</w:t>
      </w:r>
    </w:p>
    <w:p>
      <w:pPr>
        <w:pStyle w:val="BodyText"/>
        <w:spacing w:line="266" w:lineRule="auto" w:before="136"/>
        <w:ind w:left="2594" w:right="613"/>
        <w:jc w:val="both"/>
      </w:pPr>
      <w:r>
        <w:rPr>
          <w:spacing w:val="-2"/>
        </w:rPr>
        <w:t>是一种中枢神经系统的退行性疾病，临床表现为运动迟缓、静止性震颤或肌强直</w:t>
      </w:r>
      <w:r>
        <w:rPr>
          <w:spacing w:val="-2"/>
        </w:rPr>
        <w:t>等。经相关专科医生确诊，且须满足自主生活能力完全丧失，无法独立完成六项</w:t>
      </w:r>
      <w:r>
        <w:rPr>
          <w:spacing w:val="-2"/>
        </w:rPr>
        <w:t>基本日常生活活动中的三项或三项以上。</w:t>
      </w:r>
    </w:p>
    <w:p>
      <w:pPr>
        <w:spacing w:line="345" w:lineRule="auto" w:before="160"/>
        <w:ind w:left="2594" w:right="2504" w:firstLine="0"/>
        <w:jc w:val="left"/>
        <w:rPr>
          <w:rFonts w:ascii="微软雅黑" w:hAnsi="微软雅黑" w:eastAsia="微软雅黑"/>
          <w:b/>
          <w:sz w:val="21"/>
        </w:rPr>
      </w:pPr>
      <w:r>
        <w:rPr>
          <w:color w:val="000000"/>
          <w:spacing w:val="-2"/>
          <w:sz w:val="21"/>
          <w:shd w:fill="D9D9D9" w:color="auto" w:val="clear"/>
        </w:rPr>
        <w:t>继发性帕金森综合征、帕金森叠加综合征不在保障范围内。</w:t>
      </w:r>
      <w:r>
        <w:rPr>
          <w:color w:val="000000"/>
          <w:spacing w:val="-2"/>
          <w:sz w:val="21"/>
        </w:rPr>
        <w:t> </w:t>
      </w:r>
      <w:r>
        <w:rPr>
          <w:rFonts w:ascii="微软雅黑" w:hAnsi="微软雅黑" w:eastAsia="微软雅黑"/>
          <w:b/>
          <w:color w:val="000000"/>
          <w:spacing w:val="-2"/>
          <w:sz w:val="21"/>
        </w:rPr>
        <w:t>20）严重Ⅲ度烧伤</w:t>
      </w:r>
      <w:r>
        <w:rPr>
          <w:rFonts w:ascii="微软雅黑" w:hAnsi="微软雅黑" w:eastAsia="微软雅黑"/>
          <w:b/>
          <w:color w:val="000000"/>
          <w:spacing w:val="-2"/>
          <w:w w:val="150"/>
          <w:sz w:val="21"/>
        </w:rPr>
        <w:t>:</w:t>
      </w:r>
    </w:p>
    <w:p>
      <w:pPr>
        <w:pStyle w:val="BodyText"/>
        <w:spacing w:line="236" w:lineRule="exact"/>
        <w:ind w:left="2594"/>
      </w:pPr>
      <w:r>
        <w:rPr>
          <w:spacing w:val="-4"/>
        </w:rPr>
        <w:t>指烧伤程度为Ⅲ度，且Ⅲ度烧伤的面积达到全身体表面积的 </w:t>
      </w:r>
      <w:r>
        <w:rPr>
          <w:spacing w:val="-2"/>
        </w:rPr>
        <w:t>20</w:t>
      </w:r>
      <w:r>
        <w:rPr>
          <w:spacing w:val="-15"/>
        </w:rPr>
        <w:t>％或 </w:t>
      </w:r>
      <w:r>
        <w:rPr>
          <w:spacing w:val="-2"/>
        </w:rPr>
        <w:t>20</w:t>
      </w:r>
      <w:r>
        <w:rPr>
          <w:spacing w:val="-4"/>
        </w:rPr>
        <w:t>％以上。体</w:t>
      </w:r>
    </w:p>
    <w:p>
      <w:pPr>
        <w:spacing w:after="0" w:line="236" w:lineRule="exact"/>
        <w:sectPr>
          <w:pgSz w:w="11910" w:h="16840"/>
          <w:pgMar w:header="0" w:footer="967" w:top="1400" w:bottom="1240" w:left="860" w:right="480"/>
        </w:sectPr>
      </w:pPr>
    </w:p>
    <w:p>
      <w:pPr>
        <w:spacing w:line="348" w:lineRule="auto" w:before="51"/>
        <w:ind w:left="2594" w:right="4604" w:firstLine="0"/>
        <w:jc w:val="left"/>
        <w:rPr>
          <w:rFonts w:ascii="微软雅黑" w:eastAsia="微软雅黑"/>
          <w:b/>
          <w:sz w:val="21"/>
        </w:rPr>
      </w:pPr>
      <w:r>
        <w:rPr>
          <w:spacing w:val="-2"/>
          <w:sz w:val="21"/>
        </w:rPr>
        <w:t>表面积根据《中国新九分法》计算。 </w:t>
      </w:r>
      <w:r>
        <w:rPr>
          <w:rFonts w:ascii="微软雅黑" w:eastAsia="微软雅黑"/>
          <w:b/>
          <w:spacing w:val="-2"/>
          <w:sz w:val="21"/>
        </w:rPr>
        <w:t>21）严重特发性肺动脉高压</w:t>
      </w:r>
      <w:r>
        <w:rPr>
          <w:rFonts w:ascii="微软雅黑" w:eastAsia="微软雅黑"/>
          <w:b/>
          <w:spacing w:val="-2"/>
          <w:w w:val="150"/>
          <w:sz w:val="21"/>
        </w:rPr>
        <w:t>:</w:t>
      </w:r>
    </w:p>
    <w:p>
      <w:pPr>
        <w:pStyle w:val="BodyText"/>
        <w:spacing w:line="212" w:lineRule="exact"/>
        <w:ind w:left="2594"/>
      </w:pPr>
      <w:r>
        <w:rPr>
          <w:spacing w:val="-3"/>
        </w:rPr>
        <w:t>指不明原因的肺动脉压力持续性增高，进行性发展而导致的慢性疾病，已经造成</w:t>
      </w:r>
    </w:p>
    <w:p>
      <w:pPr>
        <w:spacing w:line="204" w:lineRule="auto" w:before="24"/>
        <w:ind w:left="2594" w:right="598" w:firstLine="0"/>
        <w:jc w:val="left"/>
        <w:rPr>
          <w:sz w:val="21"/>
        </w:rPr>
      </w:pPr>
      <w:r>
        <w:rPr>
          <w:w w:val="95"/>
          <w:sz w:val="21"/>
        </w:rPr>
        <w:t>永</w:t>
      </w:r>
      <w:r>
        <w:rPr>
          <w:w w:val="95"/>
          <w:sz w:val="21"/>
        </w:rPr>
        <w:t>久</w:t>
      </w:r>
      <w:r>
        <w:rPr>
          <w:w w:val="95"/>
          <w:sz w:val="21"/>
        </w:rPr>
        <w:t>不可逆性的体力活动</w:t>
      </w:r>
      <w:r>
        <w:rPr>
          <w:w w:val="95"/>
          <w:sz w:val="21"/>
        </w:rPr>
        <w:t>能</w:t>
      </w:r>
      <w:r>
        <w:rPr>
          <w:w w:val="95"/>
          <w:sz w:val="21"/>
        </w:rPr>
        <w:t>力</w:t>
      </w:r>
      <w:r>
        <w:rPr>
          <w:w w:val="95"/>
          <w:sz w:val="21"/>
        </w:rPr>
        <w:t>受限，达到</w:t>
      </w:r>
      <w:r>
        <w:rPr>
          <w:rFonts w:ascii="微软雅黑" w:eastAsia="微软雅黑"/>
          <w:b/>
          <w:w w:val="95"/>
          <w:sz w:val="21"/>
        </w:rPr>
        <w:t>美</w:t>
      </w:r>
      <w:r>
        <w:rPr>
          <w:rFonts w:ascii="微软雅黑" w:eastAsia="微软雅黑"/>
          <w:b/>
          <w:w w:val="95"/>
          <w:sz w:val="21"/>
        </w:rPr>
        <w:t>国</w:t>
      </w:r>
      <w:r>
        <w:rPr>
          <w:rFonts w:ascii="微软雅黑" w:eastAsia="微软雅黑"/>
          <w:b/>
          <w:w w:val="95"/>
          <w:sz w:val="21"/>
        </w:rPr>
        <w:t>纽</w:t>
      </w:r>
      <w:r>
        <w:rPr>
          <w:rFonts w:ascii="微软雅黑" w:eastAsia="微软雅黑"/>
          <w:b/>
          <w:w w:val="95"/>
          <w:sz w:val="21"/>
        </w:rPr>
        <w:t>约</w:t>
      </w:r>
      <w:r>
        <w:rPr>
          <w:rFonts w:ascii="微软雅黑" w:eastAsia="微软雅黑"/>
          <w:b/>
          <w:w w:val="95"/>
          <w:sz w:val="21"/>
        </w:rPr>
        <w:t>心</w:t>
      </w:r>
      <w:r>
        <w:rPr>
          <w:rFonts w:ascii="微软雅黑" w:eastAsia="微软雅黑"/>
          <w:b/>
          <w:w w:val="95"/>
          <w:sz w:val="21"/>
        </w:rPr>
        <w:t>脏</w:t>
      </w:r>
      <w:r>
        <w:rPr>
          <w:rFonts w:ascii="微软雅黑" w:eastAsia="微软雅黑"/>
          <w:b/>
          <w:w w:val="95"/>
          <w:sz w:val="21"/>
        </w:rPr>
        <w:t>病</w:t>
      </w:r>
      <w:r>
        <w:rPr>
          <w:rFonts w:ascii="微软雅黑" w:eastAsia="微软雅黑"/>
          <w:b/>
          <w:w w:val="95"/>
          <w:sz w:val="21"/>
        </w:rPr>
        <w:t>学</w:t>
      </w:r>
      <w:r>
        <w:rPr>
          <w:rFonts w:ascii="微软雅黑" w:eastAsia="微软雅黑"/>
          <w:b/>
          <w:w w:val="95"/>
          <w:sz w:val="21"/>
        </w:rPr>
        <w:t>会</w:t>
      </w:r>
      <w:r>
        <w:rPr>
          <w:rFonts w:ascii="微软雅黑" w:eastAsia="微软雅黑"/>
          <w:b/>
          <w:w w:val="95"/>
          <w:sz w:val="21"/>
        </w:rPr>
        <w:t>（New</w:t>
      </w:r>
      <w:r>
        <w:rPr>
          <w:rFonts w:ascii="微软雅黑" w:eastAsia="微软雅黑"/>
          <w:b/>
          <w:spacing w:val="40"/>
          <w:sz w:val="21"/>
        </w:rPr>
        <w:t> </w:t>
      </w:r>
      <w:r>
        <w:rPr>
          <w:rFonts w:ascii="微软雅黑" w:eastAsia="微软雅黑"/>
          <w:b/>
          <w:w w:val="95"/>
          <w:sz w:val="21"/>
        </w:rPr>
        <w:t>York</w:t>
      </w:r>
      <w:r>
        <w:rPr>
          <w:rFonts w:ascii="微软雅黑" w:eastAsia="微软雅黑"/>
          <w:b/>
          <w:spacing w:val="40"/>
          <w:sz w:val="21"/>
        </w:rPr>
        <w:t> </w:t>
      </w:r>
      <w:r>
        <w:rPr>
          <w:rFonts w:ascii="微软雅黑" w:eastAsia="微软雅黑"/>
          <w:b/>
          <w:w w:val="95"/>
          <w:sz w:val="21"/>
        </w:rPr>
        <w:t>Heart Association,NYHA）</w:t>
      </w:r>
      <w:r>
        <w:rPr>
          <w:rFonts w:ascii="微软雅黑" w:eastAsia="微软雅黑"/>
          <w:b/>
          <w:w w:val="95"/>
          <w:sz w:val="21"/>
        </w:rPr>
        <w:t>心</w:t>
      </w:r>
      <w:r>
        <w:rPr>
          <w:rFonts w:ascii="微软雅黑" w:eastAsia="微软雅黑"/>
          <w:b/>
          <w:w w:val="95"/>
          <w:sz w:val="21"/>
        </w:rPr>
        <w:t>功</w:t>
      </w:r>
      <w:r>
        <w:rPr>
          <w:rFonts w:ascii="微软雅黑" w:eastAsia="微软雅黑"/>
          <w:b/>
          <w:w w:val="95"/>
          <w:sz w:val="21"/>
        </w:rPr>
        <w:t>能</w:t>
      </w:r>
      <w:r>
        <w:rPr>
          <w:rFonts w:ascii="微软雅黑" w:eastAsia="微软雅黑"/>
          <w:b/>
          <w:w w:val="95"/>
          <w:sz w:val="21"/>
        </w:rPr>
        <w:t>状</w:t>
      </w:r>
      <w:r>
        <w:rPr>
          <w:rFonts w:ascii="微软雅黑" w:eastAsia="微软雅黑"/>
          <w:b/>
          <w:w w:val="95"/>
          <w:sz w:val="21"/>
        </w:rPr>
        <w:t>态</w:t>
      </w:r>
      <w:r>
        <w:rPr>
          <w:rFonts w:ascii="微软雅黑" w:eastAsia="微软雅黑"/>
          <w:b/>
          <w:w w:val="95"/>
          <w:sz w:val="21"/>
        </w:rPr>
        <w:t>分</w:t>
      </w:r>
      <w:r>
        <w:rPr>
          <w:rFonts w:ascii="微软雅黑" w:eastAsia="微软雅黑"/>
          <w:b/>
          <w:w w:val="95"/>
          <w:sz w:val="21"/>
        </w:rPr>
        <w:t>级</w:t>
      </w:r>
      <w:r>
        <w:rPr>
          <w:rFonts w:ascii="微软雅黑" w:eastAsia="微软雅黑"/>
          <w:b/>
          <w:w w:val="95"/>
          <w:position w:val="11"/>
          <w:sz w:val="11"/>
        </w:rPr>
        <w:t>71</w:t>
      </w:r>
      <w:r>
        <w:rPr>
          <w:w w:val="95"/>
          <w:sz w:val="21"/>
        </w:rPr>
        <w:t>IV</w:t>
      </w:r>
      <w:r>
        <w:rPr>
          <w:spacing w:val="-10"/>
          <w:w w:val="95"/>
          <w:sz w:val="21"/>
        </w:rPr>
        <w:t> 级，且</w:t>
      </w:r>
      <w:r>
        <w:rPr>
          <w:w w:val="95"/>
          <w:sz w:val="21"/>
        </w:rPr>
        <w:t>静</w:t>
      </w:r>
      <w:r>
        <w:rPr>
          <w:w w:val="95"/>
          <w:sz w:val="21"/>
        </w:rPr>
        <w:t>息</w:t>
      </w:r>
      <w:r>
        <w:rPr>
          <w:w w:val="95"/>
          <w:sz w:val="21"/>
        </w:rPr>
        <w:t>状</w:t>
      </w:r>
      <w:r>
        <w:rPr>
          <w:w w:val="95"/>
          <w:sz w:val="21"/>
        </w:rPr>
        <w:t>态</w:t>
      </w:r>
      <w:r>
        <w:rPr>
          <w:w w:val="95"/>
          <w:sz w:val="21"/>
        </w:rPr>
        <w:t>下肺动脉平均压在 </w:t>
      </w:r>
      <w:r>
        <w:rPr>
          <w:spacing w:val="-2"/>
          <w:sz w:val="21"/>
        </w:rPr>
        <w:t>36mmHg（含）以上。</w:t>
      </w:r>
    </w:p>
    <w:p>
      <w:pPr>
        <w:pStyle w:val="Heading3"/>
        <w:numPr>
          <w:ilvl w:val="0"/>
          <w:numId w:val="32"/>
        </w:numPr>
        <w:tabs>
          <w:tab w:pos="3018" w:val="left" w:leader="none"/>
        </w:tabs>
        <w:spacing w:line="240" w:lineRule="auto" w:before="127" w:after="0"/>
        <w:ind w:left="3017" w:right="0" w:hanging="424"/>
        <w:jc w:val="left"/>
      </w:pPr>
      <w:r>
        <w:rPr>
          <w:spacing w:val="-2"/>
        </w:rPr>
        <w:t>严重运动神经元病:</w:t>
      </w:r>
    </w:p>
    <w:p>
      <w:pPr>
        <w:pStyle w:val="BodyText"/>
        <w:spacing w:line="266" w:lineRule="auto" w:before="137"/>
        <w:ind w:left="2594" w:right="613"/>
        <w:jc w:val="both"/>
      </w:pPr>
      <w:r>
        <w:rPr>
          <w:spacing w:val="-2"/>
        </w:rPr>
        <w:t>是一组中枢神经系统运动神经元的进行性变性疾病，包括进行性脊肌萎缩症、进</w:t>
      </w:r>
      <w:r>
        <w:rPr>
          <w:spacing w:val="-2"/>
        </w:rPr>
        <w:t>行性延髓麻痹症、原发性侧索硬化症、肌萎缩性侧索硬化症。经相关专科医生确</w:t>
      </w:r>
      <w:r>
        <w:rPr>
          <w:spacing w:val="-2"/>
        </w:rPr>
        <w:t>诊，且须满足下列至少一项条件：</w:t>
      </w:r>
    </w:p>
    <w:p>
      <w:pPr>
        <w:pStyle w:val="ListParagraph"/>
        <w:numPr>
          <w:ilvl w:val="0"/>
          <w:numId w:val="33"/>
        </w:numPr>
        <w:tabs>
          <w:tab w:pos="3123" w:val="left" w:leader="none"/>
        </w:tabs>
        <w:spacing w:line="240" w:lineRule="auto" w:before="160" w:after="0"/>
        <w:ind w:left="3123" w:right="0" w:hanging="529"/>
        <w:jc w:val="left"/>
        <w:rPr>
          <w:sz w:val="21"/>
        </w:rPr>
      </w:pPr>
      <w:r>
        <w:rPr>
          <w:spacing w:val="-3"/>
          <w:sz w:val="21"/>
        </w:rPr>
        <w:t>严重咀嚼吞咽功能障碍；</w:t>
      </w:r>
    </w:p>
    <w:p>
      <w:pPr>
        <w:pStyle w:val="BodyText"/>
        <w:spacing w:before="8"/>
        <w:rPr>
          <w:sz w:val="14"/>
        </w:rPr>
      </w:pPr>
    </w:p>
    <w:p>
      <w:pPr>
        <w:pStyle w:val="ListParagraph"/>
        <w:numPr>
          <w:ilvl w:val="0"/>
          <w:numId w:val="33"/>
        </w:numPr>
        <w:tabs>
          <w:tab w:pos="3123" w:val="left" w:leader="none"/>
        </w:tabs>
        <w:spacing w:line="240" w:lineRule="auto" w:before="0" w:after="0"/>
        <w:ind w:left="3123" w:right="0" w:hanging="529"/>
        <w:jc w:val="left"/>
        <w:rPr>
          <w:sz w:val="21"/>
        </w:rPr>
      </w:pPr>
      <w:r>
        <w:rPr>
          <w:spacing w:val="-4"/>
          <w:sz w:val="21"/>
        </w:rPr>
        <w:t>呼吸肌麻痹导致严重呼吸困难，且已经持续使用呼吸机 </w:t>
      </w:r>
      <w:r>
        <w:rPr>
          <w:spacing w:val="-2"/>
          <w:sz w:val="21"/>
        </w:rPr>
        <w:t>7</w:t>
      </w:r>
      <w:r>
        <w:rPr>
          <w:spacing w:val="-24"/>
          <w:sz w:val="21"/>
        </w:rPr>
        <w:t> 天</w:t>
      </w:r>
      <w:r>
        <w:rPr>
          <w:spacing w:val="-2"/>
          <w:sz w:val="21"/>
        </w:rPr>
        <w:t>（含）</w:t>
      </w:r>
      <w:r>
        <w:rPr>
          <w:spacing w:val="-5"/>
          <w:sz w:val="21"/>
        </w:rPr>
        <w:t>以上；</w:t>
      </w:r>
    </w:p>
    <w:p>
      <w:pPr>
        <w:pStyle w:val="BodyText"/>
        <w:spacing w:before="7"/>
        <w:rPr>
          <w:sz w:val="14"/>
        </w:rPr>
      </w:pPr>
    </w:p>
    <w:p>
      <w:pPr>
        <w:pStyle w:val="ListParagraph"/>
        <w:numPr>
          <w:ilvl w:val="0"/>
          <w:numId w:val="33"/>
        </w:numPr>
        <w:tabs>
          <w:tab w:pos="3123" w:val="left" w:leader="none"/>
        </w:tabs>
        <w:spacing w:line="266" w:lineRule="auto" w:before="0" w:after="0"/>
        <w:ind w:left="2594" w:right="509" w:firstLine="0"/>
        <w:jc w:val="left"/>
        <w:rPr>
          <w:sz w:val="21"/>
        </w:rPr>
      </w:pPr>
      <w:r>
        <w:rPr>
          <w:spacing w:val="-2"/>
          <w:sz w:val="21"/>
        </w:rPr>
        <w:t>自主生活能力完全丧失，无法独立完成六项基本日常生活活动中的三项或三</w:t>
      </w:r>
      <w:r>
        <w:rPr>
          <w:spacing w:val="-4"/>
          <w:sz w:val="21"/>
        </w:rPr>
        <w:t>项以上。</w:t>
      </w:r>
    </w:p>
    <w:p>
      <w:pPr>
        <w:pStyle w:val="Heading3"/>
        <w:numPr>
          <w:ilvl w:val="0"/>
          <w:numId w:val="32"/>
        </w:numPr>
        <w:tabs>
          <w:tab w:pos="3018" w:val="left" w:leader="none"/>
        </w:tabs>
        <w:spacing w:line="240" w:lineRule="auto" w:before="92" w:after="0"/>
        <w:ind w:left="3017" w:right="0" w:hanging="424"/>
        <w:jc w:val="left"/>
      </w:pPr>
      <w:r>
        <w:rPr>
          <w:spacing w:val="-2"/>
        </w:rPr>
        <w:t>语言能力丧失:</w:t>
      </w:r>
    </w:p>
    <w:p>
      <w:pPr>
        <w:pStyle w:val="BodyText"/>
        <w:spacing w:line="266" w:lineRule="auto" w:before="136"/>
        <w:ind w:left="2594" w:right="509"/>
      </w:pPr>
      <w:r>
        <w:rPr>
          <w:spacing w:val="-2"/>
        </w:rPr>
        <w:t>指因疾病或意外伤害导致语言能力完全丧失，经过积极治疗至少 </w:t>
      </w:r>
      <w:r>
        <w:rPr/>
        <w:t>12</w:t>
      </w:r>
      <w:r>
        <w:rPr>
          <w:spacing w:val="-18"/>
        </w:rPr>
        <w:t> 个月</w:t>
      </w:r>
      <w:r>
        <w:rPr/>
        <w:t>（声带完</w:t>
      </w:r>
      <w:r>
        <w:rPr>
          <w:spacing w:val="-2"/>
        </w:rPr>
        <w:t>全切除不受此时间限制</w:t>
      </w:r>
      <w:r>
        <w:rPr>
          <w:spacing w:val="-108"/>
        </w:rPr>
        <w:t>）</w:t>
      </w:r>
      <w:r>
        <w:rPr>
          <w:spacing w:val="-3"/>
        </w:rPr>
        <w:t>，仍无法通过现有医疗手段恢复。</w:t>
      </w:r>
    </w:p>
    <w:p>
      <w:pPr>
        <w:spacing w:line="348" w:lineRule="auto" w:before="159"/>
        <w:ind w:left="2594" w:right="3136" w:firstLine="0"/>
        <w:jc w:val="left"/>
        <w:rPr>
          <w:rFonts w:ascii="微软雅黑" w:eastAsia="微软雅黑"/>
          <w:b/>
          <w:sz w:val="21"/>
        </w:rPr>
      </w:pPr>
      <w:r>
        <w:rPr>
          <w:color w:val="000000"/>
          <w:spacing w:val="-2"/>
          <w:sz w:val="21"/>
          <w:shd w:fill="D9D9D9" w:color="auto" w:val="clear"/>
        </w:rPr>
        <w:t>精神心理因素所致的语言能力丧失不在保障范围内。</w:t>
      </w:r>
      <w:r>
        <w:rPr>
          <w:color w:val="000000"/>
          <w:spacing w:val="-2"/>
          <w:sz w:val="21"/>
        </w:rPr>
        <w:t> </w:t>
      </w:r>
      <w:r>
        <w:rPr>
          <w:rFonts w:ascii="微软雅黑" w:eastAsia="微软雅黑"/>
          <w:b/>
          <w:color w:val="000000"/>
          <w:spacing w:val="-2"/>
          <w:sz w:val="21"/>
        </w:rPr>
        <w:t>24）重型再生障碍性贫血</w:t>
      </w:r>
      <w:r>
        <w:rPr>
          <w:rFonts w:ascii="微软雅黑" w:eastAsia="微软雅黑"/>
          <w:b/>
          <w:color w:val="000000"/>
          <w:spacing w:val="-2"/>
          <w:w w:val="150"/>
          <w:sz w:val="21"/>
        </w:rPr>
        <w:t>:</w:t>
      </w:r>
    </w:p>
    <w:p>
      <w:pPr>
        <w:pStyle w:val="BodyText"/>
        <w:spacing w:line="230" w:lineRule="exact"/>
        <w:ind w:left="2594"/>
      </w:pPr>
      <w:r>
        <w:rPr>
          <w:spacing w:val="-3"/>
        </w:rPr>
        <w:t>指因骨髓造血功能慢性持续性衰竭导致的贫血、中性粒细胞减少及血小板减少。</w:t>
      </w:r>
    </w:p>
    <w:p>
      <w:pPr>
        <w:pStyle w:val="BodyText"/>
        <w:spacing w:before="31"/>
        <w:ind w:left="2594"/>
      </w:pPr>
      <w:r>
        <w:rPr>
          <w:spacing w:val="-3"/>
        </w:rPr>
        <w:t>须满足下列全部条件：</w:t>
      </w:r>
    </w:p>
    <w:p>
      <w:pPr>
        <w:pStyle w:val="BodyText"/>
        <w:spacing w:before="7"/>
        <w:rPr>
          <w:sz w:val="14"/>
        </w:rPr>
      </w:pPr>
    </w:p>
    <w:p>
      <w:pPr>
        <w:pStyle w:val="ListParagraph"/>
        <w:numPr>
          <w:ilvl w:val="0"/>
          <w:numId w:val="34"/>
        </w:numPr>
        <w:tabs>
          <w:tab w:pos="3123" w:val="left" w:leader="none"/>
        </w:tabs>
        <w:spacing w:line="240" w:lineRule="auto" w:before="0" w:after="0"/>
        <w:ind w:left="3123" w:right="0" w:hanging="529"/>
        <w:jc w:val="left"/>
        <w:rPr>
          <w:sz w:val="21"/>
        </w:rPr>
      </w:pPr>
      <w:r>
        <w:rPr>
          <w:spacing w:val="-4"/>
          <w:sz w:val="21"/>
        </w:rPr>
        <w:t>骨髓穿刺检查或骨髓活检结果支持诊断：骨髓细胞增生程度&lt;正常的 </w:t>
      </w:r>
      <w:r>
        <w:rPr>
          <w:spacing w:val="-2"/>
          <w:sz w:val="21"/>
        </w:rPr>
        <w:t>25</w:t>
      </w:r>
      <w:r>
        <w:rPr>
          <w:spacing w:val="-5"/>
          <w:sz w:val="21"/>
        </w:rPr>
        <w:t>%；如</w:t>
      </w:r>
    </w:p>
    <w:p>
      <w:pPr>
        <w:pStyle w:val="BodyText"/>
        <w:spacing w:before="31"/>
        <w:ind w:left="2594"/>
      </w:pPr>
      <w:r>
        <w:rPr>
          <w:spacing w:val="-9"/>
        </w:rPr>
        <w:t>≥正常的 </w:t>
      </w:r>
      <w:r>
        <w:rPr>
          <w:spacing w:val="-2"/>
        </w:rPr>
        <w:t>25%但&lt;50</w:t>
      </w:r>
      <w:r>
        <w:rPr>
          <w:spacing w:val="-3"/>
        </w:rPr>
        <w:t>%，则残存的造血细胞应&lt;</w:t>
      </w:r>
      <w:r>
        <w:rPr>
          <w:spacing w:val="-4"/>
        </w:rPr>
        <w:t>30%；</w:t>
      </w:r>
    </w:p>
    <w:p>
      <w:pPr>
        <w:pStyle w:val="BodyText"/>
        <w:spacing w:before="8"/>
        <w:rPr>
          <w:sz w:val="14"/>
        </w:rPr>
      </w:pPr>
    </w:p>
    <w:p>
      <w:pPr>
        <w:pStyle w:val="ListParagraph"/>
        <w:numPr>
          <w:ilvl w:val="0"/>
          <w:numId w:val="34"/>
        </w:numPr>
        <w:tabs>
          <w:tab w:pos="3123" w:val="left" w:leader="none"/>
        </w:tabs>
        <w:spacing w:line="240" w:lineRule="auto" w:before="0" w:after="0"/>
        <w:ind w:left="3123" w:right="0" w:hanging="529"/>
        <w:jc w:val="left"/>
        <w:rPr>
          <w:sz w:val="21"/>
        </w:rPr>
      </w:pPr>
      <w:r>
        <w:rPr>
          <w:spacing w:val="-3"/>
          <w:sz w:val="21"/>
        </w:rPr>
        <w:t>外周血象须具备以下三项条件中的两项：</w:t>
      </w:r>
    </w:p>
    <w:p>
      <w:pPr>
        <w:pStyle w:val="BodyText"/>
        <w:spacing w:before="177"/>
        <w:ind w:left="2594"/>
      </w:pPr>
      <w:r>
        <w:rPr>
          <w:spacing w:val="-2"/>
        </w:rPr>
        <w:t>①中性粒细胞绝对值&lt;0.5×10</w:t>
      </w:r>
      <w:r>
        <w:rPr>
          <w:spacing w:val="-2"/>
          <w:position w:val="11"/>
          <w:sz w:val="11"/>
        </w:rPr>
        <w:t>9</w:t>
      </w:r>
      <w:r>
        <w:rPr>
          <w:spacing w:val="-2"/>
        </w:rPr>
        <w:t>/L；</w:t>
      </w:r>
    </w:p>
    <w:p>
      <w:pPr>
        <w:pStyle w:val="BodyText"/>
        <w:spacing w:before="177"/>
        <w:ind w:left="2594"/>
      </w:pPr>
      <w:r>
        <w:rPr>
          <w:spacing w:val="-2"/>
        </w:rPr>
        <w:t>②网织红细胞计数&lt;20×10</w:t>
      </w:r>
      <w:r>
        <w:rPr>
          <w:spacing w:val="-2"/>
          <w:position w:val="11"/>
          <w:sz w:val="11"/>
        </w:rPr>
        <w:t>9</w:t>
      </w:r>
      <w:r>
        <w:rPr>
          <w:spacing w:val="-2"/>
        </w:rPr>
        <w:t>/L；</w:t>
      </w:r>
    </w:p>
    <w:p>
      <w:pPr>
        <w:spacing w:line="348" w:lineRule="auto" w:before="177"/>
        <w:ind w:left="2594" w:right="5289" w:firstLine="0"/>
        <w:jc w:val="left"/>
        <w:rPr>
          <w:rFonts w:ascii="微软雅黑" w:hAnsi="微软雅黑" w:eastAsia="微软雅黑"/>
          <w:b/>
          <w:sz w:val="21"/>
        </w:rPr>
      </w:pPr>
      <w:r>
        <w:rPr>
          <w:spacing w:val="-2"/>
          <w:sz w:val="21"/>
        </w:rPr>
        <w:t>③血小板绝对值&lt;20×10</w:t>
      </w:r>
      <w:r>
        <w:rPr>
          <w:spacing w:val="-2"/>
          <w:position w:val="11"/>
          <w:sz w:val="11"/>
        </w:rPr>
        <w:t>9</w:t>
      </w:r>
      <w:r>
        <w:rPr>
          <w:spacing w:val="-2"/>
          <w:sz w:val="21"/>
        </w:rPr>
        <w:t>/L</w:t>
      </w:r>
      <w:r>
        <w:rPr>
          <w:spacing w:val="-2"/>
          <w:sz w:val="21"/>
        </w:rPr>
        <w:t>。 </w:t>
      </w:r>
      <w:r>
        <w:rPr>
          <w:rFonts w:ascii="微软雅黑" w:hAnsi="微软雅黑" w:eastAsia="微软雅黑"/>
          <w:b/>
          <w:spacing w:val="-2"/>
          <w:w w:val="105"/>
          <w:sz w:val="21"/>
        </w:rPr>
        <w:t>25）</w:t>
      </w:r>
      <w:r>
        <w:rPr>
          <w:rFonts w:ascii="微软雅黑" w:hAnsi="微软雅黑" w:eastAsia="微软雅黑"/>
          <w:b/>
          <w:spacing w:val="-2"/>
          <w:w w:val="105"/>
          <w:sz w:val="21"/>
        </w:rPr>
        <w:t>主</w:t>
      </w:r>
      <w:r>
        <w:rPr>
          <w:rFonts w:ascii="微软雅黑" w:hAnsi="微软雅黑" w:eastAsia="微软雅黑"/>
          <w:b/>
          <w:spacing w:val="-2"/>
          <w:w w:val="105"/>
          <w:sz w:val="21"/>
        </w:rPr>
        <w:t>动</w:t>
      </w:r>
      <w:r>
        <w:rPr>
          <w:rFonts w:ascii="微软雅黑" w:hAnsi="微软雅黑" w:eastAsia="微软雅黑"/>
          <w:b/>
          <w:spacing w:val="-2"/>
          <w:w w:val="105"/>
          <w:sz w:val="21"/>
        </w:rPr>
        <w:t>脉</w:t>
      </w:r>
      <w:r>
        <w:rPr>
          <w:rFonts w:ascii="微软雅黑" w:hAnsi="微软雅黑" w:eastAsia="微软雅黑"/>
          <w:b/>
          <w:spacing w:val="-2"/>
          <w:w w:val="105"/>
          <w:sz w:val="21"/>
        </w:rPr>
        <w:t>手</w:t>
      </w:r>
      <w:r>
        <w:rPr>
          <w:rFonts w:ascii="微软雅黑" w:hAnsi="微软雅黑" w:eastAsia="微软雅黑"/>
          <w:b/>
          <w:spacing w:val="-2"/>
          <w:w w:val="105"/>
          <w:sz w:val="21"/>
        </w:rPr>
        <w:t>术</w:t>
      </w:r>
      <w:r>
        <w:rPr>
          <w:rFonts w:ascii="微软雅黑" w:hAnsi="微软雅黑" w:eastAsia="微软雅黑"/>
          <w:b/>
          <w:spacing w:val="-2"/>
          <w:w w:val="145"/>
          <w:sz w:val="21"/>
        </w:rPr>
        <w:t>:</w:t>
      </w:r>
    </w:p>
    <w:p>
      <w:pPr>
        <w:pStyle w:val="BodyText"/>
        <w:spacing w:line="230" w:lineRule="exact"/>
        <w:ind w:left="2594"/>
      </w:pPr>
      <w:r>
        <w:rPr>
          <w:spacing w:val="-2"/>
        </w:rPr>
        <w:t>指为治疗主动脉疾病，已经实施了开胸（含胸腔镜下）或开腹（含腹腔镜下）</w:t>
      </w:r>
      <w:r>
        <w:rPr>
          <w:spacing w:val="-10"/>
        </w:rPr>
        <w:t>进</w:t>
      </w:r>
    </w:p>
    <w:p>
      <w:pPr>
        <w:pStyle w:val="BodyText"/>
        <w:spacing w:line="266" w:lineRule="auto" w:before="31"/>
        <w:ind w:left="2594" w:right="509"/>
      </w:pPr>
      <w:r>
        <w:rPr>
          <w:spacing w:val="-2"/>
        </w:rPr>
        <w:t>行的切除、置换、修补病损主动脉血管、主动脉创伤后修复的手术。主动脉指升</w:t>
      </w:r>
      <w:r>
        <w:rPr>
          <w:spacing w:val="-2"/>
        </w:rPr>
        <w:t>主动脉、主动脉弓和降主动脉（含胸主动脉和腹主动脉</w:t>
      </w:r>
      <w:r>
        <w:rPr>
          <w:spacing w:val="-108"/>
        </w:rPr>
        <w:t>）</w:t>
      </w:r>
      <w:r>
        <w:rPr>
          <w:spacing w:val="-2"/>
        </w:rPr>
        <w:t>，不包括升主动脉、主动</w:t>
      </w:r>
    </w:p>
    <w:p>
      <w:pPr>
        <w:pStyle w:val="BodyText"/>
        <w:spacing w:before="8"/>
        <w:rPr>
          <w:sz w:val="10"/>
        </w:rPr>
      </w:pPr>
      <w:r>
        <w:rPr/>
        <w:drawing>
          <wp:anchor distT="0" distB="0" distL="0" distR="0" allowOverlap="1" layoutInCell="1" locked="0" behindDoc="0" simplePos="0" relativeHeight="24">
            <wp:simplePos x="0" y="0"/>
            <wp:positionH relativeFrom="page">
              <wp:posOffset>685800</wp:posOffset>
            </wp:positionH>
            <wp:positionV relativeFrom="paragraph">
              <wp:posOffset>101900</wp:posOffset>
            </wp:positionV>
            <wp:extent cx="1829511" cy="6095"/>
            <wp:effectExtent l="0" t="0" r="0" b="0"/>
            <wp:wrapTopAndBottom/>
            <wp:docPr id="49" name="image6.png"/>
            <wp:cNvGraphicFramePr>
              <a:graphicFrameLocks noChangeAspect="1"/>
            </wp:cNvGraphicFramePr>
            <a:graphic>
              <a:graphicData uri="http://schemas.openxmlformats.org/drawingml/2006/picture">
                <pic:pic>
                  <pic:nvPicPr>
                    <pic:cNvPr id="50"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line="208" w:lineRule="auto" w:before="67"/>
        <w:ind w:left="220" w:right="0" w:firstLine="0"/>
        <w:jc w:val="left"/>
        <w:rPr>
          <w:sz w:val="18"/>
        </w:rPr>
      </w:pPr>
      <w:r>
        <w:rPr>
          <w:position w:val="9"/>
          <w:sz w:val="9"/>
        </w:rPr>
        <w:t>71</w:t>
      </w:r>
      <w:r>
        <w:rPr>
          <w:rFonts w:ascii="Microsoft JhengHei" w:eastAsia="Microsoft JhengHei"/>
          <w:b/>
          <w:sz w:val="18"/>
        </w:rPr>
        <w:t>美国纽约心脏病学会（New</w:t>
      </w:r>
      <w:r>
        <w:rPr>
          <w:rFonts w:ascii="Microsoft JhengHei" w:eastAsia="Microsoft JhengHei"/>
          <w:b/>
          <w:spacing w:val="31"/>
          <w:sz w:val="18"/>
        </w:rPr>
        <w:t> </w:t>
      </w:r>
      <w:r>
        <w:rPr>
          <w:rFonts w:ascii="Microsoft JhengHei" w:eastAsia="Microsoft JhengHei"/>
          <w:b/>
          <w:sz w:val="18"/>
        </w:rPr>
        <w:t>York</w:t>
      </w:r>
      <w:r>
        <w:rPr>
          <w:rFonts w:ascii="Microsoft JhengHei" w:eastAsia="Microsoft JhengHei"/>
          <w:b/>
          <w:spacing w:val="31"/>
          <w:sz w:val="18"/>
        </w:rPr>
        <w:t> </w:t>
      </w:r>
      <w:r>
        <w:rPr>
          <w:rFonts w:ascii="Microsoft JhengHei" w:eastAsia="Microsoft JhengHei"/>
          <w:b/>
          <w:w w:val="64"/>
          <w:sz w:val="18"/>
        </w:rPr>
        <w:t>H</w:t>
      </w:r>
      <w:r>
        <w:rPr>
          <w:rFonts w:ascii="Microsoft JhengHei" w:eastAsia="Microsoft JhengHei"/>
          <w:b/>
          <w:w w:val="88"/>
          <w:sz w:val="18"/>
        </w:rPr>
        <w:t>e</w:t>
      </w:r>
      <w:r>
        <w:rPr>
          <w:rFonts w:ascii="Microsoft JhengHei" w:eastAsia="Microsoft JhengHei"/>
          <w:b/>
          <w:w w:val="90"/>
          <w:sz w:val="18"/>
        </w:rPr>
        <w:t>a</w:t>
      </w:r>
      <w:r>
        <w:rPr>
          <w:rFonts w:ascii="Microsoft JhengHei" w:eastAsia="Microsoft JhengHei"/>
          <w:b/>
          <w:w w:val="127"/>
          <w:sz w:val="18"/>
        </w:rPr>
        <w:t>r</w:t>
      </w:r>
      <w:r>
        <w:rPr>
          <w:rFonts w:ascii="Microsoft JhengHei" w:eastAsia="Microsoft JhengHei"/>
          <w:b/>
          <w:spacing w:val="-1"/>
          <w:w w:val="130"/>
          <w:sz w:val="18"/>
        </w:rPr>
        <w:t>t</w:t>
      </w:r>
      <w:r>
        <w:rPr>
          <w:rFonts w:ascii="Microsoft JhengHei" w:eastAsia="Microsoft JhengHei"/>
          <w:b/>
          <w:spacing w:val="29"/>
          <w:sz w:val="18"/>
        </w:rPr>
        <w:t> </w:t>
      </w:r>
      <w:r>
        <w:rPr>
          <w:rFonts w:ascii="Microsoft JhengHei" w:eastAsia="Microsoft JhengHei"/>
          <w:b/>
          <w:w w:val="65"/>
          <w:sz w:val="18"/>
        </w:rPr>
        <w:t>A</w:t>
      </w:r>
      <w:r>
        <w:rPr>
          <w:rFonts w:ascii="Microsoft JhengHei" w:eastAsia="Microsoft JhengHei"/>
          <w:b/>
          <w:w w:val="101"/>
          <w:sz w:val="18"/>
        </w:rPr>
        <w:t>ss</w:t>
      </w:r>
      <w:r>
        <w:rPr>
          <w:rFonts w:ascii="Microsoft JhengHei" w:eastAsia="Microsoft JhengHei"/>
          <w:b/>
          <w:spacing w:val="-3"/>
          <w:w w:val="73"/>
          <w:sz w:val="18"/>
        </w:rPr>
        <w:t>o</w:t>
      </w:r>
      <w:r>
        <w:rPr>
          <w:rFonts w:ascii="Microsoft JhengHei" w:eastAsia="Microsoft JhengHei"/>
          <w:b/>
          <w:w w:val="94"/>
          <w:sz w:val="18"/>
        </w:rPr>
        <w:t>c</w:t>
      </w:r>
      <w:r>
        <w:rPr>
          <w:rFonts w:ascii="Microsoft JhengHei" w:eastAsia="Microsoft JhengHei"/>
          <w:b/>
          <w:w w:val="177"/>
          <w:sz w:val="18"/>
        </w:rPr>
        <w:t>i</w:t>
      </w:r>
      <w:r>
        <w:rPr>
          <w:rFonts w:ascii="Microsoft JhengHei" w:eastAsia="Microsoft JhengHei"/>
          <w:b/>
          <w:w w:val="85"/>
          <w:sz w:val="18"/>
        </w:rPr>
        <w:t>a</w:t>
      </w:r>
      <w:r>
        <w:rPr>
          <w:rFonts w:ascii="Microsoft JhengHei" w:eastAsia="Microsoft JhengHei"/>
          <w:b/>
          <w:w w:val="125"/>
          <w:sz w:val="18"/>
        </w:rPr>
        <w:t>t</w:t>
      </w:r>
      <w:r>
        <w:rPr>
          <w:rFonts w:ascii="Microsoft JhengHei" w:eastAsia="Microsoft JhengHei"/>
          <w:b/>
          <w:spacing w:val="-3"/>
          <w:w w:val="177"/>
          <w:sz w:val="18"/>
        </w:rPr>
        <w:t>i</w:t>
      </w:r>
      <w:r>
        <w:rPr>
          <w:rFonts w:ascii="Microsoft JhengHei" w:eastAsia="Microsoft JhengHei"/>
          <w:b/>
          <w:w w:val="73"/>
          <w:sz w:val="18"/>
        </w:rPr>
        <w:t>o</w:t>
      </w:r>
      <w:r>
        <w:rPr>
          <w:rFonts w:ascii="Microsoft JhengHei" w:eastAsia="Microsoft JhengHei"/>
          <w:b/>
          <w:w w:val="75"/>
          <w:sz w:val="18"/>
        </w:rPr>
        <w:t>n</w:t>
      </w:r>
      <w:r>
        <w:rPr>
          <w:rFonts w:ascii="Microsoft JhengHei" w:eastAsia="Microsoft JhengHei"/>
          <w:b/>
          <w:w w:val="192"/>
          <w:sz w:val="18"/>
        </w:rPr>
        <w:t>,</w:t>
      </w:r>
      <w:r>
        <w:rPr>
          <w:rFonts w:ascii="Microsoft JhengHei" w:eastAsia="Microsoft JhengHei"/>
          <w:b/>
          <w:w w:val="56"/>
          <w:sz w:val="18"/>
        </w:rPr>
        <w:t>N</w:t>
      </w:r>
      <w:r>
        <w:rPr>
          <w:rFonts w:ascii="Microsoft JhengHei" w:eastAsia="Microsoft JhengHei"/>
          <w:b/>
          <w:spacing w:val="-3"/>
          <w:w w:val="77"/>
          <w:sz w:val="18"/>
        </w:rPr>
        <w:t>Y</w:t>
      </w:r>
      <w:r>
        <w:rPr>
          <w:rFonts w:ascii="Microsoft JhengHei" w:eastAsia="Microsoft JhengHei"/>
          <w:b/>
          <w:w w:val="59"/>
          <w:sz w:val="18"/>
        </w:rPr>
        <w:t>H</w:t>
      </w:r>
      <w:r>
        <w:rPr>
          <w:rFonts w:ascii="Microsoft JhengHei" w:eastAsia="Microsoft JhengHei"/>
          <w:b/>
          <w:spacing w:val="1"/>
          <w:w w:val="65"/>
          <w:sz w:val="18"/>
        </w:rPr>
        <w:t>A</w:t>
      </w:r>
      <w:r>
        <w:rPr>
          <w:rFonts w:ascii="Microsoft JhengHei" w:eastAsia="Microsoft JhengHei"/>
          <w:b/>
          <w:spacing w:val="-1"/>
          <w:w w:val="96"/>
          <w:sz w:val="18"/>
        </w:rPr>
        <w:t>）</w:t>
      </w:r>
      <w:r>
        <w:rPr>
          <w:rFonts w:ascii="Microsoft JhengHei" w:eastAsia="Microsoft JhengHei"/>
          <w:b/>
          <w:sz w:val="18"/>
        </w:rPr>
        <w:t>心功能状态分级</w:t>
      </w:r>
      <w:r>
        <w:rPr>
          <w:sz w:val="18"/>
        </w:rPr>
        <w:t>：美国纽约心脏病学会（New</w:t>
      </w:r>
      <w:r>
        <w:rPr>
          <w:spacing w:val="-15"/>
          <w:sz w:val="18"/>
        </w:rPr>
        <w:t> </w:t>
      </w:r>
      <w:r>
        <w:rPr>
          <w:sz w:val="18"/>
        </w:rPr>
        <w:t>York</w:t>
      </w:r>
      <w:r>
        <w:rPr>
          <w:spacing w:val="-16"/>
          <w:sz w:val="18"/>
        </w:rPr>
        <w:t> </w:t>
      </w:r>
      <w:r>
        <w:rPr>
          <w:sz w:val="18"/>
        </w:rPr>
        <w:t>Heart </w:t>
      </w:r>
      <w:r>
        <w:rPr>
          <w:spacing w:val="-2"/>
          <w:sz w:val="18"/>
        </w:rPr>
        <w:t>Association,NYHA）将心功能状态分为四级：</w:t>
      </w:r>
    </w:p>
    <w:p>
      <w:pPr>
        <w:pStyle w:val="ListParagraph"/>
        <w:numPr>
          <w:ilvl w:val="0"/>
          <w:numId w:val="35"/>
        </w:numPr>
        <w:tabs>
          <w:tab w:pos="355" w:val="left" w:leader="none"/>
        </w:tabs>
        <w:spacing w:line="240" w:lineRule="auto" w:before="8" w:after="0"/>
        <w:ind w:left="354" w:right="0" w:hanging="135"/>
        <w:jc w:val="left"/>
        <w:rPr>
          <w:sz w:val="18"/>
        </w:rPr>
      </w:pPr>
      <w:r>
        <w:rPr>
          <w:spacing w:val="-1"/>
          <w:sz w:val="18"/>
        </w:rPr>
        <w:t>级：心脏病病人日常活动量不受限制，一般活动不引起法力、呼吸困难等心衰症状。</w:t>
      </w:r>
    </w:p>
    <w:p>
      <w:pPr>
        <w:pStyle w:val="ListParagraph"/>
        <w:numPr>
          <w:ilvl w:val="0"/>
          <w:numId w:val="35"/>
        </w:numPr>
        <w:tabs>
          <w:tab w:pos="447" w:val="left" w:leader="none"/>
        </w:tabs>
        <w:spacing w:line="242" w:lineRule="auto" w:before="2" w:after="0"/>
        <w:ind w:left="220" w:right="3097" w:firstLine="0"/>
        <w:jc w:val="left"/>
        <w:rPr>
          <w:sz w:val="18"/>
        </w:rPr>
      </w:pPr>
      <w:r>
        <w:rPr>
          <w:spacing w:val="-2"/>
          <w:sz w:val="18"/>
        </w:rPr>
        <w:t>级：心脏病病人体力活动轻度受限制，休息时无自觉症状，一般活动下可出现心衰症状。</w:t>
      </w:r>
      <w:r>
        <w:rPr>
          <w:spacing w:val="-2"/>
          <w:sz w:val="18"/>
        </w:rPr>
        <w:t> </w:t>
      </w:r>
      <w:r>
        <w:rPr>
          <w:sz w:val="18"/>
        </w:rPr>
        <w:t>III</w:t>
      </w:r>
      <w:r>
        <w:rPr>
          <w:spacing w:val="-7"/>
          <w:sz w:val="18"/>
        </w:rPr>
        <w:t> 级：心脏病病人体力活动明显受限，低于平时一般活动即引起心衰症状。</w:t>
      </w:r>
    </w:p>
    <w:p>
      <w:pPr>
        <w:spacing w:before="2"/>
        <w:ind w:left="220" w:right="0" w:firstLine="0"/>
        <w:jc w:val="left"/>
        <w:rPr>
          <w:sz w:val="18"/>
        </w:rPr>
      </w:pPr>
      <w:r>
        <w:rPr>
          <w:sz w:val="18"/>
        </w:rPr>
        <w:t>IV</w:t>
      </w:r>
      <w:r>
        <w:rPr>
          <w:spacing w:val="-8"/>
          <w:sz w:val="18"/>
        </w:rPr>
        <w:t> 级：心脏病病人不能从事任何体力活动，休息状态下也存在心衰症状，活动后加重。</w:t>
      </w:r>
    </w:p>
    <w:p>
      <w:pPr>
        <w:spacing w:after="0"/>
        <w:jc w:val="left"/>
        <w:rPr>
          <w:sz w:val="18"/>
        </w:rPr>
        <w:sectPr>
          <w:pgSz w:w="11910" w:h="16840"/>
          <w:pgMar w:header="0" w:footer="967" w:top="1400" w:bottom="1240" w:left="860" w:right="480"/>
        </w:sectPr>
      </w:pPr>
    </w:p>
    <w:p>
      <w:pPr>
        <w:pStyle w:val="BodyText"/>
        <w:spacing w:before="51"/>
        <w:ind w:left="2594"/>
      </w:pPr>
      <w:r>
        <w:rPr>
          <w:spacing w:val="-3"/>
        </w:rPr>
        <w:t>脉弓和降主动脉的分支血管。</w:t>
      </w:r>
    </w:p>
    <w:p>
      <w:pPr>
        <w:pStyle w:val="BodyText"/>
        <w:spacing w:before="1"/>
        <w:rPr>
          <w:sz w:val="9"/>
        </w:rPr>
      </w:pPr>
    </w:p>
    <w:p>
      <w:pPr>
        <w:spacing w:line="348" w:lineRule="auto" w:before="71"/>
        <w:ind w:left="2594" w:right="2504" w:firstLine="0"/>
        <w:jc w:val="left"/>
        <w:rPr>
          <w:rFonts w:ascii="微软雅黑" w:eastAsia="微软雅黑"/>
          <w:b/>
          <w:sz w:val="21"/>
        </w:rPr>
      </w:pPr>
      <w:r>
        <w:rPr>
          <w:color w:val="000000"/>
          <w:spacing w:val="-2"/>
          <w:sz w:val="21"/>
          <w:shd w:fill="D9D9D9" w:color="auto" w:val="clear"/>
        </w:rPr>
        <w:t>所有未实施开胸或开腹的动脉内介入治疗不在保障范围内。</w:t>
      </w:r>
      <w:r>
        <w:rPr>
          <w:color w:val="000000"/>
          <w:spacing w:val="-2"/>
          <w:sz w:val="21"/>
        </w:rPr>
        <w:t> </w:t>
      </w:r>
      <w:r>
        <w:rPr>
          <w:rFonts w:ascii="微软雅黑" w:eastAsia="微软雅黑"/>
          <w:b/>
          <w:color w:val="000000"/>
          <w:spacing w:val="-2"/>
          <w:sz w:val="21"/>
        </w:rPr>
        <w:t>26）严重慢性呼吸衰竭</w:t>
      </w:r>
      <w:r>
        <w:rPr>
          <w:rFonts w:ascii="微软雅黑" w:eastAsia="微软雅黑"/>
          <w:b/>
          <w:color w:val="000000"/>
          <w:spacing w:val="-2"/>
          <w:w w:val="150"/>
          <w:sz w:val="21"/>
        </w:rPr>
        <w:t>:</w:t>
      </w:r>
    </w:p>
    <w:p>
      <w:pPr>
        <w:pStyle w:val="BodyText"/>
        <w:spacing w:line="230" w:lineRule="exact"/>
        <w:ind w:left="2594"/>
      </w:pPr>
      <w:r>
        <w:rPr>
          <w:spacing w:val="-4"/>
        </w:rPr>
        <w:t>指因慢性呼吸系统疾病导致永久不可逆性的呼吸衰竭，经过积极治疗 </w:t>
      </w:r>
      <w:r>
        <w:rPr>
          <w:spacing w:val="-2"/>
        </w:rPr>
        <w:t>180</w:t>
      </w:r>
      <w:r>
        <w:rPr>
          <w:spacing w:val="-14"/>
        </w:rPr>
        <w:t> 天后满</w:t>
      </w:r>
    </w:p>
    <w:p>
      <w:pPr>
        <w:pStyle w:val="BodyText"/>
        <w:spacing w:before="31"/>
        <w:ind w:left="2594"/>
      </w:pPr>
      <w:r>
        <w:rPr>
          <w:spacing w:val="-4"/>
        </w:rPr>
        <w:t>足以下所有条件：</w:t>
      </w:r>
    </w:p>
    <w:p>
      <w:pPr>
        <w:pStyle w:val="BodyText"/>
        <w:spacing w:before="8"/>
        <w:rPr>
          <w:sz w:val="14"/>
        </w:rPr>
      </w:pPr>
    </w:p>
    <w:p>
      <w:pPr>
        <w:pStyle w:val="ListParagraph"/>
        <w:numPr>
          <w:ilvl w:val="0"/>
          <w:numId w:val="36"/>
        </w:numPr>
        <w:tabs>
          <w:tab w:pos="3123" w:val="left" w:leader="none"/>
        </w:tabs>
        <w:spacing w:line="240" w:lineRule="auto" w:before="0" w:after="0"/>
        <w:ind w:left="3123" w:right="0" w:hanging="529"/>
        <w:jc w:val="left"/>
        <w:rPr>
          <w:sz w:val="21"/>
        </w:rPr>
      </w:pPr>
      <w:r>
        <w:rPr>
          <w:spacing w:val="-3"/>
          <w:sz w:val="21"/>
        </w:rPr>
        <w:t>静息时出现呼吸困难；</w:t>
      </w:r>
    </w:p>
    <w:p>
      <w:pPr>
        <w:pStyle w:val="BodyText"/>
        <w:spacing w:before="7"/>
        <w:rPr>
          <w:sz w:val="14"/>
        </w:rPr>
      </w:pPr>
    </w:p>
    <w:p>
      <w:pPr>
        <w:pStyle w:val="ListParagraph"/>
        <w:numPr>
          <w:ilvl w:val="0"/>
          <w:numId w:val="36"/>
        </w:numPr>
        <w:tabs>
          <w:tab w:pos="3123" w:val="left" w:leader="none"/>
        </w:tabs>
        <w:spacing w:line="240" w:lineRule="auto" w:before="0" w:after="0"/>
        <w:ind w:left="3123" w:right="0" w:hanging="529"/>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BodyText"/>
        <w:spacing w:before="7"/>
        <w:rPr>
          <w:sz w:val="14"/>
        </w:rPr>
      </w:pPr>
    </w:p>
    <w:p>
      <w:pPr>
        <w:pStyle w:val="ListParagraph"/>
        <w:numPr>
          <w:ilvl w:val="0"/>
          <w:numId w:val="36"/>
        </w:numPr>
        <w:tabs>
          <w:tab w:pos="3123" w:val="left" w:leader="none"/>
        </w:tabs>
        <w:spacing w:line="348" w:lineRule="auto" w:before="1" w:after="0"/>
        <w:ind w:left="2594" w:right="1400" w:firstLine="0"/>
        <w:jc w:val="left"/>
        <w:rPr>
          <w:rFonts w:ascii="微软雅黑" w:eastAsia="微软雅黑"/>
          <w:b/>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2"/>
          <w:position w:val="1"/>
          <w:sz w:val="21"/>
        </w:rPr>
        <w:t> </w:t>
      </w:r>
      <w:r>
        <w:rPr>
          <w:rFonts w:ascii="微软雅黑" w:eastAsia="微软雅黑"/>
          <w:b/>
          <w:spacing w:val="-2"/>
          <w:sz w:val="21"/>
        </w:rPr>
        <w:t>27）严重克罗恩病</w:t>
      </w:r>
      <w:r>
        <w:rPr>
          <w:rFonts w:ascii="微软雅黑" w:eastAsia="微软雅黑"/>
          <w:b/>
          <w:spacing w:val="-2"/>
          <w:w w:val="145"/>
          <w:sz w:val="21"/>
        </w:rPr>
        <w:t>:</w:t>
      </w:r>
    </w:p>
    <w:p>
      <w:pPr>
        <w:pStyle w:val="BodyText"/>
        <w:spacing w:line="231" w:lineRule="exact"/>
        <w:ind w:left="2594"/>
      </w:pPr>
      <w:r>
        <w:rPr>
          <w:spacing w:val="-2"/>
        </w:rPr>
        <w:t>指一种慢性肉芽肿性肠炎，具有特征性的克罗恩病（Crohn</w:t>
      </w:r>
      <w:r>
        <w:rPr>
          <w:spacing w:val="-13"/>
        </w:rPr>
        <w:t> 病</w:t>
      </w:r>
      <w:r>
        <w:rPr>
          <w:spacing w:val="-2"/>
        </w:rPr>
        <w:t>）</w:t>
      </w:r>
      <w:r>
        <w:rPr>
          <w:spacing w:val="-4"/>
        </w:rPr>
        <w:t>病理组织学变化，</w:t>
      </w:r>
    </w:p>
    <w:p>
      <w:pPr>
        <w:spacing w:line="348" w:lineRule="auto" w:before="30"/>
        <w:ind w:left="2594" w:right="1033" w:firstLine="0"/>
        <w:jc w:val="left"/>
        <w:rPr>
          <w:rFonts w:ascii="微软雅黑" w:eastAsia="微软雅黑"/>
          <w:b/>
          <w:sz w:val="21"/>
        </w:rPr>
      </w:pPr>
      <w:r>
        <w:rPr>
          <w:spacing w:val="-2"/>
          <w:sz w:val="21"/>
        </w:rPr>
        <w:t>须根据组织病理学特点诊断，且已经造成瘘管形成并伴有肠梗阻或肠穿孔。</w:t>
      </w:r>
      <w:r>
        <w:rPr>
          <w:spacing w:val="-2"/>
          <w:sz w:val="21"/>
        </w:rPr>
        <w:t> </w:t>
      </w:r>
      <w:r>
        <w:rPr>
          <w:rFonts w:ascii="微软雅黑" w:eastAsia="微软雅黑"/>
          <w:b/>
          <w:spacing w:val="-2"/>
          <w:sz w:val="21"/>
        </w:rPr>
        <w:t>28）严重溃疡性结肠炎</w:t>
      </w:r>
      <w:r>
        <w:rPr>
          <w:rFonts w:ascii="微软雅黑" w:eastAsia="微软雅黑"/>
          <w:b/>
          <w:spacing w:val="-2"/>
          <w:w w:val="150"/>
          <w:sz w:val="21"/>
        </w:rPr>
        <w:t>:</w:t>
      </w:r>
    </w:p>
    <w:p>
      <w:pPr>
        <w:pStyle w:val="BodyText"/>
        <w:spacing w:line="230" w:lineRule="exact"/>
        <w:ind w:left="2594"/>
      </w:pPr>
      <w:r>
        <w:rPr>
          <w:spacing w:val="-3"/>
        </w:rPr>
        <w:t>指伴有致命性电解质紊乱的急性暴发性溃疡性结肠炎，病变已经累及全结肠，表</w:t>
      </w:r>
    </w:p>
    <w:p>
      <w:pPr>
        <w:pStyle w:val="BodyText"/>
        <w:spacing w:line="266" w:lineRule="auto" w:before="31"/>
        <w:ind w:left="2594" w:right="613"/>
      </w:pPr>
      <w:r>
        <w:rPr>
          <w:spacing w:val="-2"/>
        </w:rPr>
        <w:t>现为严重的血便和系统性症状体征，须根据组织病理学特点诊断，且已经实施了</w:t>
      </w:r>
      <w:r>
        <w:rPr>
          <w:spacing w:val="-2"/>
        </w:rPr>
        <w:t>结肠切除或回肠造瘘术。</w:t>
      </w:r>
    </w:p>
    <w:p>
      <w:pPr>
        <w:pStyle w:val="BodyText"/>
        <w:rPr>
          <w:sz w:val="20"/>
        </w:rPr>
      </w:pPr>
    </w:p>
    <w:p>
      <w:pPr>
        <w:pStyle w:val="BodyText"/>
        <w:rPr>
          <w:sz w:val="20"/>
        </w:rPr>
      </w:pPr>
    </w:p>
    <w:p>
      <w:pPr>
        <w:pStyle w:val="BodyText"/>
        <w:rPr>
          <w:sz w:val="20"/>
        </w:rPr>
      </w:pPr>
    </w:p>
    <w:p>
      <w:pPr>
        <w:pStyle w:val="BodyText"/>
        <w:spacing w:before="7"/>
        <w:rPr>
          <w:sz w:val="24"/>
        </w:rPr>
      </w:pPr>
    </w:p>
    <w:p>
      <w:pPr>
        <w:spacing w:before="0"/>
        <w:ind w:left="0" w:right="852" w:firstLine="0"/>
        <w:jc w:val="right"/>
        <w:rPr>
          <w:rFonts w:ascii="微软雅黑" w:eastAsia="微软雅黑"/>
          <w:b/>
          <w:sz w:val="21"/>
        </w:rPr>
      </w:pPr>
      <w:r>
        <w:rPr>
          <w:rFonts w:ascii="微软雅黑" w:eastAsia="微软雅黑"/>
          <w:b/>
          <w:sz w:val="21"/>
        </w:rPr>
        <w:t>[</w:t>
      </w:r>
      <w:r>
        <w:rPr>
          <w:rFonts w:ascii="微软雅黑" w:eastAsia="微软雅黑"/>
          <w:b/>
          <w:spacing w:val="-2"/>
          <w:sz w:val="21"/>
        </w:rPr>
        <w:t>本页内容结束]</w:t>
      </w:r>
    </w:p>
    <w:sectPr>
      <w:pgSz w:w="11910" w:h="16840"/>
      <w:pgMar w:header="0" w:footer="967" w:top="1400" w:bottom="1240" w:left="860" w:right="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Microsoft JhengHei">
    <w:altName w:val="Microsoft JhengHei"/>
    <w:charset w:val="0"/>
    <w:family w:val="swiss"/>
    <w:pitch w:val="variable"/>
  </w:font>
  <w:font w:name="微软雅黑">
    <w:altName w:val="微软雅黑"/>
    <w:charset w:val="86"/>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15"/>
      </w:rPr>
    </w:pPr>
    <w:r>
      <w:rPr/>
      <w:pict>
        <v:shapetype id="_x0000_t202" o:spt="202" coordsize="21600,21600" path="m,l,21600r21600,l21600,xe">
          <v:stroke joinstyle="miter"/>
          <v:path gradientshapeok="t" o:connecttype="rect"/>
        </v:shapetype>
        <v:shape style="position:absolute;margin-left:529.419983pt;margin-top:778.515991pt;width:16.1500pt;height:12pt;mso-position-horizontal-relative:page;mso-position-vertical-relative:page;z-index:-16253440"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5">
    <w:multiLevelType w:val="hybridMultilevel"/>
    <w:lvl w:ilvl="0">
      <w:start w:val="1"/>
      <w:numFmt w:val="decimal"/>
      <w:lvlText w:val="（%1）"/>
      <w:lvlJc w:val="left"/>
      <w:pPr>
        <w:ind w:left="312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864" w:hanging="529"/>
      </w:pPr>
      <w:rPr>
        <w:rFonts w:hint="default"/>
        <w:lang w:val="en-US" w:eastAsia="zh-CN" w:bidi="ar-SA"/>
      </w:rPr>
    </w:lvl>
    <w:lvl w:ilvl="2">
      <w:start w:val="0"/>
      <w:numFmt w:val="bullet"/>
      <w:lvlText w:val="•"/>
      <w:lvlJc w:val="left"/>
      <w:pPr>
        <w:ind w:left="4609" w:hanging="529"/>
      </w:pPr>
      <w:rPr>
        <w:rFonts w:hint="default"/>
        <w:lang w:val="en-US" w:eastAsia="zh-CN" w:bidi="ar-SA"/>
      </w:rPr>
    </w:lvl>
    <w:lvl w:ilvl="3">
      <w:start w:val="0"/>
      <w:numFmt w:val="bullet"/>
      <w:lvlText w:val="•"/>
      <w:lvlJc w:val="left"/>
      <w:pPr>
        <w:ind w:left="5353" w:hanging="529"/>
      </w:pPr>
      <w:rPr>
        <w:rFonts w:hint="default"/>
        <w:lang w:val="en-US" w:eastAsia="zh-CN" w:bidi="ar-SA"/>
      </w:rPr>
    </w:lvl>
    <w:lvl w:ilvl="4">
      <w:start w:val="0"/>
      <w:numFmt w:val="bullet"/>
      <w:lvlText w:val="•"/>
      <w:lvlJc w:val="left"/>
      <w:pPr>
        <w:ind w:left="6098" w:hanging="529"/>
      </w:pPr>
      <w:rPr>
        <w:rFonts w:hint="default"/>
        <w:lang w:val="en-US" w:eastAsia="zh-CN" w:bidi="ar-SA"/>
      </w:rPr>
    </w:lvl>
    <w:lvl w:ilvl="5">
      <w:start w:val="0"/>
      <w:numFmt w:val="bullet"/>
      <w:lvlText w:val="•"/>
      <w:lvlJc w:val="left"/>
      <w:pPr>
        <w:ind w:left="6843" w:hanging="529"/>
      </w:pPr>
      <w:rPr>
        <w:rFonts w:hint="default"/>
        <w:lang w:val="en-US" w:eastAsia="zh-CN" w:bidi="ar-SA"/>
      </w:rPr>
    </w:lvl>
    <w:lvl w:ilvl="6">
      <w:start w:val="0"/>
      <w:numFmt w:val="bullet"/>
      <w:lvlText w:val="•"/>
      <w:lvlJc w:val="left"/>
      <w:pPr>
        <w:ind w:left="7587" w:hanging="529"/>
      </w:pPr>
      <w:rPr>
        <w:rFonts w:hint="default"/>
        <w:lang w:val="en-US" w:eastAsia="zh-CN" w:bidi="ar-SA"/>
      </w:rPr>
    </w:lvl>
    <w:lvl w:ilvl="7">
      <w:start w:val="0"/>
      <w:numFmt w:val="bullet"/>
      <w:lvlText w:val="•"/>
      <w:lvlJc w:val="left"/>
      <w:pPr>
        <w:ind w:left="8332" w:hanging="529"/>
      </w:pPr>
      <w:rPr>
        <w:rFonts w:hint="default"/>
        <w:lang w:val="en-US" w:eastAsia="zh-CN" w:bidi="ar-SA"/>
      </w:rPr>
    </w:lvl>
    <w:lvl w:ilvl="8">
      <w:start w:val="0"/>
      <w:numFmt w:val="bullet"/>
      <w:lvlText w:val="•"/>
      <w:lvlJc w:val="left"/>
      <w:pPr>
        <w:ind w:left="9077" w:hanging="529"/>
      </w:pPr>
      <w:rPr>
        <w:rFonts w:hint="default"/>
        <w:lang w:val="en-US" w:eastAsia="zh-CN" w:bidi="ar-SA"/>
      </w:rPr>
    </w:lvl>
  </w:abstractNum>
  <w:abstractNum w:abstractNumId="34">
    <w:multiLevelType w:val="hybridMultilevel"/>
    <w:lvl w:ilvl="0">
      <w:start w:val="1"/>
      <w:numFmt w:val="upperRoman"/>
      <w:lvlText w:val="%1"/>
      <w:lvlJc w:val="left"/>
      <w:pPr>
        <w:ind w:left="354" w:hanging="135"/>
        <w:jc w:val="left"/>
      </w:pPr>
      <w:rPr>
        <w:rFonts w:hint="default" w:ascii="宋体" w:hAnsi="宋体" w:eastAsia="宋体" w:cs="宋体"/>
        <w:b w:val="0"/>
        <w:bCs w:val="0"/>
        <w:i w:val="0"/>
        <w:iCs w:val="0"/>
        <w:w w:val="100"/>
        <w:sz w:val="18"/>
        <w:szCs w:val="18"/>
        <w:lang w:val="en-US" w:eastAsia="zh-CN" w:bidi="ar-SA"/>
      </w:rPr>
    </w:lvl>
    <w:lvl w:ilvl="1">
      <w:start w:val="0"/>
      <w:numFmt w:val="bullet"/>
      <w:lvlText w:val="•"/>
      <w:lvlJc w:val="left"/>
      <w:pPr>
        <w:ind w:left="1380" w:hanging="135"/>
      </w:pPr>
      <w:rPr>
        <w:rFonts w:hint="default"/>
        <w:lang w:val="en-US" w:eastAsia="zh-CN" w:bidi="ar-SA"/>
      </w:rPr>
    </w:lvl>
    <w:lvl w:ilvl="2">
      <w:start w:val="0"/>
      <w:numFmt w:val="bullet"/>
      <w:lvlText w:val="•"/>
      <w:lvlJc w:val="left"/>
      <w:pPr>
        <w:ind w:left="2401" w:hanging="135"/>
      </w:pPr>
      <w:rPr>
        <w:rFonts w:hint="default"/>
        <w:lang w:val="en-US" w:eastAsia="zh-CN" w:bidi="ar-SA"/>
      </w:rPr>
    </w:lvl>
    <w:lvl w:ilvl="3">
      <w:start w:val="0"/>
      <w:numFmt w:val="bullet"/>
      <w:lvlText w:val="•"/>
      <w:lvlJc w:val="left"/>
      <w:pPr>
        <w:ind w:left="3421" w:hanging="135"/>
      </w:pPr>
      <w:rPr>
        <w:rFonts w:hint="default"/>
        <w:lang w:val="en-US" w:eastAsia="zh-CN" w:bidi="ar-SA"/>
      </w:rPr>
    </w:lvl>
    <w:lvl w:ilvl="4">
      <w:start w:val="0"/>
      <w:numFmt w:val="bullet"/>
      <w:lvlText w:val="•"/>
      <w:lvlJc w:val="left"/>
      <w:pPr>
        <w:ind w:left="4442" w:hanging="135"/>
      </w:pPr>
      <w:rPr>
        <w:rFonts w:hint="default"/>
        <w:lang w:val="en-US" w:eastAsia="zh-CN" w:bidi="ar-SA"/>
      </w:rPr>
    </w:lvl>
    <w:lvl w:ilvl="5">
      <w:start w:val="0"/>
      <w:numFmt w:val="bullet"/>
      <w:lvlText w:val="•"/>
      <w:lvlJc w:val="left"/>
      <w:pPr>
        <w:ind w:left="5463" w:hanging="135"/>
      </w:pPr>
      <w:rPr>
        <w:rFonts w:hint="default"/>
        <w:lang w:val="en-US" w:eastAsia="zh-CN" w:bidi="ar-SA"/>
      </w:rPr>
    </w:lvl>
    <w:lvl w:ilvl="6">
      <w:start w:val="0"/>
      <w:numFmt w:val="bullet"/>
      <w:lvlText w:val="•"/>
      <w:lvlJc w:val="left"/>
      <w:pPr>
        <w:ind w:left="6483" w:hanging="135"/>
      </w:pPr>
      <w:rPr>
        <w:rFonts w:hint="default"/>
        <w:lang w:val="en-US" w:eastAsia="zh-CN" w:bidi="ar-SA"/>
      </w:rPr>
    </w:lvl>
    <w:lvl w:ilvl="7">
      <w:start w:val="0"/>
      <w:numFmt w:val="bullet"/>
      <w:lvlText w:val="•"/>
      <w:lvlJc w:val="left"/>
      <w:pPr>
        <w:ind w:left="7504" w:hanging="135"/>
      </w:pPr>
      <w:rPr>
        <w:rFonts w:hint="default"/>
        <w:lang w:val="en-US" w:eastAsia="zh-CN" w:bidi="ar-SA"/>
      </w:rPr>
    </w:lvl>
    <w:lvl w:ilvl="8">
      <w:start w:val="0"/>
      <w:numFmt w:val="bullet"/>
      <w:lvlText w:val="•"/>
      <w:lvlJc w:val="left"/>
      <w:pPr>
        <w:ind w:left="8525" w:hanging="135"/>
      </w:pPr>
      <w:rPr>
        <w:rFonts w:hint="default"/>
        <w:lang w:val="en-US" w:eastAsia="zh-CN" w:bidi="ar-SA"/>
      </w:rPr>
    </w:lvl>
  </w:abstractNum>
  <w:abstractNum w:abstractNumId="33">
    <w:multiLevelType w:val="hybridMultilevel"/>
    <w:lvl w:ilvl="0">
      <w:start w:val="1"/>
      <w:numFmt w:val="decimal"/>
      <w:lvlText w:val="（%1）"/>
      <w:lvlJc w:val="left"/>
      <w:pPr>
        <w:ind w:left="312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864" w:hanging="529"/>
      </w:pPr>
      <w:rPr>
        <w:rFonts w:hint="default"/>
        <w:lang w:val="en-US" w:eastAsia="zh-CN" w:bidi="ar-SA"/>
      </w:rPr>
    </w:lvl>
    <w:lvl w:ilvl="2">
      <w:start w:val="0"/>
      <w:numFmt w:val="bullet"/>
      <w:lvlText w:val="•"/>
      <w:lvlJc w:val="left"/>
      <w:pPr>
        <w:ind w:left="4609" w:hanging="529"/>
      </w:pPr>
      <w:rPr>
        <w:rFonts w:hint="default"/>
        <w:lang w:val="en-US" w:eastAsia="zh-CN" w:bidi="ar-SA"/>
      </w:rPr>
    </w:lvl>
    <w:lvl w:ilvl="3">
      <w:start w:val="0"/>
      <w:numFmt w:val="bullet"/>
      <w:lvlText w:val="•"/>
      <w:lvlJc w:val="left"/>
      <w:pPr>
        <w:ind w:left="5353" w:hanging="529"/>
      </w:pPr>
      <w:rPr>
        <w:rFonts w:hint="default"/>
        <w:lang w:val="en-US" w:eastAsia="zh-CN" w:bidi="ar-SA"/>
      </w:rPr>
    </w:lvl>
    <w:lvl w:ilvl="4">
      <w:start w:val="0"/>
      <w:numFmt w:val="bullet"/>
      <w:lvlText w:val="•"/>
      <w:lvlJc w:val="left"/>
      <w:pPr>
        <w:ind w:left="6098" w:hanging="529"/>
      </w:pPr>
      <w:rPr>
        <w:rFonts w:hint="default"/>
        <w:lang w:val="en-US" w:eastAsia="zh-CN" w:bidi="ar-SA"/>
      </w:rPr>
    </w:lvl>
    <w:lvl w:ilvl="5">
      <w:start w:val="0"/>
      <w:numFmt w:val="bullet"/>
      <w:lvlText w:val="•"/>
      <w:lvlJc w:val="left"/>
      <w:pPr>
        <w:ind w:left="6843" w:hanging="529"/>
      </w:pPr>
      <w:rPr>
        <w:rFonts w:hint="default"/>
        <w:lang w:val="en-US" w:eastAsia="zh-CN" w:bidi="ar-SA"/>
      </w:rPr>
    </w:lvl>
    <w:lvl w:ilvl="6">
      <w:start w:val="0"/>
      <w:numFmt w:val="bullet"/>
      <w:lvlText w:val="•"/>
      <w:lvlJc w:val="left"/>
      <w:pPr>
        <w:ind w:left="7587" w:hanging="529"/>
      </w:pPr>
      <w:rPr>
        <w:rFonts w:hint="default"/>
        <w:lang w:val="en-US" w:eastAsia="zh-CN" w:bidi="ar-SA"/>
      </w:rPr>
    </w:lvl>
    <w:lvl w:ilvl="7">
      <w:start w:val="0"/>
      <w:numFmt w:val="bullet"/>
      <w:lvlText w:val="•"/>
      <w:lvlJc w:val="left"/>
      <w:pPr>
        <w:ind w:left="8332" w:hanging="529"/>
      </w:pPr>
      <w:rPr>
        <w:rFonts w:hint="default"/>
        <w:lang w:val="en-US" w:eastAsia="zh-CN" w:bidi="ar-SA"/>
      </w:rPr>
    </w:lvl>
    <w:lvl w:ilvl="8">
      <w:start w:val="0"/>
      <w:numFmt w:val="bullet"/>
      <w:lvlText w:val="•"/>
      <w:lvlJc w:val="left"/>
      <w:pPr>
        <w:ind w:left="9077" w:hanging="529"/>
      </w:pPr>
      <w:rPr>
        <w:rFonts w:hint="default"/>
        <w:lang w:val="en-US" w:eastAsia="zh-CN" w:bidi="ar-SA"/>
      </w:rPr>
    </w:lvl>
  </w:abstractNum>
  <w:abstractNum w:abstractNumId="32">
    <w:multiLevelType w:val="hybridMultilevel"/>
    <w:lvl w:ilvl="0">
      <w:start w:val="1"/>
      <w:numFmt w:val="decimal"/>
      <w:lvlText w:val="（%1）"/>
      <w:lvlJc w:val="left"/>
      <w:pPr>
        <w:ind w:left="312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864" w:hanging="529"/>
      </w:pPr>
      <w:rPr>
        <w:rFonts w:hint="default"/>
        <w:lang w:val="en-US" w:eastAsia="zh-CN" w:bidi="ar-SA"/>
      </w:rPr>
    </w:lvl>
    <w:lvl w:ilvl="2">
      <w:start w:val="0"/>
      <w:numFmt w:val="bullet"/>
      <w:lvlText w:val="•"/>
      <w:lvlJc w:val="left"/>
      <w:pPr>
        <w:ind w:left="4609" w:hanging="529"/>
      </w:pPr>
      <w:rPr>
        <w:rFonts w:hint="default"/>
        <w:lang w:val="en-US" w:eastAsia="zh-CN" w:bidi="ar-SA"/>
      </w:rPr>
    </w:lvl>
    <w:lvl w:ilvl="3">
      <w:start w:val="0"/>
      <w:numFmt w:val="bullet"/>
      <w:lvlText w:val="•"/>
      <w:lvlJc w:val="left"/>
      <w:pPr>
        <w:ind w:left="5353" w:hanging="529"/>
      </w:pPr>
      <w:rPr>
        <w:rFonts w:hint="default"/>
        <w:lang w:val="en-US" w:eastAsia="zh-CN" w:bidi="ar-SA"/>
      </w:rPr>
    </w:lvl>
    <w:lvl w:ilvl="4">
      <w:start w:val="0"/>
      <w:numFmt w:val="bullet"/>
      <w:lvlText w:val="•"/>
      <w:lvlJc w:val="left"/>
      <w:pPr>
        <w:ind w:left="6098" w:hanging="529"/>
      </w:pPr>
      <w:rPr>
        <w:rFonts w:hint="default"/>
        <w:lang w:val="en-US" w:eastAsia="zh-CN" w:bidi="ar-SA"/>
      </w:rPr>
    </w:lvl>
    <w:lvl w:ilvl="5">
      <w:start w:val="0"/>
      <w:numFmt w:val="bullet"/>
      <w:lvlText w:val="•"/>
      <w:lvlJc w:val="left"/>
      <w:pPr>
        <w:ind w:left="6843" w:hanging="529"/>
      </w:pPr>
      <w:rPr>
        <w:rFonts w:hint="default"/>
        <w:lang w:val="en-US" w:eastAsia="zh-CN" w:bidi="ar-SA"/>
      </w:rPr>
    </w:lvl>
    <w:lvl w:ilvl="6">
      <w:start w:val="0"/>
      <w:numFmt w:val="bullet"/>
      <w:lvlText w:val="•"/>
      <w:lvlJc w:val="left"/>
      <w:pPr>
        <w:ind w:left="7587" w:hanging="529"/>
      </w:pPr>
      <w:rPr>
        <w:rFonts w:hint="default"/>
        <w:lang w:val="en-US" w:eastAsia="zh-CN" w:bidi="ar-SA"/>
      </w:rPr>
    </w:lvl>
    <w:lvl w:ilvl="7">
      <w:start w:val="0"/>
      <w:numFmt w:val="bullet"/>
      <w:lvlText w:val="•"/>
      <w:lvlJc w:val="left"/>
      <w:pPr>
        <w:ind w:left="8332" w:hanging="529"/>
      </w:pPr>
      <w:rPr>
        <w:rFonts w:hint="default"/>
        <w:lang w:val="en-US" w:eastAsia="zh-CN" w:bidi="ar-SA"/>
      </w:rPr>
    </w:lvl>
    <w:lvl w:ilvl="8">
      <w:start w:val="0"/>
      <w:numFmt w:val="bullet"/>
      <w:lvlText w:val="•"/>
      <w:lvlJc w:val="left"/>
      <w:pPr>
        <w:ind w:left="9077" w:hanging="529"/>
      </w:pPr>
      <w:rPr>
        <w:rFonts w:hint="default"/>
        <w:lang w:val="en-US" w:eastAsia="zh-CN" w:bidi="ar-SA"/>
      </w:rPr>
    </w:lvl>
  </w:abstractNum>
  <w:abstractNum w:abstractNumId="31">
    <w:multiLevelType w:val="hybridMultilevel"/>
    <w:lvl w:ilvl="0">
      <w:start w:val="22"/>
      <w:numFmt w:val="decimal"/>
      <w:lvlText w:val="%1）"/>
      <w:lvlJc w:val="left"/>
      <w:pPr>
        <w:ind w:left="3017" w:hanging="424"/>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3774" w:hanging="424"/>
      </w:pPr>
      <w:rPr>
        <w:rFonts w:hint="default"/>
        <w:lang w:val="en-US" w:eastAsia="zh-CN" w:bidi="ar-SA"/>
      </w:rPr>
    </w:lvl>
    <w:lvl w:ilvl="2">
      <w:start w:val="0"/>
      <w:numFmt w:val="bullet"/>
      <w:lvlText w:val="•"/>
      <w:lvlJc w:val="left"/>
      <w:pPr>
        <w:ind w:left="4529" w:hanging="424"/>
      </w:pPr>
      <w:rPr>
        <w:rFonts w:hint="default"/>
        <w:lang w:val="en-US" w:eastAsia="zh-CN" w:bidi="ar-SA"/>
      </w:rPr>
    </w:lvl>
    <w:lvl w:ilvl="3">
      <w:start w:val="0"/>
      <w:numFmt w:val="bullet"/>
      <w:lvlText w:val="•"/>
      <w:lvlJc w:val="left"/>
      <w:pPr>
        <w:ind w:left="5283" w:hanging="424"/>
      </w:pPr>
      <w:rPr>
        <w:rFonts w:hint="default"/>
        <w:lang w:val="en-US" w:eastAsia="zh-CN" w:bidi="ar-SA"/>
      </w:rPr>
    </w:lvl>
    <w:lvl w:ilvl="4">
      <w:start w:val="0"/>
      <w:numFmt w:val="bullet"/>
      <w:lvlText w:val="•"/>
      <w:lvlJc w:val="left"/>
      <w:pPr>
        <w:ind w:left="6038" w:hanging="424"/>
      </w:pPr>
      <w:rPr>
        <w:rFonts w:hint="default"/>
        <w:lang w:val="en-US" w:eastAsia="zh-CN" w:bidi="ar-SA"/>
      </w:rPr>
    </w:lvl>
    <w:lvl w:ilvl="5">
      <w:start w:val="0"/>
      <w:numFmt w:val="bullet"/>
      <w:lvlText w:val="•"/>
      <w:lvlJc w:val="left"/>
      <w:pPr>
        <w:ind w:left="6793" w:hanging="424"/>
      </w:pPr>
      <w:rPr>
        <w:rFonts w:hint="default"/>
        <w:lang w:val="en-US" w:eastAsia="zh-CN" w:bidi="ar-SA"/>
      </w:rPr>
    </w:lvl>
    <w:lvl w:ilvl="6">
      <w:start w:val="0"/>
      <w:numFmt w:val="bullet"/>
      <w:lvlText w:val="•"/>
      <w:lvlJc w:val="left"/>
      <w:pPr>
        <w:ind w:left="7547" w:hanging="424"/>
      </w:pPr>
      <w:rPr>
        <w:rFonts w:hint="default"/>
        <w:lang w:val="en-US" w:eastAsia="zh-CN" w:bidi="ar-SA"/>
      </w:rPr>
    </w:lvl>
    <w:lvl w:ilvl="7">
      <w:start w:val="0"/>
      <w:numFmt w:val="bullet"/>
      <w:lvlText w:val="•"/>
      <w:lvlJc w:val="left"/>
      <w:pPr>
        <w:ind w:left="8302" w:hanging="424"/>
      </w:pPr>
      <w:rPr>
        <w:rFonts w:hint="default"/>
        <w:lang w:val="en-US" w:eastAsia="zh-CN" w:bidi="ar-SA"/>
      </w:rPr>
    </w:lvl>
    <w:lvl w:ilvl="8">
      <w:start w:val="0"/>
      <w:numFmt w:val="bullet"/>
      <w:lvlText w:val="•"/>
      <w:lvlJc w:val="left"/>
      <w:pPr>
        <w:ind w:left="9057" w:hanging="424"/>
      </w:pPr>
      <w:rPr>
        <w:rFonts w:hint="default"/>
        <w:lang w:val="en-US" w:eastAsia="zh-CN" w:bidi="ar-SA"/>
      </w:rPr>
    </w:lvl>
  </w:abstractNum>
  <w:abstractNum w:abstractNumId="30">
    <w:multiLevelType w:val="hybridMultilevel"/>
    <w:lvl w:ilvl="0">
      <w:start w:val="1"/>
      <w:numFmt w:val="decimal"/>
      <w:lvlText w:val="（%1）"/>
      <w:lvlJc w:val="left"/>
      <w:pPr>
        <w:ind w:left="312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864" w:hanging="529"/>
      </w:pPr>
      <w:rPr>
        <w:rFonts w:hint="default"/>
        <w:lang w:val="en-US" w:eastAsia="zh-CN" w:bidi="ar-SA"/>
      </w:rPr>
    </w:lvl>
    <w:lvl w:ilvl="2">
      <w:start w:val="0"/>
      <w:numFmt w:val="bullet"/>
      <w:lvlText w:val="•"/>
      <w:lvlJc w:val="left"/>
      <w:pPr>
        <w:ind w:left="4609" w:hanging="529"/>
      </w:pPr>
      <w:rPr>
        <w:rFonts w:hint="default"/>
        <w:lang w:val="en-US" w:eastAsia="zh-CN" w:bidi="ar-SA"/>
      </w:rPr>
    </w:lvl>
    <w:lvl w:ilvl="3">
      <w:start w:val="0"/>
      <w:numFmt w:val="bullet"/>
      <w:lvlText w:val="•"/>
      <w:lvlJc w:val="left"/>
      <w:pPr>
        <w:ind w:left="5353" w:hanging="529"/>
      </w:pPr>
      <w:rPr>
        <w:rFonts w:hint="default"/>
        <w:lang w:val="en-US" w:eastAsia="zh-CN" w:bidi="ar-SA"/>
      </w:rPr>
    </w:lvl>
    <w:lvl w:ilvl="4">
      <w:start w:val="0"/>
      <w:numFmt w:val="bullet"/>
      <w:lvlText w:val="•"/>
      <w:lvlJc w:val="left"/>
      <w:pPr>
        <w:ind w:left="6098" w:hanging="529"/>
      </w:pPr>
      <w:rPr>
        <w:rFonts w:hint="default"/>
        <w:lang w:val="en-US" w:eastAsia="zh-CN" w:bidi="ar-SA"/>
      </w:rPr>
    </w:lvl>
    <w:lvl w:ilvl="5">
      <w:start w:val="0"/>
      <w:numFmt w:val="bullet"/>
      <w:lvlText w:val="•"/>
      <w:lvlJc w:val="left"/>
      <w:pPr>
        <w:ind w:left="6843" w:hanging="529"/>
      </w:pPr>
      <w:rPr>
        <w:rFonts w:hint="default"/>
        <w:lang w:val="en-US" w:eastAsia="zh-CN" w:bidi="ar-SA"/>
      </w:rPr>
    </w:lvl>
    <w:lvl w:ilvl="6">
      <w:start w:val="0"/>
      <w:numFmt w:val="bullet"/>
      <w:lvlText w:val="•"/>
      <w:lvlJc w:val="left"/>
      <w:pPr>
        <w:ind w:left="7587" w:hanging="529"/>
      </w:pPr>
      <w:rPr>
        <w:rFonts w:hint="default"/>
        <w:lang w:val="en-US" w:eastAsia="zh-CN" w:bidi="ar-SA"/>
      </w:rPr>
    </w:lvl>
    <w:lvl w:ilvl="7">
      <w:start w:val="0"/>
      <w:numFmt w:val="bullet"/>
      <w:lvlText w:val="•"/>
      <w:lvlJc w:val="left"/>
      <w:pPr>
        <w:ind w:left="8332" w:hanging="529"/>
      </w:pPr>
      <w:rPr>
        <w:rFonts w:hint="default"/>
        <w:lang w:val="en-US" w:eastAsia="zh-CN" w:bidi="ar-SA"/>
      </w:rPr>
    </w:lvl>
    <w:lvl w:ilvl="8">
      <w:start w:val="0"/>
      <w:numFmt w:val="bullet"/>
      <w:lvlText w:val="•"/>
      <w:lvlJc w:val="left"/>
      <w:pPr>
        <w:ind w:left="9077" w:hanging="529"/>
      </w:pPr>
      <w:rPr>
        <w:rFonts w:hint="default"/>
        <w:lang w:val="en-US" w:eastAsia="zh-CN" w:bidi="ar-SA"/>
      </w:rPr>
    </w:lvl>
  </w:abstractNum>
  <w:abstractNum w:abstractNumId="29">
    <w:multiLevelType w:val="hybridMultilevel"/>
    <w:lvl w:ilvl="0">
      <w:start w:val="1"/>
      <w:numFmt w:val="decimal"/>
      <w:lvlText w:val="（%1）"/>
      <w:lvlJc w:val="left"/>
      <w:pPr>
        <w:ind w:left="259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396" w:hanging="529"/>
      </w:pPr>
      <w:rPr>
        <w:rFonts w:hint="default"/>
        <w:lang w:val="en-US" w:eastAsia="zh-CN" w:bidi="ar-SA"/>
      </w:rPr>
    </w:lvl>
    <w:lvl w:ilvl="2">
      <w:start w:val="0"/>
      <w:numFmt w:val="bullet"/>
      <w:lvlText w:val="•"/>
      <w:lvlJc w:val="left"/>
      <w:pPr>
        <w:ind w:left="4193" w:hanging="529"/>
      </w:pPr>
      <w:rPr>
        <w:rFonts w:hint="default"/>
        <w:lang w:val="en-US" w:eastAsia="zh-CN" w:bidi="ar-SA"/>
      </w:rPr>
    </w:lvl>
    <w:lvl w:ilvl="3">
      <w:start w:val="0"/>
      <w:numFmt w:val="bullet"/>
      <w:lvlText w:val="•"/>
      <w:lvlJc w:val="left"/>
      <w:pPr>
        <w:ind w:left="4989" w:hanging="529"/>
      </w:pPr>
      <w:rPr>
        <w:rFonts w:hint="default"/>
        <w:lang w:val="en-US" w:eastAsia="zh-CN" w:bidi="ar-SA"/>
      </w:rPr>
    </w:lvl>
    <w:lvl w:ilvl="4">
      <w:start w:val="0"/>
      <w:numFmt w:val="bullet"/>
      <w:lvlText w:val="•"/>
      <w:lvlJc w:val="left"/>
      <w:pPr>
        <w:ind w:left="5786" w:hanging="529"/>
      </w:pPr>
      <w:rPr>
        <w:rFonts w:hint="default"/>
        <w:lang w:val="en-US" w:eastAsia="zh-CN" w:bidi="ar-SA"/>
      </w:rPr>
    </w:lvl>
    <w:lvl w:ilvl="5">
      <w:start w:val="0"/>
      <w:numFmt w:val="bullet"/>
      <w:lvlText w:val="•"/>
      <w:lvlJc w:val="left"/>
      <w:pPr>
        <w:ind w:left="6583" w:hanging="529"/>
      </w:pPr>
      <w:rPr>
        <w:rFonts w:hint="default"/>
        <w:lang w:val="en-US" w:eastAsia="zh-CN" w:bidi="ar-SA"/>
      </w:rPr>
    </w:lvl>
    <w:lvl w:ilvl="6">
      <w:start w:val="0"/>
      <w:numFmt w:val="bullet"/>
      <w:lvlText w:val="•"/>
      <w:lvlJc w:val="left"/>
      <w:pPr>
        <w:ind w:left="7379" w:hanging="529"/>
      </w:pPr>
      <w:rPr>
        <w:rFonts w:hint="default"/>
        <w:lang w:val="en-US" w:eastAsia="zh-CN" w:bidi="ar-SA"/>
      </w:rPr>
    </w:lvl>
    <w:lvl w:ilvl="7">
      <w:start w:val="0"/>
      <w:numFmt w:val="bullet"/>
      <w:lvlText w:val="•"/>
      <w:lvlJc w:val="left"/>
      <w:pPr>
        <w:ind w:left="8176" w:hanging="529"/>
      </w:pPr>
      <w:rPr>
        <w:rFonts w:hint="default"/>
        <w:lang w:val="en-US" w:eastAsia="zh-CN" w:bidi="ar-SA"/>
      </w:rPr>
    </w:lvl>
    <w:lvl w:ilvl="8">
      <w:start w:val="0"/>
      <w:numFmt w:val="bullet"/>
      <w:lvlText w:val="•"/>
      <w:lvlJc w:val="left"/>
      <w:pPr>
        <w:ind w:left="8973" w:hanging="529"/>
      </w:pPr>
      <w:rPr>
        <w:rFonts w:hint="default"/>
        <w:lang w:val="en-US" w:eastAsia="zh-CN" w:bidi="ar-SA"/>
      </w:rPr>
    </w:lvl>
  </w:abstractNum>
  <w:abstractNum w:abstractNumId="28">
    <w:multiLevelType w:val="hybridMultilevel"/>
    <w:lvl w:ilvl="0">
      <w:start w:val="1"/>
      <w:numFmt w:val="decimal"/>
      <w:lvlText w:val="（%1）"/>
      <w:lvlJc w:val="left"/>
      <w:pPr>
        <w:ind w:left="312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864" w:hanging="529"/>
      </w:pPr>
      <w:rPr>
        <w:rFonts w:hint="default"/>
        <w:lang w:val="en-US" w:eastAsia="zh-CN" w:bidi="ar-SA"/>
      </w:rPr>
    </w:lvl>
    <w:lvl w:ilvl="2">
      <w:start w:val="0"/>
      <w:numFmt w:val="bullet"/>
      <w:lvlText w:val="•"/>
      <w:lvlJc w:val="left"/>
      <w:pPr>
        <w:ind w:left="4609" w:hanging="529"/>
      </w:pPr>
      <w:rPr>
        <w:rFonts w:hint="default"/>
        <w:lang w:val="en-US" w:eastAsia="zh-CN" w:bidi="ar-SA"/>
      </w:rPr>
    </w:lvl>
    <w:lvl w:ilvl="3">
      <w:start w:val="0"/>
      <w:numFmt w:val="bullet"/>
      <w:lvlText w:val="•"/>
      <w:lvlJc w:val="left"/>
      <w:pPr>
        <w:ind w:left="5353" w:hanging="529"/>
      </w:pPr>
      <w:rPr>
        <w:rFonts w:hint="default"/>
        <w:lang w:val="en-US" w:eastAsia="zh-CN" w:bidi="ar-SA"/>
      </w:rPr>
    </w:lvl>
    <w:lvl w:ilvl="4">
      <w:start w:val="0"/>
      <w:numFmt w:val="bullet"/>
      <w:lvlText w:val="•"/>
      <w:lvlJc w:val="left"/>
      <w:pPr>
        <w:ind w:left="6098" w:hanging="529"/>
      </w:pPr>
      <w:rPr>
        <w:rFonts w:hint="default"/>
        <w:lang w:val="en-US" w:eastAsia="zh-CN" w:bidi="ar-SA"/>
      </w:rPr>
    </w:lvl>
    <w:lvl w:ilvl="5">
      <w:start w:val="0"/>
      <w:numFmt w:val="bullet"/>
      <w:lvlText w:val="•"/>
      <w:lvlJc w:val="left"/>
      <w:pPr>
        <w:ind w:left="6843" w:hanging="529"/>
      </w:pPr>
      <w:rPr>
        <w:rFonts w:hint="default"/>
        <w:lang w:val="en-US" w:eastAsia="zh-CN" w:bidi="ar-SA"/>
      </w:rPr>
    </w:lvl>
    <w:lvl w:ilvl="6">
      <w:start w:val="0"/>
      <w:numFmt w:val="bullet"/>
      <w:lvlText w:val="•"/>
      <w:lvlJc w:val="left"/>
      <w:pPr>
        <w:ind w:left="7587" w:hanging="529"/>
      </w:pPr>
      <w:rPr>
        <w:rFonts w:hint="default"/>
        <w:lang w:val="en-US" w:eastAsia="zh-CN" w:bidi="ar-SA"/>
      </w:rPr>
    </w:lvl>
    <w:lvl w:ilvl="7">
      <w:start w:val="0"/>
      <w:numFmt w:val="bullet"/>
      <w:lvlText w:val="•"/>
      <w:lvlJc w:val="left"/>
      <w:pPr>
        <w:ind w:left="8332" w:hanging="529"/>
      </w:pPr>
      <w:rPr>
        <w:rFonts w:hint="default"/>
        <w:lang w:val="en-US" w:eastAsia="zh-CN" w:bidi="ar-SA"/>
      </w:rPr>
    </w:lvl>
    <w:lvl w:ilvl="8">
      <w:start w:val="0"/>
      <w:numFmt w:val="bullet"/>
      <w:lvlText w:val="•"/>
      <w:lvlJc w:val="left"/>
      <w:pPr>
        <w:ind w:left="9077" w:hanging="529"/>
      </w:pPr>
      <w:rPr>
        <w:rFonts w:hint="default"/>
        <w:lang w:val="en-US" w:eastAsia="zh-CN" w:bidi="ar-SA"/>
      </w:rPr>
    </w:lvl>
  </w:abstractNum>
  <w:abstractNum w:abstractNumId="27">
    <w:multiLevelType w:val="hybridMultilevel"/>
    <w:lvl w:ilvl="0">
      <w:start w:val="1"/>
      <w:numFmt w:val="decimal"/>
      <w:lvlText w:val="（%1）"/>
      <w:lvlJc w:val="left"/>
      <w:pPr>
        <w:ind w:left="312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864" w:hanging="529"/>
      </w:pPr>
      <w:rPr>
        <w:rFonts w:hint="default"/>
        <w:lang w:val="en-US" w:eastAsia="zh-CN" w:bidi="ar-SA"/>
      </w:rPr>
    </w:lvl>
    <w:lvl w:ilvl="2">
      <w:start w:val="0"/>
      <w:numFmt w:val="bullet"/>
      <w:lvlText w:val="•"/>
      <w:lvlJc w:val="left"/>
      <w:pPr>
        <w:ind w:left="4609" w:hanging="529"/>
      </w:pPr>
      <w:rPr>
        <w:rFonts w:hint="default"/>
        <w:lang w:val="en-US" w:eastAsia="zh-CN" w:bidi="ar-SA"/>
      </w:rPr>
    </w:lvl>
    <w:lvl w:ilvl="3">
      <w:start w:val="0"/>
      <w:numFmt w:val="bullet"/>
      <w:lvlText w:val="•"/>
      <w:lvlJc w:val="left"/>
      <w:pPr>
        <w:ind w:left="5353" w:hanging="529"/>
      </w:pPr>
      <w:rPr>
        <w:rFonts w:hint="default"/>
        <w:lang w:val="en-US" w:eastAsia="zh-CN" w:bidi="ar-SA"/>
      </w:rPr>
    </w:lvl>
    <w:lvl w:ilvl="4">
      <w:start w:val="0"/>
      <w:numFmt w:val="bullet"/>
      <w:lvlText w:val="•"/>
      <w:lvlJc w:val="left"/>
      <w:pPr>
        <w:ind w:left="6098" w:hanging="529"/>
      </w:pPr>
      <w:rPr>
        <w:rFonts w:hint="default"/>
        <w:lang w:val="en-US" w:eastAsia="zh-CN" w:bidi="ar-SA"/>
      </w:rPr>
    </w:lvl>
    <w:lvl w:ilvl="5">
      <w:start w:val="0"/>
      <w:numFmt w:val="bullet"/>
      <w:lvlText w:val="•"/>
      <w:lvlJc w:val="left"/>
      <w:pPr>
        <w:ind w:left="6843" w:hanging="529"/>
      </w:pPr>
      <w:rPr>
        <w:rFonts w:hint="default"/>
        <w:lang w:val="en-US" w:eastAsia="zh-CN" w:bidi="ar-SA"/>
      </w:rPr>
    </w:lvl>
    <w:lvl w:ilvl="6">
      <w:start w:val="0"/>
      <w:numFmt w:val="bullet"/>
      <w:lvlText w:val="•"/>
      <w:lvlJc w:val="left"/>
      <w:pPr>
        <w:ind w:left="7587" w:hanging="529"/>
      </w:pPr>
      <w:rPr>
        <w:rFonts w:hint="default"/>
        <w:lang w:val="en-US" w:eastAsia="zh-CN" w:bidi="ar-SA"/>
      </w:rPr>
    </w:lvl>
    <w:lvl w:ilvl="7">
      <w:start w:val="0"/>
      <w:numFmt w:val="bullet"/>
      <w:lvlText w:val="•"/>
      <w:lvlJc w:val="left"/>
      <w:pPr>
        <w:ind w:left="8332" w:hanging="529"/>
      </w:pPr>
      <w:rPr>
        <w:rFonts w:hint="default"/>
        <w:lang w:val="en-US" w:eastAsia="zh-CN" w:bidi="ar-SA"/>
      </w:rPr>
    </w:lvl>
    <w:lvl w:ilvl="8">
      <w:start w:val="0"/>
      <w:numFmt w:val="bullet"/>
      <w:lvlText w:val="•"/>
      <w:lvlJc w:val="left"/>
      <w:pPr>
        <w:ind w:left="9077" w:hanging="529"/>
      </w:pPr>
      <w:rPr>
        <w:rFonts w:hint="default"/>
        <w:lang w:val="en-US" w:eastAsia="zh-CN" w:bidi="ar-SA"/>
      </w:rPr>
    </w:lvl>
  </w:abstractNum>
  <w:abstractNum w:abstractNumId="26">
    <w:multiLevelType w:val="hybridMultilevel"/>
    <w:lvl w:ilvl="0">
      <w:start w:val="3"/>
      <w:numFmt w:val="decimal"/>
      <w:lvlText w:val="（%1）"/>
      <w:lvlJc w:val="left"/>
      <w:pPr>
        <w:ind w:left="312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864" w:hanging="529"/>
      </w:pPr>
      <w:rPr>
        <w:rFonts w:hint="default"/>
        <w:lang w:val="en-US" w:eastAsia="zh-CN" w:bidi="ar-SA"/>
      </w:rPr>
    </w:lvl>
    <w:lvl w:ilvl="2">
      <w:start w:val="0"/>
      <w:numFmt w:val="bullet"/>
      <w:lvlText w:val="•"/>
      <w:lvlJc w:val="left"/>
      <w:pPr>
        <w:ind w:left="4609" w:hanging="529"/>
      </w:pPr>
      <w:rPr>
        <w:rFonts w:hint="default"/>
        <w:lang w:val="en-US" w:eastAsia="zh-CN" w:bidi="ar-SA"/>
      </w:rPr>
    </w:lvl>
    <w:lvl w:ilvl="3">
      <w:start w:val="0"/>
      <w:numFmt w:val="bullet"/>
      <w:lvlText w:val="•"/>
      <w:lvlJc w:val="left"/>
      <w:pPr>
        <w:ind w:left="5353" w:hanging="529"/>
      </w:pPr>
      <w:rPr>
        <w:rFonts w:hint="default"/>
        <w:lang w:val="en-US" w:eastAsia="zh-CN" w:bidi="ar-SA"/>
      </w:rPr>
    </w:lvl>
    <w:lvl w:ilvl="4">
      <w:start w:val="0"/>
      <w:numFmt w:val="bullet"/>
      <w:lvlText w:val="•"/>
      <w:lvlJc w:val="left"/>
      <w:pPr>
        <w:ind w:left="6098" w:hanging="529"/>
      </w:pPr>
      <w:rPr>
        <w:rFonts w:hint="default"/>
        <w:lang w:val="en-US" w:eastAsia="zh-CN" w:bidi="ar-SA"/>
      </w:rPr>
    </w:lvl>
    <w:lvl w:ilvl="5">
      <w:start w:val="0"/>
      <w:numFmt w:val="bullet"/>
      <w:lvlText w:val="•"/>
      <w:lvlJc w:val="left"/>
      <w:pPr>
        <w:ind w:left="6843" w:hanging="529"/>
      </w:pPr>
      <w:rPr>
        <w:rFonts w:hint="default"/>
        <w:lang w:val="en-US" w:eastAsia="zh-CN" w:bidi="ar-SA"/>
      </w:rPr>
    </w:lvl>
    <w:lvl w:ilvl="6">
      <w:start w:val="0"/>
      <w:numFmt w:val="bullet"/>
      <w:lvlText w:val="•"/>
      <w:lvlJc w:val="left"/>
      <w:pPr>
        <w:ind w:left="7587" w:hanging="529"/>
      </w:pPr>
      <w:rPr>
        <w:rFonts w:hint="default"/>
        <w:lang w:val="en-US" w:eastAsia="zh-CN" w:bidi="ar-SA"/>
      </w:rPr>
    </w:lvl>
    <w:lvl w:ilvl="7">
      <w:start w:val="0"/>
      <w:numFmt w:val="bullet"/>
      <w:lvlText w:val="•"/>
      <w:lvlJc w:val="left"/>
      <w:pPr>
        <w:ind w:left="8332" w:hanging="529"/>
      </w:pPr>
      <w:rPr>
        <w:rFonts w:hint="default"/>
        <w:lang w:val="en-US" w:eastAsia="zh-CN" w:bidi="ar-SA"/>
      </w:rPr>
    </w:lvl>
    <w:lvl w:ilvl="8">
      <w:start w:val="0"/>
      <w:numFmt w:val="bullet"/>
      <w:lvlText w:val="•"/>
      <w:lvlJc w:val="left"/>
      <w:pPr>
        <w:ind w:left="9077" w:hanging="529"/>
      </w:pPr>
      <w:rPr>
        <w:rFonts w:hint="default"/>
        <w:lang w:val="en-US" w:eastAsia="zh-CN" w:bidi="ar-SA"/>
      </w:rPr>
    </w:lvl>
  </w:abstractNum>
  <w:abstractNum w:abstractNumId="25">
    <w:multiLevelType w:val="hybridMultilevel"/>
    <w:lvl w:ilvl="0">
      <w:start w:val="1"/>
      <w:numFmt w:val="decimal"/>
      <w:lvlText w:val="（%1）"/>
      <w:lvlJc w:val="left"/>
      <w:pPr>
        <w:ind w:left="3123" w:hanging="529"/>
        <w:jc w:val="left"/>
      </w:pPr>
      <w:rPr>
        <w:rFonts w:hint="default" w:ascii="宋体" w:hAnsi="宋体" w:eastAsia="宋体" w:cs="宋体"/>
        <w:b w:val="0"/>
        <w:bCs w:val="0"/>
        <w:i w:val="0"/>
        <w:iCs w:val="0"/>
        <w:spacing w:val="-2"/>
        <w:w w:val="100"/>
        <w:sz w:val="19"/>
        <w:szCs w:val="19"/>
        <w:shd w:fill="D9D9D9" w:color="auto" w:val="clear"/>
        <w:lang w:val="en-US" w:eastAsia="zh-CN" w:bidi="ar-SA"/>
      </w:rPr>
    </w:lvl>
    <w:lvl w:ilvl="1">
      <w:start w:val="0"/>
      <w:numFmt w:val="bullet"/>
      <w:lvlText w:val="•"/>
      <w:lvlJc w:val="left"/>
      <w:pPr>
        <w:ind w:left="3864" w:hanging="529"/>
      </w:pPr>
      <w:rPr>
        <w:rFonts w:hint="default"/>
        <w:lang w:val="en-US" w:eastAsia="zh-CN" w:bidi="ar-SA"/>
      </w:rPr>
    </w:lvl>
    <w:lvl w:ilvl="2">
      <w:start w:val="0"/>
      <w:numFmt w:val="bullet"/>
      <w:lvlText w:val="•"/>
      <w:lvlJc w:val="left"/>
      <w:pPr>
        <w:ind w:left="4609" w:hanging="529"/>
      </w:pPr>
      <w:rPr>
        <w:rFonts w:hint="default"/>
        <w:lang w:val="en-US" w:eastAsia="zh-CN" w:bidi="ar-SA"/>
      </w:rPr>
    </w:lvl>
    <w:lvl w:ilvl="3">
      <w:start w:val="0"/>
      <w:numFmt w:val="bullet"/>
      <w:lvlText w:val="•"/>
      <w:lvlJc w:val="left"/>
      <w:pPr>
        <w:ind w:left="5353" w:hanging="529"/>
      </w:pPr>
      <w:rPr>
        <w:rFonts w:hint="default"/>
        <w:lang w:val="en-US" w:eastAsia="zh-CN" w:bidi="ar-SA"/>
      </w:rPr>
    </w:lvl>
    <w:lvl w:ilvl="4">
      <w:start w:val="0"/>
      <w:numFmt w:val="bullet"/>
      <w:lvlText w:val="•"/>
      <w:lvlJc w:val="left"/>
      <w:pPr>
        <w:ind w:left="6098" w:hanging="529"/>
      </w:pPr>
      <w:rPr>
        <w:rFonts w:hint="default"/>
        <w:lang w:val="en-US" w:eastAsia="zh-CN" w:bidi="ar-SA"/>
      </w:rPr>
    </w:lvl>
    <w:lvl w:ilvl="5">
      <w:start w:val="0"/>
      <w:numFmt w:val="bullet"/>
      <w:lvlText w:val="•"/>
      <w:lvlJc w:val="left"/>
      <w:pPr>
        <w:ind w:left="6843" w:hanging="529"/>
      </w:pPr>
      <w:rPr>
        <w:rFonts w:hint="default"/>
        <w:lang w:val="en-US" w:eastAsia="zh-CN" w:bidi="ar-SA"/>
      </w:rPr>
    </w:lvl>
    <w:lvl w:ilvl="6">
      <w:start w:val="0"/>
      <w:numFmt w:val="bullet"/>
      <w:lvlText w:val="•"/>
      <w:lvlJc w:val="left"/>
      <w:pPr>
        <w:ind w:left="7587" w:hanging="529"/>
      </w:pPr>
      <w:rPr>
        <w:rFonts w:hint="default"/>
        <w:lang w:val="en-US" w:eastAsia="zh-CN" w:bidi="ar-SA"/>
      </w:rPr>
    </w:lvl>
    <w:lvl w:ilvl="7">
      <w:start w:val="0"/>
      <w:numFmt w:val="bullet"/>
      <w:lvlText w:val="•"/>
      <w:lvlJc w:val="left"/>
      <w:pPr>
        <w:ind w:left="8332" w:hanging="529"/>
      </w:pPr>
      <w:rPr>
        <w:rFonts w:hint="default"/>
        <w:lang w:val="en-US" w:eastAsia="zh-CN" w:bidi="ar-SA"/>
      </w:rPr>
    </w:lvl>
    <w:lvl w:ilvl="8">
      <w:start w:val="0"/>
      <w:numFmt w:val="bullet"/>
      <w:lvlText w:val="•"/>
      <w:lvlJc w:val="left"/>
      <w:pPr>
        <w:ind w:left="9077" w:hanging="529"/>
      </w:pPr>
      <w:rPr>
        <w:rFonts w:hint="default"/>
        <w:lang w:val="en-US" w:eastAsia="zh-CN" w:bidi="ar-SA"/>
      </w:rPr>
    </w:lvl>
  </w:abstractNum>
  <w:abstractNum w:abstractNumId="24">
    <w:multiLevelType w:val="hybridMultilevel"/>
    <w:lvl w:ilvl="0">
      <w:start w:val="1"/>
      <w:numFmt w:val="decimal"/>
      <w:lvlText w:val="（%1）"/>
      <w:lvlJc w:val="left"/>
      <w:pPr>
        <w:ind w:left="3123"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3864" w:hanging="529"/>
      </w:pPr>
      <w:rPr>
        <w:rFonts w:hint="default"/>
        <w:lang w:val="en-US" w:eastAsia="zh-CN" w:bidi="ar-SA"/>
      </w:rPr>
    </w:lvl>
    <w:lvl w:ilvl="2">
      <w:start w:val="0"/>
      <w:numFmt w:val="bullet"/>
      <w:lvlText w:val="•"/>
      <w:lvlJc w:val="left"/>
      <w:pPr>
        <w:ind w:left="4609" w:hanging="529"/>
      </w:pPr>
      <w:rPr>
        <w:rFonts w:hint="default"/>
        <w:lang w:val="en-US" w:eastAsia="zh-CN" w:bidi="ar-SA"/>
      </w:rPr>
    </w:lvl>
    <w:lvl w:ilvl="3">
      <w:start w:val="0"/>
      <w:numFmt w:val="bullet"/>
      <w:lvlText w:val="•"/>
      <w:lvlJc w:val="left"/>
      <w:pPr>
        <w:ind w:left="5353" w:hanging="529"/>
      </w:pPr>
      <w:rPr>
        <w:rFonts w:hint="default"/>
        <w:lang w:val="en-US" w:eastAsia="zh-CN" w:bidi="ar-SA"/>
      </w:rPr>
    </w:lvl>
    <w:lvl w:ilvl="4">
      <w:start w:val="0"/>
      <w:numFmt w:val="bullet"/>
      <w:lvlText w:val="•"/>
      <w:lvlJc w:val="left"/>
      <w:pPr>
        <w:ind w:left="6098" w:hanging="529"/>
      </w:pPr>
      <w:rPr>
        <w:rFonts w:hint="default"/>
        <w:lang w:val="en-US" w:eastAsia="zh-CN" w:bidi="ar-SA"/>
      </w:rPr>
    </w:lvl>
    <w:lvl w:ilvl="5">
      <w:start w:val="0"/>
      <w:numFmt w:val="bullet"/>
      <w:lvlText w:val="•"/>
      <w:lvlJc w:val="left"/>
      <w:pPr>
        <w:ind w:left="6843" w:hanging="529"/>
      </w:pPr>
      <w:rPr>
        <w:rFonts w:hint="default"/>
        <w:lang w:val="en-US" w:eastAsia="zh-CN" w:bidi="ar-SA"/>
      </w:rPr>
    </w:lvl>
    <w:lvl w:ilvl="6">
      <w:start w:val="0"/>
      <w:numFmt w:val="bullet"/>
      <w:lvlText w:val="•"/>
      <w:lvlJc w:val="left"/>
      <w:pPr>
        <w:ind w:left="7587" w:hanging="529"/>
      </w:pPr>
      <w:rPr>
        <w:rFonts w:hint="default"/>
        <w:lang w:val="en-US" w:eastAsia="zh-CN" w:bidi="ar-SA"/>
      </w:rPr>
    </w:lvl>
    <w:lvl w:ilvl="7">
      <w:start w:val="0"/>
      <w:numFmt w:val="bullet"/>
      <w:lvlText w:val="•"/>
      <w:lvlJc w:val="left"/>
      <w:pPr>
        <w:ind w:left="8332" w:hanging="529"/>
      </w:pPr>
      <w:rPr>
        <w:rFonts w:hint="default"/>
        <w:lang w:val="en-US" w:eastAsia="zh-CN" w:bidi="ar-SA"/>
      </w:rPr>
    </w:lvl>
    <w:lvl w:ilvl="8">
      <w:start w:val="0"/>
      <w:numFmt w:val="bullet"/>
      <w:lvlText w:val="•"/>
      <w:lvlJc w:val="left"/>
      <w:pPr>
        <w:ind w:left="9077" w:hanging="529"/>
      </w:pPr>
      <w:rPr>
        <w:rFonts w:hint="default"/>
        <w:lang w:val="en-US" w:eastAsia="zh-CN" w:bidi="ar-SA"/>
      </w:rPr>
    </w:lvl>
  </w:abstractNum>
  <w:abstractNum w:abstractNumId="23">
    <w:multiLevelType w:val="hybridMultilevel"/>
    <w:lvl w:ilvl="0">
      <w:start w:val="1"/>
      <w:numFmt w:val="decimal"/>
      <w:lvlText w:val="（%1）"/>
      <w:lvlJc w:val="left"/>
      <w:pPr>
        <w:ind w:left="312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864" w:hanging="529"/>
      </w:pPr>
      <w:rPr>
        <w:rFonts w:hint="default"/>
        <w:lang w:val="en-US" w:eastAsia="zh-CN" w:bidi="ar-SA"/>
      </w:rPr>
    </w:lvl>
    <w:lvl w:ilvl="2">
      <w:start w:val="0"/>
      <w:numFmt w:val="bullet"/>
      <w:lvlText w:val="•"/>
      <w:lvlJc w:val="left"/>
      <w:pPr>
        <w:ind w:left="4609" w:hanging="529"/>
      </w:pPr>
      <w:rPr>
        <w:rFonts w:hint="default"/>
        <w:lang w:val="en-US" w:eastAsia="zh-CN" w:bidi="ar-SA"/>
      </w:rPr>
    </w:lvl>
    <w:lvl w:ilvl="3">
      <w:start w:val="0"/>
      <w:numFmt w:val="bullet"/>
      <w:lvlText w:val="•"/>
      <w:lvlJc w:val="left"/>
      <w:pPr>
        <w:ind w:left="5353" w:hanging="529"/>
      </w:pPr>
      <w:rPr>
        <w:rFonts w:hint="default"/>
        <w:lang w:val="en-US" w:eastAsia="zh-CN" w:bidi="ar-SA"/>
      </w:rPr>
    </w:lvl>
    <w:lvl w:ilvl="4">
      <w:start w:val="0"/>
      <w:numFmt w:val="bullet"/>
      <w:lvlText w:val="•"/>
      <w:lvlJc w:val="left"/>
      <w:pPr>
        <w:ind w:left="6098" w:hanging="529"/>
      </w:pPr>
      <w:rPr>
        <w:rFonts w:hint="default"/>
        <w:lang w:val="en-US" w:eastAsia="zh-CN" w:bidi="ar-SA"/>
      </w:rPr>
    </w:lvl>
    <w:lvl w:ilvl="5">
      <w:start w:val="0"/>
      <w:numFmt w:val="bullet"/>
      <w:lvlText w:val="•"/>
      <w:lvlJc w:val="left"/>
      <w:pPr>
        <w:ind w:left="6843" w:hanging="529"/>
      </w:pPr>
      <w:rPr>
        <w:rFonts w:hint="default"/>
        <w:lang w:val="en-US" w:eastAsia="zh-CN" w:bidi="ar-SA"/>
      </w:rPr>
    </w:lvl>
    <w:lvl w:ilvl="6">
      <w:start w:val="0"/>
      <w:numFmt w:val="bullet"/>
      <w:lvlText w:val="•"/>
      <w:lvlJc w:val="left"/>
      <w:pPr>
        <w:ind w:left="7587" w:hanging="529"/>
      </w:pPr>
      <w:rPr>
        <w:rFonts w:hint="default"/>
        <w:lang w:val="en-US" w:eastAsia="zh-CN" w:bidi="ar-SA"/>
      </w:rPr>
    </w:lvl>
    <w:lvl w:ilvl="7">
      <w:start w:val="0"/>
      <w:numFmt w:val="bullet"/>
      <w:lvlText w:val="•"/>
      <w:lvlJc w:val="left"/>
      <w:pPr>
        <w:ind w:left="8332" w:hanging="529"/>
      </w:pPr>
      <w:rPr>
        <w:rFonts w:hint="default"/>
        <w:lang w:val="en-US" w:eastAsia="zh-CN" w:bidi="ar-SA"/>
      </w:rPr>
    </w:lvl>
    <w:lvl w:ilvl="8">
      <w:start w:val="0"/>
      <w:numFmt w:val="bullet"/>
      <w:lvlText w:val="•"/>
      <w:lvlJc w:val="left"/>
      <w:pPr>
        <w:ind w:left="9077" w:hanging="529"/>
      </w:pPr>
      <w:rPr>
        <w:rFonts w:hint="default"/>
        <w:lang w:val="en-US" w:eastAsia="zh-CN" w:bidi="ar-SA"/>
      </w:rPr>
    </w:lvl>
  </w:abstractNum>
  <w:abstractNum w:abstractNumId="22">
    <w:multiLevelType w:val="hybridMultilevel"/>
    <w:lvl w:ilvl="0">
      <w:start w:val="7"/>
      <w:numFmt w:val="decimal"/>
      <w:lvlText w:val="%1）"/>
      <w:lvlJc w:val="left"/>
      <w:pPr>
        <w:ind w:left="2911" w:hanging="318"/>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3684" w:hanging="318"/>
      </w:pPr>
      <w:rPr>
        <w:rFonts w:hint="default"/>
        <w:lang w:val="en-US" w:eastAsia="zh-CN" w:bidi="ar-SA"/>
      </w:rPr>
    </w:lvl>
    <w:lvl w:ilvl="2">
      <w:start w:val="0"/>
      <w:numFmt w:val="bullet"/>
      <w:lvlText w:val="•"/>
      <w:lvlJc w:val="left"/>
      <w:pPr>
        <w:ind w:left="4449" w:hanging="318"/>
      </w:pPr>
      <w:rPr>
        <w:rFonts w:hint="default"/>
        <w:lang w:val="en-US" w:eastAsia="zh-CN" w:bidi="ar-SA"/>
      </w:rPr>
    </w:lvl>
    <w:lvl w:ilvl="3">
      <w:start w:val="0"/>
      <w:numFmt w:val="bullet"/>
      <w:lvlText w:val="•"/>
      <w:lvlJc w:val="left"/>
      <w:pPr>
        <w:ind w:left="5213" w:hanging="318"/>
      </w:pPr>
      <w:rPr>
        <w:rFonts w:hint="default"/>
        <w:lang w:val="en-US" w:eastAsia="zh-CN" w:bidi="ar-SA"/>
      </w:rPr>
    </w:lvl>
    <w:lvl w:ilvl="4">
      <w:start w:val="0"/>
      <w:numFmt w:val="bullet"/>
      <w:lvlText w:val="•"/>
      <w:lvlJc w:val="left"/>
      <w:pPr>
        <w:ind w:left="5978" w:hanging="318"/>
      </w:pPr>
      <w:rPr>
        <w:rFonts w:hint="default"/>
        <w:lang w:val="en-US" w:eastAsia="zh-CN" w:bidi="ar-SA"/>
      </w:rPr>
    </w:lvl>
    <w:lvl w:ilvl="5">
      <w:start w:val="0"/>
      <w:numFmt w:val="bullet"/>
      <w:lvlText w:val="•"/>
      <w:lvlJc w:val="left"/>
      <w:pPr>
        <w:ind w:left="6743" w:hanging="318"/>
      </w:pPr>
      <w:rPr>
        <w:rFonts w:hint="default"/>
        <w:lang w:val="en-US" w:eastAsia="zh-CN" w:bidi="ar-SA"/>
      </w:rPr>
    </w:lvl>
    <w:lvl w:ilvl="6">
      <w:start w:val="0"/>
      <w:numFmt w:val="bullet"/>
      <w:lvlText w:val="•"/>
      <w:lvlJc w:val="left"/>
      <w:pPr>
        <w:ind w:left="7507" w:hanging="318"/>
      </w:pPr>
      <w:rPr>
        <w:rFonts w:hint="default"/>
        <w:lang w:val="en-US" w:eastAsia="zh-CN" w:bidi="ar-SA"/>
      </w:rPr>
    </w:lvl>
    <w:lvl w:ilvl="7">
      <w:start w:val="0"/>
      <w:numFmt w:val="bullet"/>
      <w:lvlText w:val="•"/>
      <w:lvlJc w:val="left"/>
      <w:pPr>
        <w:ind w:left="8272" w:hanging="318"/>
      </w:pPr>
      <w:rPr>
        <w:rFonts w:hint="default"/>
        <w:lang w:val="en-US" w:eastAsia="zh-CN" w:bidi="ar-SA"/>
      </w:rPr>
    </w:lvl>
    <w:lvl w:ilvl="8">
      <w:start w:val="0"/>
      <w:numFmt w:val="bullet"/>
      <w:lvlText w:val="•"/>
      <w:lvlJc w:val="left"/>
      <w:pPr>
        <w:ind w:left="9037" w:hanging="318"/>
      </w:pPr>
      <w:rPr>
        <w:rFonts w:hint="default"/>
        <w:lang w:val="en-US" w:eastAsia="zh-CN" w:bidi="ar-SA"/>
      </w:rPr>
    </w:lvl>
  </w:abstractNum>
  <w:abstractNum w:abstractNumId="21">
    <w:multiLevelType w:val="hybridMultilevel"/>
    <w:lvl w:ilvl="0">
      <w:start w:val="0"/>
      <w:numFmt w:val="decimal"/>
      <w:lvlText w:val="%1"/>
      <w:lvlJc w:val="left"/>
      <w:pPr>
        <w:ind w:left="354" w:hanging="135"/>
        <w:jc w:val="left"/>
      </w:pPr>
      <w:rPr>
        <w:rFonts w:hint="default" w:ascii="宋体" w:hAnsi="宋体" w:eastAsia="宋体" w:cs="宋体"/>
        <w:b w:val="0"/>
        <w:bCs w:val="0"/>
        <w:i w:val="0"/>
        <w:iCs w:val="0"/>
        <w:w w:val="100"/>
        <w:sz w:val="18"/>
        <w:szCs w:val="18"/>
        <w:lang w:val="en-US" w:eastAsia="zh-CN" w:bidi="ar-SA"/>
      </w:rPr>
    </w:lvl>
    <w:lvl w:ilvl="1">
      <w:start w:val="0"/>
      <w:numFmt w:val="bullet"/>
      <w:lvlText w:val="•"/>
      <w:lvlJc w:val="left"/>
      <w:pPr>
        <w:ind w:left="1380" w:hanging="135"/>
      </w:pPr>
      <w:rPr>
        <w:rFonts w:hint="default"/>
        <w:lang w:val="en-US" w:eastAsia="zh-CN" w:bidi="ar-SA"/>
      </w:rPr>
    </w:lvl>
    <w:lvl w:ilvl="2">
      <w:start w:val="0"/>
      <w:numFmt w:val="bullet"/>
      <w:lvlText w:val="•"/>
      <w:lvlJc w:val="left"/>
      <w:pPr>
        <w:ind w:left="2401" w:hanging="135"/>
      </w:pPr>
      <w:rPr>
        <w:rFonts w:hint="default"/>
        <w:lang w:val="en-US" w:eastAsia="zh-CN" w:bidi="ar-SA"/>
      </w:rPr>
    </w:lvl>
    <w:lvl w:ilvl="3">
      <w:start w:val="0"/>
      <w:numFmt w:val="bullet"/>
      <w:lvlText w:val="•"/>
      <w:lvlJc w:val="left"/>
      <w:pPr>
        <w:ind w:left="3421" w:hanging="135"/>
      </w:pPr>
      <w:rPr>
        <w:rFonts w:hint="default"/>
        <w:lang w:val="en-US" w:eastAsia="zh-CN" w:bidi="ar-SA"/>
      </w:rPr>
    </w:lvl>
    <w:lvl w:ilvl="4">
      <w:start w:val="0"/>
      <w:numFmt w:val="bullet"/>
      <w:lvlText w:val="•"/>
      <w:lvlJc w:val="left"/>
      <w:pPr>
        <w:ind w:left="4442" w:hanging="135"/>
      </w:pPr>
      <w:rPr>
        <w:rFonts w:hint="default"/>
        <w:lang w:val="en-US" w:eastAsia="zh-CN" w:bidi="ar-SA"/>
      </w:rPr>
    </w:lvl>
    <w:lvl w:ilvl="5">
      <w:start w:val="0"/>
      <w:numFmt w:val="bullet"/>
      <w:lvlText w:val="•"/>
      <w:lvlJc w:val="left"/>
      <w:pPr>
        <w:ind w:left="5463" w:hanging="135"/>
      </w:pPr>
      <w:rPr>
        <w:rFonts w:hint="default"/>
        <w:lang w:val="en-US" w:eastAsia="zh-CN" w:bidi="ar-SA"/>
      </w:rPr>
    </w:lvl>
    <w:lvl w:ilvl="6">
      <w:start w:val="0"/>
      <w:numFmt w:val="bullet"/>
      <w:lvlText w:val="•"/>
      <w:lvlJc w:val="left"/>
      <w:pPr>
        <w:ind w:left="6483" w:hanging="135"/>
      </w:pPr>
      <w:rPr>
        <w:rFonts w:hint="default"/>
        <w:lang w:val="en-US" w:eastAsia="zh-CN" w:bidi="ar-SA"/>
      </w:rPr>
    </w:lvl>
    <w:lvl w:ilvl="7">
      <w:start w:val="0"/>
      <w:numFmt w:val="bullet"/>
      <w:lvlText w:val="•"/>
      <w:lvlJc w:val="left"/>
      <w:pPr>
        <w:ind w:left="7504" w:hanging="135"/>
      </w:pPr>
      <w:rPr>
        <w:rFonts w:hint="default"/>
        <w:lang w:val="en-US" w:eastAsia="zh-CN" w:bidi="ar-SA"/>
      </w:rPr>
    </w:lvl>
    <w:lvl w:ilvl="8">
      <w:start w:val="0"/>
      <w:numFmt w:val="bullet"/>
      <w:lvlText w:val="•"/>
      <w:lvlJc w:val="left"/>
      <w:pPr>
        <w:ind w:left="8525" w:hanging="135"/>
      </w:pPr>
      <w:rPr>
        <w:rFonts w:hint="default"/>
        <w:lang w:val="en-US" w:eastAsia="zh-CN" w:bidi="ar-SA"/>
      </w:rPr>
    </w:lvl>
  </w:abstractNum>
  <w:abstractNum w:abstractNumId="20">
    <w:multiLevelType w:val="hybridMultilevel"/>
    <w:lvl w:ilvl="0">
      <w:start w:val="4"/>
      <w:numFmt w:val="decimal"/>
      <w:lvlText w:val="%1）"/>
      <w:lvlJc w:val="left"/>
      <w:pPr>
        <w:ind w:left="2911" w:hanging="318"/>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3684" w:hanging="318"/>
      </w:pPr>
      <w:rPr>
        <w:rFonts w:hint="default"/>
        <w:lang w:val="en-US" w:eastAsia="zh-CN" w:bidi="ar-SA"/>
      </w:rPr>
    </w:lvl>
    <w:lvl w:ilvl="2">
      <w:start w:val="0"/>
      <w:numFmt w:val="bullet"/>
      <w:lvlText w:val="•"/>
      <w:lvlJc w:val="left"/>
      <w:pPr>
        <w:ind w:left="4449" w:hanging="318"/>
      </w:pPr>
      <w:rPr>
        <w:rFonts w:hint="default"/>
        <w:lang w:val="en-US" w:eastAsia="zh-CN" w:bidi="ar-SA"/>
      </w:rPr>
    </w:lvl>
    <w:lvl w:ilvl="3">
      <w:start w:val="0"/>
      <w:numFmt w:val="bullet"/>
      <w:lvlText w:val="•"/>
      <w:lvlJc w:val="left"/>
      <w:pPr>
        <w:ind w:left="5213" w:hanging="318"/>
      </w:pPr>
      <w:rPr>
        <w:rFonts w:hint="default"/>
        <w:lang w:val="en-US" w:eastAsia="zh-CN" w:bidi="ar-SA"/>
      </w:rPr>
    </w:lvl>
    <w:lvl w:ilvl="4">
      <w:start w:val="0"/>
      <w:numFmt w:val="bullet"/>
      <w:lvlText w:val="•"/>
      <w:lvlJc w:val="left"/>
      <w:pPr>
        <w:ind w:left="5978" w:hanging="318"/>
      </w:pPr>
      <w:rPr>
        <w:rFonts w:hint="default"/>
        <w:lang w:val="en-US" w:eastAsia="zh-CN" w:bidi="ar-SA"/>
      </w:rPr>
    </w:lvl>
    <w:lvl w:ilvl="5">
      <w:start w:val="0"/>
      <w:numFmt w:val="bullet"/>
      <w:lvlText w:val="•"/>
      <w:lvlJc w:val="left"/>
      <w:pPr>
        <w:ind w:left="6743" w:hanging="318"/>
      </w:pPr>
      <w:rPr>
        <w:rFonts w:hint="default"/>
        <w:lang w:val="en-US" w:eastAsia="zh-CN" w:bidi="ar-SA"/>
      </w:rPr>
    </w:lvl>
    <w:lvl w:ilvl="6">
      <w:start w:val="0"/>
      <w:numFmt w:val="bullet"/>
      <w:lvlText w:val="•"/>
      <w:lvlJc w:val="left"/>
      <w:pPr>
        <w:ind w:left="7507" w:hanging="318"/>
      </w:pPr>
      <w:rPr>
        <w:rFonts w:hint="default"/>
        <w:lang w:val="en-US" w:eastAsia="zh-CN" w:bidi="ar-SA"/>
      </w:rPr>
    </w:lvl>
    <w:lvl w:ilvl="7">
      <w:start w:val="0"/>
      <w:numFmt w:val="bullet"/>
      <w:lvlText w:val="•"/>
      <w:lvlJc w:val="left"/>
      <w:pPr>
        <w:ind w:left="8272" w:hanging="318"/>
      </w:pPr>
      <w:rPr>
        <w:rFonts w:hint="default"/>
        <w:lang w:val="en-US" w:eastAsia="zh-CN" w:bidi="ar-SA"/>
      </w:rPr>
    </w:lvl>
    <w:lvl w:ilvl="8">
      <w:start w:val="0"/>
      <w:numFmt w:val="bullet"/>
      <w:lvlText w:val="•"/>
      <w:lvlJc w:val="left"/>
      <w:pPr>
        <w:ind w:left="9037" w:hanging="318"/>
      </w:pPr>
      <w:rPr>
        <w:rFonts w:hint="default"/>
        <w:lang w:val="en-US" w:eastAsia="zh-CN" w:bidi="ar-SA"/>
      </w:rPr>
    </w:lvl>
  </w:abstractNum>
  <w:abstractNum w:abstractNumId="19">
    <w:multiLevelType w:val="hybridMultilevel"/>
    <w:lvl w:ilvl="0">
      <w:start w:val="1"/>
      <w:numFmt w:val="decimal"/>
      <w:lvlText w:val="（%1）"/>
      <w:lvlJc w:val="left"/>
      <w:pPr>
        <w:ind w:left="312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864" w:hanging="529"/>
      </w:pPr>
      <w:rPr>
        <w:rFonts w:hint="default"/>
        <w:lang w:val="en-US" w:eastAsia="zh-CN" w:bidi="ar-SA"/>
      </w:rPr>
    </w:lvl>
    <w:lvl w:ilvl="2">
      <w:start w:val="0"/>
      <w:numFmt w:val="bullet"/>
      <w:lvlText w:val="•"/>
      <w:lvlJc w:val="left"/>
      <w:pPr>
        <w:ind w:left="4609" w:hanging="529"/>
      </w:pPr>
      <w:rPr>
        <w:rFonts w:hint="default"/>
        <w:lang w:val="en-US" w:eastAsia="zh-CN" w:bidi="ar-SA"/>
      </w:rPr>
    </w:lvl>
    <w:lvl w:ilvl="3">
      <w:start w:val="0"/>
      <w:numFmt w:val="bullet"/>
      <w:lvlText w:val="•"/>
      <w:lvlJc w:val="left"/>
      <w:pPr>
        <w:ind w:left="5353" w:hanging="529"/>
      </w:pPr>
      <w:rPr>
        <w:rFonts w:hint="default"/>
        <w:lang w:val="en-US" w:eastAsia="zh-CN" w:bidi="ar-SA"/>
      </w:rPr>
    </w:lvl>
    <w:lvl w:ilvl="4">
      <w:start w:val="0"/>
      <w:numFmt w:val="bullet"/>
      <w:lvlText w:val="•"/>
      <w:lvlJc w:val="left"/>
      <w:pPr>
        <w:ind w:left="6098" w:hanging="529"/>
      </w:pPr>
      <w:rPr>
        <w:rFonts w:hint="default"/>
        <w:lang w:val="en-US" w:eastAsia="zh-CN" w:bidi="ar-SA"/>
      </w:rPr>
    </w:lvl>
    <w:lvl w:ilvl="5">
      <w:start w:val="0"/>
      <w:numFmt w:val="bullet"/>
      <w:lvlText w:val="•"/>
      <w:lvlJc w:val="left"/>
      <w:pPr>
        <w:ind w:left="6843" w:hanging="529"/>
      </w:pPr>
      <w:rPr>
        <w:rFonts w:hint="default"/>
        <w:lang w:val="en-US" w:eastAsia="zh-CN" w:bidi="ar-SA"/>
      </w:rPr>
    </w:lvl>
    <w:lvl w:ilvl="6">
      <w:start w:val="0"/>
      <w:numFmt w:val="bullet"/>
      <w:lvlText w:val="•"/>
      <w:lvlJc w:val="left"/>
      <w:pPr>
        <w:ind w:left="7587" w:hanging="529"/>
      </w:pPr>
      <w:rPr>
        <w:rFonts w:hint="default"/>
        <w:lang w:val="en-US" w:eastAsia="zh-CN" w:bidi="ar-SA"/>
      </w:rPr>
    </w:lvl>
    <w:lvl w:ilvl="7">
      <w:start w:val="0"/>
      <w:numFmt w:val="bullet"/>
      <w:lvlText w:val="•"/>
      <w:lvlJc w:val="left"/>
      <w:pPr>
        <w:ind w:left="8332" w:hanging="529"/>
      </w:pPr>
      <w:rPr>
        <w:rFonts w:hint="default"/>
        <w:lang w:val="en-US" w:eastAsia="zh-CN" w:bidi="ar-SA"/>
      </w:rPr>
    </w:lvl>
    <w:lvl w:ilvl="8">
      <w:start w:val="0"/>
      <w:numFmt w:val="bullet"/>
      <w:lvlText w:val="•"/>
      <w:lvlJc w:val="left"/>
      <w:pPr>
        <w:ind w:left="9077" w:hanging="529"/>
      </w:pPr>
      <w:rPr>
        <w:rFonts w:hint="default"/>
        <w:lang w:val="en-US" w:eastAsia="zh-CN" w:bidi="ar-SA"/>
      </w:rPr>
    </w:lvl>
  </w:abstractNum>
  <w:abstractNum w:abstractNumId="18">
    <w:multiLevelType w:val="hybridMultilevel"/>
    <w:lvl w:ilvl="0">
      <w:start w:val="1"/>
      <w:numFmt w:val="decimal"/>
      <w:lvlText w:val="（%1）"/>
      <w:lvlJc w:val="left"/>
      <w:pPr>
        <w:ind w:left="259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396" w:hanging="529"/>
      </w:pPr>
      <w:rPr>
        <w:rFonts w:hint="default"/>
        <w:lang w:val="en-US" w:eastAsia="zh-CN" w:bidi="ar-SA"/>
      </w:rPr>
    </w:lvl>
    <w:lvl w:ilvl="2">
      <w:start w:val="0"/>
      <w:numFmt w:val="bullet"/>
      <w:lvlText w:val="•"/>
      <w:lvlJc w:val="left"/>
      <w:pPr>
        <w:ind w:left="4193" w:hanging="529"/>
      </w:pPr>
      <w:rPr>
        <w:rFonts w:hint="default"/>
        <w:lang w:val="en-US" w:eastAsia="zh-CN" w:bidi="ar-SA"/>
      </w:rPr>
    </w:lvl>
    <w:lvl w:ilvl="3">
      <w:start w:val="0"/>
      <w:numFmt w:val="bullet"/>
      <w:lvlText w:val="•"/>
      <w:lvlJc w:val="left"/>
      <w:pPr>
        <w:ind w:left="4989" w:hanging="529"/>
      </w:pPr>
      <w:rPr>
        <w:rFonts w:hint="default"/>
        <w:lang w:val="en-US" w:eastAsia="zh-CN" w:bidi="ar-SA"/>
      </w:rPr>
    </w:lvl>
    <w:lvl w:ilvl="4">
      <w:start w:val="0"/>
      <w:numFmt w:val="bullet"/>
      <w:lvlText w:val="•"/>
      <w:lvlJc w:val="left"/>
      <w:pPr>
        <w:ind w:left="5786" w:hanging="529"/>
      </w:pPr>
      <w:rPr>
        <w:rFonts w:hint="default"/>
        <w:lang w:val="en-US" w:eastAsia="zh-CN" w:bidi="ar-SA"/>
      </w:rPr>
    </w:lvl>
    <w:lvl w:ilvl="5">
      <w:start w:val="0"/>
      <w:numFmt w:val="bullet"/>
      <w:lvlText w:val="•"/>
      <w:lvlJc w:val="left"/>
      <w:pPr>
        <w:ind w:left="6583" w:hanging="529"/>
      </w:pPr>
      <w:rPr>
        <w:rFonts w:hint="default"/>
        <w:lang w:val="en-US" w:eastAsia="zh-CN" w:bidi="ar-SA"/>
      </w:rPr>
    </w:lvl>
    <w:lvl w:ilvl="6">
      <w:start w:val="0"/>
      <w:numFmt w:val="bullet"/>
      <w:lvlText w:val="•"/>
      <w:lvlJc w:val="left"/>
      <w:pPr>
        <w:ind w:left="7379" w:hanging="529"/>
      </w:pPr>
      <w:rPr>
        <w:rFonts w:hint="default"/>
        <w:lang w:val="en-US" w:eastAsia="zh-CN" w:bidi="ar-SA"/>
      </w:rPr>
    </w:lvl>
    <w:lvl w:ilvl="7">
      <w:start w:val="0"/>
      <w:numFmt w:val="bullet"/>
      <w:lvlText w:val="•"/>
      <w:lvlJc w:val="left"/>
      <w:pPr>
        <w:ind w:left="8176" w:hanging="529"/>
      </w:pPr>
      <w:rPr>
        <w:rFonts w:hint="default"/>
        <w:lang w:val="en-US" w:eastAsia="zh-CN" w:bidi="ar-SA"/>
      </w:rPr>
    </w:lvl>
    <w:lvl w:ilvl="8">
      <w:start w:val="0"/>
      <w:numFmt w:val="bullet"/>
      <w:lvlText w:val="•"/>
      <w:lvlJc w:val="left"/>
      <w:pPr>
        <w:ind w:left="8973" w:hanging="529"/>
      </w:pPr>
      <w:rPr>
        <w:rFonts w:hint="default"/>
        <w:lang w:val="en-US" w:eastAsia="zh-CN" w:bidi="ar-SA"/>
      </w:rPr>
    </w:lvl>
  </w:abstractNum>
  <w:abstractNum w:abstractNumId="17">
    <w:multiLevelType w:val="hybridMultilevel"/>
    <w:lvl w:ilvl="0">
      <w:start w:val="1"/>
      <w:numFmt w:val="decimal"/>
      <w:lvlText w:val="（%1）"/>
      <w:lvlJc w:val="left"/>
      <w:pPr>
        <w:ind w:left="312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864" w:hanging="529"/>
      </w:pPr>
      <w:rPr>
        <w:rFonts w:hint="default"/>
        <w:lang w:val="en-US" w:eastAsia="zh-CN" w:bidi="ar-SA"/>
      </w:rPr>
    </w:lvl>
    <w:lvl w:ilvl="2">
      <w:start w:val="0"/>
      <w:numFmt w:val="bullet"/>
      <w:lvlText w:val="•"/>
      <w:lvlJc w:val="left"/>
      <w:pPr>
        <w:ind w:left="4609" w:hanging="529"/>
      </w:pPr>
      <w:rPr>
        <w:rFonts w:hint="default"/>
        <w:lang w:val="en-US" w:eastAsia="zh-CN" w:bidi="ar-SA"/>
      </w:rPr>
    </w:lvl>
    <w:lvl w:ilvl="3">
      <w:start w:val="0"/>
      <w:numFmt w:val="bullet"/>
      <w:lvlText w:val="•"/>
      <w:lvlJc w:val="left"/>
      <w:pPr>
        <w:ind w:left="5353" w:hanging="529"/>
      </w:pPr>
      <w:rPr>
        <w:rFonts w:hint="default"/>
        <w:lang w:val="en-US" w:eastAsia="zh-CN" w:bidi="ar-SA"/>
      </w:rPr>
    </w:lvl>
    <w:lvl w:ilvl="4">
      <w:start w:val="0"/>
      <w:numFmt w:val="bullet"/>
      <w:lvlText w:val="•"/>
      <w:lvlJc w:val="left"/>
      <w:pPr>
        <w:ind w:left="6098" w:hanging="529"/>
      </w:pPr>
      <w:rPr>
        <w:rFonts w:hint="default"/>
        <w:lang w:val="en-US" w:eastAsia="zh-CN" w:bidi="ar-SA"/>
      </w:rPr>
    </w:lvl>
    <w:lvl w:ilvl="5">
      <w:start w:val="0"/>
      <w:numFmt w:val="bullet"/>
      <w:lvlText w:val="•"/>
      <w:lvlJc w:val="left"/>
      <w:pPr>
        <w:ind w:left="6843" w:hanging="529"/>
      </w:pPr>
      <w:rPr>
        <w:rFonts w:hint="default"/>
        <w:lang w:val="en-US" w:eastAsia="zh-CN" w:bidi="ar-SA"/>
      </w:rPr>
    </w:lvl>
    <w:lvl w:ilvl="6">
      <w:start w:val="0"/>
      <w:numFmt w:val="bullet"/>
      <w:lvlText w:val="•"/>
      <w:lvlJc w:val="left"/>
      <w:pPr>
        <w:ind w:left="7587" w:hanging="529"/>
      </w:pPr>
      <w:rPr>
        <w:rFonts w:hint="default"/>
        <w:lang w:val="en-US" w:eastAsia="zh-CN" w:bidi="ar-SA"/>
      </w:rPr>
    </w:lvl>
    <w:lvl w:ilvl="7">
      <w:start w:val="0"/>
      <w:numFmt w:val="bullet"/>
      <w:lvlText w:val="•"/>
      <w:lvlJc w:val="left"/>
      <w:pPr>
        <w:ind w:left="8332" w:hanging="529"/>
      </w:pPr>
      <w:rPr>
        <w:rFonts w:hint="default"/>
        <w:lang w:val="en-US" w:eastAsia="zh-CN" w:bidi="ar-SA"/>
      </w:rPr>
    </w:lvl>
    <w:lvl w:ilvl="8">
      <w:start w:val="0"/>
      <w:numFmt w:val="bullet"/>
      <w:lvlText w:val="•"/>
      <w:lvlJc w:val="left"/>
      <w:pPr>
        <w:ind w:left="9077" w:hanging="529"/>
      </w:pPr>
      <w:rPr>
        <w:rFonts w:hint="default"/>
        <w:lang w:val="en-US" w:eastAsia="zh-CN" w:bidi="ar-SA"/>
      </w:rPr>
    </w:lvl>
  </w:abstractNum>
  <w:abstractNum w:abstractNumId="16">
    <w:multiLevelType w:val="hybridMultilevel"/>
    <w:lvl w:ilvl="0">
      <w:start w:val="4"/>
      <w:numFmt w:val="decimal"/>
      <w:lvlText w:val="（%1）"/>
      <w:lvlJc w:val="left"/>
      <w:pPr>
        <w:ind w:left="3123" w:hanging="529"/>
        <w:jc w:val="left"/>
      </w:pPr>
      <w:rPr>
        <w:rFonts w:hint="default" w:ascii="宋体" w:hAnsi="宋体" w:eastAsia="宋体" w:cs="宋体"/>
        <w:b w:val="0"/>
        <w:bCs w:val="0"/>
        <w:i w:val="0"/>
        <w:iCs w:val="0"/>
        <w:spacing w:val="-2"/>
        <w:w w:val="100"/>
        <w:sz w:val="19"/>
        <w:szCs w:val="19"/>
        <w:shd w:fill="D9D9D9" w:color="auto" w:val="clear"/>
        <w:lang w:val="en-US" w:eastAsia="zh-CN" w:bidi="ar-SA"/>
      </w:rPr>
    </w:lvl>
    <w:lvl w:ilvl="1">
      <w:start w:val="0"/>
      <w:numFmt w:val="bullet"/>
      <w:lvlText w:val="•"/>
      <w:lvlJc w:val="left"/>
      <w:pPr>
        <w:ind w:left="3864" w:hanging="529"/>
      </w:pPr>
      <w:rPr>
        <w:rFonts w:hint="default"/>
        <w:lang w:val="en-US" w:eastAsia="zh-CN" w:bidi="ar-SA"/>
      </w:rPr>
    </w:lvl>
    <w:lvl w:ilvl="2">
      <w:start w:val="0"/>
      <w:numFmt w:val="bullet"/>
      <w:lvlText w:val="•"/>
      <w:lvlJc w:val="left"/>
      <w:pPr>
        <w:ind w:left="4609" w:hanging="529"/>
      </w:pPr>
      <w:rPr>
        <w:rFonts w:hint="default"/>
        <w:lang w:val="en-US" w:eastAsia="zh-CN" w:bidi="ar-SA"/>
      </w:rPr>
    </w:lvl>
    <w:lvl w:ilvl="3">
      <w:start w:val="0"/>
      <w:numFmt w:val="bullet"/>
      <w:lvlText w:val="•"/>
      <w:lvlJc w:val="left"/>
      <w:pPr>
        <w:ind w:left="5353" w:hanging="529"/>
      </w:pPr>
      <w:rPr>
        <w:rFonts w:hint="default"/>
        <w:lang w:val="en-US" w:eastAsia="zh-CN" w:bidi="ar-SA"/>
      </w:rPr>
    </w:lvl>
    <w:lvl w:ilvl="4">
      <w:start w:val="0"/>
      <w:numFmt w:val="bullet"/>
      <w:lvlText w:val="•"/>
      <w:lvlJc w:val="left"/>
      <w:pPr>
        <w:ind w:left="6098" w:hanging="529"/>
      </w:pPr>
      <w:rPr>
        <w:rFonts w:hint="default"/>
        <w:lang w:val="en-US" w:eastAsia="zh-CN" w:bidi="ar-SA"/>
      </w:rPr>
    </w:lvl>
    <w:lvl w:ilvl="5">
      <w:start w:val="0"/>
      <w:numFmt w:val="bullet"/>
      <w:lvlText w:val="•"/>
      <w:lvlJc w:val="left"/>
      <w:pPr>
        <w:ind w:left="6843" w:hanging="529"/>
      </w:pPr>
      <w:rPr>
        <w:rFonts w:hint="default"/>
        <w:lang w:val="en-US" w:eastAsia="zh-CN" w:bidi="ar-SA"/>
      </w:rPr>
    </w:lvl>
    <w:lvl w:ilvl="6">
      <w:start w:val="0"/>
      <w:numFmt w:val="bullet"/>
      <w:lvlText w:val="•"/>
      <w:lvlJc w:val="left"/>
      <w:pPr>
        <w:ind w:left="7587" w:hanging="529"/>
      </w:pPr>
      <w:rPr>
        <w:rFonts w:hint="default"/>
        <w:lang w:val="en-US" w:eastAsia="zh-CN" w:bidi="ar-SA"/>
      </w:rPr>
    </w:lvl>
    <w:lvl w:ilvl="7">
      <w:start w:val="0"/>
      <w:numFmt w:val="bullet"/>
      <w:lvlText w:val="•"/>
      <w:lvlJc w:val="left"/>
      <w:pPr>
        <w:ind w:left="8332" w:hanging="529"/>
      </w:pPr>
      <w:rPr>
        <w:rFonts w:hint="default"/>
        <w:lang w:val="en-US" w:eastAsia="zh-CN" w:bidi="ar-SA"/>
      </w:rPr>
    </w:lvl>
    <w:lvl w:ilvl="8">
      <w:start w:val="0"/>
      <w:numFmt w:val="bullet"/>
      <w:lvlText w:val="•"/>
      <w:lvlJc w:val="left"/>
      <w:pPr>
        <w:ind w:left="9077" w:hanging="529"/>
      </w:pPr>
      <w:rPr>
        <w:rFonts w:hint="default"/>
        <w:lang w:val="en-US" w:eastAsia="zh-CN" w:bidi="ar-SA"/>
      </w:rPr>
    </w:lvl>
  </w:abstractNum>
  <w:abstractNum w:abstractNumId="15">
    <w:multiLevelType w:val="hybridMultilevel"/>
    <w:lvl w:ilvl="0">
      <w:start w:val="1"/>
      <w:numFmt w:val="lowerLetter"/>
      <w:lvlText w:val="%1."/>
      <w:lvlJc w:val="left"/>
      <w:pPr>
        <w:ind w:left="2594" w:hanging="213"/>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3396" w:hanging="213"/>
      </w:pPr>
      <w:rPr>
        <w:rFonts w:hint="default"/>
        <w:lang w:val="en-US" w:eastAsia="zh-CN" w:bidi="ar-SA"/>
      </w:rPr>
    </w:lvl>
    <w:lvl w:ilvl="2">
      <w:start w:val="0"/>
      <w:numFmt w:val="bullet"/>
      <w:lvlText w:val="•"/>
      <w:lvlJc w:val="left"/>
      <w:pPr>
        <w:ind w:left="4193" w:hanging="213"/>
      </w:pPr>
      <w:rPr>
        <w:rFonts w:hint="default"/>
        <w:lang w:val="en-US" w:eastAsia="zh-CN" w:bidi="ar-SA"/>
      </w:rPr>
    </w:lvl>
    <w:lvl w:ilvl="3">
      <w:start w:val="0"/>
      <w:numFmt w:val="bullet"/>
      <w:lvlText w:val="•"/>
      <w:lvlJc w:val="left"/>
      <w:pPr>
        <w:ind w:left="4989" w:hanging="213"/>
      </w:pPr>
      <w:rPr>
        <w:rFonts w:hint="default"/>
        <w:lang w:val="en-US" w:eastAsia="zh-CN" w:bidi="ar-SA"/>
      </w:rPr>
    </w:lvl>
    <w:lvl w:ilvl="4">
      <w:start w:val="0"/>
      <w:numFmt w:val="bullet"/>
      <w:lvlText w:val="•"/>
      <w:lvlJc w:val="left"/>
      <w:pPr>
        <w:ind w:left="5786" w:hanging="213"/>
      </w:pPr>
      <w:rPr>
        <w:rFonts w:hint="default"/>
        <w:lang w:val="en-US" w:eastAsia="zh-CN" w:bidi="ar-SA"/>
      </w:rPr>
    </w:lvl>
    <w:lvl w:ilvl="5">
      <w:start w:val="0"/>
      <w:numFmt w:val="bullet"/>
      <w:lvlText w:val="•"/>
      <w:lvlJc w:val="left"/>
      <w:pPr>
        <w:ind w:left="6583" w:hanging="213"/>
      </w:pPr>
      <w:rPr>
        <w:rFonts w:hint="default"/>
        <w:lang w:val="en-US" w:eastAsia="zh-CN" w:bidi="ar-SA"/>
      </w:rPr>
    </w:lvl>
    <w:lvl w:ilvl="6">
      <w:start w:val="0"/>
      <w:numFmt w:val="bullet"/>
      <w:lvlText w:val="•"/>
      <w:lvlJc w:val="left"/>
      <w:pPr>
        <w:ind w:left="7379" w:hanging="213"/>
      </w:pPr>
      <w:rPr>
        <w:rFonts w:hint="default"/>
        <w:lang w:val="en-US" w:eastAsia="zh-CN" w:bidi="ar-SA"/>
      </w:rPr>
    </w:lvl>
    <w:lvl w:ilvl="7">
      <w:start w:val="0"/>
      <w:numFmt w:val="bullet"/>
      <w:lvlText w:val="•"/>
      <w:lvlJc w:val="left"/>
      <w:pPr>
        <w:ind w:left="8176" w:hanging="213"/>
      </w:pPr>
      <w:rPr>
        <w:rFonts w:hint="default"/>
        <w:lang w:val="en-US" w:eastAsia="zh-CN" w:bidi="ar-SA"/>
      </w:rPr>
    </w:lvl>
    <w:lvl w:ilvl="8">
      <w:start w:val="0"/>
      <w:numFmt w:val="bullet"/>
      <w:lvlText w:val="•"/>
      <w:lvlJc w:val="left"/>
      <w:pPr>
        <w:ind w:left="8973" w:hanging="213"/>
      </w:pPr>
      <w:rPr>
        <w:rFonts w:hint="default"/>
        <w:lang w:val="en-US" w:eastAsia="zh-CN" w:bidi="ar-SA"/>
      </w:rPr>
    </w:lvl>
  </w:abstractNum>
  <w:abstractNum w:abstractNumId="14">
    <w:multiLevelType w:val="hybridMultilevel"/>
    <w:lvl w:ilvl="0">
      <w:start w:val="1"/>
      <w:numFmt w:val="decimal"/>
      <w:lvlText w:val="%1）"/>
      <w:lvlJc w:val="left"/>
      <w:pPr>
        <w:ind w:left="462" w:hanging="318"/>
        <w:jc w:val="right"/>
      </w:pPr>
      <w:rPr>
        <w:rFonts w:hint="default" w:ascii="微软雅黑" w:hAnsi="微软雅黑" w:eastAsia="微软雅黑" w:cs="微软雅黑"/>
        <w:b/>
        <w:bCs/>
        <w:i w:val="0"/>
        <w:iCs w:val="0"/>
        <w:w w:val="81"/>
        <w:sz w:val="19"/>
        <w:szCs w:val="19"/>
        <w:lang w:val="en-US" w:eastAsia="zh-CN" w:bidi="ar-SA"/>
      </w:rPr>
    </w:lvl>
    <w:lvl w:ilvl="1">
      <w:start w:val="1"/>
      <w:numFmt w:val="decimal"/>
      <w:lvlText w:val="（%2）"/>
      <w:lvlJc w:val="left"/>
      <w:pPr>
        <w:ind w:left="2594"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2">
      <w:start w:val="0"/>
      <w:numFmt w:val="bullet"/>
      <w:lvlText w:val="•"/>
      <w:lvlJc w:val="left"/>
      <w:pPr>
        <w:ind w:left="3213" w:hanging="529"/>
      </w:pPr>
      <w:rPr>
        <w:rFonts w:hint="default"/>
        <w:lang w:val="en-US" w:eastAsia="zh-CN" w:bidi="ar-SA"/>
      </w:rPr>
    </w:lvl>
    <w:lvl w:ilvl="3">
      <w:start w:val="0"/>
      <w:numFmt w:val="bullet"/>
      <w:lvlText w:val="•"/>
      <w:lvlJc w:val="left"/>
      <w:pPr>
        <w:ind w:left="3826" w:hanging="529"/>
      </w:pPr>
      <w:rPr>
        <w:rFonts w:hint="default"/>
        <w:lang w:val="en-US" w:eastAsia="zh-CN" w:bidi="ar-SA"/>
      </w:rPr>
    </w:lvl>
    <w:lvl w:ilvl="4">
      <w:start w:val="0"/>
      <w:numFmt w:val="bullet"/>
      <w:lvlText w:val="•"/>
      <w:lvlJc w:val="left"/>
      <w:pPr>
        <w:ind w:left="4439" w:hanging="529"/>
      </w:pPr>
      <w:rPr>
        <w:rFonts w:hint="default"/>
        <w:lang w:val="en-US" w:eastAsia="zh-CN" w:bidi="ar-SA"/>
      </w:rPr>
    </w:lvl>
    <w:lvl w:ilvl="5">
      <w:start w:val="0"/>
      <w:numFmt w:val="bullet"/>
      <w:lvlText w:val="•"/>
      <w:lvlJc w:val="left"/>
      <w:pPr>
        <w:ind w:left="5052" w:hanging="529"/>
      </w:pPr>
      <w:rPr>
        <w:rFonts w:hint="default"/>
        <w:lang w:val="en-US" w:eastAsia="zh-CN" w:bidi="ar-SA"/>
      </w:rPr>
    </w:lvl>
    <w:lvl w:ilvl="6">
      <w:start w:val="0"/>
      <w:numFmt w:val="bullet"/>
      <w:lvlText w:val="•"/>
      <w:lvlJc w:val="left"/>
      <w:pPr>
        <w:ind w:left="5665" w:hanging="529"/>
      </w:pPr>
      <w:rPr>
        <w:rFonts w:hint="default"/>
        <w:lang w:val="en-US" w:eastAsia="zh-CN" w:bidi="ar-SA"/>
      </w:rPr>
    </w:lvl>
    <w:lvl w:ilvl="7">
      <w:start w:val="0"/>
      <w:numFmt w:val="bullet"/>
      <w:lvlText w:val="•"/>
      <w:lvlJc w:val="left"/>
      <w:pPr>
        <w:ind w:left="6278" w:hanging="529"/>
      </w:pPr>
      <w:rPr>
        <w:rFonts w:hint="default"/>
        <w:lang w:val="en-US" w:eastAsia="zh-CN" w:bidi="ar-SA"/>
      </w:rPr>
    </w:lvl>
    <w:lvl w:ilvl="8">
      <w:start w:val="0"/>
      <w:numFmt w:val="bullet"/>
      <w:lvlText w:val="•"/>
      <w:lvlJc w:val="left"/>
      <w:pPr>
        <w:ind w:left="6891" w:hanging="529"/>
      </w:pPr>
      <w:rPr>
        <w:rFonts w:hint="default"/>
        <w:lang w:val="en-US" w:eastAsia="zh-CN" w:bidi="ar-SA"/>
      </w:rPr>
    </w:lvl>
  </w:abstractNum>
  <w:abstractNum w:abstractNumId="13">
    <w:multiLevelType w:val="hybridMultilevel"/>
    <w:lvl w:ilvl="0">
      <w:start w:val="6"/>
      <w:numFmt w:val="decimal"/>
      <w:lvlText w:val="%1"/>
      <w:lvlJc w:val="left"/>
      <w:pPr>
        <w:ind w:left="2949" w:hanging="961"/>
        <w:jc w:val="left"/>
      </w:pPr>
      <w:rPr>
        <w:rFonts w:hint="default"/>
        <w:lang w:val="en-US" w:eastAsia="zh-CN" w:bidi="ar-SA"/>
      </w:rPr>
    </w:lvl>
    <w:lvl w:ilvl="1">
      <w:start w:val="3"/>
      <w:numFmt w:val="decimal"/>
      <w:lvlText w:val="%1.%2"/>
      <w:lvlJc w:val="left"/>
      <w:pPr>
        <w:ind w:left="2949" w:hanging="961"/>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2949" w:hanging="530"/>
        <w:jc w:val="left"/>
      </w:pPr>
      <w:rPr>
        <w:rFonts w:hint="default" w:ascii="宋体" w:hAnsi="宋体" w:eastAsia="宋体" w:cs="宋体"/>
        <w:b w:val="0"/>
        <w:bCs w:val="0"/>
        <w:i w:val="0"/>
        <w:iCs w:val="0"/>
        <w:spacing w:val="-3"/>
        <w:w w:val="100"/>
        <w:sz w:val="19"/>
        <w:szCs w:val="19"/>
        <w:shd w:fill="E4E4E4" w:color="auto" w:val="clear"/>
        <w:lang w:val="en-US" w:eastAsia="zh-CN" w:bidi="ar-SA"/>
      </w:rPr>
    </w:lvl>
    <w:lvl w:ilvl="3">
      <w:start w:val="0"/>
      <w:numFmt w:val="bullet"/>
      <w:lvlText w:val="•"/>
      <w:lvlJc w:val="left"/>
      <w:pPr>
        <w:ind w:left="5227" w:hanging="530"/>
      </w:pPr>
      <w:rPr>
        <w:rFonts w:hint="default"/>
        <w:lang w:val="en-US" w:eastAsia="zh-CN" w:bidi="ar-SA"/>
      </w:rPr>
    </w:lvl>
    <w:lvl w:ilvl="4">
      <w:start w:val="0"/>
      <w:numFmt w:val="bullet"/>
      <w:lvlText w:val="•"/>
      <w:lvlJc w:val="left"/>
      <w:pPr>
        <w:ind w:left="5990" w:hanging="530"/>
      </w:pPr>
      <w:rPr>
        <w:rFonts w:hint="default"/>
        <w:lang w:val="en-US" w:eastAsia="zh-CN" w:bidi="ar-SA"/>
      </w:rPr>
    </w:lvl>
    <w:lvl w:ilvl="5">
      <w:start w:val="0"/>
      <w:numFmt w:val="bullet"/>
      <w:lvlText w:val="•"/>
      <w:lvlJc w:val="left"/>
      <w:pPr>
        <w:ind w:left="6753" w:hanging="530"/>
      </w:pPr>
      <w:rPr>
        <w:rFonts w:hint="default"/>
        <w:lang w:val="en-US" w:eastAsia="zh-CN" w:bidi="ar-SA"/>
      </w:rPr>
    </w:lvl>
    <w:lvl w:ilvl="6">
      <w:start w:val="0"/>
      <w:numFmt w:val="bullet"/>
      <w:lvlText w:val="•"/>
      <w:lvlJc w:val="left"/>
      <w:pPr>
        <w:ind w:left="7515" w:hanging="530"/>
      </w:pPr>
      <w:rPr>
        <w:rFonts w:hint="default"/>
        <w:lang w:val="en-US" w:eastAsia="zh-CN" w:bidi="ar-SA"/>
      </w:rPr>
    </w:lvl>
    <w:lvl w:ilvl="7">
      <w:start w:val="0"/>
      <w:numFmt w:val="bullet"/>
      <w:lvlText w:val="•"/>
      <w:lvlJc w:val="left"/>
      <w:pPr>
        <w:ind w:left="8278" w:hanging="530"/>
      </w:pPr>
      <w:rPr>
        <w:rFonts w:hint="default"/>
        <w:lang w:val="en-US" w:eastAsia="zh-CN" w:bidi="ar-SA"/>
      </w:rPr>
    </w:lvl>
    <w:lvl w:ilvl="8">
      <w:start w:val="0"/>
      <w:numFmt w:val="bullet"/>
      <w:lvlText w:val="•"/>
      <w:lvlJc w:val="left"/>
      <w:pPr>
        <w:ind w:left="9041" w:hanging="530"/>
      </w:pPr>
      <w:rPr>
        <w:rFonts w:hint="default"/>
        <w:lang w:val="en-US" w:eastAsia="zh-CN" w:bidi="ar-SA"/>
      </w:rPr>
    </w:lvl>
  </w:abstractNum>
  <w:abstractNum w:abstractNumId="12">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8" w:hanging="530"/>
      </w:pPr>
      <w:rPr>
        <w:rFonts w:hint="default"/>
        <w:lang w:val="en-US" w:eastAsia="zh-CN" w:bidi="ar-SA"/>
      </w:rPr>
    </w:lvl>
    <w:lvl w:ilvl="2">
      <w:start w:val="0"/>
      <w:numFmt w:val="bullet"/>
      <w:lvlText w:val="•"/>
      <w:lvlJc w:val="left"/>
      <w:pPr>
        <w:ind w:left="2096" w:hanging="530"/>
      </w:pPr>
      <w:rPr>
        <w:rFonts w:hint="default"/>
        <w:lang w:val="en-US" w:eastAsia="zh-CN" w:bidi="ar-SA"/>
      </w:rPr>
    </w:lvl>
    <w:lvl w:ilvl="3">
      <w:start w:val="0"/>
      <w:numFmt w:val="bullet"/>
      <w:lvlText w:val="•"/>
      <w:lvlJc w:val="left"/>
      <w:pPr>
        <w:ind w:left="2795" w:hanging="530"/>
      </w:pPr>
      <w:rPr>
        <w:rFonts w:hint="default"/>
        <w:lang w:val="en-US" w:eastAsia="zh-CN" w:bidi="ar-SA"/>
      </w:rPr>
    </w:lvl>
    <w:lvl w:ilvl="4">
      <w:start w:val="0"/>
      <w:numFmt w:val="bullet"/>
      <w:lvlText w:val="•"/>
      <w:lvlJc w:val="left"/>
      <w:pPr>
        <w:ind w:left="3493" w:hanging="530"/>
      </w:pPr>
      <w:rPr>
        <w:rFonts w:hint="default"/>
        <w:lang w:val="en-US" w:eastAsia="zh-CN" w:bidi="ar-SA"/>
      </w:rPr>
    </w:lvl>
    <w:lvl w:ilvl="5">
      <w:start w:val="0"/>
      <w:numFmt w:val="bullet"/>
      <w:lvlText w:val="•"/>
      <w:lvlJc w:val="left"/>
      <w:pPr>
        <w:ind w:left="4192" w:hanging="530"/>
      </w:pPr>
      <w:rPr>
        <w:rFonts w:hint="default"/>
        <w:lang w:val="en-US" w:eastAsia="zh-CN" w:bidi="ar-SA"/>
      </w:rPr>
    </w:lvl>
    <w:lvl w:ilvl="6">
      <w:start w:val="0"/>
      <w:numFmt w:val="bullet"/>
      <w:lvlText w:val="•"/>
      <w:lvlJc w:val="left"/>
      <w:pPr>
        <w:ind w:left="4890" w:hanging="530"/>
      </w:pPr>
      <w:rPr>
        <w:rFonts w:hint="default"/>
        <w:lang w:val="en-US" w:eastAsia="zh-CN" w:bidi="ar-SA"/>
      </w:rPr>
    </w:lvl>
    <w:lvl w:ilvl="7">
      <w:start w:val="0"/>
      <w:numFmt w:val="bullet"/>
      <w:lvlText w:val="•"/>
      <w:lvlJc w:val="left"/>
      <w:pPr>
        <w:ind w:left="5588" w:hanging="530"/>
      </w:pPr>
      <w:rPr>
        <w:rFonts w:hint="default"/>
        <w:lang w:val="en-US" w:eastAsia="zh-CN" w:bidi="ar-SA"/>
      </w:rPr>
    </w:lvl>
    <w:lvl w:ilvl="8">
      <w:start w:val="0"/>
      <w:numFmt w:val="bullet"/>
      <w:lvlText w:val="•"/>
      <w:lvlJc w:val="left"/>
      <w:pPr>
        <w:ind w:left="6287" w:hanging="530"/>
      </w:pPr>
      <w:rPr>
        <w:rFonts w:hint="default"/>
        <w:lang w:val="en-US" w:eastAsia="zh-CN" w:bidi="ar-SA"/>
      </w:rPr>
    </w:lvl>
  </w:abstractNum>
  <w:abstractNum w:abstractNumId="11">
    <w:multiLevelType w:val="hybridMultilevel"/>
    <w:lvl w:ilvl="0">
      <w:start w:val="1"/>
      <w:numFmt w:val="decimal"/>
      <w:lvlText w:val="（%1）"/>
      <w:lvlJc w:val="left"/>
      <w:pPr>
        <w:ind w:left="358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78" w:hanging="530"/>
      </w:pPr>
      <w:rPr>
        <w:rFonts w:hint="default"/>
        <w:lang w:val="en-US" w:eastAsia="zh-CN" w:bidi="ar-SA"/>
      </w:rPr>
    </w:lvl>
    <w:lvl w:ilvl="2">
      <w:start w:val="0"/>
      <w:numFmt w:val="bullet"/>
      <w:lvlText w:val="•"/>
      <w:lvlJc w:val="left"/>
      <w:pPr>
        <w:ind w:left="4977" w:hanging="530"/>
      </w:pPr>
      <w:rPr>
        <w:rFonts w:hint="default"/>
        <w:lang w:val="en-US" w:eastAsia="zh-CN" w:bidi="ar-SA"/>
      </w:rPr>
    </w:lvl>
    <w:lvl w:ilvl="3">
      <w:start w:val="0"/>
      <w:numFmt w:val="bullet"/>
      <w:lvlText w:val="•"/>
      <w:lvlJc w:val="left"/>
      <w:pPr>
        <w:ind w:left="5675" w:hanging="530"/>
      </w:pPr>
      <w:rPr>
        <w:rFonts w:hint="default"/>
        <w:lang w:val="en-US" w:eastAsia="zh-CN" w:bidi="ar-SA"/>
      </w:rPr>
    </w:lvl>
    <w:lvl w:ilvl="4">
      <w:start w:val="0"/>
      <w:numFmt w:val="bullet"/>
      <w:lvlText w:val="•"/>
      <w:lvlJc w:val="left"/>
      <w:pPr>
        <w:ind w:left="6374" w:hanging="530"/>
      </w:pPr>
      <w:rPr>
        <w:rFonts w:hint="default"/>
        <w:lang w:val="en-US" w:eastAsia="zh-CN" w:bidi="ar-SA"/>
      </w:rPr>
    </w:lvl>
    <w:lvl w:ilvl="5">
      <w:start w:val="0"/>
      <w:numFmt w:val="bullet"/>
      <w:lvlText w:val="•"/>
      <w:lvlJc w:val="left"/>
      <w:pPr>
        <w:ind w:left="7073" w:hanging="530"/>
      </w:pPr>
      <w:rPr>
        <w:rFonts w:hint="default"/>
        <w:lang w:val="en-US" w:eastAsia="zh-CN" w:bidi="ar-SA"/>
      </w:rPr>
    </w:lvl>
    <w:lvl w:ilvl="6">
      <w:start w:val="0"/>
      <w:numFmt w:val="bullet"/>
      <w:lvlText w:val="•"/>
      <w:lvlJc w:val="left"/>
      <w:pPr>
        <w:ind w:left="7771" w:hanging="530"/>
      </w:pPr>
      <w:rPr>
        <w:rFonts w:hint="default"/>
        <w:lang w:val="en-US" w:eastAsia="zh-CN" w:bidi="ar-SA"/>
      </w:rPr>
    </w:lvl>
    <w:lvl w:ilvl="7">
      <w:start w:val="0"/>
      <w:numFmt w:val="bullet"/>
      <w:lvlText w:val="•"/>
      <w:lvlJc w:val="left"/>
      <w:pPr>
        <w:ind w:left="8470" w:hanging="530"/>
      </w:pPr>
      <w:rPr>
        <w:rFonts w:hint="default"/>
        <w:lang w:val="en-US" w:eastAsia="zh-CN" w:bidi="ar-SA"/>
      </w:rPr>
    </w:lvl>
    <w:lvl w:ilvl="8">
      <w:start w:val="0"/>
      <w:numFmt w:val="bullet"/>
      <w:lvlText w:val="•"/>
      <w:lvlJc w:val="left"/>
      <w:pPr>
        <w:ind w:left="9169" w:hanging="530"/>
      </w:pPr>
      <w:rPr>
        <w:rFonts w:hint="default"/>
        <w:lang w:val="en-US" w:eastAsia="zh-CN" w:bidi="ar-SA"/>
      </w:rPr>
    </w:lvl>
  </w:abstractNum>
  <w:abstractNum w:abstractNumId="10">
    <w:multiLevelType w:val="hybridMultilevel"/>
    <w:lvl w:ilvl="0">
      <w:start w:val="3"/>
      <w:numFmt w:val="decimal"/>
      <w:lvlText w:val="（%1）"/>
      <w:lvlJc w:val="left"/>
      <w:pPr>
        <w:ind w:left="672" w:hanging="453"/>
        <w:jc w:val="left"/>
      </w:pPr>
      <w:rPr>
        <w:rFonts w:hint="default" w:ascii="宋体" w:hAnsi="宋体" w:eastAsia="宋体" w:cs="宋体"/>
        <w:b w:val="0"/>
        <w:bCs w:val="0"/>
        <w:i w:val="0"/>
        <w:iCs w:val="0"/>
        <w:spacing w:val="-2"/>
        <w:w w:val="100"/>
        <w:sz w:val="16"/>
        <w:szCs w:val="16"/>
        <w:lang w:val="en-US" w:eastAsia="zh-CN" w:bidi="ar-SA"/>
      </w:rPr>
    </w:lvl>
    <w:lvl w:ilvl="1">
      <w:start w:val="13"/>
      <w:numFmt w:val="decimal"/>
      <w:lvlText w:val="（%2）"/>
      <w:lvlJc w:val="left"/>
      <w:pPr>
        <w:ind w:left="3692" w:hanging="636"/>
        <w:jc w:val="left"/>
      </w:pPr>
      <w:rPr>
        <w:rFonts w:hint="default" w:ascii="宋体" w:hAnsi="宋体" w:eastAsia="宋体" w:cs="宋体"/>
        <w:b w:val="0"/>
        <w:bCs w:val="0"/>
        <w:i w:val="0"/>
        <w:iCs w:val="0"/>
        <w:spacing w:val="-3"/>
        <w:w w:val="100"/>
        <w:sz w:val="19"/>
        <w:szCs w:val="19"/>
        <w:shd w:fill="E4E4E4" w:color="auto" w:val="clear"/>
        <w:lang w:val="en-US" w:eastAsia="zh-CN" w:bidi="ar-SA"/>
      </w:rPr>
    </w:lvl>
    <w:lvl w:ilvl="2">
      <w:start w:val="0"/>
      <w:numFmt w:val="bullet"/>
      <w:lvlText w:val="•"/>
      <w:lvlJc w:val="left"/>
      <w:pPr>
        <w:ind w:left="4462" w:hanging="636"/>
      </w:pPr>
      <w:rPr>
        <w:rFonts w:hint="default"/>
        <w:lang w:val="en-US" w:eastAsia="zh-CN" w:bidi="ar-SA"/>
      </w:rPr>
    </w:lvl>
    <w:lvl w:ilvl="3">
      <w:start w:val="0"/>
      <w:numFmt w:val="bullet"/>
      <w:lvlText w:val="•"/>
      <w:lvlJc w:val="left"/>
      <w:pPr>
        <w:ind w:left="5225" w:hanging="636"/>
      </w:pPr>
      <w:rPr>
        <w:rFonts w:hint="default"/>
        <w:lang w:val="en-US" w:eastAsia="zh-CN" w:bidi="ar-SA"/>
      </w:rPr>
    </w:lvl>
    <w:lvl w:ilvl="4">
      <w:start w:val="0"/>
      <w:numFmt w:val="bullet"/>
      <w:lvlText w:val="•"/>
      <w:lvlJc w:val="left"/>
      <w:pPr>
        <w:ind w:left="5988" w:hanging="636"/>
      </w:pPr>
      <w:rPr>
        <w:rFonts w:hint="default"/>
        <w:lang w:val="en-US" w:eastAsia="zh-CN" w:bidi="ar-SA"/>
      </w:rPr>
    </w:lvl>
    <w:lvl w:ilvl="5">
      <w:start w:val="0"/>
      <w:numFmt w:val="bullet"/>
      <w:lvlText w:val="•"/>
      <w:lvlJc w:val="left"/>
      <w:pPr>
        <w:ind w:left="6751" w:hanging="636"/>
      </w:pPr>
      <w:rPr>
        <w:rFonts w:hint="default"/>
        <w:lang w:val="en-US" w:eastAsia="zh-CN" w:bidi="ar-SA"/>
      </w:rPr>
    </w:lvl>
    <w:lvl w:ilvl="6">
      <w:start w:val="0"/>
      <w:numFmt w:val="bullet"/>
      <w:lvlText w:val="•"/>
      <w:lvlJc w:val="left"/>
      <w:pPr>
        <w:ind w:left="7514" w:hanging="636"/>
      </w:pPr>
      <w:rPr>
        <w:rFonts w:hint="default"/>
        <w:lang w:val="en-US" w:eastAsia="zh-CN" w:bidi="ar-SA"/>
      </w:rPr>
    </w:lvl>
    <w:lvl w:ilvl="7">
      <w:start w:val="0"/>
      <w:numFmt w:val="bullet"/>
      <w:lvlText w:val="•"/>
      <w:lvlJc w:val="left"/>
      <w:pPr>
        <w:ind w:left="8277" w:hanging="636"/>
      </w:pPr>
      <w:rPr>
        <w:rFonts w:hint="default"/>
        <w:lang w:val="en-US" w:eastAsia="zh-CN" w:bidi="ar-SA"/>
      </w:rPr>
    </w:lvl>
    <w:lvl w:ilvl="8">
      <w:start w:val="0"/>
      <w:numFmt w:val="bullet"/>
      <w:lvlText w:val="•"/>
      <w:lvlJc w:val="left"/>
      <w:pPr>
        <w:ind w:left="9040" w:hanging="636"/>
      </w:pPr>
      <w:rPr>
        <w:rFonts w:hint="default"/>
        <w:lang w:val="en-US" w:eastAsia="zh-CN" w:bidi="ar-SA"/>
      </w:rPr>
    </w:lvl>
  </w:abstractNum>
  <w:abstractNum w:abstractNumId="9">
    <w:multiLevelType w:val="hybridMultilevel"/>
    <w:lvl w:ilvl="0">
      <w:start w:val="1"/>
      <w:numFmt w:val="decimal"/>
      <w:lvlText w:val="（%1）"/>
      <w:lvlJc w:val="left"/>
      <w:pPr>
        <w:ind w:left="3586" w:hanging="530"/>
        <w:jc w:val="left"/>
      </w:pPr>
      <w:rPr>
        <w:rFonts w:hint="default" w:ascii="宋体" w:hAnsi="宋体" w:eastAsia="宋体" w:cs="宋体"/>
        <w:b w:val="0"/>
        <w:bCs w:val="0"/>
        <w:i w:val="0"/>
        <w:iCs w:val="0"/>
        <w:spacing w:val="-3"/>
        <w:w w:val="100"/>
        <w:sz w:val="19"/>
        <w:szCs w:val="19"/>
        <w:shd w:fill="E4E4E4" w:color="auto" w:val="clear"/>
        <w:lang w:val="en-US" w:eastAsia="zh-CN" w:bidi="ar-SA"/>
      </w:rPr>
    </w:lvl>
    <w:lvl w:ilvl="1">
      <w:start w:val="0"/>
      <w:numFmt w:val="bullet"/>
      <w:lvlText w:val="•"/>
      <w:lvlJc w:val="left"/>
      <w:pPr>
        <w:ind w:left="4278" w:hanging="530"/>
      </w:pPr>
      <w:rPr>
        <w:rFonts w:hint="default"/>
        <w:lang w:val="en-US" w:eastAsia="zh-CN" w:bidi="ar-SA"/>
      </w:rPr>
    </w:lvl>
    <w:lvl w:ilvl="2">
      <w:start w:val="0"/>
      <w:numFmt w:val="bullet"/>
      <w:lvlText w:val="•"/>
      <w:lvlJc w:val="left"/>
      <w:pPr>
        <w:ind w:left="4977" w:hanging="530"/>
      </w:pPr>
      <w:rPr>
        <w:rFonts w:hint="default"/>
        <w:lang w:val="en-US" w:eastAsia="zh-CN" w:bidi="ar-SA"/>
      </w:rPr>
    </w:lvl>
    <w:lvl w:ilvl="3">
      <w:start w:val="0"/>
      <w:numFmt w:val="bullet"/>
      <w:lvlText w:val="•"/>
      <w:lvlJc w:val="left"/>
      <w:pPr>
        <w:ind w:left="5675" w:hanging="530"/>
      </w:pPr>
      <w:rPr>
        <w:rFonts w:hint="default"/>
        <w:lang w:val="en-US" w:eastAsia="zh-CN" w:bidi="ar-SA"/>
      </w:rPr>
    </w:lvl>
    <w:lvl w:ilvl="4">
      <w:start w:val="0"/>
      <w:numFmt w:val="bullet"/>
      <w:lvlText w:val="•"/>
      <w:lvlJc w:val="left"/>
      <w:pPr>
        <w:ind w:left="6374" w:hanging="530"/>
      </w:pPr>
      <w:rPr>
        <w:rFonts w:hint="default"/>
        <w:lang w:val="en-US" w:eastAsia="zh-CN" w:bidi="ar-SA"/>
      </w:rPr>
    </w:lvl>
    <w:lvl w:ilvl="5">
      <w:start w:val="0"/>
      <w:numFmt w:val="bullet"/>
      <w:lvlText w:val="•"/>
      <w:lvlJc w:val="left"/>
      <w:pPr>
        <w:ind w:left="7073" w:hanging="530"/>
      </w:pPr>
      <w:rPr>
        <w:rFonts w:hint="default"/>
        <w:lang w:val="en-US" w:eastAsia="zh-CN" w:bidi="ar-SA"/>
      </w:rPr>
    </w:lvl>
    <w:lvl w:ilvl="6">
      <w:start w:val="0"/>
      <w:numFmt w:val="bullet"/>
      <w:lvlText w:val="•"/>
      <w:lvlJc w:val="left"/>
      <w:pPr>
        <w:ind w:left="7771" w:hanging="530"/>
      </w:pPr>
      <w:rPr>
        <w:rFonts w:hint="default"/>
        <w:lang w:val="en-US" w:eastAsia="zh-CN" w:bidi="ar-SA"/>
      </w:rPr>
    </w:lvl>
    <w:lvl w:ilvl="7">
      <w:start w:val="0"/>
      <w:numFmt w:val="bullet"/>
      <w:lvlText w:val="•"/>
      <w:lvlJc w:val="left"/>
      <w:pPr>
        <w:ind w:left="8470" w:hanging="530"/>
      </w:pPr>
      <w:rPr>
        <w:rFonts w:hint="default"/>
        <w:lang w:val="en-US" w:eastAsia="zh-CN" w:bidi="ar-SA"/>
      </w:rPr>
    </w:lvl>
    <w:lvl w:ilvl="8">
      <w:start w:val="0"/>
      <w:numFmt w:val="bullet"/>
      <w:lvlText w:val="•"/>
      <w:lvlJc w:val="left"/>
      <w:pPr>
        <w:ind w:left="9169" w:hanging="530"/>
      </w:pPr>
      <w:rPr>
        <w:rFonts w:hint="default"/>
        <w:lang w:val="en-US" w:eastAsia="zh-CN" w:bidi="ar-SA"/>
      </w:rPr>
    </w:lvl>
  </w:abstractNum>
  <w:abstractNum w:abstractNumId="8">
    <w:multiLevelType w:val="hybridMultilevel"/>
    <w:lvl w:ilvl="0">
      <w:start w:val="1"/>
      <w:numFmt w:val="decimal"/>
      <w:lvlText w:val="%1."/>
      <w:lvlJc w:val="left"/>
      <w:pPr>
        <w:ind w:left="250"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09" w:hanging="213"/>
      </w:pPr>
      <w:rPr>
        <w:rFonts w:hint="default"/>
        <w:lang w:val="en-US" w:eastAsia="zh-CN" w:bidi="ar-SA"/>
      </w:rPr>
    </w:lvl>
    <w:lvl w:ilvl="2">
      <w:start w:val="0"/>
      <w:numFmt w:val="bullet"/>
      <w:lvlText w:val="•"/>
      <w:lvlJc w:val="left"/>
      <w:pPr>
        <w:ind w:left="1759" w:hanging="213"/>
      </w:pPr>
      <w:rPr>
        <w:rFonts w:hint="default"/>
        <w:lang w:val="en-US" w:eastAsia="zh-CN" w:bidi="ar-SA"/>
      </w:rPr>
    </w:lvl>
    <w:lvl w:ilvl="3">
      <w:start w:val="0"/>
      <w:numFmt w:val="bullet"/>
      <w:lvlText w:val="•"/>
      <w:lvlJc w:val="left"/>
      <w:pPr>
        <w:ind w:left="2509" w:hanging="213"/>
      </w:pPr>
      <w:rPr>
        <w:rFonts w:hint="default"/>
        <w:lang w:val="en-US" w:eastAsia="zh-CN" w:bidi="ar-SA"/>
      </w:rPr>
    </w:lvl>
    <w:lvl w:ilvl="4">
      <w:start w:val="0"/>
      <w:numFmt w:val="bullet"/>
      <w:lvlText w:val="•"/>
      <w:lvlJc w:val="left"/>
      <w:pPr>
        <w:ind w:left="3259" w:hanging="213"/>
      </w:pPr>
      <w:rPr>
        <w:rFonts w:hint="default"/>
        <w:lang w:val="en-US" w:eastAsia="zh-CN" w:bidi="ar-SA"/>
      </w:rPr>
    </w:lvl>
    <w:lvl w:ilvl="5">
      <w:start w:val="0"/>
      <w:numFmt w:val="bullet"/>
      <w:lvlText w:val="•"/>
      <w:lvlJc w:val="left"/>
      <w:pPr>
        <w:ind w:left="4009" w:hanging="213"/>
      </w:pPr>
      <w:rPr>
        <w:rFonts w:hint="default"/>
        <w:lang w:val="en-US" w:eastAsia="zh-CN" w:bidi="ar-SA"/>
      </w:rPr>
    </w:lvl>
    <w:lvl w:ilvl="6">
      <w:start w:val="0"/>
      <w:numFmt w:val="bullet"/>
      <w:lvlText w:val="•"/>
      <w:lvlJc w:val="left"/>
      <w:pPr>
        <w:ind w:left="4759" w:hanging="213"/>
      </w:pPr>
      <w:rPr>
        <w:rFonts w:hint="default"/>
        <w:lang w:val="en-US" w:eastAsia="zh-CN" w:bidi="ar-SA"/>
      </w:rPr>
    </w:lvl>
    <w:lvl w:ilvl="7">
      <w:start w:val="0"/>
      <w:numFmt w:val="bullet"/>
      <w:lvlText w:val="•"/>
      <w:lvlJc w:val="left"/>
      <w:pPr>
        <w:ind w:left="5509" w:hanging="213"/>
      </w:pPr>
      <w:rPr>
        <w:rFonts w:hint="default"/>
        <w:lang w:val="en-US" w:eastAsia="zh-CN" w:bidi="ar-SA"/>
      </w:rPr>
    </w:lvl>
    <w:lvl w:ilvl="8">
      <w:start w:val="0"/>
      <w:numFmt w:val="bullet"/>
      <w:lvlText w:val="•"/>
      <w:lvlJc w:val="left"/>
      <w:pPr>
        <w:ind w:left="6259" w:hanging="213"/>
      </w:pPr>
      <w:rPr>
        <w:rFonts w:hint="default"/>
        <w:lang w:val="en-US" w:eastAsia="zh-CN" w:bidi="ar-SA"/>
      </w:rPr>
    </w:lvl>
  </w:abstractNum>
  <w:abstractNum w:abstractNumId="7">
    <w:multiLevelType w:val="hybridMultilevel"/>
    <w:lvl w:ilvl="0">
      <w:start w:val="1"/>
      <w:numFmt w:val="decimal"/>
      <w:lvlText w:val="（%1）"/>
      <w:lvlJc w:val="left"/>
      <w:pPr>
        <w:ind w:left="3777"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58" w:hanging="721"/>
      </w:pPr>
      <w:rPr>
        <w:rFonts w:hint="default"/>
        <w:lang w:val="en-US" w:eastAsia="zh-CN" w:bidi="ar-SA"/>
      </w:rPr>
    </w:lvl>
    <w:lvl w:ilvl="2">
      <w:start w:val="0"/>
      <w:numFmt w:val="bullet"/>
      <w:lvlText w:val="•"/>
      <w:lvlJc w:val="left"/>
      <w:pPr>
        <w:ind w:left="5137" w:hanging="721"/>
      </w:pPr>
      <w:rPr>
        <w:rFonts w:hint="default"/>
        <w:lang w:val="en-US" w:eastAsia="zh-CN" w:bidi="ar-SA"/>
      </w:rPr>
    </w:lvl>
    <w:lvl w:ilvl="3">
      <w:start w:val="0"/>
      <w:numFmt w:val="bullet"/>
      <w:lvlText w:val="•"/>
      <w:lvlJc w:val="left"/>
      <w:pPr>
        <w:ind w:left="5815" w:hanging="721"/>
      </w:pPr>
      <w:rPr>
        <w:rFonts w:hint="default"/>
        <w:lang w:val="en-US" w:eastAsia="zh-CN" w:bidi="ar-SA"/>
      </w:rPr>
    </w:lvl>
    <w:lvl w:ilvl="4">
      <w:start w:val="0"/>
      <w:numFmt w:val="bullet"/>
      <w:lvlText w:val="•"/>
      <w:lvlJc w:val="left"/>
      <w:pPr>
        <w:ind w:left="6494" w:hanging="721"/>
      </w:pPr>
      <w:rPr>
        <w:rFonts w:hint="default"/>
        <w:lang w:val="en-US" w:eastAsia="zh-CN" w:bidi="ar-SA"/>
      </w:rPr>
    </w:lvl>
    <w:lvl w:ilvl="5">
      <w:start w:val="0"/>
      <w:numFmt w:val="bullet"/>
      <w:lvlText w:val="•"/>
      <w:lvlJc w:val="left"/>
      <w:pPr>
        <w:ind w:left="7173" w:hanging="721"/>
      </w:pPr>
      <w:rPr>
        <w:rFonts w:hint="default"/>
        <w:lang w:val="en-US" w:eastAsia="zh-CN" w:bidi="ar-SA"/>
      </w:rPr>
    </w:lvl>
    <w:lvl w:ilvl="6">
      <w:start w:val="0"/>
      <w:numFmt w:val="bullet"/>
      <w:lvlText w:val="•"/>
      <w:lvlJc w:val="left"/>
      <w:pPr>
        <w:ind w:left="7851" w:hanging="721"/>
      </w:pPr>
      <w:rPr>
        <w:rFonts w:hint="default"/>
        <w:lang w:val="en-US" w:eastAsia="zh-CN" w:bidi="ar-SA"/>
      </w:rPr>
    </w:lvl>
    <w:lvl w:ilvl="7">
      <w:start w:val="0"/>
      <w:numFmt w:val="bullet"/>
      <w:lvlText w:val="•"/>
      <w:lvlJc w:val="left"/>
      <w:pPr>
        <w:ind w:left="8530" w:hanging="721"/>
      </w:pPr>
      <w:rPr>
        <w:rFonts w:hint="default"/>
        <w:lang w:val="en-US" w:eastAsia="zh-CN" w:bidi="ar-SA"/>
      </w:rPr>
    </w:lvl>
    <w:lvl w:ilvl="8">
      <w:start w:val="0"/>
      <w:numFmt w:val="bullet"/>
      <w:lvlText w:val="•"/>
      <w:lvlJc w:val="left"/>
      <w:pPr>
        <w:ind w:left="9209" w:hanging="721"/>
      </w:pPr>
      <w:rPr>
        <w:rFonts w:hint="default"/>
        <w:lang w:val="en-US" w:eastAsia="zh-CN" w:bidi="ar-SA"/>
      </w:rPr>
    </w:lvl>
  </w:abstractNum>
  <w:abstractNum w:abstractNumId="6">
    <w:multiLevelType w:val="hybridMultilevel"/>
    <w:lvl w:ilvl="0">
      <w:start w:val="1"/>
      <w:numFmt w:val="decimal"/>
      <w:lvlText w:val="（%1）"/>
      <w:lvlJc w:val="left"/>
      <w:pPr>
        <w:ind w:left="895" w:hanging="721"/>
        <w:jc w:val="righ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78" w:hanging="721"/>
      </w:pPr>
      <w:rPr>
        <w:rFonts w:hint="default"/>
        <w:lang w:val="en-US" w:eastAsia="zh-CN" w:bidi="ar-SA"/>
      </w:rPr>
    </w:lvl>
    <w:lvl w:ilvl="2">
      <w:start w:val="0"/>
      <w:numFmt w:val="bullet"/>
      <w:lvlText w:val="•"/>
      <w:lvlJc w:val="left"/>
      <w:pPr>
        <w:ind w:left="2256" w:hanging="721"/>
      </w:pPr>
      <w:rPr>
        <w:rFonts w:hint="default"/>
        <w:lang w:val="en-US" w:eastAsia="zh-CN" w:bidi="ar-SA"/>
      </w:rPr>
    </w:lvl>
    <w:lvl w:ilvl="3">
      <w:start w:val="0"/>
      <w:numFmt w:val="bullet"/>
      <w:lvlText w:val="•"/>
      <w:lvlJc w:val="left"/>
      <w:pPr>
        <w:ind w:left="2935" w:hanging="721"/>
      </w:pPr>
      <w:rPr>
        <w:rFonts w:hint="default"/>
        <w:lang w:val="en-US" w:eastAsia="zh-CN" w:bidi="ar-SA"/>
      </w:rPr>
    </w:lvl>
    <w:lvl w:ilvl="4">
      <w:start w:val="0"/>
      <w:numFmt w:val="bullet"/>
      <w:lvlText w:val="•"/>
      <w:lvlJc w:val="left"/>
      <w:pPr>
        <w:ind w:left="3613" w:hanging="721"/>
      </w:pPr>
      <w:rPr>
        <w:rFonts w:hint="default"/>
        <w:lang w:val="en-US" w:eastAsia="zh-CN" w:bidi="ar-SA"/>
      </w:rPr>
    </w:lvl>
    <w:lvl w:ilvl="5">
      <w:start w:val="0"/>
      <w:numFmt w:val="bullet"/>
      <w:lvlText w:val="•"/>
      <w:lvlJc w:val="left"/>
      <w:pPr>
        <w:ind w:left="4292" w:hanging="721"/>
      </w:pPr>
      <w:rPr>
        <w:rFonts w:hint="default"/>
        <w:lang w:val="en-US" w:eastAsia="zh-CN" w:bidi="ar-SA"/>
      </w:rPr>
    </w:lvl>
    <w:lvl w:ilvl="6">
      <w:start w:val="0"/>
      <w:numFmt w:val="bullet"/>
      <w:lvlText w:val="•"/>
      <w:lvlJc w:val="left"/>
      <w:pPr>
        <w:ind w:left="4970" w:hanging="721"/>
      </w:pPr>
      <w:rPr>
        <w:rFonts w:hint="default"/>
        <w:lang w:val="en-US" w:eastAsia="zh-CN" w:bidi="ar-SA"/>
      </w:rPr>
    </w:lvl>
    <w:lvl w:ilvl="7">
      <w:start w:val="0"/>
      <w:numFmt w:val="bullet"/>
      <w:lvlText w:val="•"/>
      <w:lvlJc w:val="left"/>
      <w:pPr>
        <w:ind w:left="5648" w:hanging="721"/>
      </w:pPr>
      <w:rPr>
        <w:rFonts w:hint="default"/>
        <w:lang w:val="en-US" w:eastAsia="zh-CN" w:bidi="ar-SA"/>
      </w:rPr>
    </w:lvl>
    <w:lvl w:ilvl="8">
      <w:start w:val="0"/>
      <w:numFmt w:val="bullet"/>
      <w:lvlText w:val="•"/>
      <w:lvlJc w:val="left"/>
      <w:pPr>
        <w:ind w:left="6327" w:hanging="721"/>
      </w:pPr>
      <w:rPr>
        <w:rFonts w:hint="default"/>
        <w:lang w:val="en-US" w:eastAsia="zh-CN" w:bidi="ar-SA"/>
      </w:rPr>
    </w:lvl>
  </w:abstractNum>
  <w:abstractNum w:abstractNumId="5">
    <w:multiLevelType w:val="hybridMultilevel"/>
    <w:lvl w:ilvl="0">
      <w:start w:val="1"/>
      <w:numFmt w:val="decimal"/>
      <w:lvlText w:val="%1."/>
      <w:lvlJc w:val="left"/>
      <w:pPr>
        <w:ind w:left="535" w:hanging="361"/>
        <w:jc w:val="right"/>
      </w:pPr>
      <w:rPr>
        <w:rFonts w:hint="default" w:ascii="微软雅黑" w:hAnsi="微软雅黑" w:eastAsia="微软雅黑" w:cs="微软雅黑"/>
        <w:b/>
        <w:bCs/>
        <w:i w:val="0"/>
        <w:iCs w:val="0"/>
        <w:w w:val="111"/>
        <w:sz w:val="21"/>
        <w:szCs w:val="21"/>
        <w:lang w:val="en-US" w:eastAsia="zh-CN" w:bidi="ar-SA"/>
      </w:rPr>
    </w:lvl>
    <w:lvl w:ilvl="1">
      <w:start w:val="0"/>
      <w:numFmt w:val="bullet"/>
      <w:lvlText w:val="•"/>
      <w:lvlJc w:val="left"/>
      <w:pPr>
        <w:ind w:left="1254" w:hanging="361"/>
      </w:pPr>
      <w:rPr>
        <w:rFonts w:hint="default"/>
        <w:lang w:val="en-US" w:eastAsia="zh-CN" w:bidi="ar-SA"/>
      </w:rPr>
    </w:lvl>
    <w:lvl w:ilvl="2">
      <w:start w:val="0"/>
      <w:numFmt w:val="bullet"/>
      <w:lvlText w:val="•"/>
      <w:lvlJc w:val="left"/>
      <w:pPr>
        <w:ind w:left="1968" w:hanging="361"/>
      </w:pPr>
      <w:rPr>
        <w:rFonts w:hint="default"/>
        <w:lang w:val="en-US" w:eastAsia="zh-CN" w:bidi="ar-SA"/>
      </w:rPr>
    </w:lvl>
    <w:lvl w:ilvl="3">
      <w:start w:val="0"/>
      <w:numFmt w:val="bullet"/>
      <w:lvlText w:val="•"/>
      <w:lvlJc w:val="left"/>
      <w:pPr>
        <w:ind w:left="2683" w:hanging="361"/>
      </w:pPr>
      <w:rPr>
        <w:rFonts w:hint="default"/>
        <w:lang w:val="en-US" w:eastAsia="zh-CN" w:bidi="ar-SA"/>
      </w:rPr>
    </w:lvl>
    <w:lvl w:ilvl="4">
      <w:start w:val="0"/>
      <w:numFmt w:val="bullet"/>
      <w:lvlText w:val="•"/>
      <w:lvlJc w:val="left"/>
      <w:pPr>
        <w:ind w:left="3397" w:hanging="361"/>
      </w:pPr>
      <w:rPr>
        <w:rFonts w:hint="default"/>
        <w:lang w:val="en-US" w:eastAsia="zh-CN" w:bidi="ar-SA"/>
      </w:rPr>
    </w:lvl>
    <w:lvl w:ilvl="5">
      <w:start w:val="0"/>
      <w:numFmt w:val="bullet"/>
      <w:lvlText w:val="•"/>
      <w:lvlJc w:val="left"/>
      <w:pPr>
        <w:ind w:left="4112" w:hanging="361"/>
      </w:pPr>
      <w:rPr>
        <w:rFonts w:hint="default"/>
        <w:lang w:val="en-US" w:eastAsia="zh-CN" w:bidi="ar-SA"/>
      </w:rPr>
    </w:lvl>
    <w:lvl w:ilvl="6">
      <w:start w:val="0"/>
      <w:numFmt w:val="bullet"/>
      <w:lvlText w:val="•"/>
      <w:lvlJc w:val="left"/>
      <w:pPr>
        <w:ind w:left="4826" w:hanging="361"/>
      </w:pPr>
      <w:rPr>
        <w:rFonts w:hint="default"/>
        <w:lang w:val="en-US" w:eastAsia="zh-CN" w:bidi="ar-SA"/>
      </w:rPr>
    </w:lvl>
    <w:lvl w:ilvl="7">
      <w:start w:val="0"/>
      <w:numFmt w:val="bullet"/>
      <w:lvlText w:val="•"/>
      <w:lvlJc w:val="left"/>
      <w:pPr>
        <w:ind w:left="5540" w:hanging="361"/>
      </w:pPr>
      <w:rPr>
        <w:rFonts w:hint="default"/>
        <w:lang w:val="en-US" w:eastAsia="zh-CN" w:bidi="ar-SA"/>
      </w:rPr>
    </w:lvl>
    <w:lvl w:ilvl="8">
      <w:start w:val="0"/>
      <w:numFmt w:val="bullet"/>
      <w:lvlText w:val="•"/>
      <w:lvlJc w:val="left"/>
      <w:pPr>
        <w:ind w:left="6255" w:hanging="361"/>
      </w:pPr>
      <w:rPr>
        <w:rFonts w:hint="default"/>
        <w:lang w:val="en-US" w:eastAsia="zh-CN" w:bidi="ar-SA"/>
      </w:rPr>
    </w:lvl>
  </w:abstractNum>
  <w:abstractNum w:abstractNumId="4">
    <w:multiLevelType w:val="hybridMultilevel"/>
    <w:lvl w:ilvl="0">
      <w:start w:val="1"/>
      <w:numFmt w:val="decimal"/>
      <w:lvlText w:val="（%1）"/>
      <w:lvlJc w:val="left"/>
      <w:pPr>
        <w:ind w:left="672" w:hanging="453"/>
        <w:jc w:val="left"/>
      </w:pPr>
      <w:rPr>
        <w:rFonts w:hint="default" w:ascii="宋体" w:hAnsi="宋体" w:eastAsia="宋体" w:cs="宋体"/>
        <w:b w:val="0"/>
        <w:bCs w:val="0"/>
        <w:i w:val="0"/>
        <w:iCs w:val="0"/>
        <w:spacing w:val="-2"/>
        <w:w w:val="100"/>
        <w:sz w:val="16"/>
        <w:szCs w:val="16"/>
        <w:lang w:val="en-US" w:eastAsia="zh-CN" w:bidi="ar-SA"/>
      </w:rPr>
    </w:lvl>
    <w:lvl w:ilvl="1">
      <w:start w:val="7"/>
      <w:numFmt w:val="decimal"/>
      <w:lvlText w:val="（%2）"/>
      <w:lvlJc w:val="left"/>
      <w:pPr>
        <w:ind w:left="3777" w:hanging="721"/>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534" w:hanging="721"/>
      </w:pPr>
      <w:rPr>
        <w:rFonts w:hint="default"/>
        <w:lang w:val="en-US" w:eastAsia="zh-CN" w:bidi="ar-SA"/>
      </w:rPr>
    </w:lvl>
    <w:lvl w:ilvl="3">
      <w:start w:val="0"/>
      <w:numFmt w:val="bullet"/>
      <w:lvlText w:val="•"/>
      <w:lvlJc w:val="left"/>
      <w:pPr>
        <w:ind w:left="5288" w:hanging="721"/>
      </w:pPr>
      <w:rPr>
        <w:rFonts w:hint="default"/>
        <w:lang w:val="en-US" w:eastAsia="zh-CN" w:bidi="ar-SA"/>
      </w:rPr>
    </w:lvl>
    <w:lvl w:ilvl="4">
      <w:start w:val="0"/>
      <w:numFmt w:val="bullet"/>
      <w:lvlText w:val="•"/>
      <w:lvlJc w:val="left"/>
      <w:pPr>
        <w:ind w:left="6042" w:hanging="721"/>
      </w:pPr>
      <w:rPr>
        <w:rFonts w:hint="default"/>
        <w:lang w:val="en-US" w:eastAsia="zh-CN" w:bidi="ar-SA"/>
      </w:rPr>
    </w:lvl>
    <w:lvl w:ilvl="5">
      <w:start w:val="0"/>
      <w:numFmt w:val="bullet"/>
      <w:lvlText w:val="•"/>
      <w:lvlJc w:val="left"/>
      <w:pPr>
        <w:ind w:left="6796" w:hanging="721"/>
      </w:pPr>
      <w:rPr>
        <w:rFonts w:hint="default"/>
        <w:lang w:val="en-US" w:eastAsia="zh-CN" w:bidi="ar-SA"/>
      </w:rPr>
    </w:lvl>
    <w:lvl w:ilvl="6">
      <w:start w:val="0"/>
      <w:numFmt w:val="bullet"/>
      <w:lvlText w:val="•"/>
      <w:lvlJc w:val="left"/>
      <w:pPr>
        <w:ind w:left="7550" w:hanging="721"/>
      </w:pPr>
      <w:rPr>
        <w:rFonts w:hint="default"/>
        <w:lang w:val="en-US" w:eastAsia="zh-CN" w:bidi="ar-SA"/>
      </w:rPr>
    </w:lvl>
    <w:lvl w:ilvl="7">
      <w:start w:val="0"/>
      <w:numFmt w:val="bullet"/>
      <w:lvlText w:val="•"/>
      <w:lvlJc w:val="left"/>
      <w:pPr>
        <w:ind w:left="8304" w:hanging="721"/>
      </w:pPr>
      <w:rPr>
        <w:rFonts w:hint="default"/>
        <w:lang w:val="en-US" w:eastAsia="zh-CN" w:bidi="ar-SA"/>
      </w:rPr>
    </w:lvl>
    <w:lvl w:ilvl="8">
      <w:start w:val="0"/>
      <w:numFmt w:val="bullet"/>
      <w:lvlText w:val="•"/>
      <w:lvlJc w:val="left"/>
      <w:pPr>
        <w:ind w:left="9058" w:hanging="721"/>
      </w:pPr>
      <w:rPr>
        <w:rFonts w:hint="default"/>
        <w:lang w:val="en-US" w:eastAsia="zh-CN" w:bidi="ar-SA"/>
      </w:rPr>
    </w:lvl>
  </w:abstractNum>
  <w:abstractNum w:abstractNumId="3">
    <w:multiLevelType w:val="hybridMultilevel"/>
    <w:lvl w:ilvl="0">
      <w:start w:val="1"/>
      <w:numFmt w:val="decimal"/>
      <w:lvlText w:val="（%1）"/>
      <w:lvlJc w:val="left"/>
      <w:pPr>
        <w:ind w:left="3777"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58" w:hanging="721"/>
      </w:pPr>
      <w:rPr>
        <w:rFonts w:hint="default"/>
        <w:lang w:val="en-US" w:eastAsia="zh-CN" w:bidi="ar-SA"/>
      </w:rPr>
    </w:lvl>
    <w:lvl w:ilvl="2">
      <w:start w:val="0"/>
      <w:numFmt w:val="bullet"/>
      <w:lvlText w:val="•"/>
      <w:lvlJc w:val="left"/>
      <w:pPr>
        <w:ind w:left="5137" w:hanging="721"/>
      </w:pPr>
      <w:rPr>
        <w:rFonts w:hint="default"/>
        <w:lang w:val="en-US" w:eastAsia="zh-CN" w:bidi="ar-SA"/>
      </w:rPr>
    </w:lvl>
    <w:lvl w:ilvl="3">
      <w:start w:val="0"/>
      <w:numFmt w:val="bullet"/>
      <w:lvlText w:val="•"/>
      <w:lvlJc w:val="left"/>
      <w:pPr>
        <w:ind w:left="5815" w:hanging="721"/>
      </w:pPr>
      <w:rPr>
        <w:rFonts w:hint="default"/>
        <w:lang w:val="en-US" w:eastAsia="zh-CN" w:bidi="ar-SA"/>
      </w:rPr>
    </w:lvl>
    <w:lvl w:ilvl="4">
      <w:start w:val="0"/>
      <w:numFmt w:val="bullet"/>
      <w:lvlText w:val="•"/>
      <w:lvlJc w:val="left"/>
      <w:pPr>
        <w:ind w:left="6494" w:hanging="721"/>
      </w:pPr>
      <w:rPr>
        <w:rFonts w:hint="default"/>
        <w:lang w:val="en-US" w:eastAsia="zh-CN" w:bidi="ar-SA"/>
      </w:rPr>
    </w:lvl>
    <w:lvl w:ilvl="5">
      <w:start w:val="0"/>
      <w:numFmt w:val="bullet"/>
      <w:lvlText w:val="•"/>
      <w:lvlJc w:val="left"/>
      <w:pPr>
        <w:ind w:left="7173" w:hanging="721"/>
      </w:pPr>
      <w:rPr>
        <w:rFonts w:hint="default"/>
        <w:lang w:val="en-US" w:eastAsia="zh-CN" w:bidi="ar-SA"/>
      </w:rPr>
    </w:lvl>
    <w:lvl w:ilvl="6">
      <w:start w:val="0"/>
      <w:numFmt w:val="bullet"/>
      <w:lvlText w:val="•"/>
      <w:lvlJc w:val="left"/>
      <w:pPr>
        <w:ind w:left="7851" w:hanging="721"/>
      </w:pPr>
      <w:rPr>
        <w:rFonts w:hint="default"/>
        <w:lang w:val="en-US" w:eastAsia="zh-CN" w:bidi="ar-SA"/>
      </w:rPr>
    </w:lvl>
    <w:lvl w:ilvl="7">
      <w:start w:val="0"/>
      <w:numFmt w:val="bullet"/>
      <w:lvlText w:val="•"/>
      <w:lvlJc w:val="left"/>
      <w:pPr>
        <w:ind w:left="8530" w:hanging="721"/>
      </w:pPr>
      <w:rPr>
        <w:rFonts w:hint="default"/>
        <w:lang w:val="en-US" w:eastAsia="zh-CN" w:bidi="ar-SA"/>
      </w:rPr>
    </w:lvl>
    <w:lvl w:ilvl="8">
      <w:start w:val="0"/>
      <w:numFmt w:val="bullet"/>
      <w:lvlText w:val="•"/>
      <w:lvlJc w:val="left"/>
      <w:pPr>
        <w:ind w:left="9209" w:hanging="721"/>
      </w:pPr>
      <w:rPr>
        <w:rFonts w:hint="default"/>
        <w:lang w:val="en-US" w:eastAsia="zh-CN" w:bidi="ar-SA"/>
      </w:rPr>
    </w:lvl>
  </w:abstractNum>
  <w:abstractNum w:abstractNumId="2">
    <w:multiLevelType w:val="hybridMultilevel"/>
    <w:lvl w:ilvl="0">
      <w:start w:val="1"/>
      <w:numFmt w:val="decimal"/>
      <w:lvlText w:val="%1"/>
      <w:lvlJc w:val="left"/>
      <w:pPr>
        <w:ind w:left="1288" w:hanging="961"/>
        <w:jc w:val="right"/>
      </w:pPr>
      <w:rPr>
        <w:rFonts w:hint="default"/>
        <w:w w:val="81"/>
        <w:position w:val="-4"/>
        <w:lang w:val="en-US" w:eastAsia="zh-CN" w:bidi="ar-SA"/>
      </w:rPr>
    </w:lvl>
    <w:lvl w:ilvl="1">
      <w:start w:val="1"/>
      <w:numFmt w:val="decimal"/>
      <w:lvlText w:val="%1.%2"/>
      <w:lvlJc w:val="left"/>
      <w:pPr>
        <w:ind w:left="3057" w:hanging="961"/>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1.%2.%3"/>
      <w:lvlJc w:val="left"/>
      <w:pPr>
        <w:ind w:left="1288" w:hanging="961"/>
        <w:jc w:val="left"/>
      </w:pPr>
      <w:rPr>
        <w:rFonts w:hint="default" w:ascii="微软雅黑" w:hAnsi="微软雅黑" w:eastAsia="微软雅黑" w:cs="微软雅黑"/>
        <w:b/>
        <w:bCs/>
        <w:i w:val="0"/>
        <w:iCs w:val="0"/>
        <w:w w:val="81"/>
        <w:sz w:val="21"/>
        <w:szCs w:val="21"/>
        <w:lang w:val="en-US" w:eastAsia="zh-CN" w:bidi="ar-SA"/>
      </w:rPr>
    </w:lvl>
    <w:lvl w:ilvl="3">
      <w:start w:val="1"/>
      <w:numFmt w:val="decimal"/>
      <w:lvlText w:val="%4."/>
      <w:lvlJc w:val="left"/>
      <w:pPr>
        <w:ind w:left="3417" w:hanging="361"/>
        <w:jc w:val="left"/>
      </w:pPr>
      <w:rPr>
        <w:rFonts w:hint="default" w:ascii="微软雅黑" w:hAnsi="微软雅黑" w:eastAsia="微软雅黑" w:cs="微软雅黑"/>
        <w:b/>
        <w:bCs/>
        <w:i w:val="0"/>
        <w:iCs w:val="0"/>
        <w:w w:val="111"/>
        <w:sz w:val="21"/>
        <w:szCs w:val="21"/>
        <w:lang w:val="en-US" w:eastAsia="zh-CN" w:bidi="ar-SA"/>
      </w:rPr>
    </w:lvl>
    <w:lvl w:ilvl="4">
      <w:start w:val="1"/>
      <w:numFmt w:val="decimal"/>
      <w:lvlText w:val="（%5）"/>
      <w:lvlJc w:val="left"/>
      <w:pPr>
        <w:ind w:left="3897" w:hanging="699"/>
        <w:jc w:val="left"/>
      </w:pPr>
      <w:rPr>
        <w:rFonts w:hint="default" w:ascii="宋体" w:hAnsi="宋体" w:eastAsia="宋体" w:cs="宋体"/>
        <w:b w:val="0"/>
        <w:bCs w:val="0"/>
        <w:i w:val="0"/>
        <w:iCs w:val="0"/>
        <w:w w:val="100"/>
        <w:sz w:val="21"/>
        <w:szCs w:val="21"/>
        <w:lang w:val="en-US" w:eastAsia="zh-CN" w:bidi="ar-SA"/>
      </w:rPr>
    </w:lvl>
    <w:lvl w:ilvl="5">
      <w:start w:val="0"/>
      <w:numFmt w:val="bullet"/>
      <w:lvlText w:val="•"/>
      <w:lvlJc w:val="left"/>
      <w:pPr>
        <w:ind w:left="3705" w:hanging="699"/>
      </w:pPr>
      <w:rPr>
        <w:rFonts w:hint="default"/>
        <w:lang w:val="en-US" w:eastAsia="zh-CN" w:bidi="ar-SA"/>
      </w:rPr>
    </w:lvl>
    <w:lvl w:ilvl="6">
      <w:start w:val="0"/>
      <w:numFmt w:val="bullet"/>
      <w:lvlText w:val="•"/>
      <w:lvlJc w:val="left"/>
      <w:pPr>
        <w:ind w:left="3511" w:hanging="699"/>
      </w:pPr>
      <w:rPr>
        <w:rFonts w:hint="default"/>
        <w:lang w:val="en-US" w:eastAsia="zh-CN" w:bidi="ar-SA"/>
      </w:rPr>
    </w:lvl>
    <w:lvl w:ilvl="7">
      <w:start w:val="0"/>
      <w:numFmt w:val="bullet"/>
      <w:lvlText w:val="•"/>
      <w:lvlJc w:val="left"/>
      <w:pPr>
        <w:ind w:left="3317" w:hanging="699"/>
      </w:pPr>
      <w:rPr>
        <w:rFonts w:hint="default"/>
        <w:lang w:val="en-US" w:eastAsia="zh-CN" w:bidi="ar-SA"/>
      </w:rPr>
    </w:lvl>
    <w:lvl w:ilvl="8">
      <w:start w:val="0"/>
      <w:numFmt w:val="bullet"/>
      <w:lvlText w:val="•"/>
      <w:lvlJc w:val="left"/>
      <w:pPr>
        <w:ind w:left="3122" w:hanging="699"/>
      </w:pPr>
      <w:rPr>
        <w:rFonts w:hint="default"/>
        <w:lang w:val="en-US" w:eastAsia="zh-CN" w:bidi="ar-SA"/>
      </w:rPr>
    </w:lvl>
  </w:abstractNum>
  <w:abstractNum w:abstractNumId="1">
    <w:multiLevelType w:val="hybridMultilevel"/>
    <w:lvl w:ilvl="0">
      <w:start w:val="4"/>
      <w:numFmt w:val="decimal"/>
      <w:lvlText w:val="%1."/>
      <w:lvlJc w:val="left"/>
      <w:pPr>
        <w:ind w:left="1494" w:hanging="213"/>
        <w:jc w:val="left"/>
      </w:pPr>
      <w:rPr>
        <w:rFonts w:hint="default" w:ascii="微软雅黑" w:hAnsi="微软雅黑" w:eastAsia="微软雅黑" w:cs="微软雅黑"/>
        <w:b/>
        <w:bCs/>
        <w:i w:val="0"/>
        <w:iCs w:val="0"/>
        <w:w w:val="111"/>
        <w:sz w:val="19"/>
        <w:szCs w:val="19"/>
        <w:lang w:val="en-US" w:eastAsia="zh-CN" w:bidi="ar-SA"/>
      </w:rPr>
    </w:lvl>
    <w:lvl w:ilvl="1">
      <w:start w:val="1"/>
      <w:numFmt w:val="decimal"/>
      <w:lvlText w:val="%1.%2"/>
      <w:lvlJc w:val="left"/>
      <w:pPr>
        <w:ind w:left="1811"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820" w:hanging="423"/>
      </w:pPr>
      <w:rPr>
        <w:rFonts w:hint="default"/>
        <w:lang w:val="en-US" w:eastAsia="zh-CN" w:bidi="ar-SA"/>
      </w:rPr>
    </w:lvl>
    <w:lvl w:ilvl="3">
      <w:start w:val="0"/>
      <w:numFmt w:val="bullet"/>
      <w:lvlText w:val="•"/>
      <w:lvlJc w:val="left"/>
      <w:pPr>
        <w:ind w:left="2357" w:hanging="423"/>
      </w:pPr>
      <w:rPr>
        <w:rFonts w:hint="default"/>
        <w:lang w:val="en-US" w:eastAsia="zh-CN" w:bidi="ar-SA"/>
      </w:rPr>
    </w:lvl>
    <w:lvl w:ilvl="4">
      <w:start w:val="0"/>
      <w:numFmt w:val="bullet"/>
      <w:lvlText w:val="•"/>
      <w:lvlJc w:val="left"/>
      <w:pPr>
        <w:ind w:left="2895" w:hanging="423"/>
      </w:pPr>
      <w:rPr>
        <w:rFonts w:hint="default"/>
        <w:lang w:val="en-US" w:eastAsia="zh-CN" w:bidi="ar-SA"/>
      </w:rPr>
    </w:lvl>
    <w:lvl w:ilvl="5">
      <w:start w:val="0"/>
      <w:numFmt w:val="bullet"/>
      <w:lvlText w:val="•"/>
      <w:lvlJc w:val="left"/>
      <w:pPr>
        <w:ind w:left="3432" w:hanging="423"/>
      </w:pPr>
      <w:rPr>
        <w:rFonts w:hint="default"/>
        <w:lang w:val="en-US" w:eastAsia="zh-CN" w:bidi="ar-SA"/>
      </w:rPr>
    </w:lvl>
    <w:lvl w:ilvl="6">
      <w:start w:val="0"/>
      <w:numFmt w:val="bullet"/>
      <w:lvlText w:val="•"/>
      <w:lvlJc w:val="left"/>
      <w:pPr>
        <w:ind w:left="3970" w:hanging="423"/>
      </w:pPr>
      <w:rPr>
        <w:rFonts w:hint="default"/>
        <w:lang w:val="en-US" w:eastAsia="zh-CN" w:bidi="ar-SA"/>
      </w:rPr>
    </w:lvl>
    <w:lvl w:ilvl="7">
      <w:start w:val="0"/>
      <w:numFmt w:val="bullet"/>
      <w:lvlText w:val="•"/>
      <w:lvlJc w:val="left"/>
      <w:pPr>
        <w:ind w:left="4507" w:hanging="423"/>
      </w:pPr>
      <w:rPr>
        <w:rFonts w:hint="default"/>
        <w:lang w:val="en-US" w:eastAsia="zh-CN" w:bidi="ar-SA"/>
      </w:rPr>
    </w:lvl>
    <w:lvl w:ilvl="8">
      <w:start w:val="0"/>
      <w:numFmt w:val="bullet"/>
      <w:lvlText w:val="•"/>
      <w:lvlJc w:val="left"/>
      <w:pPr>
        <w:ind w:left="5045" w:hanging="423"/>
      </w:pPr>
      <w:rPr>
        <w:rFonts w:hint="default"/>
        <w:lang w:val="en-US" w:eastAsia="zh-CN" w:bidi="ar-SA"/>
      </w:rPr>
    </w:lvl>
  </w:abstractNum>
  <w:abstractNum w:abstractNumId="0">
    <w:multiLevelType w:val="hybridMultilevel"/>
    <w:lvl w:ilvl="0">
      <w:start w:val="0"/>
      <w:numFmt w:val="bullet"/>
      <w:lvlText w:val=""/>
      <w:lvlJc w:val="left"/>
      <w:pPr>
        <w:ind w:left="1168" w:hanging="420"/>
      </w:pPr>
      <w:rPr>
        <w:rFonts w:hint="default" w:ascii="Wingdings" w:hAnsi="Wingdings" w:eastAsia="Wingdings" w:cs="Wingdings"/>
        <w:b w:val="0"/>
        <w:bCs w:val="0"/>
        <w:i w:val="0"/>
        <w:iCs w:val="0"/>
        <w:w w:val="100"/>
        <w:sz w:val="21"/>
        <w:szCs w:val="21"/>
        <w:lang w:val="en-US" w:eastAsia="zh-CN" w:bidi="ar-SA"/>
      </w:rPr>
    </w:lvl>
    <w:lvl w:ilvl="1">
      <w:start w:val="1"/>
      <w:numFmt w:val="decimal"/>
      <w:lvlText w:val="%2."/>
      <w:lvlJc w:val="left"/>
      <w:pPr>
        <w:ind w:left="2621" w:hanging="213"/>
        <w:jc w:val="left"/>
      </w:pPr>
      <w:rPr>
        <w:rFonts w:hint="default" w:ascii="微软雅黑" w:hAnsi="微软雅黑" w:eastAsia="微软雅黑" w:cs="微软雅黑"/>
        <w:b/>
        <w:bCs/>
        <w:i w:val="0"/>
        <w:iCs w:val="0"/>
        <w:w w:val="81"/>
        <w:sz w:val="19"/>
        <w:szCs w:val="19"/>
        <w:lang w:val="en-US" w:eastAsia="zh-CN" w:bidi="ar-SA"/>
      </w:rPr>
    </w:lvl>
    <w:lvl w:ilvl="2">
      <w:start w:val="1"/>
      <w:numFmt w:val="decimal"/>
      <w:lvlText w:val="%2.%3"/>
      <w:lvlJc w:val="left"/>
      <w:pPr>
        <w:ind w:left="2937" w:hanging="423"/>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123" w:hanging="423"/>
      </w:pPr>
      <w:rPr>
        <w:rFonts w:hint="default"/>
        <w:lang w:val="en-US" w:eastAsia="zh-CN" w:bidi="ar-SA"/>
      </w:rPr>
    </w:lvl>
    <w:lvl w:ilvl="4">
      <w:start w:val="0"/>
      <w:numFmt w:val="bullet"/>
      <w:lvlText w:val="•"/>
      <w:lvlJc w:val="left"/>
      <w:pPr>
        <w:ind w:left="3306" w:hanging="423"/>
      </w:pPr>
      <w:rPr>
        <w:rFonts w:hint="default"/>
        <w:lang w:val="en-US" w:eastAsia="zh-CN" w:bidi="ar-SA"/>
      </w:rPr>
    </w:lvl>
    <w:lvl w:ilvl="5">
      <w:start w:val="0"/>
      <w:numFmt w:val="bullet"/>
      <w:lvlText w:val="•"/>
      <w:lvlJc w:val="left"/>
      <w:pPr>
        <w:ind w:left="3489" w:hanging="423"/>
      </w:pPr>
      <w:rPr>
        <w:rFonts w:hint="default"/>
        <w:lang w:val="en-US" w:eastAsia="zh-CN" w:bidi="ar-SA"/>
      </w:rPr>
    </w:lvl>
    <w:lvl w:ilvl="6">
      <w:start w:val="0"/>
      <w:numFmt w:val="bullet"/>
      <w:lvlText w:val="•"/>
      <w:lvlJc w:val="left"/>
      <w:pPr>
        <w:ind w:left="3673" w:hanging="423"/>
      </w:pPr>
      <w:rPr>
        <w:rFonts w:hint="default"/>
        <w:lang w:val="en-US" w:eastAsia="zh-CN" w:bidi="ar-SA"/>
      </w:rPr>
    </w:lvl>
    <w:lvl w:ilvl="7">
      <w:start w:val="0"/>
      <w:numFmt w:val="bullet"/>
      <w:lvlText w:val="•"/>
      <w:lvlJc w:val="left"/>
      <w:pPr>
        <w:ind w:left="3856" w:hanging="423"/>
      </w:pPr>
      <w:rPr>
        <w:rFonts w:hint="default"/>
        <w:lang w:val="en-US" w:eastAsia="zh-CN" w:bidi="ar-SA"/>
      </w:rPr>
    </w:lvl>
    <w:lvl w:ilvl="8">
      <w:start w:val="0"/>
      <w:numFmt w:val="bullet"/>
      <w:lvlText w:val="•"/>
      <w:lvlJc w:val="left"/>
      <w:pPr>
        <w:ind w:left="4039" w:hanging="423"/>
      </w:pPr>
      <w:rPr>
        <w:rFonts w:hint="default"/>
        <w:lang w:val="en-US" w:eastAsia="zh-CN" w:bidi="ar-SA"/>
      </w:rPr>
    </w:lvl>
  </w:abstract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180" w:hanging="1547"/>
      <w:outlineLvl w:val="1"/>
    </w:pPr>
    <w:rPr>
      <w:rFonts w:ascii="微软雅黑" w:hAnsi="微软雅黑" w:eastAsia="微软雅黑" w:cs="微软雅黑"/>
      <w:b/>
      <w:bCs/>
      <w:sz w:val="28"/>
      <w:szCs w:val="28"/>
      <w:lang w:val="en-US" w:eastAsia="zh-CN" w:bidi="ar-SA"/>
    </w:rPr>
  </w:style>
  <w:style w:styleId="Heading2" w:type="paragraph">
    <w:name w:val="Heading 2"/>
    <w:basedOn w:val="Normal"/>
    <w:uiPriority w:val="1"/>
    <w:qFormat/>
    <w:pPr>
      <w:ind w:left="1288" w:hanging="961"/>
      <w:outlineLvl w:val="2"/>
    </w:pPr>
    <w:rPr>
      <w:rFonts w:ascii="微软雅黑" w:hAnsi="微软雅黑" w:eastAsia="微软雅黑" w:cs="微软雅黑"/>
      <w:b/>
      <w:bCs/>
      <w:sz w:val="24"/>
      <w:szCs w:val="24"/>
      <w:lang w:val="en-US" w:eastAsia="zh-CN" w:bidi="ar-SA"/>
    </w:rPr>
  </w:style>
  <w:style w:styleId="Heading3" w:type="paragraph">
    <w:name w:val="Heading 3"/>
    <w:basedOn w:val="Normal"/>
    <w:uiPriority w:val="1"/>
    <w:qFormat/>
    <w:pPr>
      <w:ind w:left="1288"/>
      <w:outlineLvl w:val="3"/>
    </w:pPr>
    <w:rPr>
      <w:rFonts w:ascii="微软雅黑" w:hAnsi="微软雅黑" w:eastAsia="微软雅黑" w:cs="微软雅黑"/>
      <w:b/>
      <w:bCs/>
      <w:sz w:val="21"/>
      <w:szCs w:val="21"/>
      <w:lang w:val="en-US" w:eastAsia="zh-CN" w:bidi="ar-SA"/>
    </w:rPr>
  </w:style>
  <w:style w:styleId="ListParagraph" w:type="paragraph">
    <w:name w:val="List Paragraph"/>
    <w:basedOn w:val="Normal"/>
    <w:uiPriority w:val="1"/>
    <w:qFormat/>
    <w:pPr>
      <w:ind w:left="3123"/>
    </w:pPr>
    <w:rPr>
      <w:rFonts w:ascii="宋体" w:hAnsi="宋体" w:eastAsia="宋体" w:cs="宋体"/>
      <w:lang w:val="en-US" w:eastAsia="zh-CN" w:bidi="ar-SA"/>
    </w:rPr>
  </w:style>
  <w:style w:styleId="TableParagraph" w:type="paragraph">
    <w:name w:val="Table Paragraph"/>
    <w:basedOn w:val="Normal"/>
    <w:uiPriority w:val="1"/>
    <w:qFormat/>
    <w:pPr>
      <w:spacing w:line="240" w:lineRule="exac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2023-06-02T06:32:37Z</dcterms:created>
  <dcterms:modified xsi:type="dcterms:W3CDTF">2023-06-02T06:32:37Z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