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8" w:after="4"/>
        <w:ind w:left="6487" w:right="0" w:firstLine="0"/>
        <w:jc w:val="left"/>
        <w:rPr>
          <w:sz w:val="18"/>
        </w:rPr>
      </w:pPr>
      <w:r>
        <w:rPr>
          <w:sz w:val="18"/>
        </w:rPr>
        <w:t>复星联合健康保险〔</w:t>
      </w:r>
      <w:r>
        <w:rPr>
          <w:rFonts w:ascii="Times New Roman" w:eastAsia="Times New Roman"/>
          <w:sz w:val="18"/>
        </w:rPr>
        <w:t>2020</w:t>
      </w:r>
      <w:r>
        <w:rPr>
          <w:spacing w:val="-8"/>
          <w:sz w:val="18"/>
        </w:rPr>
        <w:t>〕医疗保险 </w:t>
      </w:r>
      <w:r>
        <w:rPr>
          <w:rFonts w:ascii="Times New Roman" w:eastAsia="Times New Roman"/>
          <w:sz w:val="18"/>
        </w:rPr>
        <w:t>043</w:t>
      </w:r>
      <w:r>
        <w:rPr>
          <w:rFonts w:ascii="Times New Roman" w:eastAsia="Times New Roman"/>
          <w:spacing w:val="-2"/>
          <w:sz w:val="18"/>
        </w:rPr>
        <w:t> </w:t>
      </w:r>
      <w:r>
        <w:rPr>
          <w:spacing w:val="-10"/>
          <w:sz w:val="18"/>
        </w:rPr>
        <w:t>号</w:t>
      </w:r>
    </w:p>
    <w:p>
      <w:pPr>
        <w:pStyle w:val="BodyText"/>
        <w:ind w:left="8766"/>
        <w:rPr>
          <w:sz w:val="20"/>
        </w:rPr>
      </w:pPr>
      <w:r>
        <w:rPr>
          <w:sz w:val="20"/>
        </w:rPr>
        <w:drawing>
          <wp:inline distT="0" distB="0" distL="0" distR="0">
            <wp:extent cx="724637"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4637" cy="723900"/>
                    </a:xfrm>
                    <a:prstGeom prst="rect">
                      <a:avLst/>
                    </a:prstGeom>
                  </pic:spPr>
                </pic:pic>
              </a:graphicData>
            </a:graphic>
          </wp:inline>
        </w:drawing>
      </w:r>
      <w:r>
        <w:rPr>
          <w:sz w:val="20"/>
        </w:rPr>
      </w:r>
    </w:p>
    <w:p>
      <w:pPr>
        <w:spacing w:before="0"/>
        <w:ind w:left="0" w:right="196" w:firstLine="0"/>
        <w:jc w:val="right"/>
        <w:rPr>
          <w:sz w:val="18"/>
        </w:rPr>
      </w:pPr>
      <w:r>
        <w:rPr>
          <w:spacing w:val="-1"/>
          <w:sz w:val="18"/>
        </w:rPr>
        <w:t>请扫描以查询验证条款</w:t>
      </w:r>
    </w:p>
    <w:p>
      <w:pPr>
        <w:pStyle w:val="Heading1"/>
        <w:spacing w:before="135"/>
        <w:ind w:left="3151" w:right="3048"/>
      </w:pPr>
      <w:r>
        <w:rPr>
          <w:w w:val="95"/>
        </w:rPr>
        <w:t>复</w:t>
      </w:r>
      <w:r>
        <w:rPr>
          <w:w w:val="95"/>
        </w:rPr>
        <w:t>星</w:t>
      </w:r>
      <w:r>
        <w:rPr>
          <w:w w:val="95"/>
        </w:rPr>
        <w:t>联</w:t>
      </w:r>
      <w:r>
        <w:rPr>
          <w:w w:val="95"/>
        </w:rPr>
        <w:t>合</w:t>
      </w:r>
      <w:r>
        <w:rPr>
          <w:w w:val="95"/>
        </w:rPr>
        <w:t>益</w:t>
      </w:r>
      <w:r>
        <w:rPr>
          <w:w w:val="95"/>
        </w:rPr>
        <w:t>生</w:t>
      </w:r>
      <w:r>
        <w:rPr>
          <w:w w:val="95"/>
        </w:rPr>
        <w:t>无</w:t>
      </w:r>
      <w:r>
        <w:rPr>
          <w:w w:val="95"/>
        </w:rPr>
        <w:t>忧</w:t>
      </w:r>
      <w:r>
        <w:rPr>
          <w:w w:val="95"/>
        </w:rPr>
        <w:t>医</w:t>
      </w:r>
      <w:r>
        <w:rPr>
          <w:w w:val="95"/>
        </w:rPr>
        <w:t>疗</w:t>
      </w:r>
      <w:r>
        <w:rPr>
          <w:w w:val="95"/>
        </w:rPr>
        <w:t>保</w:t>
      </w:r>
      <w:r>
        <w:rPr>
          <w:w w:val="95"/>
        </w:rPr>
        <w:t>险</w:t>
      </w:r>
      <w:r>
        <w:rPr>
          <w:w w:val="95"/>
        </w:rPr>
        <w:t>条</w:t>
      </w:r>
      <w:r>
        <w:rPr>
          <w:spacing w:val="-10"/>
          <w:w w:val="95"/>
        </w:rPr>
        <w:t>款</w:t>
      </w:r>
    </w:p>
    <w:p>
      <w:pPr>
        <w:pStyle w:val="BodyText"/>
        <w:spacing w:before="9"/>
        <w:rPr>
          <w:b/>
          <w:sz w:val="20"/>
        </w:rPr>
      </w:pPr>
    </w:p>
    <w:p>
      <w:pPr>
        <w:spacing w:before="0"/>
        <w:ind w:left="3083" w:right="3119" w:firstLine="0"/>
        <w:jc w:val="center"/>
        <w:rPr>
          <w:b/>
          <w:sz w:val="28"/>
        </w:rPr>
      </w:pPr>
      <w:r>
        <w:rPr>
          <w:b/>
          <w:w w:val="95"/>
          <w:sz w:val="28"/>
        </w:rPr>
        <w:t>阅</w:t>
      </w:r>
      <w:r>
        <w:rPr>
          <w:b/>
          <w:w w:val="95"/>
          <w:sz w:val="28"/>
        </w:rPr>
        <w:t>读</w:t>
      </w:r>
      <w:r>
        <w:rPr>
          <w:b/>
          <w:spacing w:val="-5"/>
          <w:w w:val="95"/>
          <w:sz w:val="28"/>
        </w:rPr>
        <w:t>指引</w:t>
      </w:r>
    </w:p>
    <w:p>
      <w:pPr>
        <w:pStyle w:val="BodyText"/>
        <w:spacing w:line="278" w:lineRule="auto" w:before="155"/>
        <w:ind w:left="160" w:right="275" w:firstLine="422"/>
      </w:pPr>
      <w:r>
        <w:rPr>
          <w:spacing w:val="-2"/>
        </w:rPr>
        <w:t>本阅读指引助您理解复星联合健康保险股份有限公司（以下简称“本公司”）《复星联合益生无忧医</w:t>
      </w:r>
      <w:r>
        <w:rPr>
          <w:spacing w:val="-2"/>
        </w:rPr>
        <w:t>疗保险条款》（以下简称“本保险条款”）</w:t>
      </w:r>
    </w:p>
    <w:p>
      <w:pPr>
        <w:pStyle w:val="Heading3"/>
        <w:spacing w:before="16"/>
        <w:ind w:left="160"/>
      </w:pPr>
      <w:r>
        <w:rPr>
          <w:rFonts w:ascii="Wingdings 2" w:hAnsi="Wingdings 2" w:eastAsia="Wingdings 2"/>
          <w:spacing w:val="-2"/>
          <w:position w:val="-11"/>
          <w:sz w:val="52"/>
        </w:rPr>
        <w:t></w:t>
      </w:r>
      <w:r>
        <w:rPr>
          <w:spacing w:val="-4"/>
        </w:rPr>
        <w:t>拥有的重要权益</w:t>
      </w:r>
    </w:p>
    <w:p>
      <w:pPr>
        <w:pStyle w:val="ListParagraph"/>
        <w:numPr>
          <w:ilvl w:val="0"/>
          <w:numId w:val="1"/>
        </w:numPr>
        <w:tabs>
          <w:tab w:pos="1105" w:val="left" w:leader="none"/>
          <w:tab w:pos="1106" w:val="left" w:leader="none"/>
          <w:tab w:pos="9617" w:val="right" w:leader="dot"/>
        </w:tabs>
        <w:spacing w:line="240" w:lineRule="auto" w:before="60" w:after="0"/>
        <w:ind w:left="1106" w:right="0" w:hanging="420"/>
        <w:jc w:val="left"/>
        <w:rPr>
          <w:sz w:val="21"/>
        </w:rPr>
      </w:pPr>
      <w:r>
        <w:rPr>
          <w:spacing w:val="-2"/>
          <w:sz w:val="21"/>
        </w:rPr>
        <w:t>被</w:t>
      </w:r>
      <w:r>
        <w:rPr>
          <w:spacing w:val="-2"/>
          <w:sz w:val="21"/>
        </w:rPr>
        <w:t>保</w:t>
      </w:r>
      <w:r>
        <w:rPr>
          <w:spacing w:val="-2"/>
          <w:sz w:val="21"/>
        </w:rPr>
        <w:t>险人享有的保险</w:t>
      </w:r>
      <w:r>
        <w:rPr>
          <w:spacing w:val="-2"/>
          <w:sz w:val="21"/>
        </w:rPr>
        <w:t>保</w:t>
      </w:r>
      <w:r>
        <w:rPr>
          <w:spacing w:val="-10"/>
          <w:sz w:val="21"/>
        </w:rPr>
        <w:t>障</w:t>
      </w:r>
      <w:r>
        <w:rPr>
          <w:rFonts w:ascii="Times New Roman" w:hAnsi="Times New Roman" w:eastAsia="Times New Roman"/>
          <w:sz w:val="21"/>
        </w:rPr>
        <w:tab/>
      </w:r>
      <w:r>
        <w:rPr>
          <w:spacing w:val="-5"/>
          <w:sz w:val="21"/>
        </w:rPr>
        <w:t>2.3</w:t>
      </w:r>
    </w:p>
    <w:p>
      <w:pPr>
        <w:pStyle w:val="ListParagraph"/>
        <w:numPr>
          <w:ilvl w:val="0"/>
          <w:numId w:val="1"/>
        </w:numPr>
        <w:tabs>
          <w:tab w:pos="1105" w:val="left" w:leader="none"/>
          <w:tab w:pos="1106" w:val="left" w:leader="none"/>
          <w:tab w:pos="9615" w:val="right" w:leader="dot"/>
        </w:tabs>
        <w:spacing w:line="240" w:lineRule="auto" w:before="43" w:after="0"/>
        <w:ind w:left="1106" w:right="0" w:hanging="420"/>
        <w:jc w:val="left"/>
        <w:rPr>
          <w:sz w:val="21"/>
        </w:rPr>
      </w:pPr>
      <w:r>
        <w:rPr>
          <w:spacing w:val="-2"/>
          <w:sz w:val="21"/>
        </w:rPr>
        <w:t>投</w:t>
      </w:r>
      <w:r>
        <w:rPr>
          <w:spacing w:val="-2"/>
          <w:sz w:val="21"/>
        </w:rPr>
        <w:t>保</w:t>
      </w:r>
      <w:r>
        <w:rPr>
          <w:spacing w:val="-2"/>
          <w:sz w:val="21"/>
        </w:rPr>
        <w:t>人有解除合同的</w:t>
      </w:r>
      <w:r>
        <w:rPr>
          <w:spacing w:val="-2"/>
          <w:sz w:val="21"/>
        </w:rPr>
        <w:t>权</w:t>
      </w:r>
      <w:r>
        <w:rPr>
          <w:spacing w:val="-10"/>
          <w:sz w:val="21"/>
        </w:rPr>
        <w:t>利</w:t>
      </w:r>
      <w:r>
        <w:rPr>
          <w:rFonts w:ascii="Times New Roman" w:hAnsi="Times New Roman" w:eastAsia="Times New Roman"/>
          <w:sz w:val="21"/>
        </w:rPr>
        <w:tab/>
      </w:r>
      <w:r>
        <w:rPr>
          <w:spacing w:val="-5"/>
          <w:sz w:val="21"/>
        </w:rPr>
        <w:t>5.1</w:t>
      </w:r>
    </w:p>
    <w:p>
      <w:pPr>
        <w:pStyle w:val="Heading3"/>
        <w:spacing w:before="60"/>
        <w:ind w:left="160"/>
      </w:pPr>
      <w:r>
        <w:rPr>
          <w:rFonts w:ascii="Wingdings 2" w:hAnsi="Wingdings 2" w:eastAsia="Wingdings 2"/>
          <w:spacing w:val="-2"/>
          <w:position w:val="-11"/>
          <w:sz w:val="52"/>
        </w:rPr>
        <w:t></w:t>
      </w:r>
      <w:r>
        <w:rPr>
          <w:spacing w:val="-3"/>
        </w:rPr>
        <w:t>应当特别注意的事项</w:t>
      </w:r>
    </w:p>
    <w:p>
      <w:pPr>
        <w:pStyle w:val="ListParagraph"/>
        <w:numPr>
          <w:ilvl w:val="0"/>
          <w:numId w:val="1"/>
        </w:numPr>
        <w:tabs>
          <w:tab w:pos="1105" w:val="left" w:leader="none"/>
          <w:tab w:pos="1106" w:val="left" w:leader="none"/>
          <w:tab w:pos="9617" w:val="right" w:leader="dot"/>
        </w:tabs>
        <w:spacing w:line="240" w:lineRule="auto" w:before="59" w:after="0"/>
        <w:ind w:left="1106" w:right="0" w:hanging="420"/>
        <w:jc w:val="left"/>
        <w:rPr>
          <w:sz w:val="21"/>
        </w:rPr>
      </w:pPr>
      <w:r>
        <w:rPr>
          <w:spacing w:val="-2"/>
          <w:sz w:val="21"/>
        </w:rPr>
        <w:t>在</w:t>
      </w:r>
      <w:r>
        <w:rPr>
          <w:spacing w:val="-2"/>
          <w:sz w:val="21"/>
        </w:rPr>
        <w:t>某</w:t>
      </w:r>
      <w:r>
        <w:rPr>
          <w:spacing w:val="-2"/>
          <w:sz w:val="21"/>
        </w:rPr>
        <w:t>些情况下，本公司不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2.5</w:t>
      </w:r>
    </w:p>
    <w:p>
      <w:pPr>
        <w:pStyle w:val="ListParagraph"/>
        <w:numPr>
          <w:ilvl w:val="0"/>
          <w:numId w:val="1"/>
        </w:numPr>
        <w:tabs>
          <w:tab w:pos="1105" w:val="left" w:leader="none"/>
          <w:tab w:pos="1106" w:val="left" w:leader="none"/>
          <w:tab w:pos="9617" w:val="right" w:leader="dot"/>
        </w:tabs>
        <w:spacing w:line="240" w:lineRule="auto" w:before="43" w:after="0"/>
        <w:ind w:left="1106" w:right="0" w:hanging="420"/>
        <w:jc w:val="left"/>
        <w:rPr>
          <w:sz w:val="21"/>
        </w:rPr>
      </w:pPr>
      <w:r>
        <w:rPr>
          <w:spacing w:val="-2"/>
          <w:sz w:val="21"/>
        </w:rPr>
        <w:t>及</w:t>
      </w:r>
      <w:r>
        <w:rPr>
          <w:spacing w:val="-2"/>
          <w:sz w:val="21"/>
        </w:rPr>
        <w:t>时</w:t>
      </w:r>
      <w:r>
        <w:rPr>
          <w:spacing w:val="-2"/>
          <w:sz w:val="21"/>
        </w:rPr>
        <w:t>向本公司通知保险事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0"/>
          <w:numId w:val="1"/>
        </w:numPr>
        <w:tabs>
          <w:tab w:pos="1105" w:val="left" w:leader="none"/>
          <w:tab w:pos="1106" w:val="left" w:leader="none"/>
          <w:tab w:pos="9617" w:val="right" w:leader="dot"/>
        </w:tabs>
        <w:spacing w:line="240" w:lineRule="auto" w:before="43" w:after="0"/>
        <w:ind w:left="1106" w:right="0" w:hanging="420"/>
        <w:jc w:val="left"/>
        <w:rPr>
          <w:sz w:val="21"/>
        </w:rPr>
      </w:pPr>
      <w:r>
        <w:rPr>
          <w:spacing w:val="-2"/>
          <w:sz w:val="21"/>
        </w:rPr>
        <w:t>应</w:t>
      </w:r>
      <w:r>
        <w:rPr>
          <w:spacing w:val="-2"/>
          <w:sz w:val="21"/>
        </w:rPr>
        <w:t>当</w:t>
      </w:r>
      <w:r>
        <w:rPr>
          <w:spacing w:val="-2"/>
          <w:sz w:val="21"/>
        </w:rPr>
        <w:t>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105" w:val="left" w:leader="none"/>
          <w:tab w:pos="1106" w:val="left" w:leader="none"/>
          <w:tab w:pos="9615" w:val="right" w:leader="dot"/>
        </w:tabs>
        <w:spacing w:line="240" w:lineRule="auto" w:before="43" w:after="0"/>
        <w:ind w:left="1106" w:right="0" w:hanging="420"/>
        <w:jc w:val="left"/>
        <w:rPr>
          <w:sz w:val="21"/>
        </w:rPr>
      </w:pPr>
      <w:r>
        <w:rPr>
          <w:spacing w:val="-2"/>
          <w:sz w:val="21"/>
        </w:rPr>
        <w:t>退</w:t>
      </w:r>
      <w:r>
        <w:rPr>
          <w:spacing w:val="-2"/>
          <w:sz w:val="21"/>
        </w:rPr>
        <w:t>保</w:t>
      </w:r>
      <w:r>
        <w:rPr>
          <w:spacing w:val="-2"/>
          <w:sz w:val="21"/>
        </w:rPr>
        <w:t>会给投保人造成一定</w:t>
      </w:r>
      <w:r>
        <w:rPr>
          <w:spacing w:val="-2"/>
          <w:sz w:val="21"/>
        </w:rPr>
        <w:t>的</w:t>
      </w:r>
      <w:r>
        <w:rPr>
          <w:spacing w:val="-2"/>
          <w:sz w:val="21"/>
        </w:rPr>
        <w:t>损</w:t>
      </w:r>
      <w:r>
        <w:rPr>
          <w:spacing w:val="-2"/>
          <w:sz w:val="21"/>
        </w:rPr>
        <w:t>失，请慎重</w:t>
      </w:r>
      <w:r>
        <w:rPr>
          <w:spacing w:val="-2"/>
          <w:sz w:val="21"/>
        </w:rPr>
        <w:t>决</w:t>
      </w:r>
      <w:r>
        <w:rPr>
          <w:spacing w:val="-10"/>
          <w:sz w:val="21"/>
        </w:rPr>
        <w:t>策</w:t>
      </w:r>
      <w:r>
        <w:rPr>
          <w:rFonts w:ascii="Times New Roman" w:hAnsi="Times New Roman" w:eastAsia="Times New Roman"/>
          <w:sz w:val="21"/>
        </w:rPr>
        <w:tab/>
      </w:r>
      <w:r>
        <w:rPr>
          <w:spacing w:val="-5"/>
          <w:sz w:val="21"/>
        </w:rPr>
        <w:t>5.1</w:t>
      </w:r>
    </w:p>
    <w:p>
      <w:pPr>
        <w:pStyle w:val="ListParagraph"/>
        <w:numPr>
          <w:ilvl w:val="0"/>
          <w:numId w:val="1"/>
        </w:numPr>
        <w:tabs>
          <w:tab w:pos="1105" w:val="left" w:leader="none"/>
          <w:tab w:pos="1106" w:val="left" w:leader="none"/>
          <w:tab w:pos="9615" w:val="right" w:leader="dot"/>
        </w:tabs>
        <w:spacing w:line="240" w:lineRule="auto" w:before="43" w:after="0"/>
        <w:ind w:left="1106" w:right="0" w:hanging="420"/>
        <w:jc w:val="left"/>
        <w:rPr>
          <w:sz w:val="21"/>
        </w:rPr>
      </w:pPr>
      <w:r>
        <w:rPr>
          <w:spacing w:val="-2"/>
          <w:sz w:val="21"/>
        </w:rPr>
        <w:t>投</w:t>
      </w:r>
      <w:r>
        <w:rPr>
          <w:spacing w:val="-2"/>
          <w:sz w:val="21"/>
        </w:rPr>
        <w:t>保</w:t>
      </w:r>
      <w:r>
        <w:rPr>
          <w:spacing w:val="-2"/>
          <w:sz w:val="21"/>
        </w:rPr>
        <w:t>人有如实告知的</w:t>
      </w:r>
      <w:r>
        <w:rPr>
          <w:spacing w:val="-2"/>
          <w:sz w:val="21"/>
        </w:rPr>
        <w:t>义</w:t>
      </w:r>
      <w:r>
        <w:rPr>
          <w:spacing w:val="-10"/>
          <w:sz w:val="21"/>
        </w:rPr>
        <w:t>务</w:t>
      </w:r>
      <w:r>
        <w:rPr>
          <w:rFonts w:ascii="Times New Roman" w:hAnsi="Times New Roman" w:eastAsia="Times New Roman"/>
          <w:sz w:val="21"/>
        </w:rPr>
        <w:tab/>
      </w:r>
      <w:r>
        <w:rPr>
          <w:spacing w:val="-5"/>
          <w:sz w:val="21"/>
        </w:rPr>
        <w:t>6.1</w:t>
      </w:r>
    </w:p>
    <w:p>
      <w:pPr>
        <w:pStyle w:val="ListParagraph"/>
        <w:numPr>
          <w:ilvl w:val="0"/>
          <w:numId w:val="1"/>
        </w:numPr>
        <w:tabs>
          <w:tab w:pos="1105" w:val="left" w:leader="none"/>
          <w:tab w:pos="1106" w:val="left" w:leader="none"/>
        </w:tabs>
        <w:spacing w:line="240" w:lineRule="auto" w:before="43" w:after="0"/>
        <w:ind w:left="1106" w:right="0" w:hanging="420"/>
        <w:jc w:val="left"/>
        <w:rPr>
          <w:sz w:val="21"/>
        </w:rPr>
      </w:pPr>
      <w:r>
        <w:rPr>
          <w:spacing w:val="-3"/>
          <w:sz w:val="21"/>
        </w:rPr>
        <w:t>本公司对可能影响本合同保障的重要内容进行显著标识，请仔细阅读背景突出显示的内容</w:t>
      </w:r>
    </w:p>
    <w:p>
      <w:pPr>
        <w:spacing w:line="474" w:lineRule="exact" w:before="21"/>
        <w:ind w:left="16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条款是保险合同的重要内容，为充分保障您的权益，请仔细阅读本条款。</w:t>
      </w:r>
    </w:p>
    <w:p>
      <w:pPr>
        <w:spacing w:line="361" w:lineRule="exact" w:before="0"/>
        <w:ind w:left="160" w:right="0" w:firstLine="0"/>
        <w:jc w:val="left"/>
        <w:rPr>
          <w:b/>
          <w:sz w:val="21"/>
        </w:rPr>
      </w:pPr>
      <w:r>
        <w:rPr/>
        <w:drawing>
          <wp:anchor distT="0" distB="0" distL="0" distR="0" allowOverlap="1" layoutInCell="1" locked="0" behindDoc="0" simplePos="0" relativeHeight="15728640">
            <wp:simplePos x="0" y="0"/>
            <wp:positionH relativeFrom="page">
              <wp:posOffset>1940305</wp:posOffset>
            </wp:positionH>
            <wp:positionV relativeFrom="paragraph">
              <wp:posOffset>205743</wp:posOffset>
            </wp:positionV>
            <wp:extent cx="4178300" cy="609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4178300" cy="6095"/>
                    </a:xfrm>
                    <a:prstGeom prst="rect">
                      <a:avLst/>
                    </a:prstGeom>
                  </pic:spPr>
                </pic:pic>
              </a:graphicData>
            </a:graphic>
          </wp:anchor>
        </w:drawing>
      </w:r>
      <w:r>
        <w:rPr/>
        <w:pict>
          <v:shape style="position:absolute;margin-left:166.240005pt;margin-top:18.041405pt;width:255.15pt;height:64.2pt;mso-position-horizontal-relative:page;mso-position-vertical-relative:paragraph;z-index:15729152"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2629"/>
                    <w:gridCol w:w="2054"/>
                  </w:tblGrid>
                  <w:tr>
                    <w:trPr>
                      <w:trHeight w:val="529" w:hRule="atLeast"/>
                    </w:trPr>
                    <w:tc>
                      <w:tcPr>
                        <w:tcW w:w="5101" w:type="dxa"/>
                        <w:gridSpan w:val="3"/>
                      </w:tcPr>
                      <w:p>
                        <w:pPr>
                          <w:pStyle w:val="TableParagraph"/>
                          <w:tabs>
                            <w:tab w:pos="3158" w:val="left" w:leader="none"/>
                          </w:tabs>
                          <w:spacing w:line="237" w:lineRule="exact"/>
                          <w:ind w:left="50"/>
                          <w:rPr>
                            <w:b/>
                            <w:sz w:val="21"/>
                          </w:rPr>
                        </w:pPr>
                        <w:r>
                          <w:rPr>
                            <w:b/>
                            <w:sz w:val="21"/>
                          </w:rPr>
                          <w:t>合同订</w:t>
                        </w:r>
                        <w:r>
                          <w:rPr>
                            <w:b/>
                            <w:spacing w:val="-10"/>
                            <w:sz w:val="21"/>
                          </w:rPr>
                          <w:t>立</w:t>
                        </w:r>
                        <w:r>
                          <w:rPr>
                            <w:b/>
                            <w:sz w:val="21"/>
                          </w:rPr>
                          <w:tab/>
                        </w:r>
                        <w:r>
                          <w:rPr>
                            <w:b/>
                            <w:w w:val="95"/>
                            <w:sz w:val="21"/>
                          </w:rPr>
                          <w:t>4.</w:t>
                        </w:r>
                        <w:r>
                          <w:rPr>
                            <w:b/>
                            <w:w w:val="95"/>
                            <w:sz w:val="21"/>
                          </w:rPr>
                          <w:t>保</w:t>
                        </w:r>
                        <w:r>
                          <w:rPr>
                            <w:b/>
                            <w:w w:val="95"/>
                            <w:sz w:val="21"/>
                          </w:rPr>
                          <w:t>险</w:t>
                        </w:r>
                        <w:r>
                          <w:rPr>
                            <w:b/>
                            <w:w w:val="95"/>
                            <w:sz w:val="21"/>
                          </w:rPr>
                          <w:t>费</w:t>
                        </w:r>
                        <w:r>
                          <w:rPr>
                            <w:b/>
                            <w:w w:val="95"/>
                            <w:sz w:val="21"/>
                          </w:rPr>
                          <w:t>交</w:t>
                        </w:r>
                        <w:r>
                          <w:rPr>
                            <w:b/>
                            <w:spacing w:val="-10"/>
                            <w:w w:val="95"/>
                            <w:sz w:val="21"/>
                          </w:rPr>
                          <w:t>纳</w:t>
                        </w:r>
                      </w:p>
                      <w:p>
                        <w:pPr>
                          <w:pStyle w:val="TableParagraph"/>
                          <w:tabs>
                            <w:tab w:pos="3370" w:val="left" w:leader="none"/>
                          </w:tabs>
                          <w:spacing w:line="260" w:lineRule="exact"/>
                          <w:ind w:left="50"/>
                          <w:rPr>
                            <w:sz w:val="21"/>
                          </w:rPr>
                        </w:pPr>
                        <w:r>
                          <w:rPr>
                            <w:sz w:val="21"/>
                          </w:rPr>
                          <w:t>1.1</w:t>
                        </w:r>
                        <w:r>
                          <w:rPr>
                            <w:spacing w:val="-6"/>
                            <w:sz w:val="21"/>
                          </w:rPr>
                          <w:t> </w:t>
                        </w:r>
                        <w:r>
                          <w:rPr>
                            <w:sz w:val="21"/>
                          </w:rPr>
                          <w:t>合同构</w:t>
                        </w:r>
                        <w:r>
                          <w:rPr>
                            <w:spacing w:val="-10"/>
                            <w:sz w:val="21"/>
                          </w:rPr>
                          <w:t>成</w:t>
                        </w:r>
                        <w:r>
                          <w:rPr>
                            <w:sz w:val="21"/>
                          </w:rPr>
                          <w:tab/>
                          <w:t>4.1</w:t>
                        </w:r>
                        <w:r>
                          <w:rPr>
                            <w:spacing w:val="-11"/>
                            <w:sz w:val="21"/>
                          </w:rPr>
                          <w:t> </w:t>
                        </w:r>
                        <w:r>
                          <w:rPr>
                            <w:sz w:val="21"/>
                          </w:rPr>
                          <w:t>保险费的交</w:t>
                        </w:r>
                        <w:r>
                          <w:rPr>
                            <w:spacing w:val="-10"/>
                            <w:sz w:val="21"/>
                          </w:rPr>
                          <w:t>纳</w:t>
                        </w:r>
                      </w:p>
                    </w:tc>
                  </w:tr>
                  <w:tr>
                    <w:trPr>
                      <w:trHeight w:val="259" w:hRule="atLeast"/>
                    </w:trPr>
                    <w:tc>
                      <w:tcPr>
                        <w:tcW w:w="418" w:type="dxa"/>
                      </w:tcPr>
                      <w:p>
                        <w:pPr>
                          <w:pStyle w:val="TableParagraph"/>
                          <w:spacing w:line="227" w:lineRule="exact"/>
                          <w:ind w:left="50"/>
                          <w:rPr>
                            <w:sz w:val="21"/>
                          </w:rPr>
                        </w:pPr>
                        <w:r>
                          <w:rPr>
                            <w:spacing w:val="-5"/>
                            <w:sz w:val="21"/>
                          </w:rPr>
                          <w:t>1.2</w:t>
                        </w:r>
                      </w:p>
                    </w:tc>
                    <w:tc>
                      <w:tcPr>
                        <w:tcW w:w="2629" w:type="dxa"/>
                      </w:tcPr>
                      <w:p>
                        <w:pPr>
                          <w:pStyle w:val="TableParagraph"/>
                          <w:spacing w:line="227" w:lineRule="exact"/>
                          <w:ind w:left="51"/>
                          <w:rPr>
                            <w:sz w:val="21"/>
                          </w:rPr>
                        </w:pPr>
                        <w:r>
                          <w:rPr>
                            <w:spacing w:val="-4"/>
                            <w:sz w:val="21"/>
                          </w:rPr>
                          <w:t>合同成立与生效</w:t>
                        </w:r>
                      </w:p>
                    </w:tc>
                    <w:tc>
                      <w:tcPr>
                        <w:tcW w:w="2054" w:type="dxa"/>
                      </w:tcPr>
                      <w:p>
                        <w:pPr>
                          <w:pStyle w:val="TableParagraph"/>
                          <w:spacing w:line="227" w:lineRule="exact"/>
                          <w:ind w:right="888"/>
                          <w:jc w:val="right"/>
                          <w:rPr>
                            <w:sz w:val="21"/>
                          </w:rPr>
                        </w:pPr>
                        <w:r>
                          <w:rPr>
                            <w:sz w:val="21"/>
                          </w:rPr>
                          <w:t>4.2</w:t>
                        </w:r>
                        <w:r>
                          <w:rPr>
                            <w:spacing w:val="-5"/>
                            <w:sz w:val="21"/>
                          </w:rPr>
                          <w:t> 续保</w:t>
                        </w:r>
                      </w:p>
                    </w:tc>
                  </w:tr>
                  <w:tr>
                    <w:trPr>
                      <w:trHeight w:val="260" w:hRule="atLeast"/>
                    </w:trPr>
                    <w:tc>
                      <w:tcPr>
                        <w:tcW w:w="418" w:type="dxa"/>
                      </w:tcPr>
                      <w:p>
                        <w:pPr>
                          <w:pStyle w:val="TableParagraph"/>
                          <w:spacing w:line="228" w:lineRule="exact"/>
                          <w:ind w:left="50"/>
                          <w:rPr>
                            <w:sz w:val="21"/>
                          </w:rPr>
                        </w:pPr>
                        <w:r>
                          <w:rPr>
                            <w:spacing w:val="-5"/>
                            <w:sz w:val="21"/>
                          </w:rPr>
                          <w:t>1.3</w:t>
                        </w:r>
                      </w:p>
                    </w:tc>
                    <w:tc>
                      <w:tcPr>
                        <w:tcW w:w="2629" w:type="dxa"/>
                      </w:tcPr>
                      <w:p>
                        <w:pPr>
                          <w:pStyle w:val="TableParagraph"/>
                          <w:spacing w:line="228" w:lineRule="exact"/>
                          <w:ind w:left="54"/>
                          <w:rPr>
                            <w:sz w:val="21"/>
                          </w:rPr>
                        </w:pPr>
                        <w:r>
                          <w:rPr>
                            <w:spacing w:val="-4"/>
                            <w:sz w:val="21"/>
                          </w:rPr>
                          <w:t>投保范围</w:t>
                        </w:r>
                      </w:p>
                    </w:tc>
                    <w:tc>
                      <w:tcPr>
                        <w:tcW w:w="2054" w:type="dxa"/>
                      </w:tcPr>
                      <w:p>
                        <w:pPr>
                          <w:pStyle w:val="TableParagraph"/>
                          <w:rPr>
                            <w:rFonts w:ascii="Times New Roman"/>
                            <w:sz w:val="18"/>
                          </w:rPr>
                        </w:pPr>
                      </w:p>
                    </w:tc>
                  </w:tr>
                  <w:tr>
                    <w:trPr>
                      <w:trHeight w:val="236" w:hRule="atLeast"/>
                    </w:trPr>
                    <w:tc>
                      <w:tcPr>
                        <w:tcW w:w="418" w:type="dxa"/>
                      </w:tcPr>
                      <w:p>
                        <w:pPr>
                          <w:pStyle w:val="TableParagraph"/>
                          <w:spacing w:line="204" w:lineRule="exact"/>
                          <w:ind w:left="50"/>
                          <w:rPr>
                            <w:sz w:val="21"/>
                          </w:rPr>
                        </w:pPr>
                        <w:r>
                          <w:rPr>
                            <w:spacing w:val="-5"/>
                            <w:sz w:val="21"/>
                          </w:rPr>
                          <w:t>1.4</w:t>
                        </w:r>
                      </w:p>
                    </w:tc>
                    <w:tc>
                      <w:tcPr>
                        <w:tcW w:w="2629" w:type="dxa"/>
                      </w:tcPr>
                      <w:p>
                        <w:pPr>
                          <w:pStyle w:val="TableParagraph"/>
                          <w:spacing w:line="204" w:lineRule="exact"/>
                          <w:ind w:left="54"/>
                          <w:rPr>
                            <w:sz w:val="21"/>
                          </w:rPr>
                        </w:pPr>
                        <w:r>
                          <w:rPr>
                            <w:spacing w:val="-5"/>
                            <w:sz w:val="21"/>
                          </w:rPr>
                          <w:t>犹豫期</w:t>
                        </w:r>
                      </w:p>
                    </w:tc>
                    <w:tc>
                      <w:tcPr>
                        <w:tcW w:w="2054" w:type="dxa"/>
                      </w:tcPr>
                      <w:p>
                        <w:pPr>
                          <w:pStyle w:val="TableParagraph"/>
                          <w:spacing w:line="204" w:lineRule="exact"/>
                          <w:ind w:right="885"/>
                          <w:jc w:val="right"/>
                          <w:rPr>
                            <w:b/>
                            <w:sz w:val="21"/>
                          </w:rPr>
                        </w:pPr>
                        <w:r>
                          <w:rPr>
                            <w:b/>
                            <w:w w:val="95"/>
                            <w:sz w:val="21"/>
                          </w:rPr>
                          <w:t>5.</w:t>
                        </w:r>
                        <w:r>
                          <w:rPr>
                            <w:b/>
                            <w:w w:val="95"/>
                            <w:sz w:val="21"/>
                          </w:rPr>
                          <w:t>合</w:t>
                        </w:r>
                        <w:r>
                          <w:rPr>
                            <w:b/>
                            <w:w w:val="95"/>
                            <w:sz w:val="21"/>
                          </w:rPr>
                          <w:t>同</w:t>
                        </w:r>
                        <w:r>
                          <w:rPr>
                            <w:b/>
                            <w:w w:val="95"/>
                            <w:sz w:val="21"/>
                          </w:rPr>
                          <w:t>解</w:t>
                        </w:r>
                        <w:r>
                          <w:rPr>
                            <w:b/>
                            <w:spacing w:val="-10"/>
                            <w:w w:val="95"/>
                            <w:sz w:val="21"/>
                          </w:rPr>
                          <w:t>除</w:t>
                        </w:r>
                      </w:p>
                    </w:tc>
                  </w:tr>
                </w:tbl>
                <w:p>
                  <w:pPr>
                    <w:pStyle w:val="BodyText"/>
                  </w:pPr>
                </w:p>
              </w:txbxContent>
            </v:textbox>
            <w10:wrap type="none"/>
          </v:shape>
        </w:pict>
      </w:r>
      <w:r>
        <w:rPr/>
        <w:drawing>
          <wp:anchor distT="0" distB="0" distL="0" distR="0" allowOverlap="1" layoutInCell="1" locked="0" behindDoc="0" simplePos="0" relativeHeight="15729664">
            <wp:simplePos x="0" y="0"/>
            <wp:positionH relativeFrom="page">
              <wp:posOffset>4043807</wp:posOffset>
            </wp:positionH>
            <wp:positionV relativeFrom="paragraph">
              <wp:posOffset>211838</wp:posOffset>
            </wp:positionV>
            <wp:extent cx="6096" cy="3700907"/>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96" cy="3700907"/>
                    </a:xfrm>
                    <a:prstGeom prst="rect">
                      <a:avLst/>
                    </a:prstGeom>
                  </pic:spPr>
                </pic:pic>
              </a:graphicData>
            </a:graphic>
          </wp:anchor>
        </w:drawing>
      </w:r>
      <w:r>
        <w:rPr>
          <w:rFonts w:ascii="Wingdings 2" w:hAnsi="Wingdings 2" w:eastAsia="Wingdings 2"/>
          <w:b/>
          <w:spacing w:val="-2"/>
          <w:position w:val="-11"/>
          <w:sz w:val="52"/>
        </w:rPr>
        <w:t></w:t>
      </w:r>
      <w:r>
        <w:rPr>
          <w:b/>
          <w:spacing w:val="-4"/>
          <w:sz w:val="21"/>
        </w:rPr>
        <w:t>条款目录</w:t>
      </w:r>
    </w:p>
    <w:p>
      <w:pPr>
        <w:spacing w:line="241" w:lineRule="exact" w:before="0"/>
        <w:ind w:left="2243" w:right="0" w:firstLine="0"/>
        <w:jc w:val="left"/>
        <w:rPr>
          <w:b/>
          <w:sz w:val="21"/>
        </w:rPr>
      </w:pPr>
      <w:r>
        <w:rPr>
          <w:b/>
          <w:spacing w:val="-5"/>
          <w:sz w:val="21"/>
        </w:rPr>
        <w:t>1.</w:t>
      </w:r>
    </w:p>
    <w:p>
      <w:pPr>
        <w:pStyle w:val="BodyText"/>
        <w:rPr>
          <w:b/>
          <w:sz w:val="20"/>
        </w:rPr>
      </w:pPr>
    </w:p>
    <w:p>
      <w:pPr>
        <w:pStyle w:val="BodyText"/>
        <w:rPr>
          <w:b/>
          <w:sz w:val="20"/>
        </w:rPr>
      </w:pPr>
    </w:p>
    <w:p>
      <w:pPr>
        <w:pStyle w:val="BodyText"/>
        <w:rPr>
          <w:b/>
          <w:sz w:val="20"/>
        </w:rPr>
      </w:pPr>
    </w:p>
    <w:p>
      <w:pPr>
        <w:pStyle w:val="BodyText"/>
        <w:spacing w:before="12"/>
        <w:rPr>
          <w:b/>
          <w:sz w:val="14"/>
        </w:rPr>
      </w:pPr>
    </w:p>
    <w:p>
      <w:pPr>
        <w:spacing w:after="0"/>
        <w:rPr>
          <w:sz w:val="14"/>
        </w:rPr>
        <w:sectPr>
          <w:footerReference w:type="default" r:id="rId5"/>
          <w:type w:val="continuous"/>
          <w:pgSz w:w="11910" w:h="16840"/>
          <w:pgMar w:footer="659" w:header="0" w:top="480" w:bottom="840" w:left="920" w:right="880"/>
          <w:pgNumType w:start="1"/>
        </w:sectPr>
      </w:pPr>
    </w:p>
    <w:p>
      <w:pPr>
        <w:pStyle w:val="BodyText"/>
        <w:spacing w:before="10"/>
        <w:rPr>
          <w:b/>
          <w:sz w:val="25"/>
        </w:rPr>
      </w:pPr>
    </w:p>
    <w:p>
      <w:pPr>
        <w:pStyle w:val="ListParagraph"/>
        <w:numPr>
          <w:ilvl w:val="1"/>
          <w:numId w:val="1"/>
        </w:numPr>
        <w:tabs>
          <w:tab w:pos="2456" w:val="left" w:leader="none"/>
        </w:tabs>
        <w:spacing w:line="265" w:lineRule="exact" w:before="1" w:after="0"/>
        <w:ind w:left="2455" w:right="0" w:hanging="213"/>
        <w:jc w:val="left"/>
        <w:rPr>
          <w:b/>
          <w:sz w:val="21"/>
        </w:rPr>
      </w:pPr>
      <w:r>
        <w:rPr>
          <w:b/>
          <w:spacing w:val="-2"/>
          <w:sz w:val="21"/>
        </w:rPr>
        <w:t>提供的保障</w:t>
      </w:r>
    </w:p>
    <w:p>
      <w:pPr>
        <w:pStyle w:val="ListParagraph"/>
        <w:numPr>
          <w:ilvl w:val="2"/>
          <w:numId w:val="1"/>
        </w:numPr>
        <w:tabs>
          <w:tab w:pos="2878" w:val="left" w:leader="none"/>
        </w:tabs>
        <w:spacing w:line="265" w:lineRule="exact" w:before="0" w:after="0"/>
        <w:ind w:left="2877" w:right="0" w:hanging="424"/>
        <w:jc w:val="left"/>
        <w:rPr>
          <w:sz w:val="21"/>
        </w:rPr>
      </w:pPr>
      <w:r>
        <w:rPr>
          <w:spacing w:val="-4"/>
          <w:sz w:val="21"/>
        </w:rPr>
        <w:t>保险金额</w:t>
      </w:r>
    </w:p>
    <w:p>
      <w:pPr>
        <w:pStyle w:val="BodyText"/>
        <w:spacing w:before="72"/>
        <w:ind w:left="2028" w:right="1819"/>
        <w:jc w:val="center"/>
      </w:pPr>
      <w:r>
        <w:rPr/>
        <w:br w:type="column"/>
      </w:r>
      <w:r>
        <w:rPr/>
        <w:t>5.1</w:t>
      </w:r>
      <w:r>
        <w:rPr>
          <w:spacing w:val="-5"/>
        </w:rPr>
        <w:t> 解除合同的手续及风险</w:t>
      </w:r>
    </w:p>
    <w:p>
      <w:pPr>
        <w:pStyle w:val="BodyText"/>
        <w:spacing w:before="8"/>
        <w:rPr>
          <w:sz w:val="19"/>
        </w:rPr>
      </w:pPr>
    </w:p>
    <w:p>
      <w:pPr>
        <w:pStyle w:val="Heading3"/>
        <w:numPr>
          <w:ilvl w:val="0"/>
          <w:numId w:val="2"/>
        </w:numPr>
        <w:tabs>
          <w:tab w:pos="2019" w:val="left" w:leader="none"/>
        </w:tabs>
        <w:spacing w:line="240" w:lineRule="auto" w:before="0" w:after="0"/>
        <w:ind w:left="2018" w:right="0" w:hanging="213"/>
        <w:jc w:val="left"/>
      </w:pPr>
      <w:r>
        <w:rPr>
          <w:spacing w:val="-3"/>
        </w:rPr>
        <w:t>其他事项</w:t>
      </w:r>
    </w:p>
    <w:p>
      <w:pPr>
        <w:spacing w:after="0" w:line="240" w:lineRule="auto"/>
        <w:jc w:val="left"/>
        <w:sectPr>
          <w:type w:val="continuous"/>
          <w:pgSz w:w="11910" w:h="16840"/>
          <w:pgMar w:header="0" w:footer="659" w:top="480" w:bottom="840" w:left="920" w:right="880"/>
          <w:cols w:num="2" w:equalWidth="0">
            <w:col w:w="3718" w:space="40"/>
            <w:col w:w="6352"/>
          </w:cols>
        </w:sectPr>
      </w:pPr>
    </w:p>
    <w:tbl>
      <w:tblPr>
        <w:tblW w:w="0" w:type="auto"/>
        <w:jc w:val="left"/>
        <w:tblInd w:w="2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2448"/>
        <w:gridCol w:w="873"/>
        <w:gridCol w:w="2415"/>
      </w:tblGrid>
      <w:tr>
        <w:trPr>
          <w:trHeight w:val="235" w:hRule="atLeast"/>
        </w:trPr>
        <w:tc>
          <w:tcPr>
            <w:tcW w:w="420" w:type="dxa"/>
          </w:tcPr>
          <w:p>
            <w:pPr>
              <w:pStyle w:val="TableParagraph"/>
              <w:spacing w:line="215" w:lineRule="exact"/>
              <w:ind w:left="50"/>
              <w:rPr>
                <w:sz w:val="21"/>
              </w:rPr>
            </w:pPr>
            <w:r>
              <w:rPr>
                <w:spacing w:val="-5"/>
                <w:sz w:val="21"/>
              </w:rPr>
              <w:t>2.2</w:t>
            </w:r>
          </w:p>
        </w:tc>
        <w:tc>
          <w:tcPr>
            <w:tcW w:w="2448" w:type="dxa"/>
          </w:tcPr>
          <w:p>
            <w:pPr>
              <w:pStyle w:val="TableParagraph"/>
              <w:spacing w:line="215" w:lineRule="exact"/>
              <w:ind w:left="52"/>
              <w:rPr>
                <w:sz w:val="21"/>
              </w:rPr>
            </w:pPr>
            <w:r>
              <w:rPr>
                <w:spacing w:val="-4"/>
                <w:sz w:val="21"/>
              </w:rPr>
              <w:t>保险期间</w:t>
            </w:r>
          </w:p>
        </w:tc>
        <w:tc>
          <w:tcPr>
            <w:tcW w:w="873" w:type="dxa"/>
          </w:tcPr>
          <w:p>
            <w:pPr>
              <w:pStyle w:val="TableParagraph"/>
              <w:spacing w:line="215" w:lineRule="exact"/>
              <w:ind w:right="53"/>
              <w:jc w:val="right"/>
              <w:rPr>
                <w:sz w:val="21"/>
              </w:rPr>
            </w:pPr>
            <w:r>
              <w:rPr>
                <w:spacing w:val="-5"/>
                <w:sz w:val="21"/>
              </w:rPr>
              <w:t>6.1</w:t>
            </w:r>
          </w:p>
        </w:tc>
        <w:tc>
          <w:tcPr>
            <w:tcW w:w="2415" w:type="dxa"/>
          </w:tcPr>
          <w:p>
            <w:pPr>
              <w:pStyle w:val="TableParagraph"/>
              <w:spacing w:line="215" w:lineRule="exact"/>
              <w:ind w:left="51"/>
              <w:rPr>
                <w:sz w:val="21"/>
              </w:rPr>
            </w:pPr>
            <w:r>
              <w:rPr>
                <w:spacing w:val="-3"/>
                <w:sz w:val="21"/>
              </w:rPr>
              <w:t>明确说明与如实告知</w:t>
            </w:r>
          </w:p>
        </w:tc>
      </w:tr>
      <w:tr>
        <w:trPr>
          <w:trHeight w:val="260" w:hRule="atLeast"/>
        </w:trPr>
        <w:tc>
          <w:tcPr>
            <w:tcW w:w="420" w:type="dxa"/>
          </w:tcPr>
          <w:p>
            <w:pPr>
              <w:pStyle w:val="TableParagraph"/>
              <w:spacing w:line="240" w:lineRule="exact"/>
              <w:ind w:left="50"/>
              <w:rPr>
                <w:sz w:val="21"/>
              </w:rPr>
            </w:pPr>
            <w:r>
              <w:rPr>
                <w:spacing w:val="-5"/>
                <w:sz w:val="21"/>
              </w:rPr>
              <w:t>2.3</w:t>
            </w:r>
          </w:p>
        </w:tc>
        <w:tc>
          <w:tcPr>
            <w:tcW w:w="2448" w:type="dxa"/>
          </w:tcPr>
          <w:p>
            <w:pPr>
              <w:pStyle w:val="TableParagraph"/>
              <w:spacing w:line="240" w:lineRule="exact"/>
              <w:ind w:left="52"/>
              <w:rPr>
                <w:sz w:val="21"/>
              </w:rPr>
            </w:pPr>
            <w:r>
              <w:rPr>
                <w:spacing w:val="-4"/>
                <w:sz w:val="21"/>
              </w:rPr>
              <w:t>保险责任</w:t>
            </w:r>
          </w:p>
        </w:tc>
        <w:tc>
          <w:tcPr>
            <w:tcW w:w="873" w:type="dxa"/>
          </w:tcPr>
          <w:p>
            <w:pPr>
              <w:pStyle w:val="TableParagraph"/>
              <w:spacing w:line="240" w:lineRule="exact"/>
              <w:ind w:right="53"/>
              <w:jc w:val="right"/>
              <w:rPr>
                <w:sz w:val="21"/>
              </w:rPr>
            </w:pPr>
            <w:r>
              <w:rPr>
                <w:spacing w:val="-5"/>
                <w:sz w:val="21"/>
              </w:rPr>
              <w:t>6.2</w:t>
            </w:r>
          </w:p>
        </w:tc>
        <w:tc>
          <w:tcPr>
            <w:tcW w:w="2415" w:type="dxa"/>
          </w:tcPr>
          <w:p>
            <w:pPr>
              <w:pStyle w:val="TableParagraph"/>
              <w:spacing w:line="240" w:lineRule="exact"/>
              <w:ind w:left="51"/>
              <w:rPr>
                <w:sz w:val="21"/>
              </w:rPr>
            </w:pPr>
            <w:r>
              <w:rPr>
                <w:spacing w:val="-3"/>
                <w:sz w:val="21"/>
              </w:rPr>
              <w:t>本公司合同解除权的限制</w:t>
            </w:r>
          </w:p>
        </w:tc>
      </w:tr>
      <w:tr>
        <w:trPr>
          <w:trHeight w:val="260" w:hRule="atLeast"/>
        </w:trPr>
        <w:tc>
          <w:tcPr>
            <w:tcW w:w="420" w:type="dxa"/>
          </w:tcPr>
          <w:p>
            <w:pPr>
              <w:pStyle w:val="TableParagraph"/>
              <w:spacing w:line="240" w:lineRule="exact"/>
              <w:ind w:left="50"/>
              <w:rPr>
                <w:sz w:val="21"/>
              </w:rPr>
            </w:pPr>
            <w:r>
              <w:rPr>
                <w:spacing w:val="-5"/>
                <w:sz w:val="21"/>
              </w:rPr>
              <w:t>2.4</w:t>
            </w:r>
          </w:p>
        </w:tc>
        <w:tc>
          <w:tcPr>
            <w:tcW w:w="2448" w:type="dxa"/>
          </w:tcPr>
          <w:p>
            <w:pPr>
              <w:pStyle w:val="TableParagraph"/>
              <w:spacing w:line="240" w:lineRule="exact"/>
              <w:ind w:left="52"/>
              <w:rPr>
                <w:sz w:val="21"/>
              </w:rPr>
            </w:pPr>
            <w:r>
              <w:rPr>
                <w:spacing w:val="-3"/>
                <w:sz w:val="21"/>
              </w:rPr>
              <w:t>补偿原则与给付标准</w:t>
            </w:r>
          </w:p>
        </w:tc>
        <w:tc>
          <w:tcPr>
            <w:tcW w:w="873" w:type="dxa"/>
          </w:tcPr>
          <w:p>
            <w:pPr>
              <w:pStyle w:val="TableParagraph"/>
              <w:spacing w:line="240" w:lineRule="exact"/>
              <w:ind w:right="53"/>
              <w:jc w:val="right"/>
              <w:rPr>
                <w:sz w:val="21"/>
              </w:rPr>
            </w:pPr>
            <w:r>
              <w:rPr>
                <w:spacing w:val="-5"/>
                <w:sz w:val="21"/>
              </w:rPr>
              <w:t>6.3</w:t>
            </w:r>
          </w:p>
        </w:tc>
        <w:tc>
          <w:tcPr>
            <w:tcW w:w="2415" w:type="dxa"/>
          </w:tcPr>
          <w:p>
            <w:pPr>
              <w:pStyle w:val="TableParagraph"/>
              <w:spacing w:line="240" w:lineRule="exact"/>
              <w:ind w:left="51"/>
              <w:rPr>
                <w:sz w:val="21"/>
              </w:rPr>
            </w:pPr>
            <w:r>
              <w:rPr>
                <w:spacing w:val="-4"/>
                <w:sz w:val="21"/>
              </w:rPr>
              <w:t>年龄错误</w:t>
            </w:r>
          </w:p>
        </w:tc>
      </w:tr>
      <w:tr>
        <w:trPr>
          <w:trHeight w:val="259" w:hRule="atLeast"/>
        </w:trPr>
        <w:tc>
          <w:tcPr>
            <w:tcW w:w="420" w:type="dxa"/>
          </w:tcPr>
          <w:p>
            <w:pPr>
              <w:pStyle w:val="TableParagraph"/>
              <w:spacing w:line="239" w:lineRule="exact"/>
              <w:ind w:left="50"/>
              <w:rPr>
                <w:sz w:val="21"/>
              </w:rPr>
            </w:pPr>
            <w:r>
              <w:rPr>
                <w:spacing w:val="-5"/>
                <w:sz w:val="21"/>
              </w:rPr>
              <w:t>2.5</w:t>
            </w:r>
          </w:p>
        </w:tc>
        <w:tc>
          <w:tcPr>
            <w:tcW w:w="2448" w:type="dxa"/>
          </w:tcPr>
          <w:p>
            <w:pPr>
              <w:pStyle w:val="TableParagraph"/>
              <w:spacing w:line="239" w:lineRule="exact"/>
              <w:ind w:left="52"/>
              <w:rPr>
                <w:sz w:val="21"/>
              </w:rPr>
            </w:pPr>
            <w:r>
              <w:rPr>
                <w:spacing w:val="-4"/>
                <w:sz w:val="21"/>
              </w:rPr>
              <w:t>责任免除</w:t>
            </w:r>
          </w:p>
        </w:tc>
        <w:tc>
          <w:tcPr>
            <w:tcW w:w="873" w:type="dxa"/>
          </w:tcPr>
          <w:p>
            <w:pPr>
              <w:pStyle w:val="TableParagraph"/>
              <w:spacing w:line="239" w:lineRule="exact"/>
              <w:ind w:right="53"/>
              <w:jc w:val="right"/>
              <w:rPr>
                <w:sz w:val="21"/>
              </w:rPr>
            </w:pPr>
            <w:r>
              <w:rPr>
                <w:spacing w:val="-5"/>
                <w:sz w:val="21"/>
              </w:rPr>
              <w:t>6.4</w:t>
            </w:r>
          </w:p>
        </w:tc>
        <w:tc>
          <w:tcPr>
            <w:tcW w:w="2415" w:type="dxa"/>
          </w:tcPr>
          <w:p>
            <w:pPr>
              <w:pStyle w:val="TableParagraph"/>
              <w:spacing w:line="239" w:lineRule="exact"/>
              <w:ind w:left="51"/>
              <w:rPr>
                <w:sz w:val="21"/>
              </w:rPr>
            </w:pPr>
            <w:r>
              <w:rPr>
                <w:spacing w:val="-4"/>
                <w:sz w:val="21"/>
              </w:rPr>
              <w:t>未还款项</w:t>
            </w:r>
          </w:p>
        </w:tc>
      </w:tr>
      <w:tr>
        <w:trPr>
          <w:trHeight w:val="235" w:hRule="atLeast"/>
        </w:trPr>
        <w:tc>
          <w:tcPr>
            <w:tcW w:w="420" w:type="dxa"/>
          </w:tcPr>
          <w:p>
            <w:pPr>
              <w:pStyle w:val="TableParagraph"/>
              <w:rPr>
                <w:rFonts w:ascii="Times New Roman"/>
                <w:sz w:val="16"/>
              </w:rPr>
            </w:pPr>
          </w:p>
        </w:tc>
        <w:tc>
          <w:tcPr>
            <w:tcW w:w="2448" w:type="dxa"/>
          </w:tcPr>
          <w:p>
            <w:pPr>
              <w:pStyle w:val="TableParagraph"/>
              <w:rPr>
                <w:rFonts w:ascii="Times New Roman"/>
                <w:sz w:val="16"/>
              </w:rPr>
            </w:pPr>
          </w:p>
        </w:tc>
        <w:tc>
          <w:tcPr>
            <w:tcW w:w="873" w:type="dxa"/>
          </w:tcPr>
          <w:p>
            <w:pPr>
              <w:pStyle w:val="TableParagraph"/>
              <w:spacing w:line="215" w:lineRule="exact"/>
              <w:ind w:right="53"/>
              <w:jc w:val="right"/>
              <w:rPr>
                <w:sz w:val="21"/>
              </w:rPr>
            </w:pPr>
            <w:r>
              <w:rPr>
                <w:spacing w:val="-5"/>
                <w:sz w:val="21"/>
              </w:rPr>
              <w:t>6.5</w:t>
            </w:r>
          </w:p>
        </w:tc>
        <w:tc>
          <w:tcPr>
            <w:tcW w:w="2415" w:type="dxa"/>
          </w:tcPr>
          <w:p>
            <w:pPr>
              <w:pStyle w:val="TableParagraph"/>
              <w:spacing w:line="215" w:lineRule="exact"/>
              <w:ind w:left="51"/>
              <w:rPr>
                <w:sz w:val="21"/>
              </w:rPr>
            </w:pPr>
            <w:r>
              <w:rPr>
                <w:spacing w:val="-4"/>
                <w:sz w:val="21"/>
              </w:rPr>
              <w:t>合同内容变更</w:t>
            </w:r>
          </w:p>
        </w:tc>
      </w:tr>
    </w:tbl>
    <w:p>
      <w:pPr>
        <w:spacing w:after="0" w:line="215" w:lineRule="exact"/>
        <w:rPr>
          <w:sz w:val="21"/>
        </w:rPr>
        <w:sectPr>
          <w:type w:val="continuous"/>
          <w:pgSz w:w="11910" w:h="16840"/>
          <w:pgMar w:header="0" w:footer="659" w:top="480" w:bottom="840" w:left="920" w:right="880"/>
        </w:sectPr>
      </w:pPr>
    </w:p>
    <w:p>
      <w:pPr>
        <w:pStyle w:val="ListParagraph"/>
        <w:numPr>
          <w:ilvl w:val="1"/>
          <w:numId w:val="2"/>
        </w:numPr>
        <w:tabs>
          <w:tab w:pos="2456" w:val="left" w:leader="none"/>
        </w:tabs>
        <w:spacing w:line="264" w:lineRule="exact" w:before="42" w:after="0"/>
        <w:ind w:left="2455" w:right="0" w:hanging="213"/>
        <w:jc w:val="left"/>
        <w:rPr>
          <w:b/>
          <w:sz w:val="21"/>
        </w:rPr>
      </w:pPr>
      <w:r>
        <w:rPr>
          <w:b/>
          <w:spacing w:val="-2"/>
          <w:sz w:val="21"/>
        </w:rPr>
        <w:t>保险金申领</w:t>
      </w:r>
    </w:p>
    <w:p>
      <w:pPr>
        <w:pStyle w:val="ListParagraph"/>
        <w:numPr>
          <w:ilvl w:val="2"/>
          <w:numId w:val="2"/>
        </w:numPr>
        <w:tabs>
          <w:tab w:pos="2878" w:val="left" w:leader="none"/>
        </w:tabs>
        <w:spacing w:line="259" w:lineRule="exact" w:before="0" w:after="0"/>
        <w:ind w:left="2877" w:right="0" w:hanging="424"/>
        <w:jc w:val="left"/>
        <w:rPr>
          <w:sz w:val="21"/>
        </w:rPr>
      </w:pPr>
      <w:r>
        <w:rPr>
          <w:spacing w:val="-5"/>
          <w:sz w:val="21"/>
        </w:rPr>
        <w:t>受益人</w:t>
      </w:r>
    </w:p>
    <w:p>
      <w:pPr>
        <w:pStyle w:val="ListParagraph"/>
        <w:numPr>
          <w:ilvl w:val="2"/>
          <w:numId w:val="2"/>
        </w:numPr>
        <w:tabs>
          <w:tab w:pos="2875" w:val="left" w:leader="none"/>
        </w:tabs>
        <w:spacing w:line="260" w:lineRule="exact" w:before="0" w:after="0"/>
        <w:ind w:left="2874" w:right="0" w:hanging="421"/>
        <w:jc w:val="left"/>
        <w:rPr>
          <w:sz w:val="21"/>
        </w:rPr>
      </w:pPr>
      <w:r>
        <w:rPr>
          <w:spacing w:val="-4"/>
          <w:sz w:val="21"/>
        </w:rPr>
        <w:t>保险事故通知</w:t>
      </w:r>
    </w:p>
    <w:p>
      <w:pPr>
        <w:pStyle w:val="ListParagraph"/>
        <w:numPr>
          <w:ilvl w:val="2"/>
          <w:numId w:val="2"/>
        </w:numPr>
        <w:tabs>
          <w:tab w:pos="2875" w:val="left" w:leader="none"/>
        </w:tabs>
        <w:spacing w:line="261" w:lineRule="exact" w:before="0" w:after="0"/>
        <w:ind w:left="2874" w:right="0" w:hanging="421"/>
        <w:jc w:val="left"/>
        <w:rPr>
          <w:sz w:val="21"/>
        </w:rPr>
      </w:pPr>
      <w:r>
        <w:rPr>
          <w:spacing w:val="-4"/>
          <w:sz w:val="21"/>
        </w:rPr>
        <w:t>保险金申请</w:t>
      </w:r>
    </w:p>
    <w:p>
      <w:pPr>
        <w:pStyle w:val="ListParagraph"/>
        <w:numPr>
          <w:ilvl w:val="2"/>
          <w:numId w:val="2"/>
        </w:numPr>
        <w:tabs>
          <w:tab w:pos="2875" w:val="left" w:leader="none"/>
        </w:tabs>
        <w:spacing w:line="259" w:lineRule="exact" w:before="0" w:after="0"/>
        <w:ind w:left="2874" w:right="0" w:hanging="421"/>
        <w:jc w:val="left"/>
        <w:rPr>
          <w:sz w:val="21"/>
        </w:rPr>
      </w:pPr>
      <w:r>
        <w:rPr>
          <w:spacing w:val="-4"/>
          <w:sz w:val="21"/>
        </w:rPr>
        <w:t>代理申请及其他</w:t>
      </w:r>
    </w:p>
    <w:p>
      <w:pPr>
        <w:pStyle w:val="ListParagraph"/>
        <w:numPr>
          <w:ilvl w:val="2"/>
          <w:numId w:val="2"/>
        </w:numPr>
        <w:tabs>
          <w:tab w:pos="2875" w:val="left" w:leader="none"/>
        </w:tabs>
        <w:spacing w:line="260" w:lineRule="exact" w:before="0" w:after="0"/>
        <w:ind w:left="2874" w:right="0" w:hanging="421"/>
        <w:jc w:val="left"/>
        <w:rPr>
          <w:sz w:val="21"/>
        </w:rPr>
      </w:pPr>
      <w:r>
        <w:rPr>
          <w:spacing w:val="-4"/>
          <w:sz w:val="21"/>
        </w:rPr>
        <w:t>配合调查</w:t>
      </w:r>
    </w:p>
    <w:p>
      <w:pPr>
        <w:pStyle w:val="ListParagraph"/>
        <w:numPr>
          <w:ilvl w:val="2"/>
          <w:numId w:val="2"/>
        </w:numPr>
        <w:tabs>
          <w:tab w:pos="2878" w:val="left" w:leader="none"/>
        </w:tabs>
        <w:spacing w:line="260" w:lineRule="exact" w:before="0" w:after="0"/>
        <w:ind w:left="2877" w:right="0" w:hanging="424"/>
        <w:jc w:val="left"/>
        <w:rPr>
          <w:sz w:val="21"/>
        </w:rPr>
      </w:pPr>
      <w:r>
        <w:rPr>
          <w:spacing w:val="-4"/>
          <w:sz w:val="21"/>
        </w:rPr>
        <w:t>保险金的给付</w:t>
      </w:r>
    </w:p>
    <w:p>
      <w:pPr>
        <w:pStyle w:val="ListParagraph"/>
        <w:numPr>
          <w:ilvl w:val="2"/>
          <w:numId w:val="2"/>
        </w:numPr>
        <w:tabs>
          <w:tab w:pos="2878" w:val="left" w:leader="none"/>
        </w:tabs>
        <w:spacing w:line="264" w:lineRule="exact" w:before="0" w:after="0"/>
        <w:ind w:left="2877" w:right="0" w:hanging="424"/>
        <w:jc w:val="left"/>
        <w:rPr>
          <w:sz w:val="21"/>
        </w:rPr>
      </w:pPr>
      <w:r>
        <w:rPr>
          <w:spacing w:val="-4"/>
          <w:sz w:val="21"/>
        </w:rPr>
        <w:t>诉讼时效</w:t>
      </w:r>
    </w:p>
    <w:p>
      <w:pPr>
        <w:pStyle w:val="ListParagraph"/>
        <w:numPr>
          <w:ilvl w:val="1"/>
          <w:numId w:val="3"/>
        </w:numPr>
        <w:tabs>
          <w:tab w:pos="1812" w:val="left" w:leader="none"/>
        </w:tabs>
        <w:spacing w:line="264" w:lineRule="exact" w:before="42" w:after="0"/>
        <w:ind w:left="1811" w:right="0" w:hanging="424"/>
        <w:jc w:val="left"/>
        <w:rPr>
          <w:sz w:val="21"/>
        </w:rPr>
      </w:pPr>
      <w:r>
        <w:rPr>
          <w:spacing w:val="-3"/>
          <w:sz w:val="21"/>
        </w:rPr>
        <w:br w:type="column"/>
      </w:r>
      <w:r>
        <w:rPr>
          <w:spacing w:val="-4"/>
          <w:sz w:val="21"/>
        </w:rPr>
        <w:t>联系方式变更</w:t>
      </w:r>
    </w:p>
    <w:p>
      <w:pPr>
        <w:pStyle w:val="ListParagraph"/>
        <w:numPr>
          <w:ilvl w:val="1"/>
          <w:numId w:val="3"/>
        </w:numPr>
        <w:tabs>
          <w:tab w:pos="1812" w:val="left" w:leader="none"/>
        </w:tabs>
        <w:spacing w:line="264" w:lineRule="exact" w:before="0" w:after="0"/>
        <w:ind w:left="1811" w:right="0" w:hanging="424"/>
        <w:jc w:val="left"/>
        <w:rPr>
          <w:sz w:val="21"/>
        </w:rPr>
      </w:pPr>
      <w:r>
        <w:rPr>
          <w:spacing w:val="-4"/>
          <w:sz w:val="21"/>
        </w:rPr>
        <w:t>争议处理</w:t>
      </w:r>
    </w:p>
    <w:p>
      <w:pPr>
        <w:spacing w:after="0" w:line="264" w:lineRule="exact"/>
        <w:jc w:val="left"/>
        <w:rPr>
          <w:sz w:val="21"/>
        </w:rPr>
        <w:sectPr>
          <w:type w:val="continuous"/>
          <w:pgSz w:w="11910" w:h="16840"/>
          <w:pgMar w:header="0" w:footer="659" w:top="480" w:bottom="840" w:left="920" w:right="880"/>
          <w:cols w:num="2" w:equalWidth="0">
            <w:col w:w="4347" w:space="40"/>
            <w:col w:w="5723"/>
          </w:cols>
        </w:sectPr>
      </w:pPr>
    </w:p>
    <w:p>
      <w:pPr>
        <w:pStyle w:val="BodyText"/>
        <w:spacing w:before="12"/>
        <w:rPr>
          <w:sz w:val="27"/>
        </w:rPr>
      </w:pPr>
    </w:p>
    <w:p>
      <w:pPr>
        <w:pStyle w:val="BodyText"/>
        <w:spacing w:line="20" w:lineRule="exact"/>
        <w:ind w:left="2121"/>
        <w:rPr>
          <w:sz w:val="2"/>
        </w:rPr>
      </w:pPr>
      <w:r>
        <w:rPr>
          <w:sz w:val="2"/>
        </w:rPr>
        <w:drawing>
          <wp:inline distT="0" distB="0" distL="0" distR="0">
            <wp:extent cx="4122186" cy="6000"/>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4122186" cy="6000"/>
                    </a:xfrm>
                    <a:prstGeom prst="rect">
                      <a:avLst/>
                    </a:prstGeom>
                  </pic:spPr>
                </pic:pic>
              </a:graphicData>
            </a:graphic>
          </wp:inline>
        </w:drawing>
      </w:r>
      <w:r>
        <w:rPr>
          <w:sz w:val="2"/>
        </w:rPr>
      </w:r>
    </w:p>
    <w:p>
      <w:pPr>
        <w:spacing w:after="0" w:line="20" w:lineRule="exact"/>
        <w:rPr>
          <w:sz w:val="2"/>
        </w:rPr>
        <w:sectPr>
          <w:type w:val="continuous"/>
          <w:pgSz w:w="11910" w:h="16840"/>
          <w:pgMar w:header="0" w:footer="659" w:top="480" w:bottom="840" w:left="920" w:right="880"/>
        </w:sectPr>
      </w:pPr>
    </w:p>
    <w:p>
      <w:pPr>
        <w:pStyle w:val="Heading1"/>
        <w:spacing w:before="47"/>
        <w:ind w:left="3081"/>
      </w:pPr>
      <w:r>
        <w:rPr>
          <w:w w:val="95"/>
        </w:rPr>
        <w:t>复</w:t>
      </w:r>
      <w:r>
        <w:rPr>
          <w:w w:val="95"/>
        </w:rPr>
        <w:t>星</w:t>
      </w:r>
      <w:r>
        <w:rPr>
          <w:w w:val="95"/>
        </w:rPr>
        <w:t>联</w:t>
      </w:r>
      <w:r>
        <w:rPr>
          <w:w w:val="95"/>
        </w:rPr>
        <w:t>合</w:t>
      </w:r>
      <w:r>
        <w:rPr>
          <w:w w:val="95"/>
        </w:rPr>
        <w:t>益</w:t>
      </w:r>
      <w:r>
        <w:rPr>
          <w:w w:val="95"/>
        </w:rPr>
        <w:t>生</w:t>
      </w:r>
      <w:r>
        <w:rPr>
          <w:w w:val="95"/>
        </w:rPr>
        <w:t>无</w:t>
      </w:r>
      <w:r>
        <w:rPr>
          <w:w w:val="95"/>
        </w:rPr>
        <w:t>忧</w:t>
      </w:r>
      <w:r>
        <w:rPr>
          <w:w w:val="95"/>
        </w:rPr>
        <w:t>医</w:t>
      </w:r>
      <w:r>
        <w:rPr>
          <w:w w:val="95"/>
        </w:rPr>
        <w:t>疗</w:t>
      </w:r>
      <w:r>
        <w:rPr>
          <w:w w:val="95"/>
        </w:rPr>
        <w:t>保</w:t>
      </w:r>
      <w:r>
        <w:rPr>
          <w:w w:val="95"/>
        </w:rPr>
        <w:t>险</w:t>
      </w:r>
      <w:r>
        <w:rPr>
          <w:w w:val="95"/>
        </w:rPr>
        <w:t>条</w:t>
      </w:r>
      <w:r>
        <w:rPr>
          <w:spacing w:val="-10"/>
          <w:w w:val="95"/>
        </w:rPr>
        <w:t>款</w:t>
      </w:r>
    </w:p>
    <w:p>
      <w:pPr>
        <w:pStyle w:val="BodyText"/>
        <w:spacing w:before="4"/>
        <w:rPr>
          <w:b/>
          <w:sz w:val="22"/>
        </w:rPr>
      </w:pPr>
    </w:p>
    <w:p>
      <w:pPr>
        <w:spacing w:line="232" w:lineRule="auto" w:before="1"/>
        <w:ind w:left="100" w:right="133" w:firstLine="422"/>
        <w:jc w:val="left"/>
        <w:rPr>
          <w:i/>
          <w:sz w:val="22"/>
        </w:rPr>
      </w:pPr>
      <w:r>
        <w:rPr>
          <w:i/>
          <w:spacing w:val="-2"/>
          <w:w w:val="95"/>
          <w:sz w:val="22"/>
        </w:rPr>
        <w:t>（本公司在每页底部</w:t>
      </w:r>
      <w:r>
        <w:rPr>
          <w:i/>
          <w:spacing w:val="-2"/>
          <w:w w:val="95"/>
          <w:sz w:val="22"/>
        </w:rPr>
        <w:t>对</w:t>
      </w:r>
      <w:r>
        <w:rPr>
          <w:i/>
          <w:spacing w:val="-2"/>
          <w:w w:val="95"/>
          <w:sz w:val="22"/>
        </w:rPr>
        <w:t>一</w:t>
      </w:r>
      <w:r>
        <w:rPr>
          <w:i/>
          <w:spacing w:val="-2"/>
          <w:w w:val="95"/>
          <w:sz w:val="22"/>
        </w:rPr>
        <w:t>些专业名词做了释</w:t>
      </w:r>
      <w:r>
        <w:rPr>
          <w:i/>
          <w:spacing w:val="-2"/>
          <w:w w:val="95"/>
          <w:sz w:val="22"/>
        </w:rPr>
        <w:t>义</w:t>
      </w:r>
      <w:r>
        <w:rPr>
          <w:i/>
          <w:spacing w:val="-2"/>
          <w:w w:val="95"/>
          <w:sz w:val="22"/>
        </w:rPr>
        <w:t>，</w:t>
      </w:r>
      <w:r>
        <w:rPr>
          <w:i/>
          <w:spacing w:val="-2"/>
          <w:w w:val="95"/>
          <w:sz w:val="22"/>
        </w:rPr>
        <w:t>这</w:t>
      </w:r>
      <w:r>
        <w:rPr>
          <w:i/>
          <w:spacing w:val="-2"/>
          <w:w w:val="95"/>
          <w:sz w:val="22"/>
        </w:rPr>
        <w:t>些释义为本条款</w:t>
      </w:r>
      <w:r>
        <w:rPr>
          <w:i/>
          <w:spacing w:val="-2"/>
          <w:w w:val="95"/>
          <w:sz w:val="22"/>
        </w:rPr>
        <w:t>的</w:t>
      </w:r>
      <w:r>
        <w:rPr>
          <w:i/>
          <w:spacing w:val="-2"/>
          <w:w w:val="95"/>
          <w:sz w:val="22"/>
        </w:rPr>
        <w:t>重</w:t>
      </w:r>
      <w:r>
        <w:rPr>
          <w:i/>
          <w:spacing w:val="-2"/>
          <w:w w:val="95"/>
          <w:sz w:val="22"/>
        </w:rPr>
        <w:t>要</w:t>
      </w:r>
      <w:r>
        <w:rPr>
          <w:i/>
          <w:spacing w:val="-2"/>
          <w:w w:val="95"/>
          <w:sz w:val="22"/>
        </w:rPr>
        <w:t>组</w:t>
      </w:r>
      <w:r>
        <w:rPr>
          <w:i/>
          <w:spacing w:val="-2"/>
          <w:w w:val="95"/>
          <w:sz w:val="22"/>
        </w:rPr>
        <w:t>成部分。同一专</w:t>
      </w:r>
      <w:r>
        <w:rPr>
          <w:i/>
          <w:spacing w:val="-2"/>
          <w:w w:val="95"/>
          <w:sz w:val="22"/>
        </w:rPr>
        <w:t>业</w:t>
      </w:r>
      <w:r>
        <w:rPr>
          <w:i/>
          <w:spacing w:val="-2"/>
          <w:w w:val="95"/>
          <w:sz w:val="22"/>
        </w:rPr>
        <w:t>名</w:t>
      </w:r>
      <w:r>
        <w:rPr>
          <w:i/>
          <w:spacing w:val="-2"/>
          <w:w w:val="95"/>
          <w:sz w:val="22"/>
        </w:rPr>
        <w:t>词</w:t>
      </w:r>
      <w:r>
        <w:rPr>
          <w:i/>
          <w:spacing w:val="-2"/>
          <w:w w:val="95"/>
          <w:sz w:val="22"/>
        </w:rPr>
        <w:t>在</w:t>
      </w:r>
      <w:r>
        <w:rPr>
          <w:i/>
          <w:spacing w:val="-2"/>
          <w:w w:val="95"/>
          <w:sz w:val="22"/>
        </w:rPr>
        <w:t>条</w:t>
      </w:r>
      <w:r>
        <w:rPr>
          <w:i/>
          <w:spacing w:val="-2"/>
          <w:w w:val="95"/>
          <w:sz w:val="22"/>
        </w:rPr>
        <w:t>款</w:t>
      </w:r>
      <w:r>
        <w:rPr>
          <w:i/>
          <w:spacing w:val="-2"/>
          <w:w w:val="95"/>
          <w:sz w:val="22"/>
        </w:rPr>
        <w:t>中</w:t>
      </w:r>
      <w:r>
        <w:rPr>
          <w:i/>
          <w:spacing w:val="-2"/>
          <w:w w:val="95"/>
          <w:sz w:val="22"/>
        </w:rPr>
        <w:t>出现多次的，本公司</w:t>
      </w:r>
      <w:r>
        <w:rPr>
          <w:i/>
          <w:spacing w:val="-2"/>
          <w:w w:val="95"/>
          <w:sz w:val="22"/>
        </w:rPr>
        <w:t>仅</w:t>
      </w:r>
      <w:r>
        <w:rPr>
          <w:i/>
          <w:spacing w:val="-2"/>
          <w:w w:val="95"/>
          <w:sz w:val="22"/>
        </w:rPr>
        <w:t>在</w:t>
      </w:r>
      <w:r>
        <w:rPr>
          <w:i/>
          <w:spacing w:val="-2"/>
          <w:w w:val="95"/>
          <w:sz w:val="22"/>
        </w:rPr>
        <w:t>该专业名词第一次出</w:t>
      </w:r>
      <w:r>
        <w:rPr>
          <w:i/>
          <w:spacing w:val="-2"/>
          <w:w w:val="95"/>
          <w:sz w:val="22"/>
        </w:rPr>
        <w:t>现</w:t>
      </w:r>
      <w:r>
        <w:rPr>
          <w:i/>
          <w:spacing w:val="-2"/>
          <w:w w:val="95"/>
          <w:sz w:val="22"/>
        </w:rPr>
        <w:t>的</w:t>
      </w:r>
      <w:r>
        <w:rPr>
          <w:i/>
          <w:spacing w:val="-2"/>
          <w:w w:val="95"/>
          <w:sz w:val="22"/>
        </w:rPr>
        <w:t>地方做了释义，该释</w:t>
      </w:r>
      <w:r>
        <w:rPr>
          <w:i/>
          <w:spacing w:val="-2"/>
          <w:w w:val="95"/>
          <w:sz w:val="22"/>
        </w:rPr>
        <w:t>义</w:t>
      </w:r>
      <w:r>
        <w:rPr>
          <w:i/>
          <w:spacing w:val="-2"/>
          <w:w w:val="95"/>
          <w:sz w:val="22"/>
        </w:rPr>
        <w:t>适</w:t>
      </w:r>
      <w:r>
        <w:rPr>
          <w:i/>
          <w:spacing w:val="-24"/>
          <w:w w:val="95"/>
          <w:sz w:val="22"/>
        </w:rPr>
        <w:t>用于全文。</w:t>
      </w:r>
      <w:r>
        <w:rPr>
          <w:i/>
          <w:spacing w:val="-2"/>
          <w:w w:val="95"/>
          <w:sz w:val="22"/>
        </w:rPr>
        <w:t>）</w:t>
      </w:r>
    </w:p>
    <w:p>
      <w:pPr>
        <w:pStyle w:val="BodyText"/>
        <w:rPr>
          <w:i/>
          <w:sz w:val="20"/>
        </w:rPr>
      </w:pPr>
    </w:p>
    <w:p>
      <w:pPr>
        <w:pStyle w:val="BodyText"/>
        <w:spacing w:before="8"/>
        <w:rPr>
          <w:i/>
          <w:sz w:val="14"/>
        </w:rPr>
      </w:pPr>
    </w:p>
    <w:tbl>
      <w:tblPr>
        <w:tblW w:w="0" w:type="auto"/>
        <w:jc w:val="left"/>
        <w:tblInd w:w="1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7"/>
        <w:gridCol w:w="1945"/>
        <w:gridCol w:w="7090"/>
      </w:tblGrid>
      <w:tr>
        <w:trPr>
          <w:trHeight w:val="647" w:hRule="atLeast"/>
        </w:trPr>
        <w:tc>
          <w:tcPr>
            <w:tcW w:w="747" w:type="dxa"/>
            <w:tcBorders>
              <w:bottom w:val="single" w:sz="8" w:space="0" w:color="000000"/>
            </w:tcBorders>
          </w:tcPr>
          <w:p>
            <w:pPr>
              <w:pStyle w:val="TableParagraph"/>
              <w:spacing w:line="411" w:lineRule="exact"/>
              <w:ind w:left="107"/>
              <w:rPr>
                <w:b/>
                <w:sz w:val="36"/>
              </w:rPr>
            </w:pPr>
            <w:r>
              <w:rPr>
                <w:b/>
                <w:w w:val="99"/>
                <w:sz w:val="36"/>
              </w:rPr>
              <w:t>1</w:t>
            </w:r>
          </w:p>
        </w:tc>
        <w:tc>
          <w:tcPr>
            <w:tcW w:w="1945" w:type="dxa"/>
            <w:tcBorders>
              <w:bottom w:val="single" w:sz="8" w:space="0" w:color="000000"/>
            </w:tcBorders>
          </w:tcPr>
          <w:p>
            <w:pPr>
              <w:pStyle w:val="TableParagraph"/>
              <w:spacing w:before="26"/>
              <w:ind w:left="321"/>
              <w:rPr>
                <w:b/>
                <w:sz w:val="24"/>
              </w:rPr>
            </w:pPr>
            <w:r>
              <w:rPr>
                <w:b/>
                <w:spacing w:val="-3"/>
                <w:w w:val="95"/>
                <w:sz w:val="24"/>
              </w:rPr>
              <w:t>合同订立</w:t>
            </w:r>
          </w:p>
        </w:tc>
        <w:tc>
          <w:tcPr>
            <w:tcW w:w="7090" w:type="dxa"/>
            <w:tcBorders>
              <w:bottom w:val="single" w:sz="8" w:space="0" w:color="000000"/>
            </w:tcBorders>
          </w:tcPr>
          <w:p>
            <w:pPr>
              <w:pStyle w:val="TableParagraph"/>
              <w:rPr>
                <w:rFonts w:ascii="Times New Roman"/>
                <w:sz w:val="20"/>
              </w:rPr>
            </w:pPr>
          </w:p>
        </w:tc>
      </w:tr>
      <w:tr>
        <w:trPr>
          <w:trHeight w:val="470" w:hRule="atLeast"/>
        </w:trPr>
        <w:tc>
          <w:tcPr>
            <w:tcW w:w="747" w:type="dxa"/>
            <w:tcBorders>
              <w:top w:val="single" w:sz="8" w:space="0" w:color="000000"/>
            </w:tcBorders>
          </w:tcPr>
          <w:p>
            <w:pPr>
              <w:pStyle w:val="TableParagraph"/>
              <w:spacing w:before="1"/>
              <w:rPr>
                <w:i/>
                <w:sz w:val="14"/>
              </w:rPr>
            </w:pPr>
          </w:p>
          <w:p>
            <w:pPr>
              <w:pStyle w:val="TableParagraph"/>
              <w:ind w:left="107"/>
              <w:rPr>
                <w:b/>
                <w:sz w:val="21"/>
              </w:rPr>
            </w:pPr>
            <w:r>
              <w:rPr>
                <w:b/>
                <w:spacing w:val="-5"/>
                <w:sz w:val="21"/>
              </w:rPr>
              <w:t>1.1</w:t>
            </w:r>
          </w:p>
        </w:tc>
        <w:tc>
          <w:tcPr>
            <w:tcW w:w="1945" w:type="dxa"/>
            <w:tcBorders>
              <w:top w:val="single" w:sz="8" w:space="0" w:color="000000"/>
            </w:tcBorders>
          </w:tcPr>
          <w:p>
            <w:pPr>
              <w:pStyle w:val="TableParagraph"/>
              <w:spacing w:before="1"/>
              <w:rPr>
                <w:i/>
                <w:sz w:val="14"/>
              </w:rPr>
            </w:pPr>
          </w:p>
          <w:p>
            <w:pPr>
              <w:pStyle w:val="TableParagraph"/>
              <w:ind w:left="321"/>
              <w:rPr>
                <w:b/>
                <w:sz w:val="21"/>
              </w:rPr>
            </w:pPr>
            <w:r>
              <w:rPr>
                <w:b/>
                <w:spacing w:val="-3"/>
                <w:sz w:val="21"/>
              </w:rPr>
              <w:t>合同构成</w:t>
            </w:r>
          </w:p>
        </w:tc>
        <w:tc>
          <w:tcPr>
            <w:tcW w:w="7090" w:type="dxa"/>
            <w:tcBorders>
              <w:top w:val="single" w:sz="8" w:space="0" w:color="000000"/>
            </w:tcBorders>
          </w:tcPr>
          <w:p>
            <w:pPr>
              <w:pStyle w:val="TableParagraph"/>
              <w:spacing w:before="1"/>
              <w:rPr>
                <w:i/>
                <w:sz w:val="14"/>
              </w:rPr>
            </w:pPr>
          </w:p>
          <w:p>
            <w:pPr>
              <w:pStyle w:val="TableParagraph"/>
              <w:ind w:left="145"/>
              <w:rPr>
                <w:sz w:val="21"/>
              </w:rPr>
            </w:pPr>
            <w:r>
              <w:rPr>
                <w:spacing w:val="-17"/>
                <w:sz w:val="21"/>
              </w:rPr>
              <w:t>本保险条款、投保单或其他投保文件、保险利益表、保险单或其他保险凭证、</w:t>
            </w:r>
          </w:p>
        </w:tc>
      </w:tr>
      <w:tr>
        <w:trPr>
          <w:trHeight w:val="311"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10"/>
                <w:sz w:val="21"/>
              </w:rPr>
              <w:t>附贴批单和其他约定书，均为投保人与本公司订立的《复星联合益生无忧医</w:t>
            </w:r>
          </w:p>
        </w:tc>
      </w:tr>
      <w:tr>
        <w:trPr>
          <w:trHeight w:val="312"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25"/>
                <w:sz w:val="21"/>
              </w:rPr>
              <w:t>疗保险合同》</w:t>
            </w:r>
            <w:r>
              <w:rPr>
                <w:spacing w:val="-4"/>
                <w:sz w:val="21"/>
              </w:rPr>
              <w:t>（</w:t>
            </w:r>
            <w:r>
              <w:rPr>
                <w:spacing w:val="-11"/>
                <w:sz w:val="21"/>
              </w:rPr>
              <w:t>以下简称“本合同”</w:t>
            </w:r>
            <w:r>
              <w:rPr>
                <w:spacing w:val="-64"/>
                <w:sz w:val="21"/>
              </w:rPr>
              <w:t>）</w:t>
            </w:r>
            <w:r>
              <w:rPr>
                <w:spacing w:val="-5"/>
                <w:sz w:val="21"/>
              </w:rPr>
              <w:t>的构成部分。凡涉及本合同的约定，均</w:t>
            </w:r>
          </w:p>
        </w:tc>
      </w:tr>
      <w:tr>
        <w:trPr>
          <w:trHeight w:val="467"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3"/>
                <w:sz w:val="21"/>
              </w:rPr>
              <w:t>应当采用书面形式。</w:t>
            </w:r>
          </w:p>
        </w:tc>
      </w:tr>
      <w:tr>
        <w:trPr>
          <w:trHeight w:val="534" w:hRule="atLeast"/>
        </w:trPr>
        <w:tc>
          <w:tcPr>
            <w:tcW w:w="747" w:type="dxa"/>
          </w:tcPr>
          <w:p>
            <w:pPr>
              <w:pStyle w:val="TableParagraph"/>
              <w:spacing w:before="178"/>
              <w:ind w:left="107"/>
              <w:rPr>
                <w:b/>
                <w:sz w:val="21"/>
              </w:rPr>
            </w:pPr>
            <w:r>
              <w:rPr>
                <w:b/>
                <w:spacing w:val="-5"/>
                <w:sz w:val="21"/>
              </w:rPr>
              <w:t>1.2</w:t>
            </w:r>
          </w:p>
        </w:tc>
        <w:tc>
          <w:tcPr>
            <w:tcW w:w="1945" w:type="dxa"/>
          </w:tcPr>
          <w:p>
            <w:pPr>
              <w:pStyle w:val="TableParagraph"/>
              <w:spacing w:before="178"/>
              <w:ind w:left="321"/>
              <w:rPr>
                <w:b/>
                <w:sz w:val="21"/>
              </w:rPr>
            </w:pPr>
            <w:r>
              <w:rPr>
                <w:b/>
                <w:spacing w:val="-2"/>
                <w:sz w:val="21"/>
              </w:rPr>
              <w:t>合同成立与生效</w:t>
            </w:r>
          </w:p>
        </w:tc>
        <w:tc>
          <w:tcPr>
            <w:tcW w:w="7090" w:type="dxa"/>
          </w:tcPr>
          <w:p>
            <w:pPr>
              <w:pStyle w:val="TableParagraph"/>
              <w:spacing w:before="178"/>
              <w:ind w:left="145"/>
              <w:rPr>
                <w:sz w:val="21"/>
              </w:rPr>
            </w:pPr>
            <w:r>
              <w:rPr>
                <w:spacing w:val="-3"/>
                <w:sz w:val="21"/>
              </w:rPr>
              <w:t>投保人提出投保申请、本公司同意承保，本合同成立。</w:t>
            </w:r>
          </w:p>
        </w:tc>
      </w:tr>
      <w:tr>
        <w:trPr>
          <w:trHeight w:val="402"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102"/>
              <w:ind w:left="145"/>
              <w:rPr>
                <w:sz w:val="21"/>
              </w:rPr>
            </w:pPr>
            <w:r>
              <w:rPr>
                <w:sz w:val="21"/>
              </w:rPr>
              <w:t>合同生效日期在本合同中载明。保单年度、保险费的</w:t>
            </w:r>
            <w:r>
              <w:rPr>
                <w:b/>
                <w:sz w:val="21"/>
              </w:rPr>
              <w:t>约定交纳日</w:t>
            </w:r>
            <w:r>
              <w:rPr>
                <w:position w:val="11"/>
                <w:sz w:val="11"/>
              </w:rPr>
              <w:t>1</w:t>
            </w:r>
            <w:r>
              <w:rPr>
                <w:spacing w:val="-3"/>
                <w:sz w:val="21"/>
              </w:rPr>
              <w:t>均以该日</w:t>
            </w:r>
          </w:p>
        </w:tc>
      </w:tr>
      <w:tr>
        <w:trPr>
          <w:trHeight w:val="467"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4"/>
                <w:sz w:val="21"/>
              </w:rPr>
              <w:t>期计算。</w:t>
            </w:r>
          </w:p>
        </w:tc>
      </w:tr>
      <w:tr>
        <w:trPr>
          <w:trHeight w:val="858" w:hRule="atLeast"/>
        </w:trPr>
        <w:tc>
          <w:tcPr>
            <w:tcW w:w="747" w:type="dxa"/>
          </w:tcPr>
          <w:p>
            <w:pPr>
              <w:pStyle w:val="TableParagraph"/>
              <w:spacing w:before="178"/>
              <w:ind w:left="107"/>
              <w:rPr>
                <w:b/>
                <w:sz w:val="21"/>
              </w:rPr>
            </w:pPr>
            <w:r>
              <w:rPr>
                <w:b/>
                <w:spacing w:val="-5"/>
                <w:sz w:val="21"/>
              </w:rPr>
              <w:t>1.3</w:t>
            </w:r>
          </w:p>
        </w:tc>
        <w:tc>
          <w:tcPr>
            <w:tcW w:w="1945" w:type="dxa"/>
          </w:tcPr>
          <w:p>
            <w:pPr>
              <w:pStyle w:val="TableParagraph"/>
              <w:spacing w:before="178"/>
              <w:ind w:left="321"/>
              <w:rPr>
                <w:b/>
                <w:sz w:val="21"/>
              </w:rPr>
            </w:pPr>
            <w:r>
              <w:rPr>
                <w:b/>
                <w:spacing w:val="-3"/>
                <w:sz w:val="21"/>
              </w:rPr>
              <w:t>投保范围</w:t>
            </w:r>
          </w:p>
        </w:tc>
        <w:tc>
          <w:tcPr>
            <w:tcW w:w="7090" w:type="dxa"/>
          </w:tcPr>
          <w:p>
            <w:pPr>
              <w:pStyle w:val="TableParagraph"/>
              <w:spacing w:line="268" w:lineRule="auto" w:before="178"/>
              <w:ind w:left="145" w:right="8"/>
              <w:rPr>
                <w:sz w:val="21"/>
              </w:rPr>
            </w:pPr>
            <w:r>
              <w:rPr>
                <w:spacing w:val="-2"/>
                <w:sz w:val="21"/>
              </w:rPr>
              <w:t>符合本公司承保条件者均可向本公司投保本保险，成为本合同的被保险人。</w:t>
            </w:r>
            <w:r>
              <w:rPr>
                <w:spacing w:val="-2"/>
                <w:sz w:val="21"/>
              </w:rPr>
              <w:t>投保年龄按</w:t>
            </w:r>
            <w:r>
              <w:rPr>
                <w:b/>
                <w:spacing w:val="-2"/>
                <w:sz w:val="21"/>
              </w:rPr>
              <w:t>周岁</w:t>
            </w:r>
            <w:r>
              <w:rPr>
                <w:spacing w:val="-2"/>
                <w:position w:val="11"/>
                <w:sz w:val="11"/>
              </w:rPr>
              <w:t>2</w:t>
            </w:r>
            <w:r>
              <w:rPr>
                <w:spacing w:val="-2"/>
                <w:sz w:val="21"/>
              </w:rPr>
              <w:t>计算。</w:t>
            </w:r>
          </w:p>
        </w:tc>
      </w:tr>
      <w:tr>
        <w:trPr>
          <w:trHeight w:val="390"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100"/>
              <w:ind w:left="145"/>
              <w:rPr>
                <w:sz w:val="21"/>
              </w:rPr>
            </w:pPr>
            <w:r>
              <w:rPr>
                <w:spacing w:val="-7"/>
                <w:sz w:val="21"/>
              </w:rPr>
              <w:t>在保险期间内，被保险人应当在中国大陆或港、澳、台地区居住合计满三分</w:t>
            </w:r>
          </w:p>
        </w:tc>
      </w:tr>
      <w:tr>
        <w:trPr>
          <w:trHeight w:val="311"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7"/>
                <w:sz w:val="21"/>
              </w:rPr>
              <w:t>之二或以上时间；投保时不属此种情形或保险期间内发生变化的，被保险人</w:t>
            </w:r>
          </w:p>
        </w:tc>
      </w:tr>
      <w:tr>
        <w:trPr>
          <w:trHeight w:val="468"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3"/>
                <w:sz w:val="21"/>
              </w:rPr>
              <w:t>应当在投保前或发生变化时告知本公司。</w:t>
            </w:r>
          </w:p>
        </w:tc>
      </w:tr>
      <w:tr>
        <w:trPr>
          <w:trHeight w:val="467" w:hRule="atLeast"/>
        </w:trPr>
        <w:tc>
          <w:tcPr>
            <w:tcW w:w="747" w:type="dxa"/>
          </w:tcPr>
          <w:p>
            <w:pPr>
              <w:pStyle w:val="TableParagraph"/>
              <w:spacing w:before="178"/>
              <w:ind w:left="107"/>
              <w:rPr>
                <w:b/>
                <w:sz w:val="21"/>
              </w:rPr>
            </w:pPr>
            <w:r>
              <w:rPr>
                <w:b/>
                <w:spacing w:val="-5"/>
                <w:sz w:val="21"/>
              </w:rPr>
              <w:t>1.4</w:t>
            </w:r>
          </w:p>
        </w:tc>
        <w:tc>
          <w:tcPr>
            <w:tcW w:w="1945" w:type="dxa"/>
          </w:tcPr>
          <w:p>
            <w:pPr>
              <w:pStyle w:val="TableParagraph"/>
              <w:spacing w:before="178"/>
              <w:ind w:left="321"/>
              <w:rPr>
                <w:b/>
                <w:sz w:val="21"/>
              </w:rPr>
            </w:pPr>
            <w:r>
              <w:rPr>
                <w:b/>
                <w:spacing w:val="-4"/>
                <w:sz w:val="21"/>
              </w:rPr>
              <w:t>犹豫期</w:t>
            </w:r>
          </w:p>
        </w:tc>
        <w:tc>
          <w:tcPr>
            <w:tcW w:w="7090" w:type="dxa"/>
          </w:tcPr>
          <w:p>
            <w:pPr>
              <w:pStyle w:val="TableParagraph"/>
              <w:spacing w:before="178"/>
              <w:ind w:left="145"/>
              <w:rPr>
                <w:sz w:val="21"/>
              </w:rPr>
            </w:pPr>
            <w:r>
              <w:rPr>
                <w:spacing w:val="-6"/>
                <w:sz w:val="21"/>
              </w:rPr>
              <w:t>自投保人签收本合同或收到本合同电子保险单（二者较早之日）</w:t>
            </w:r>
            <w:r>
              <w:rPr>
                <w:spacing w:val="-11"/>
                <w:sz w:val="21"/>
              </w:rPr>
              <w:t>起，有 </w:t>
            </w:r>
            <w:r>
              <w:rPr>
                <w:spacing w:val="-6"/>
                <w:sz w:val="21"/>
              </w:rPr>
              <w:t>3</w:t>
            </w:r>
            <w:r>
              <w:rPr>
                <w:spacing w:val="-19"/>
                <w:sz w:val="21"/>
              </w:rPr>
              <w:t> 日</w:t>
            </w:r>
          </w:p>
        </w:tc>
      </w:tr>
      <w:tr>
        <w:trPr>
          <w:trHeight w:val="312"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8"/>
                <w:sz w:val="21"/>
              </w:rPr>
              <w:t>犹豫期。在此期间请投保人认真审阅本合同，如果投保人认为本合同与投保</w:t>
            </w:r>
          </w:p>
        </w:tc>
      </w:tr>
      <w:tr>
        <w:trPr>
          <w:trHeight w:val="624"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8"/>
                <w:sz w:val="21"/>
              </w:rPr>
              <w:t>人的需求不相符，可以在此期间提出解除本合同，本公司将无息返还投保人</w:t>
            </w:r>
          </w:p>
          <w:p>
            <w:pPr>
              <w:pStyle w:val="TableParagraph"/>
              <w:spacing w:before="33"/>
              <w:ind w:left="145"/>
              <w:rPr>
                <w:sz w:val="21"/>
              </w:rPr>
            </w:pPr>
            <w:r>
              <w:rPr>
                <w:sz w:val="21"/>
              </w:rPr>
              <w:t>所支付的全部保险费。首次投保或重新投保本合同时有犹豫期，</w:t>
            </w:r>
            <w:r>
              <w:rPr>
                <w:b/>
                <w:sz w:val="21"/>
              </w:rPr>
              <w:t>续保</w:t>
            </w:r>
            <w:r>
              <w:rPr>
                <w:position w:val="11"/>
                <w:sz w:val="11"/>
              </w:rPr>
              <w:t>3</w:t>
            </w:r>
            <w:r>
              <w:rPr>
                <w:spacing w:val="-5"/>
                <w:sz w:val="21"/>
              </w:rPr>
              <w:t>没有</w:t>
            </w:r>
          </w:p>
        </w:tc>
      </w:tr>
      <w:tr>
        <w:trPr>
          <w:trHeight w:val="390"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before="22"/>
              <w:ind w:left="145"/>
              <w:rPr>
                <w:sz w:val="21"/>
              </w:rPr>
            </w:pPr>
            <w:r>
              <w:rPr>
                <w:spacing w:val="-4"/>
                <w:sz w:val="21"/>
              </w:rPr>
              <w:t>犹豫期。</w:t>
            </w:r>
          </w:p>
        </w:tc>
      </w:tr>
      <w:tr>
        <w:trPr>
          <w:trHeight w:val="701" w:hRule="atLeast"/>
        </w:trPr>
        <w:tc>
          <w:tcPr>
            <w:tcW w:w="747" w:type="dxa"/>
          </w:tcPr>
          <w:p>
            <w:pPr>
              <w:pStyle w:val="TableParagraph"/>
              <w:rPr>
                <w:rFonts w:ascii="Times New Roman"/>
                <w:sz w:val="20"/>
              </w:rPr>
            </w:pPr>
          </w:p>
        </w:tc>
        <w:tc>
          <w:tcPr>
            <w:tcW w:w="1945" w:type="dxa"/>
          </w:tcPr>
          <w:p>
            <w:pPr>
              <w:pStyle w:val="TableParagraph"/>
              <w:rPr>
                <w:rFonts w:ascii="Times New Roman"/>
                <w:sz w:val="20"/>
              </w:rPr>
            </w:pPr>
          </w:p>
        </w:tc>
        <w:tc>
          <w:tcPr>
            <w:tcW w:w="7090" w:type="dxa"/>
          </w:tcPr>
          <w:p>
            <w:pPr>
              <w:pStyle w:val="TableParagraph"/>
              <w:spacing w:line="310" w:lineRule="atLeast" w:before="59"/>
              <w:ind w:left="145" w:right="101"/>
              <w:rPr>
                <w:sz w:val="21"/>
              </w:rPr>
            </w:pPr>
            <w:r>
              <w:rPr>
                <w:spacing w:val="-5"/>
                <w:sz w:val="21"/>
              </w:rPr>
              <w:t>解除本合同时，投保人须填写解除合同申请书，并提供保险合同及</w:t>
            </w:r>
            <w:r>
              <w:rPr>
                <w:b/>
                <w:spacing w:val="-2"/>
                <w:sz w:val="21"/>
              </w:rPr>
              <w:t>有效身份</w:t>
            </w:r>
            <w:r>
              <w:rPr>
                <w:b/>
                <w:spacing w:val="-2"/>
                <w:sz w:val="21"/>
              </w:rPr>
              <w:t>证件</w:t>
            </w:r>
            <w:r>
              <w:rPr>
                <w:spacing w:val="-2"/>
                <w:position w:val="11"/>
                <w:sz w:val="11"/>
              </w:rPr>
              <w:t>4</w:t>
            </w:r>
            <w:r>
              <w:rPr>
                <w:spacing w:val="-15"/>
                <w:sz w:val="21"/>
              </w:rPr>
              <w:t>。自本公司收到投保人的解除合同申请书起，本合同即被解除，</w:t>
            </w:r>
            <w:r>
              <w:rPr>
                <w:color w:val="000000"/>
                <w:spacing w:val="-5"/>
                <w:sz w:val="21"/>
                <w:shd w:fill="D9D9D9" w:color="auto" w:val="clear"/>
              </w:rPr>
              <w:t>对于合</w:t>
            </w:r>
          </w:p>
        </w:tc>
      </w:tr>
      <w:tr>
        <w:trPr>
          <w:trHeight w:val="261" w:hRule="atLeast"/>
        </w:trPr>
        <w:tc>
          <w:tcPr>
            <w:tcW w:w="747" w:type="dxa"/>
          </w:tcPr>
          <w:p>
            <w:pPr>
              <w:pStyle w:val="TableParagraph"/>
              <w:rPr>
                <w:rFonts w:ascii="Times New Roman"/>
                <w:sz w:val="18"/>
              </w:rPr>
            </w:pPr>
          </w:p>
        </w:tc>
        <w:tc>
          <w:tcPr>
            <w:tcW w:w="1945" w:type="dxa"/>
          </w:tcPr>
          <w:p>
            <w:pPr>
              <w:pStyle w:val="TableParagraph"/>
              <w:rPr>
                <w:rFonts w:ascii="Times New Roman"/>
                <w:sz w:val="18"/>
              </w:rPr>
            </w:pPr>
          </w:p>
        </w:tc>
        <w:tc>
          <w:tcPr>
            <w:tcW w:w="7090" w:type="dxa"/>
          </w:tcPr>
          <w:p>
            <w:pPr>
              <w:pStyle w:val="TableParagraph"/>
              <w:spacing w:line="220" w:lineRule="exact" w:before="22"/>
              <w:ind w:left="145"/>
              <w:rPr>
                <w:sz w:val="21"/>
              </w:rPr>
            </w:pPr>
            <w:r>
              <w:rPr>
                <w:color w:val="000000"/>
                <w:spacing w:val="-3"/>
                <w:sz w:val="21"/>
                <w:shd w:fill="D9D9D9" w:color="auto" w:val="clear"/>
              </w:rPr>
              <w:t>同解除前发生的保险事故，本公司不承担保险责任。</w:t>
            </w:r>
          </w:p>
        </w:tc>
      </w:tr>
    </w:tbl>
    <w:p>
      <w:pPr>
        <w:pStyle w:val="BodyText"/>
        <w:spacing w:before="10"/>
        <w:rPr>
          <w:i/>
          <w:sz w:val="29"/>
        </w:rPr>
      </w:pPr>
    </w:p>
    <w:p>
      <w:pPr>
        <w:pStyle w:val="Heading2"/>
        <w:numPr>
          <w:ilvl w:val="0"/>
          <w:numId w:val="4"/>
        </w:numPr>
        <w:tabs>
          <w:tab w:pos="1228" w:val="left" w:leader="none"/>
          <w:tab w:pos="1229" w:val="left" w:leader="none"/>
        </w:tabs>
        <w:spacing w:line="240" w:lineRule="auto" w:before="47" w:after="0"/>
        <w:ind w:left="1228" w:right="0" w:hanging="962"/>
        <w:jc w:val="left"/>
      </w:pPr>
      <w:r>
        <w:rPr>
          <w:w w:val="95"/>
        </w:rPr>
        <w:t>提供的</w:t>
      </w:r>
      <w:r>
        <w:rPr>
          <w:w w:val="95"/>
        </w:rPr>
        <w:t>保</w:t>
      </w:r>
      <w:r>
        <w:rPr>
          <w:spacing w:val="-10"/>
          <w:w w:val="95"/>
        </w:rPr>
        <w:t>障</w:t>
      </w:r>
    </w:p>
    <w:p>
      <w:pPr>
        <w:pStyle w:val="BodyText"/>
        <w:spacing w:before="5"/>
        <w:rPr>
          <w:b/>
          <w:sz w:val="14"/>
        </w:rPr>
      </w:pPr>
      <w:r>
        <w:rPr/>
        <w:drawing>
          <wp:anchor distT="0" distB="0" distL="0" distR="0" allowOverlap="1" layoutInCell="1" locked="0" behindDoc="0" simplePos="0" relativeHeight="3">
            <wp:simplePos x="0" y="0"/>
            <wp:positionH relativeFrom="page">
              <wp:posOffset>685800</wp:posOffset>
            </wp:positionH>
            <wp:positionV relativeFrom="paragraph">
              <wp:posOffset>132913</wp:posOffset>
            </wp:positionV>
            <wp:extent cx="6211313" cy="12192"/>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6211313" cy="12192"/>
                    </a:xfrm>
                    <a:prstGeom prst="rect">
                      <a:avLst/>
                    </a:prstGeom>
                  </pic:spPr>
                </pic:pic>
              </a:graphicData>
            </a:graphic>
          </wp:anchor>
        </w:drawing>
      </w:r>
    </w:p>
    <w:p>
      <w:pPr>
        <w:pStyle w:val="ListParagraph"/>
        <w:numPr>
          <w:ilvl w:val="1"/>
          <w:numId w:val="4"/>
        </w:numPr>
        <w:tabs>
          <w:tab w:pos="1228" w:val="left" w:leader="none"/>
          <w:tab w:pos="1229" w:val="left" w:leader="none"/>
          <w:tab w:pos="2997" w:val="left" w:leader="none"/>
        </w:tabs>
        <w:spacing w:line="278" w:lineRule="auto" w:before="179" w:after="0"/>
        <w:ind w:left="2997" w:right="265" w:hanging="2730"/>
        <w:jc w:val="left"/>
        <w:rPr>
          <w:sz w:val="21"/>
        </w:rPr>
      </w:pPr>
      <w:r>
        <w:rPr>
          <w:b/>
          <w:spacing w:val="-4"/>
          <w:sz w:val="21"/>
        </w:rPr>
        <w:t>保</w:t>
      </w:r>
      <w:r>
        <w:rPr>
          <w:b/>
          <w:spacing w:val="-4"/>
          <w:sz w:val="21"/>
        </w:rPr>
        <w:t>险</w:t>
      </w:r>
      <w:r>
        <w:rPr>
          <w:b/>
          <w:spacing w:val="-4"/>
          <w:sz w:val="21"/>
        </w:rPr>
        <w:t>金</w:t>
      </w:r>
      <w:r>
        <w:rPr>
          <w:b/>
          <w:spacing w:val="-4"/>
          <w:sz w:val="21"/>
        </w:rPr>
        <w:t>额</w:t>
      </w:r>
      <w:r>
        <w:rPr>
          <w:b/>
          <w:sz w:val="21"/>
        </w:rPr>
        <w:tab/>
      </w:r>
      <w:r>
        <w:rPr>
          <w:spacing w:val="-2"/>
          <w:sz w:val="21"/>
        </w:rPr>
        <w:t>被</w:t>
      </w:r>
      <w:r>
        <w:rPr>
          <w:spacing w:val="-2"/>
          <w:sz w:val="21"/>
        </w:rPr>
        <w:t>保</w:t>
      </w:r>
      <w:r>
        <w:rPr>
          <w:spacing w:val="-2"/>
          <w:sz w:val="21"/>
        </w:rPr>
        <w:t>险人各项保险责任对</w:t>
      </w:r>
      <w:r>
        <w:rPr>
          <w:spacing w:val="-2"/>
          <w:sz w:val="21"/>
        </w:rPr>
        <w:t>应</w:t>
      </w:r>
      <w:r>
        <w:rPr>
          <w:spacing w:val="-2"/>
          <w:sz w:val="21"/>
        </w:rPr>
        <w:t>的</w:t>
      </w:r>
      <w:r>
        <w:rPr>
          <w:spacing w:val="-2"/>
          <w:sz w:val="21"/>
        </w:rPr>
        <w:t>分项限额及累计给付</w:t>
      </w:r>
      <w:r>
        <w:rPr>
          <w:spacing w:val="-2"/>
          <w:sz w:val="21"/>
        </w:rPr>
        <w:t>限</w:t>
      </w:r>
      <w:r>
        <w:rPr>
          <w:spacing w:val="-2"/>
          <w:sz w:val="21"/>
        </w:rPr>
        <w:t>额</w:t>
      </w:r>
      <w:r>
        <w:rPr>
          <w:spacing w:val="-2"/>
          <w:sz w:val="21"/>
        </w:rPr>
        <w:t>见附表一</w:t>
      </w:r>
      <w:r>
        <w:rPr>
          <w:spacing w:val="-94"/>
          <w:sz w:val="21"/>
        </w:rPr>
        <w:t>，</w:t>
      </w:r>
      <w:r>
        <w:rPr>
          <w:spacing w:val="-2"/>
          <w:sz w:val="21"/>
        </w:rPr>
        <w:t>由投保人</w:t>
      </w:r>
      <w:r>
        <w:rPr>
          <w:spacing w:val="-2"/>
          <w:sz w:val="21"/>
        </w:rPr>
        <w:t>在</w:t>
      </w:r>
      <w:r>
        <w:rPr>
          <w:spacing w:val="-2"/>
          <w:sz w:val="21"/>
        </w:rPr>
        <w:t>投</w:t>
      </w:r>
      <w:r>
        <w:rPr>
          <w:spacing w:val="-2"/>
          <w:sz w:val="21"/>
        </w:rPr>
        <w:t>保时与本公司约定，</w:t>
      </w:r>
      <w:r>
        <w:rPr>
          <w:spacing w:val="-2"/>
          <w:sz w:val="21"/>
        </w:rPr>
        <w:t>并</w:t>
      </w:r>
      <w:r>
        <w:rPr>
          <w:spacing w:val="-2"/>
          <w:sz w:val="21"/>
        </w:rPr>
        <w:t>在</w:t>
      </w:r>
      <w:r>
        <w:rPr>
          <w:spacing w:val="-2"/>
          <w:sz w:val="21"/>
        </w:rPr>
        <w:t>本合同中载</w:t>
      </w:r>
      <w:r>
        <w:rPr>
          <w:spacing w:val="-2"/>
          <w:sz w:val="21"/>
        </w:rPr>
        <w:t>明</w:t>
      </w:r>
      <w:r>
        <w:rPr>
          <w:spacing w:val="-2"/>
          <w:sz w:val="21"/>
        </w:rPr>
        <w:t>。</w:t>
      </w:r>
    </w:p>
    <w:p>
      <w:pPr>
        <w:pStyle w:val="BodyText"/>
        <w:rPr>
          <w:sz w:val="20"/>
        </w:rPr>
      </w:pPr>
    </w:p>
    <w:p>
      <w:pPr>
        <w:pStyle w:val="BodyText"/>
        <w:rPr>
          <w:sz w:val="20"/>
        </w:rPr>
      </w:pPr>
    </w:p>
    <w:p>
      <w:pPr>
        <w:pStyle w:val="BodyText"/>
        <w:spacing w:before="5"/>
        <w:rPr>
          <w:sz w:val="11"/>
        </w:rPr>
      </w:pPr>
      <w:r>
        <w:rPr/>
        <w:drawing>
          <wp:anchor distT="0" distB="0" distL="0" distR="0" allowOverlap="1" layoutInCell="1" locked="0" behindDoc="0" simplePos="0" relativeHeight="4">
            <wp:simplePos x="0" y="0"/>
            <wp:positionH relativeFrom="page">
              <wp:posOffset>647700</wp:posOffset>
            </wp:positionH>
            <wp:positionV relativeFrom="paragraph">
              <wp:posOffset>108252</wp:posOffset>
            </wp:positionV>
            <wp:extent cx="1829130" cy="609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1829130" cy="6095"/>
                    </a:xfrm>
                    <a:prstGeom prst="rect">
                      <a:avLst/>
                    </a:prstGeom>
                  </pic:spPr>
                </pic:pic>
              </a:graphicData>
            </a:graphic>
          </wp:anchor>
        </w:drawing>
      </w:r>
    </w:p>
    <w:p>
      <w:pPr>
        <w:spacing w:line="244" w:lineRule="auto" w:before="91"/>
        <w:ind w:left="100" w:right="260" w:firstLine="0"/>
        <w:jc w:val="left"/>
        <w:rPr>
          <w:rFonts w:ascii="楷体" w:eastAsia="楷体"/>
          <w:sz w:val="18"/>
        </w:rPr>
      </w:pPr>
      <w:r>
        <w:rPr>
          <w:rFonts w:ascii="楷体" w:eastAsia="楷体"/>
          <w:spacing w:val="-2"/>
          <w:position w:val="9"/>
          <w:sz w:val="9"/>
        </w:rPr>
        <w:t>1</w:t>
      </w:r>
      <w:r>
        <w:rPr>
          <w:rFonts w:ascii="楷体" w:eastAsia="楷体"/>
          <w:spacing w:val="14"/>
          <w:position w:val="9"/>
          <w:sz w:val="9"/>
        </w:rPr>
        <w:t> </w:t>
      </w:r>
      <w:r>
        <w:rPr>
          <w:rFonts w:ascii="楷体" w:eastAsia="楷体" w:hint="eastAsia"/>
          <w:b/>
          <w:spacing w:val="-2"/>
          <w:sz w:val="18"/>
        </w:rPr>
        <w:t>约定</w:t>
      </w:r>
      <w:r>
        <w:rPr>
          <w:rFonts w:ascii="楷体" w:eastAsia="楷体" w:hint="eastAsia"/>
          <w:b/>
          <w:spacing w:val="-2"/>
          <w:sz w:val="18"/>
        </w:rPr>
        <w:t>交</w:t>
      </w:r>
      <w:r>
        <w:rPr>
          <w:rFonts w:ascii="楷体" w:eastAsia="楷体" w:hint="eastAsia"/>
          <w:b/>
          <w:spacing w:val="-2"/>
          <w:sz w:val="18"/>
        </w:rPr>
        <w:t>纳</w:t>
      </w:r>
      <w:r>
        <w:rPr>
          <w:rFonts w:ascii="楷体" w:eastAsia="楷体" w:hint="eastAsia"/>
          <w:b/>
          <w:spacing w:val="-2"/>
          <w:sz w:val="18"/>
        </w:rPr>
        <w:t>日</w:t>
      </w:r>
      <w:r>
        <w:rPr>
          <w:rFonts w:ascii="楷体" w:eastAsia="楷体"/>
          <w:spacing w:val="-2"/>
          <w:sz w:val="18"/>
        </w:rPr>
        <w:t>：指本合同生效日在每月、每季或每半年（根据交费方式确定）的对应日。当月无对应的同一日，则以该月最后</w:t>
      </w:r>
      <w:r>
        <w:rPr>
          <w:rFonts w:ascii="楷体" w:eastAsia="楷体"/>
          <w:spacing w:val="-2"/>
          <w:sz w:val="18"/>
        </w:rPr>
        <w:t>一日为对应日。</w:t>
      </w:r>
    </w:p>
    <w:p>
      <w:pPr>
        <w:spacing w:line="242" w:lineRule="auto" w:before="0"/>
        <w:ind w:left="100" w:right="168" w:firstLine="0"/>
        <w:jc w:val="left"/>
        <w:rPr>
          <w:rFonts w:ascii="楷体" w:eastAsia="楷体"/>
          <w:sz w:val="18"/>
        </w:rPr>
      </w:pPr>
      <w:r>
        <w:rPr>
          <w:rFonts w:ascii="楷体" w:eastAsia="楷体"/>
          <w:position w:val="9"/>
          <w:sz w:val="9"/>
        </w:rPr>
        <w:t>2</w:t>
      </w:r>
      <w:r>
        <w:rPr>
          <w:rFonts w:ascii="楷体" w:eastAsia="楷体"/>
          <w:spacing w:val="14"/>
          <w:position w:val="9"/>
          <w:sz w:val="9"/>
        </w:rPr>
        <w:t> </w:t>
      </w:r>
      <w:r>
        <w:rPr>
          <w:rFonts w:ascii="楷体" w:eastAsia="楷体" w:hint="eastAsia"/>
          <w:b/>
          <w:sz w:val="18"/>
        </w:rPr>
        <w:t>周岁</w:t>
      </w:r>
      <w:r>
        <w:rPr>
          <w:rFonts w:ascii="楷体" w:eastAsia="楷体"/>
          <w:sz w:val="18"/>
        </w:rPr>
        <w:t>：指按有效身份证件（</w:t>
      </w:r>
      <w:r>
        <w:rPr>
          <w:rFonts w:ascii="楷体" w:eastAsia="楷体"/>
          <w:spacing w:val="-6"/>
          <w:sz w:val="18"/>
        </w:rPr>
        <w:t>见注脚 </w:t>
      </w:r>
      <w:r>
        <w:rPr>
          <w:rFonts w:ascii="楷体" w:eastAsia="楷体"/>
          <w:sz w:val="18"/>
        </w:rPr>
        <w:t>3）中记载的出生日期计算的实足年龄，自出生之日起为零周岁，每经过一年增加一岁，</w:t>
      </w:r>
      <w:r>
        <w:rPr>
          <w:rFonts w:ascii="楷体" w:eastAsia="楷体"/>
          <w:spacing w:val="-2"/>
          <w:sz w:val="18"/>
        </w:rPr>
        <w:t>不足一年的不计。</w:t>
      </w:r>
    </w:p>
    <w:p>
      <w:pPr>
        <w:spacing w:before="0"/>
        <w:ind w:left="100" w:right="0" w:firstLine="0"/>
        <w:jc w:val="left"/>
        <w:rPr>
          <w:rFonts w:ascii="楷体" w:eastAsia="楷体"/>
          <w:sz w:val="18"/>
        </w:rPr>
      </w:pPr>
      <w:r>
        <w:rPr>
          <w:position w:val="9"/>
          <w:sz w:val="9"/>
        </w:rPr>
        <w:t>3</w:t>
      </w:r>
      <w:r>
        <w:rPr>
          <w:spacing w:val="40"/>
          <w:position w:val="9"/>
          <w:sz w:val="9"/>
        </w:rPr>
        <w:t> </w:t>
      </w:r>
      <w:r>
        <w:rPr>
          <w:rFonts w:ascii="楷体" w:eastAsia="楷体" w:hint="eastAsia"/>
          <w:b/>
          <w:sz w:val="18"/>
        </w:rPr>
        <w:t>续</w:t>
      </w:r>
      <w:r>
        <w:rPr>
          <w:rFonts w:ascii="楷体" w:eastAsia="楷体" w:hint="eastAsia"/>
          <w:b/>
          <w:sz w:val="18"/>
        </w:rPr>
        <w:t>保</w:t>
      </w:r>
      <w:r>
        <w:rPr>
          <w:rFonts w:ascii="楷体" w:eastAsia="楷体" w:hint="eastAsia"/>
          <w:b/>
          <w:sz w:val="18"/>
        </w:rPr>
        <w:t>：</w:t>
      </w:r>
      <w:r>
        <w:rPr>
          <w:rFonts w:ascii="楷体" w:eastAsia="楷体"/>
          <w:spacing w:val="-1"/>
          <w:sz w:val="18"/>
        </w:rPr>
        <w:t>指为被保人继续投保同一险种，且继续投保的保单的生效日为原保单到期日的次日。</w:t>
      </w:r>
    </w:p>
    <w:p>
      <w:pPr>
        <w:spacing w:line="242" w:lineRule="auto" w:before="2"/>
        <w:ind w:left="100" w:right="257" w:firstLine="0"/>
        <w:jc w:val="left"/>
        <w:rPr>
          <w:rFonts w:ascii="楷体" w:eastAsia="楷体"/>
          <w:sz w:val="18"/>
        </w:rPr>
      </w:pPr>
      <w:r>
        <w:rPr>
          <w:rFonts w:ascii="楷体" w:eastAsia="楷体"/>
          <w:spacing w:val="-2"/>
          <w:position w:val="9"/>
          <w:sz w:val="9"/>
        </w:rPr>
        <w:t>4</w:t>
      </w:r>
      <w:r>
        <w:rPr>
          <w:rFonts w:ascii="楷体" w:eastAsia="楷体"/>
          <w:spacing w:val="14"/>
          <w:position w:val="9"/>
          <w:sz w:val="9"/>
        </w:rPr>
        <w:t> </w:t>
      </w:r>
      <w:r>
        <w:rPr>
          <w:rFonts w:ascii="楷体" w:eastAsia="楷体" w:hint="eastAsia"/>
          <w:b/>
          <w:spacing w:val="-2"/>
          <w:sz w:val="18"/>
        </w:rPr>
        <w:t>有效</w:t>
      </w:r>
      <w:r>
        <w:rPr>
          <w:rFonts w:ascii="楷体" w:eastAsia="楷体" w:hint="eastAsia"/>
          <w:b/>
          <w:spacing w:val="-2"/>
          <w:sz w:val="18"/>
        </w:rPr>
        <w:t>身</w:t>
      </w:r>
      <w:r>
        <w:rPr>
          <w:rFonts w:ascii="楷体" w:eastAsia="楷体" w:hint="eastAsia"/>
          <w:b/>
          <w:spacing w:val="-2"/>
          <w:sz w:val="18"/>
        </w:rPr>
        <w:t>份</w:t>
      </w:r>
      <w:r>
        <w:rPr>
          <w:rFonts w:ascii="楷体" w:eastAsia="楷体" w:hint="eastAsia"/>
          <w:b/>
          <w:spacing w:val="-2"/>
          <w:sz w:val="18"/>
        </w:rPr>
        <w:t>证</w:t>
      </w:r>
      <w:r>
        <w:rPr>
          <w:rFonts w:ascii="楷体" w:eastAsia="楷体" w:hint="eastAsia"/>
          <w:b/>
          <w:spacing w:val="-2"/>
          <w:sz w:val="18"/>
        </w:rPr>
        <w:t>件</w:t>
      </w:r>
      <w:r>
        <w:rPr>
          <w:rFonts w:ascii="楷体" w:eastAsia="楷体"/>
          <w:spacing w:val="-2"/>
          <w:sz w:val="18"/>
        </w:rPr>
        <w:t>：指由政府主管部门规定的证明个人身份的证件，如：居民身份证、按规定可使用的有效护照、军官证、警官</w:t>
      </w:r>
      <w:r>
        <w:rPr>
          <w:rFonts w:ascii="楷体" w:eastAsia="楷体"/>
          <w:spacing w:val="-2"/>
          <w:sz w:val="18"/>
        </w:rPr>
        <w:t>证、士兵证、户口簿等证件。</w:t>
      </w:r>
    </w:p>
    <w:p>
      <w:pPr>
        <w:spacing w:after="0" w:line="242" w:lineRule="auto"/>
        <w:jc w:val="left"/>
        <w:rPr>
          <w:rFonts w:ascii="楷体" w:eastAsia="楷体"/>
          <w:sz w:val="18"/>
        </w:rPr>
        <w:sectPr>
          <w:pgSz w:w="11910" w:h="16840"/>
          <w:pgMar w:header="0" w:footer="659" w:top="1200" w:bottom="840" w:left="920" w:right="880"/>
        </w:sectPr>
      </w:pPr>
    </w:p>
    <w:p>
      <w:pPr>
        <w:pStyle w:val="BodyText"/>
        <w:spacing w:before="10"/>
        <w:rPr>
          <w:rFonts w:ascii="楷体"/>
          <w:sz w:val="3"/>
        </w:rPr>
      </w:pPr>
    </w:p>
    <w:tbl>
      <w:tblPr>
        <w:tblW w:w="0" w:type="auto"/>
        <w:jc w:val="left"/>
        <w:tblInd w:w="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0"/>
        <w:gridCol w:w="1772"/>
        <w:gridCol w:w="6999"/>
      </w:tblGrid>
      <w:tr>
        <w:trPr>
          <w:trHeight w:val="729" w:hRule="atLeast"/>
        </w:trPr>
        <w:tc>
          <w:tcPr>
            <w:tcW w:w="900" w:type="dxa"/>
          </w:tcPr>
          <w:p>
            <w:pPr>
              <w:pStyle w:val="TableParagraph"/>
              <w:spacing w:line="241" w:lineRule="exact"/>
              <w:ind w:left="50"/>
              <w:rPr>
                <w:b/>
                <w:sz w:val="21"/>
              </w:rPr>
            </w:pPr>
            <w:r>
              <w:rPr>
                <w:b/>
                <w:spacing w:val="-5"/>
                <w:sz w:val="21"/>
              </w:rPr>
              <w:t>2.2</w:t>
            </w:r>
          </w:p>
        </w:tc>
        <w:tc>
          <w:tcPr>
            <w:tcW w:w="1772" w:type="dxa"/>
          </w:tcPr>
          <w:p>
            <w:pPr>
              <w:pStyle w:val="TableParagraph"/>
              <w:spacing w:line="241" w:lineRule="exact"/>
              <w:ind w:left="110"/>
              <w:rPr>
                <w:b/>
                <w:sz w:val="21"/>
              </w:rPr>
            </w:pPr>
            <w:r>
              <w:rPr>
                <w:b/>
                <w:spacing w:val="-3"/>
                <w:sz w:val="21"/>
              </w:rPr>
              <w:t>保险期间</w:t>
            </w:r>
          </w:p>
        </w:tc>
        <w:tc>
          <w:tcPr>
            <w:tcW w:w="6999" w:type="dxa"/>
          </w:tcPr>
          <w:p>
            <w:pPr>
              <w:pStyle w:val="TableParagraph"/>
              <w:spacing w:line="241" w:lineRule="exact"/>
              <w:ind w:left="107"/>
              <w:rPr>
                <w:sz w:val="21"/>
              </w:rPr>
            </w:pPr>
            <w:r>
              <w:rPr>
                <w:spacing w:val="-1"/>
                <w:sz w:val="21"/>
              </w:rPr>
              <w:t>本合同有效期为一年。自本合同生效之日零时起至保单终止日的二十四时</w:t>
            </w:r>
          </w:p>
          <w:p>
            <w:pPr>
              <w:pStyle w:val="TableParagraph"/>
              <w:spacing w:before="43"/>
              <w:ind w:left="107"/>
              <w:rPr>
                <w:sz w:val="21"/>
              </w:rPr>
            </w:pPr>
            <w:r>
              <w:rPr>
                <w:spacing w:val="-5"/>
                <w:sz w:val="21"/>
              </w:rPr>
              <w:t>止。</w:t>
            </w:r>
          </w:p>
        </w:tc>
      </w:tr>
      <w:tr>
        <w:trPr>
          <w:trHeight w:val="534" w:hRule="atLeast"/>
        </w:trPr>
        <w:tc>
          <w:tcPr>
            <w:tcW w:w="900" w:type="dxa"/>
          </w:tcPr>
          <w:p>
            <w:pPr>
              <w:pStyle w:val="TableParagraph"/>
              <w:spacing w:before="178"/>
              <w:ind w:left="50"/>
              <w:rPr>
                <w:b/>
                <w:sz w:val="21"/>
              </w:rPr>
            </w:pPr>
            <w:r>
              <w:rPr>
                <w:b/>
                <w:spacing w:val="-5"/>
                <w:sz w:val="21"/>
              </w:rPr>
              <w:t>2.3</w:t>
            </w:r>
          </w:p>
        </w:tc>
        <w:tc>
          <w:tcPr>
            <w:tcW w:w="1772" w:type="dxa"/>
          </w:tcPr>
          <w:p>
            <w:pPr>
              <w:pStyle w:val="TableParagraph"/>
              <w:spacing w:before="178"/>
              <w:ind w:left="110"/>
              <w:rPr>
                <w:b/>
                <w:sz w:val="21"/>
              </w:rPr>
            </w:pPr>
            <w:r>
              <w:rPr>
                <w:b/>
                <w:spacing w:val="-3"/>
                <w:sz w:val="21"/>
              </w:rPr>
              <w:t>保险责任</w:t>
            </w:r>
          </w:p>
        </w:tc>
        <w:tc>
          <w:tcPr>
            <w:tcW w:w="6999" w:type="dxa"/>
          </w:tcPr>
          <w:p>
            <w:pPr>
              <w:pStyle w:val="TableParagraph"/>
              <w:spacing w:before="178"/>
              <w:ind w:left="107"/>
              <w:rPr>
                <w:sz w:val="21"/>
              </w:rPr>
            </w:pPr>
            <w:r>
              <w:rPr>
                <w:spacing w:val="-3"/>
                <w:sz w:val="21"/>
              </w:rPr>
              <w:t>在本合同有效期内，本公司按下列规定承担保险责任：</w:t>
            </w:r>
          </w:p>
        </w:tc>
      </w:tr>
      <w:tr>
        <w:trPr>
          <w:trHeight w:val="1337" w:hRule="atLeast"/>
        </w:trPr>
        <w:tc>
          <w:tcPr>
            <w:tcW w:w="900" w:type="dxa"/>
          </w:tcPr>
          <w:p>
            <w:pPr>
              <w:pStyle w:val="TableParagraph"/>
              <w:spacing w:before="111"/>
              <w:ind w:left="261"/>
              <w:rPr>
                <w:b/>
                <w:sz w:val="21"/>
              </w:rPr>
            </w:pPr>
            <w:r>
              <w:rPr>
                <w:b/>
                <w:spacing w:val="-2"/>
                <w:sz w:val="21"/>
              </w:rPr>
              <w:t>2.3.1</w:t>
            </w:r>
          </w:p>
        </w:tc>
        <w:tc>
          <w:tcPr>
            <w:tcW w:w="1772" w:type="dxa"/>
          </w:tcPr>
          <w:p>
            <w:pPr>
              <w:pStyle w:val="TableParagraph"/>
              <w:spacing w:line="278" w:lineRule="auto" w:before="111"/>
              <w:ind w:left="110" w:right="105"/>
              <w:rPr>
                <w:b/>
                <w:sz w:val="21"/>
              </w:rPr>
            </w:pPr>
            <w:r>
              <w:rPr>
                <w:b/>
                <w:spacing w:val="8"/>
                <w:sz w:val="21"/>
              </w:rPr>
              <w:t>法定传染病住院</w:t>
            </w:r>
            <w:r>
              <w:rPr>
                <w:b/>
                <w:spacing w:val="-2"/>
                <w:sz w:val="21"/>
              </w:rPr>
              <w:t>医疗保险金</w:t>
            </w:r>
          </w:p>
        </w:tc>
        <w:tc>
          <w:tcPr>
            <w:tcW w:w="6999" w:type="dxa"/>
          </w:tcPr>
          <w:p>
            <w:pPr>
              <w:pStyle w:val="TableParagraph"/>
              <w:spacing w:line="310" w:lineRule="atLeast" w:before="71"/>
              <w:ind w:left="107" w:right="48"/>
              <w:jc w:val="both"/>
              <w:rPr>
                <w:sz w:val="21"/>
              </w:rPr>
            </w:pPr>
            <w:r>
              <w:rPr>
                <w:spacing w:val="-2"/>
                <w:sz w:val="21"/>
              </w:rPr>
              <w:t>被保险人在其保险期间内在</w:t>
            </w:r>
            <w:r>
              <w:rPr>
                <w:b/>
                <w:spacing w:val="-2"/>
                <w:sz w:val="21"/>
              </w:rPr>
              <w:t>本公司指定或认可的医疗机构</w:t>
            </w:r>
            <w:r>
              <w:rPr>
                <w:b/>
                <w:spacing w:val="-2"/>
                <w:position w:val="11"/>
                <w:sz w:val="11"/>
              </w:rPr>
              <w:t>5</w:t>
            </w:r>
            <w:r>
              <w:rPr>
                <w:spacing w:val="-2"/>
                <w:sz w:val="21"/>
              </w:rPr>
              <w:t>确诊发生本合同所定义的</w:t>
            </w:r>
            <w:r>
              <w:rPr>
                <w:b/>
                <w:spacing w:val="-2"/>
                <w:sz w:val="21"/>
              </w:rPr>
              <w:t>法定传染病</w:t>
            </w:r>
            <w:r>
              <w:rPr>
                <w:spacing w:val="-2"/>
                <w:position w:val="11"/>
                <w:sz w:val="11"/>
              </w:rPr>
              <w:t>6</w:t>
            </w:r>
            <w:r>
              <w:rPr>
                <w:spacing w:val="-2"/>
                <w:sz w:val="21"/>
              </w:rPr>
              <w:t>，在本公司指定或认可的医疗机构接受由具有相应资质的</w:t>
            </w:r>
            <w:r>
              <w:rPr>
                <w:b/>
                <w:spacing w:val="-2"/>
                <w:sz w:val="21"/>
              </w:rPr>
              <w:t>医护人员</w:t>
            </w:r>
            <w:r>
              <w:rPr>
                <w:spacing w:val="-2"/>
                <w:position w:val="11"/>
                <w:sz w:val="11"/>
              </w:rPr>
              <w:t>7</w:t>
            </w:r>
            <w:r>
              <w:rPr>
                <w:spacing w:val="-2"/>
                <w:sz w:val="21"/>
              </w:rPr>
              <w:t>诊断必须</w:t>
            </w:r>
            <w:r>
              <w:rPr>
                <w:b/>
                <w:spacing w:val="-2"/>
                <w:sz w:val="21"/>
              </w:rPr>
              <w:t>住院</w:t>
            </w:r>
            <w:r>
              <w:rPr>
                <w:spacing w:val="-2"/>
                <w:position w:val="11"/>
                <w:sz w:val="11"/>
              </w:rPr>
              <w:t>8</w:t>
            </w:r>
            <w:r>
              <w:rPr>
                <w:spacing w:val="-10"/>
                <w:sz w:val="21"/>
              </w:rPr>
              <w:t>的，对住院期间发生的</w:t>
            </w:r>
            <w:r>
              <w:rPr>
                <w:b/>
                <w:spacing w:val="-2"/>
                <w:sz w:val="21"/>
              </w:rPr>
              <w:t>医学必需</w:t>
            </w:r>
            <w:r>
              <w:rPr>
                <w:spacing w:val="-2"/>
                <w:position w:val="11"/>
                <w:sz w:val="11"/>
              </w:rPr>
              <w:t>9</w:t>
            </w:r>
            <w:r>
              <w:rPr>
                <w:spacing w:val="-2"/>
                <w:sz w:val="21"/>
              </w:rPr>
              <w:t>的并需要由被</w:t>
            </w:r>
            <w:r>
              <w:rPr>
                <w:spacing w:val="-2"/>
                <w:sz w:val="21"/>
              </w:rPr>
              <w:t>保险人个人支付的下列</w:t>
            </w:r>
            <w:r>
              <w:rPr>
                <w:b/>
                <w:spacing w:val="-2"/>
                <w:sz w:val="21"/>
              </w:rPr>
              <w:t>医疗费用</w:t>
            </w:r>
            <w:r>
              <w:rPr>
                <w:spacing w:val="-2"/>
                <w:position w:val="11"/>
                <w:sz w:val="11"/>
              </w:rPr>
              <w:t>10</w:t>
            </w:r>
            <w:r>
              <w:rPr>
                <w:spacing w:val="-3"/>
                <w:sz w:val="21"/>
              </w:rPr>
              <w:t>，本公司将按下列约定给付法定传染病住</w:t>
            </w:r>
          </w:p>
        </w:tc>
      </w:tr>
      <w:tr>
        <w:trPr>
          <w:trHeight w:val="390" w:hRule="atLeast"/>
        </w:trPr>
        <w:tc>
          <w:tcPr>
            <w:tcW w:w="900" w:type="dxa"/>
          </w:tcPr>
          <w:p>
            <w:pPr>
              <w:pStyle w:val="TableParagraph"/>
              <w:rPr>
                <w:rFonts w:ascii="Times New Roman"/>
                <w:sz w:val="18"/>
              </w:rPr>
            </w:pPr>
          </w:p>
        </w:tc>
        <w:tc>
          <w:tcPr>
            <w:tcW w:w="1772" w:type="dxa"/>
          </w:tcPr>
          <w:p>
            <w:pPr>
              <w:pStyle w:val="TableParagraph"/>
              <w:rPr>
                <w:rFonts w:ascii="Times New Roman"/>
                <w:sz w:val="18"/>
              </w:rPr>
            </w:pPr>
          </w:p>
        </w:tc>
        <w:tc>
          <w:tcPr>
            <w:tcW w:w="6999" w:type="dxa"/>
          </w:tcPr>
          <w:p>
            <w:pPr>
              <w:pStyle w:val="TableParagraph"/>
              <w:spacing w:before="22"/>
              <w:ind w:left="107"/>
              <w:rPr>
                <w:sz w:val="21"/>
              </w:rPr>
            </w:pPr>
            <w:r>
              <w:rPr>
                <w:spacing w:val="-4"/>
                <w:sz w:val="21"/>
              </w:rPr>
              <w:t>院医疗保险金：</w:t>
            </w:r>
          </w:p>
        </w:tc>
      </w:tr>
      <w:tr>
        <w:trPr>
          <w:trHeight w:val="467" w:hRule="atLeast"/>
        </w:trPr>
        <w:tc>
          <w:tcPr>
            <w:tcW w:w="900" w:type="dxa"/>
          </w:tcPr>
          <w:p>
            <w:pPr>
              <w:pStyle w:val="TableParagraph"/>
              <w:rPr>
                <w:rFonts w:ascii="Times New Roman"/>
                <w:sz w:val="18"/>
              </w:rPr>
            </w:pPr>
          </w:p>
        </w:tc>
        <w:tc>
          <w:tcPr>
            <w:tcW w:w="1772" w:type="dxa"/>
          </w:tcPr>
          <w:p>
            <w:pPr>
              <w:pStyle w:val="TableParagraph"/>
              <w:rPr>
                <w:rFonts w:ascii="Times New Roman"/>
                <w:sz w:val="18"/>
              </w:rPr>
            </w:pPr>
          </w:p>
        </w:tc>
        <w:tc>
          <w:tcPr>
            <w:tcW w:w="6999" w:type="dxa"/>
          </w:tcPr>
          <w:p>
            <w:pPr>
              <w:pStyle w:val="TableParagraph"/>
              <w:spacing w:before="100"/>
              <w:ind w:left="107"/>
              <w:rPr>
                <w:sz w:val="21"/>
              </w:rPr>
            </w:pPr>
            <w:r>
              <w:rPr>
                <w:spacing w:val="-3"/>
                <w:sz w:val="21"/>
              </w:rPr>
              <w:t>住院医疗费用包括：</w:t>
            </w:r>
          </w:p>
        </w:tc>
      </w:tr>
      <w:tr>
        <w:trPr>
          <w:trHeight w:val="456" w:hRule="atLeast"/>
        </w:trPr>
        <w:tc>
          <w:tcPr>
            <w:tcW w:w="900" w:type="dxa"/>
          </w:tcPr>
          <w:p>
            <w:pPr>
              <w:pStyle w:val="TableParagraph"/>
              <w:rPr>
                <w:rFonts w:ascii="Times New Roman"/>
                <w:sz w:val="18"/>
              </w:rPr>
            </w:pPr>
          </w:p>
        </w:tc>
        <w:tc>
          <w:tcPr>
            <w:tcW w:w="1772" w:type="dxa"/>
          </w:tcPr>
          <w:p>
            <w:pPr>
              <w:pStyle w:val="TableParagraph"/>
              <w:rPr>
                <w:rFonts w:ascii="Times New Roman"/>
                <w:sz w:val="18"/>
              </w:rPr>
            </w:pPr>
          </w:p>
        </w:tc>
        <w:tc>
          <w:tcPr>
            <w:tcW w:w="6999" w:type="dxa"/>
          </w:tcPr>
          <w:p>
            <w:pPr>
              <w:pStyle w:val="TableParagraph"/>
              <w:spacing w:before="100"/>
              <w:ind w:left="107"/>
              <w:rPr>
                <w:sz w:val="21"/>
              </w:rPr>
            </w:pPr>
            <w:r>
              <w:rPr>
                <w:sz w:val="21"/>
              </w:rPr>
              <w:t>（1）</w:t>
            </w:r>
            <w:r>
              <w:rPr>
                <w:spacing w:val="18"/>
                <w:sz w:val="21"/>
              </w:rPr>
              <w:t> 床位费</w:t>
            </w:r>
            <w:r>
              <w:rPr>
                <w:color w:val="000000"/>
                <w:sz w:val="21"/>
                <w:shd w:fill="D2D2D2" w:color="auto" w:val="clear"/>
              </w:rPr>
              <w:t>（不含单人间</w:t>
            </w:r>
            <w:r>
              <w:rPr>
                <w:color w:val="000000"/>
                <w:spacing w:val="-111"/>
                <w:sz w:val="21"/>
                <w:shd w:fill="D2D2D2" w:color="auto" w:val="clear"/>
              </w:rPr>
              <w:t>）</w:t>
            </w:r>
            <w:r>
              <w:rPr>
                <w:color w:val="000000"/>
                <w:spacing w:val="-5"/>
                <w:sz w:val="21"/>
                <w:shd w:fill="D2D2D2" w:color="auto" w:val="clear"/>
              </w:rPr>
              <w:t>；</w:t>
            </w:r>
          </w:p>
        </w:tc>
      </w:tr>
      <w:tr>
        <w:trPr>
          <w:trHeight w:val="468" w:hRule="atLeast"/>
        </w:trPr>
        <w:tc>
          <w:tcPr>
            <w:tcW w:w="900" w:type="dxa"/>
          </w:tcPr>
          <w:p>
            <w:pPr>
              <w:pStyle w:val="TableParagraph"/>
              <w:rPr>
                <w:rFonts w:ascii="Times New Roman"/>
                <w:sz w:val="18"/>
              </w:rPr>
            </w:pPr>
          </w:p>
        </w:tc>
        <w:tc>
          <w:tcPr>
            <w:tcW w:w="1772" w:type="dxa"/>
          </w:tcPr>
          <w:p>
            <w:pPr>
              <w:pStyle w:val="TableParagraph"/>
              <w:rPr>
                <w:rFonts w:ascii="Times New Roman"/>
                <w:sz w:val="18"/>
              </w:rPr>
            </w:pPr>
          </w:p>
        </w:tc>
        <w:tc>
          <w:tcPr>
            <w:tcW w:w="6999" w:type="dxa"/>
          </w:tcPr>
          <w:p>
            <w:pPr>
              <w:pStyle w:val="TableParagraph"/>
              <w:spacing w:before="102"/>
              <w:ind w:left="107"/>
              <w:rPr>
                <w:sz w:val="21"/>
              </w:rPr>
            </w:pPr>
            <w:r>
              <w:rPr>
                <w:sz w:val="21"/>
              </w:rPr>
              <w:t>（2）</w:t>
            </w:r>
            <w:r>
              <w:rPr>
                <w:spacing w:val="87"/>
                <w:sz w:val="21"/>
              </w:rPr>
              <w:t> </w:t>
            </w:r>
            <w:r>
              <w:rPr>
                <w:b/>
                <w:sz w:val="21"/>
              </w:rPr>
              <w:t>膳食费</w:t>
            </w:r>
            <w:r>
              <w:rPr>
                <w:spacing w:val="-5"/>
                <w:position w:val="11"/>
                <w:sz w:val="11"/>
              </w:rPr>
              <w:t>11</w:t>
            </w:r>
            <w:r>
              <w:rPr>
                <w:spacing w:val="-5"/>
                <w:sz w:val="21"/>
              </w:rPr>
              <w:t>；</w:t>
            </w:r>
          </w:p>
        </w:tc>
      </w:tr>
      <w:tr>
        <w:trPr>
          <w:trHeight w:val="479" w:hRule="atLeast"/>
        </w:trPr>
        <w:tc>
          <w:tcPr>
            <w:tcW w:w="900" w:type="dxa"/>
          </w:tcPr>
          <w:p>
            <w:pPr>
              <w:pStyle w:val="TableParagraph"/>
              <w:rPr>
                <w:rFonts w:ascii="Times New Roman"/>
                <w:sz w:val="18"/>
              </w:rPr>
            </w:pPr>
          </w:p>
        </w:tc>
        <w:tc>
          <w:tcPr>
            <w:tcW w:w="1772" w:type="dxa"/>
          </w:tcPr>
          <w:p>
            <w:pPr>
              <w:pStyle w:val="TableParagraph"/>
              <w:rPr>
                <w:rFonts w:ascii="Times New Roman"/>
                <w:sz w:val="18"/>
              </w:rPr>
            </w:pPr>
          </w:p>
        </w:tc>
        <w:tc>
          <w:tcPr>
            <w:tcW w:w="6999" w:type="dxa"/>
          </w:tcPr>
          <w:p>
            <w:pPr>
              <w:pStyle w:val="TableParagraph"/>
              <w:spacing w:before="101"/>
              <w:ind w:left="107"/>
              <w:rPr>
                <w:sz w:val="21"/>
              </w:rPr>
            </w:pPr>
            <w:r>
              <w:rPr>
                <w:sz w:val="21"/>
              </w:rPr>
              <w:t>（3）</w:t>
            </w:r>
            <w:r>
              <w:rPr>
                <w:spacing w:val="87"/>
                <w:sz w:val="21"/>
              </w:rPr>
              <w:t> </w:t>
            </w:r>
            <w:r>
              <w:rPr>
                <w:b/>
                <w:sz w:val="21"/>
              </w:rPr>
              <w:t>护理费</w:t>
            </w:r>
            <w:r>
              <w:rPr>
                <w:spacing w:val="-5"/>
                <w:position w:val="11"/>
                <w:sz w:val="11"/>
              </w:rPr>
              <w:t>12</w:t>
            </w:r>
            <w:r>
              <w:rPr>
                <w:spacing w:val="-5"/>
                <w:sz w:val="21"/>
              </w:rPr>
              <w:t>；</w:t>
            </w:r>
          </w:p>
        </w:tc>
      </w:tr>
      <w:tr>
        <w:trPr>
          <w:trHeight w:val="456" w:hRule="atLeast"/>
        </w:trPr>
        <w:tc>
          <w:tcPr>
            <w:tcW w:w="900" w:type="dxa"/>
          </w:tcPr>
          <w:p>
            <w:pPr>
              <w:pStyle w:val="TableParagraph"/>
              <w:rPr>
                <w:rFonts w:ascii="Times New Roman"/>
                <w:sz w:val="18"/>
              </w:rPr>
            </w:pPr>
          </w:p>
        </w:tc>
        <w:tc>
          <w:tcPr>
            <w:tcW w:w="1772" w:type="dxa"/>
          </w:tcPr>
          <w:p>
            <w:pPr>
              <w:pStyle w:val="TableParagraph"/>
              <w:rPr>
                <w:rFonts w:ascii="Times New Roman"/>
                <w:sz w:val="18"/>
              </w:rPr>
            </w:pPr>
          </w:p>
        </w:tc>
        <w:tc>
          <w:tcPr>
            <w:tcW w:w="6999" w:type="dxa"/>
          </w:tcPr>
          <w:p>
            <w:pPr>
              <w:pStyle w:val="TableParagraph"/>
              <w:spacing w:before="100"/>
              <w:ind w:left="107"/>
              <w:rPr>
                <w:sz w:val="21"/>
              </w:rPr>
            </w:pPr>
            <w:r>
              <w:rPr>
                <w:sz w:val="21"/>
              </w:rPr>
              <w:t>（4）</w:t>
            </w:r>
            <w:r>
              <w:rPr>
                <w:spacing w:val="7"/>
                <w:sz w:val="21"/>
              </w:rPr>
              <w:t> 重症监护室费；</w:t>
            </w:r>
          </w:p>
        </w:tc>
      </w:tr>
      <w:tr>
        <w:trPr>
          <w:trHeight w:val="467" w:hRule="atLeast"/>
        </w:trPr>
        <w:tc>
          <w:tcPr>
            <w:tcW w:w="900" w:type="dxa"/>
          </w:tcPr>
          <w:p>
            <w:pPr>
              <w:pStyle w:val="TableParagraph"/>
              <w:rPr>
                <w:rFonts w:ascii="Times New Roman"/>
                <w:sz w:val="18"/>
              </w:rPr>
            </w:pPr>
          </w:p>
        </w:tc>
        <w:tc>
          <w:tcPr>
            <w:tcW w:w="1772" w:type="dxa"/>
          </w:tcPr>
          <w:p>
            <w:pPr>
              <w:pStyle w:val="TableParagraph"/>
              <w:rPr>
                <w:rFonts w:ascii="Times New Roman"/>
                <w:sz w:val="18"/>
              </w:rPr>
            </w:pPr>
          </w:p>
        </w:tc>
        <w:tc>
          <w:tcPr>
            <w:tcW w:w="6999" w:type="dxa"/>
          </w:tcPr>
          <w:p>
            <w:pPr>
              <w:pStyle w:val="TableParagraph"/>
              <w:spacing w:before="101"/>
              <w:ind w:left="107"/>
              <w:rPr>
                <w:sz w:val="21"/>
              </w:rPr>
            </w:pPr>
            <w:r>
              <w:rPr>
                <w:sz w:val="21"/>
              </w:rPr>
              <w:t>（5）</w:t>
            </w:r>
            <w:r>
              <w:rPr>
                <w:spacing w:val="84"/>
                <w:sz w:val="21"/>
              </w:rPr>
              <w:t> </w:t>
            </w:r>
            <w:r>
              <w:rPr>
                <w:b/>
                <w:sz w:val="21"/>
              </w:rPr>
              <w:t>诊疗费</w:t>
            </w:r>
            <w:r>
              <w:rPr>
                <w:position w:val="11"/>
                <w:sz w:val="11"/>
              </w:rPr>
              <w:t>13</w:t>
            </w:r>
            <w:r>
              <w:rPr>
                <w:sz w:val="21"/>
              </w:rPr>
              <w:t>、</w:t>
            </w:r>
            <w:r>
              <w:rPr>
                <w:b/>
                <w:sz w:val="21"/>
              </w:rPr>
              <w:t>医生</w:t>
            </w:r>
            <w:r>
              <w:rPr>
                <w:position w:val="11"/>
                <w:sz w:val="11"/>
              </w:rPr>
              <w:t>14</w:t>
            </w:r>
            <w:r>
              <w:rPr>
                <w:spacing w:val="-5"/>
                <w:sz w:val="21"/>
              </w:rPr>
              <w:t>费；</w:t>
            </w:r>
          </w:p>
        </w:tc>
      </w:tr>
      <w:tr>
        <w:trPr>
          <w:trHeight w:val="351" w:hRule="atLeast"/>
        </w:trPr>
        <w:tc>
          <w:tcPr>
            <w:tcW w:w="900" w:type="dxa"/>
          </w:tcPr>
          <w:p>
            <w:pPr>
              <w:pStyle w:val="TableParagraph"/>
              <w:rPr>
                <w:rFonts w:ascii="Times New Roman"/>
                <w:sz w:val="18"/>
              </w:rPr>
            </w:pPr>
          </w:p>
        </w:tc>
        <w:tc>
          <w:tcPr>
            <w:tcW w:w="1772" w:type="dxa"/>
          </w:tcPr>
          <w:p>
            <w:pPr>
              <w:pStyle w:val="TableParagraph"/>
              <w:rPr>
                <w:rFonts w:ascii="Times New Roman"/>
                <w:sz w:val="18"/>
              </w:rPr>
            </w:pPr>
          </w:p>
        </w:tc>
        <w:tc>
          <w:tcPr>
            <w:tcW w:w="6999" w:type="dxa"/>
          </w:tcPr>
          <w:p>
            <w:pPr>
              <w:pStyle w:val="TableParagraph"/>
              <w:spacing w:line="230" w:lineRule="exact" w:before="101"/>
              <w:ind w:left="107"/>
              <w:rPr>
                <w:sz w:val="21"/>
              </w:rPr>
            </w:pPr>
            <w:r>
              <w:rPr>
                <w:sz w:val="21"/>
              </w:rPr>
              <w:t>（6）</w:t>
            </w:r>
            <w:r>
              <w:rPr>
                <w:spacing w:val="82"/>
                <w:sz w:val="21"/>
              </w:rPr>
              <w:t> </w:t>
            </w:r>
            <w:r>
              <w:rPr>
                <w:b/>
                <w:sz w:val="21"/>
              </w:rPr>
              <w:t>检查检验费</w:t>
            </w:r>
            <w:r>
              <w:rPr>
                <w:spacing w:val="-5"/>
                <w:position w:val="11"/>
                <w:sz w:val="11"/>
              </w:rPr>
              <w:t>15</w:t>
            </w:r>
            <w:r>
              <w:rPr>
                <w:spacing w:val="-5"/>
                <w:sz w:val="21"/>
              </w:rPr>
              <w:t>；</w:t>
            </w:r>
          </w:p>
        </w:tc>
      </w:tr>
    </w:tbl>
    <w:p>
      <w:pPr>
        <w:pStyle w:val="BodyText"/>
        <w:rPr>
          <w:rFonts w:ascii="楷体"/>
          <w:sz w:val="20"/>
        </w:rPr>
      </w:pPr>
    </w:p>
    <w:p>
      <w:pPr>
        <w:pStyle w:val="BodyText"/>
        <w:rPr>
          <w:rFonts w:ascii="楷体"/>
          <w:sz w:val="20"/>
        </w:rPr>
      </w:pPr>
    </w:p>
    <w:p>
      <w:pPr>
        <w:pStyle w:val="BodyText"/>
        <w:spacing w:before="5"/>
        <w:rPr>
          <w:rFonts w:ascii="楷体"/>
          <w:sz w:val="16"/>
        </w:rPr>
      </w:pPr>
      <w:r>
        <w:rPr/>
        <w:drawing>
          <wp:anchor distT="0" distB="0" distL="0" distR="0" allowOverlap="1" layoutInCell="1" locked="0" behindDoc="0" simplePos="0" relativeHeight="5">
            <wp:simplePos x="0" y="0"/>
            <wp:positionH relativeFrom="page">
              <wp:posOffset>685800</wp:posOffset>
            </wp:positionH>
            <wp:positionV relativeFrom="paragraph">
              <wp:posOffset>149137</wp:posOffset>
            </wp:positionV>
            <wp:extent cx="1829396" cy="6096"/>
            <wp:effectExtent l="0" t="0" r="0" b="0"/>
            <wp:wrapTopAndBottom/>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1829396" cy="6096"/>
                    </a:xfrm>
                    <a:prstGeom prst="rect">
                      <a:avLst/>
                    </a:prstGeom>
                  </pic:spPr>
                </pic:pic>
              </a:graphicData>
            </a:graphic>
          </wp:anchor>
        </w:drawing>
      </w:r>
    </w:p>
    <w:p>
      <w:pPr>
        <w:spacing w:line="242" w:lineRule="auto" w:before="91"/>
        <w:ind w:left="160" w:right="193" w:firstLine="0"/>
        <w:jc w:val="both"/>
        <w:rPr>
          <w:rFonts w:ascii="楷体" w:eastAsia="楷体"/>
          <w:sz w:val="18"/>
        </w:rPr>
      </w:pPr>
      <w:r>
        <w:rPr>
          <w:rFonts w:ascii="楷体" w:eastAsia="楷体"/>
          <w:w w:val="101"/>
          <w:position w:val="9"/>
          <w:sz w:val="9"/>
        </w:rPr>
        <w:t>5</w:t>
      </w:r>
      <w:r>
        <w:rPr>
          <w:rFonts w:ascii="楷体" w:eastAsia="楷体"/>
          <w:position w:val="9"/>
          <w:sz w:val="9"/>
        </w:rPr>
        <w:t>  </w:t>
      </w:r>
      <w:r>
        <w:rPr>
          <w:rFonts w:ascii="楷体" w:eastAsia="楷体" w:hint="eastAsia"/>
          <w:b/>
          <w:spacing w:val="-2"/>
          <w:w w:val="99"/>
          <w:sz w:val="18"/>
        </w:rPr>
        <w:t>本公司指定或认可的医疗机构：</w:t>
      </w:r>
      <w:r>
        <w:rPr>
          <w:rFonts w:ascii="楷体" w:eastAsia="楷体"/>
          <w:spacing w:val="-2"/>
          <w:sz w:val="18"/>
        </w:rPr>
        <w:t>包括本公司指定医疗机构，以及符合下列所有条件的机构</w:t>
      </w:r>
      <w:r>
        <w:rPr>
          <w:rFonts w:ascii="楷体" w:eastAsia="楷体"/>
          <w:spacing w:val="-108"/>
          <w:sz w:val="18"/>
        </w:rPr>
        <w:t>：</w:t>
      </w:r>
      <w:r>
        <w:rPr>
          <w:rFonts w:ascii="楷体" w:eastAsia="楷体"/>
          <w:spacing w:val="1"/>
          <w:sz w:val="18"/>
        </w:rPr>
        <w:t>（1</w:t>
      </w:r>
      <w:r>
        <w:rPr>
          <w:rFonts w:ascii="楷体" w:eastAsia="楷体"/>
          <w:spacing w:val="-20"/>
          <w:sz w:val="18"/>
        </w:rPr>
        <w:t>）</w:t>
      </w:r>
      <w:r>
        <w:rPr>
          <w:rFonts w:ascii="楷体" w:eastAsia="楷体"/>
          <w:spacing w:val="-5"/>
          <w:sz w:val="18"/>
        </w:rPr>
        <w:t>位于境内</w:t>
      </w:r>
      <w:r>
        <w:rPr>
          <w:rFonts w:ascii="楷体" w:eastAsia="楷体"/>
          <w:sz w:val="18"/>
        </w:rPr>
        <w:t>（</w:t>
      </w:r>
      <w:r>
        <w:rPr>
          <w:rFonts w:ascii="楷体" w:eastAsia="楷体"/>
          <w:spacing w:val="-6"/>
          <w:sz w:val="18"/>
        </w:rPr>
        <w:t>不包括港、澳、</w:t>
      </w:r>
      <w:r>
        <w:rPr>
          <w:rFonts w:ascii="楷体" w:eastAsia="楷体"/>
          <w:sz w:val="18"/>
        </w:rPr>
        <w:t>台地区</w:t>
      </w:r>
      <w:r>
        <w:rPr>
          <w:rFonts w:ascii="楷体" w:eastAsia="楷体"/>
          <w:spacing w:val="-92"/>
          <w:sz w:val="18"/>
        </w:rPr>
        <w:t>）</w:t>
      </w:r>
      <w:r>
        <w:rPr>
          <w:rFonts w:ascii="楷体" w:eastAsia="楷体"/>
          <w:spacing w:val="-6"/>
          <w:sz w:val="18"/>
        </w:rPr>
        <w:t>，拥有合法经营执照，当地基本医疗保险管理机构最新公布的二级以上</w:t>
      </w:r>
      <w:r>
        <w:rPr>
          <w:rFonts w:ascii="楷体" w:eastAsia="楷体"/>
          <w:sz w:val="18"/>
        </w:rPr>
        <w:t>（含二级</w:t>
      </w:r>
      <w:r>
        <w:rPr>
          <w:rFonts w:ascii="楷体" w:eastAsia="楷体"/>
          <w:spacing w:val="-15"/>
          <w:sz w:val="18"/>
        </w:rPr>
        <w:t>）</w:t>
      </w:r>
      <w:r>
        <w:rPr>
          <w:rFonts w:ascii="楷体" w:eastAsia="楷体"/>
          <w:spacing w:val="-2"/>
          <w:sz w:val="18"/>
        </w:rPr>
        <w:t>的定点公立医院、定点传染病医院</w:t>
      </w:r>
      <w:r>
        <w:rPr>
          <w:rFonts w:ascii="楷体" w:eastAsia="楷体"/>
          <w:spacing w:val="-4"/>
          <w:sz w:val="18"/>
        </w:rPr>
        <w:t>或特定疾病传染病的定点治疗医院，</w:t>
      </w:r>
      <w:r>
        <w:rPr>
          <w:rFonts w:ascii="楷体" w:eastAsia="楷体"/>
          <w:color w:val="000000"/>
          <w:spacing w:val="-3"/>
          <w:sz w:val="18"/>
          <w:shd w:fill="E4E4E4" w:color="auto" w:val="clear"/>
        </w:rPr>
        <w:t>不包括特需部、</w:t>
      </w:r>
      <w:r>
        <w:rPr>
          <w:rFonts w:ascii="楷体" w:eastAsia="楷体"/>
          <w:color w:val="000000"/>
          <w:spacing w:val="1"/>
          <w:sz w:val="18"/>
          <w:shd w:fill="E4E4E4" w:color="auto" w:val="clear"/>
        </w:rPr>
        <w:t>VI</w:t>
      </w:r>
      <w:r>
        <w:rPr>
          <w:rFonts w:ascii="楷体" w:eastAsia="楷体"/>
          <w:color w:val="000000"/>
          <w:sz w:val="18"/>
          <w:shd w:fill="E4E4E4" w:color="auto" w:val="clear"/>
        </w:rPr>
        <w:t>P</w:t>
      </w:r>
      <w:r>
        <w:rPr>
          <w:rFonts w:ascii="楷体" w:eastAsia="楷体"/>
          <w:color w:val="000000"/>
          <w:spacing w:val="-10"/>
          <w:sz w:val="18"/>
          <w:shd w:fill="E4E4E4" w:color="auto" w:val="clear"/>
        </w:rPr>
        <w:t> 部及国际部、观察室、联合病房和康复病房</w:t>
      </w:r>
      <w:r>
        <w:rPr>
          <w:rFonts w:ascii="楷体" w:eastAsia="楷体"/>
          <w:color w:val="000000"/>
          <w:spacing w:val="-110"/>
          <w:sz w:val="18"/>
          <w:shd w:fill="E4E4E4" w:color="auto" w:val="clear"/>
        </w:rPr>
        <w:t>。</w:t>
      </w:r>
      <w:r>
        <w:rPr>
          <w:rFonts w:ascii="楷体" w:eastAsia="楷体"/>
          <w:color w:val="000000"/>
          <w:sz w:val="18"/>
        </w:rPr>
        <w:t>（</w:t>
      </w:r>
      <w:r>
        <w:rPr>
          <w:rFonts w:ascii="楷体" w:eastAsia="楷体"/>
          <w:color w:val="000000"/>
          <w:spacing w:val="1"/>
          <w:sz w:val="18"/>
        </w:rPr>
        <w:t>2</w:t>
      </w:r>
      <w:r>
        <w:rPr>
          <w:rFonts w:ascii="楷体" w:eastAsia="楷体"/>
          <w:color w:val="000000"/>
          <w:spacing w:val="-20"/>
          <w:sz w:val="18"/>
        </w:rPr>
        <w:t>）</w:t>
      </w:r>
      <w:r>
        <w:rPr>
          <w:rFonts w:ascii="楷体" w:eastAsia="楷体"/>
          <w:color w:val="000000"/>
          <w:sz w:val="18"/>
        </w:rPr>
        <w:t>设立的主要目的为</w:t>
      </w:r>
      <w:r>
        <w:rPr>
          <w:rFonts w:ascii="楷体" w:eastAsia="楷体"/>
          <w:color w:val="000000"/>
          <w:spacing w:val="-5"/>
          <w:sz w:val="18"/>
        </w:rPr>
        <w:t>向受伤者和患病者提供留院治疗和护理服务；</w:t>
      </w:r>
      <w:r>
        <w:rPr>
          <w:rFonts w:ascii="楷体" w:eastAsia="楷体"/>
          <w:color w:val="000000"/>
          <w:spacing w:val="1"/>
          <w:sz w:val="18"/>
        </w:rPr>
        <w:t>（3</w:t>
      </w:r>
      <w:r>
        <w:rPr>
          <w:rFonts w:ascii="楷体" w:eastAsia="楷体"/>
          <w:color w:val="000000"/>
          <w:sz w:val="18"/>
        </w:rPr>
        <w:t>）</w:t>
      </w:r>
      <w:r>
        <w:rPr>
          <w:rFonts w:ascii="楷体" w:eastAsia="楷体"/>
          <w:color w:val="000000"/>
          <w:spacing w:val="-4"/>
          <w:sz w:val="18"/>
        </w:rPr>
        <w:t>有合格的医生和护士提供全日二十四小时的医疗和护理服务；</w:t>
      </w:r>
      <w:r>
        <w:rPr>
          <w:rFonts w:ascii="楷体" w:eastAsia="楷体"/>
          <w:color w:val="000000"/>
          <w:spacing w:val="2"/>
          <w:sz w:val="18"/>
        </w:rPr>
        <w:t>（</w:t>
      </w:r>
      <w:r>
        <w:rPr>
          <w:rFonts w:ascii="楷体" w:eastAsia="楷体"/>
          <w:color w:val="000000"/>
          <w:spacing w:val="1"/>
          <w:sz w:val="18"/>
        </w:rPr>
        <w:t>4</w:t>
      </w:r>
      <w:r>
        <w:rPr>
          <w:rFonts w:ascii="楷体" w:eastAsia="楷体"/>
          <w:color w:val="000000"/>
          <w:sz w:val="18"/>
        </w:rPr>
        <w:t>）</w:t>
      </w:r>
      <w:r>
        <w:rPr>
          <w:rFonts w:ascii="楷体" w:eastAsia="楷体"/>
          <w:color w:val="000000"/>
          <w:spacing w:val="-4"/>
          <w:sz w:val="18"/>
        </w:rPr>
        <w:t>非主要</w:t>
      </w:r>
      <w:r>
        <w:rPr>
          <w:rFonts w:ascii="楷体" w:eastAsia="楷体"/>
          <w:color w:val="000000"/>
          <w:sz w:val="18"/>
        </w:rPr>
        <w:t>作为康复医院、诊所、护理、疗养、戒酒、戒毒或类似的医疗机构。</w:t>
      </w:r>
    </w:p>
    <w:p>
      <w:pPr>
        <w:spacing w:line="242" w:lineRule="auto" w:before="2"/>
        <w:ind w:left="160" w:right="193" w:firstLine="0"/>
        <w:jc w:val="both"/>
        <w:rPr>
          <w:rFonts w:ascii="楷体" w:eastAsia="楷体"/>
          <w:sz w:val="18"/>
        </w:rPr>
      </w:pPr>
      <w:r>
        <w:rPr>
          <w:spacing w:val="-2"/>
          <w:position w:val="9"/>
          <w:sz w:val="9"/>
        </w:rPr>
        <w:t>6 </w:t>
      </w:r>
      <w:r>
        <w:rPr>
          <w:rFonts w:ascii="楷体" w:eastAsia="楷体" w:hint="eastAsia"/>
          <w:b/>
          <w:spacing w:val="-2"/>
          <w:sz w:val="18"/>
        </w:rPr>
        <w:t>法</w:t>
      </w:r>
      <w:r>
        <w:rPr>
          <w:rFonts w:ascii="楷体" w:eastAsia="楷体" w:hint="eastAsia"/>
          <w:b/>
          <w:spacing w:val="-2"/>
          <w:sz w:val="18"/>
        </w:rPr>
        <w:t>定</w:t>
      </w:r>
      <w:r>
        <w:rPr>
          <w:rFonts w:ascii="楷体" w:eastAsia="楷体" w:hint="eastAsia"/>
          <w:b/>
          <w:spacing w:val="-2"/>
          <w:sz w:val="18"/>
        </w:rPr>
        <w:t>传染病：</w:t>
      </w:r>
      <w:r>
        <w:rPr>
          <w:rFonts w:ascii="楷体" w:eastAsia="楷体"/>
          <w:spacing w:val="-2"/>
          <w:sz w:val="18"/>
        </w:rPr>
        <w:t>本合同可承保多种法定传染病，其中甲类及按甲类管理的乙类法定传染病为本合同的基础责任。在基础责任外</w:t>
      </w:r>
      <w:r>
        <w:rPr>
          <w:rFonts w:ascii="楷体" w:eastAsia="楷体"/>
          <w:spacing w:val="-2"/>
          <w:sz w:val="18"/>
        </w:rPr>
        <w:t>扩展的病种与数量，具体由投保人和保险人双方约定，并在保险单中载明。法定传染病应当同时符合以下两个条件：（1）该</w:t>
      </w:r>
      <w:r>
        <w:rPr>
          <w:rFonts w:ascii="楷体" w:eastAsia="楷体"/>
          <w:spacing w:val="-14"/>
          <w:sz w:val="18"/>
        </w:rPr>
        <w:t>种疾病为《中华人民共和国传染病防治法》；</w:t>
      </w:r>
      <w:r>
        <w:rPr>
          <w:rFonts w:ascii="楷体" w:eastAsia="楷体"/>
          <w:spacing w:val="38"/>
          <w:sz w:val="18"/>
        </w:rPr>
        <w:t>（2</w:t>
      </w:r>
      <w:r>
        <w:rPr>
          <w:rFonts w:ascii="楷体" w:eastAsia="楷体"/>
          <w:spacing w:val="-2"/>
          <w:sz w:val="18"/>
        </w:rPr>
        <w:t>）</w:t>
      </w:r>
      <w:r>
        <w:rPr>
          <w:rFonts w:ascii="楷体" w:eastAsia="楷体"/>
          <w:spacing w:val="-5"/>
          <w:sz w:val="18"/>
        </w:rPr>
        <w:t>该种疾病以国家卫生行政部门公布的关于该种疾病的最新定义为准。 其中，</w:t>
      </w:r>
      <w:r>
        <w:rPr>
          <w:rFonts w:ascii="楷体" w:eastAsia="楷体"/>
          <w:spacing w:val="-2"/>
          <w:sz w:val="18"/>
        </w:rPr>
        <w:t>甲类传染病是指：鼠疫、霍乱。按甲类管理的乙类法定传染病：新型冠状病毒感染肺炎、传染性非典型肺炎、炭疽中的肺炭</w:t>
      </w:r>
      <w:r>
        <w:rPr>
          <w:rFonts w:ascii="楷体" w:eastAsia="楷体"/>
          <w:spacing w:val="-2"/>
          <w:sz w:val="18"/>
        </w:rPr>
        <w:t>疽和人感染高致病性禽流感。</w:t>
      </w:r>
    </w:p>
    <w:p>
      <w:pPr>
        <w:spacing w:before="4"/>
        <w:ind w:left="160" w:right="0" w:firstLine="0"/>
        <w:jc w:val="both"/>
        <w:rPr>
          <w:rFonts w:ascii="楷体" w:eastAsia="楷体"/>
          <w:sz w:val="18"/>
        </w:rPr>
      </w:pPr>
      <w:r>
        <w:rPr>
          <w:rFonts w:ascii="楷体" w:eastAsia="楷体"/>
          <w:spacing w:val="-2"/>
          <w:position w:val="9"/>
          <w:sz w:val="9"/>
        </w:rPr>
        <w:t>7</w:t>
      </w:r>
      <w:r>
        <w:rPr>
          <w:rFonts w:ascii="楷体" w:eastAsia="楷体"/>
          <w:spacing w:val="53"/>
          <w:position w:val="9"/>
          <w:sz w:val="9"/>
        </w:rPr>
        <w:t> </w:t>
      </w:r>
      <w:r>
        <w:rPr>
          <w:rFonts w:ascii="楷体" w:eastAsia="楷体" w:hint="eastAsia"/>
          <w:b/>
          <w:spacing w:val="-2"/>
          <w:sz w:val="18"/>
        </w:rPr>
        <w:t>医</w:t>
      </w:r>
      <w:r>
        <w:rPr>
          <w:rFonts w:ascii="楷体" w:eastAsia="楷体" w:hint="eastAsia"/>
          <w:b/>
          <w:spacing w:val="-2"/>
          <w:sz w:val="18"/>
        </w:rPr>
        <w:t>护</w:t>
      </w:r>
      <w:r>
        <w:rPr>
          <w:rFonts w:ascii="楷体" w:eastAsia="楷体" w:hint="eastAsia"/>
          <w:b/>
          <w:spacing w:val="-2"/>
          <w:sz w:val="18"/>
        </w:rPr>
        <w:t>人员：</w:t>
      </w:r>
      <w:r>
        <w:rPr>
          <w:rFonts w:ascii="楷体" w:eastAsia="楷体"/>
          <w:spacing w:val="-2"/>
          <w:sz w:val="18"/>
        </w:rPr>
        <w:t>包括医生（</w:t>
      </w:r>
      <w:r>
        <w:rPr>
          <w:rFonts w:ascii="楷体" w:eastAsia="楷体"/>
          <w:spacing w:val="-6"/>
          <w:sz w:val="18"/>
        </w:rPr>
        <w:t>见注脚 </w:t>
      </w:r>
      <w:r>
        <w:rPr>
          <w:rFonts w:ascii="楷体" w:eastAsia="楷体"/>
          <w:spacing w:val="-2"/>
          <w:sz w:val="18"/>
        </w:rPr>
        <w:t>13）</w:t>
      </w:r>
      <w:r>
        <w:rPr>
          <w:rFonts w:ascii="楷体" w:eastAsia="楷体"/>
          <w:spacing w:val="-3"/>
          <w:sz w:val="18"/>
        </w:rPr>
        <w:t>、护士。护士，指在卫生管理机构合法注册的具有护士执业资格且正在执业的护理人员。</w:t>
      </w:r>
    </w:p>
    <w:p>
      <w:pPr>
        <w:spacing w:line="242" w:lineRule="auto" w:before="2"/>
        <w:ind w:left="160" w:right="195" w:firstLine="0"/>
        <w:jc w:val="both"/>
        <w:rPr>
          <w:rFonts w:ascii="楷体" w:eastAsia="楷体"/>
          <w:sz w:val="18"/>
        </w:rPr>
      </w:pPr>
      <w:r>
        <w:rPr>
          <w:rFonts w:ascii="楷体" w:eastAsia="楷体"/>
          <w:spacing w:val="-2"/>
          <w:position w:val="9"/>
          <w:sz w:val="9"/>
        </w:rPr>
        <w:t>8 </w:t>
      </w:r>
      <w:r>
        <w:rPr>
          <w:rFonts w:ascii="楷体" w:eastAsia="楷体" w:hint="eastAsia"/>
          <w:b/>
          <w:spacing w:val="-2"/>
          <w:sz w:val="18"/>
        </w:rPr>
        <w:t>住院</w:t>
      </w:r>
      <w:r>
        <w:rPr>
          <w:rFonts w:ascii="楷体" w:eastAsia="楷体"/>
          <w:spacing w:val="-2"/>
          <w:sz w:val="18"/>
        </w:rPr>
        <w:t>：指确因临床需要，正式办理入院及出院手续，并确实入住医疗机构正式病房接受治疗的行为过程，但不包括入住门诊</w:t>
      </w:r>
      <w:r>
        <w:rPr>
          <w:rFonts w:ascii="楷体" w:eastAsia="楷体"/>
          <w:spacing w:val="-2"/>
          <w:sz w:val="18"/>
        </w:rPr>
        <w:t>观察室、家庭病床、挂床住院、以及修养、疗养、身体检查和健康护理等非治疗性行为。</w:t>
      </w:r>
    </w:p>
    <w:p>
      <w:pPr>
        <w:spacing w:line="242" w:lineRule="auto" w:before="3"/>
        <w:ind w:left="160" w:right="198" w:firstLine="0"/>
        <w:jc w:val="both"/>
        <w:rPr>
          <w:rFonts w:ascii="楷体" w:eastAsia="楷体"/>
          <w:sz w:val="18"/>
        </w:rPr>
      </w:pPr>
      <w:r>
        <w:rPr>
          <w:rFonts w:ascii="楷体" w:eastAsia="楷体"/>
          <w:spacing w:val="-6"/>
          <w:position w:val="9"/>
          <w:sz w:val="9"/>
        </w:rPr>
        <w:t>9</w:t>
      </w:r>
      <w:r>
        <w:rPr>
          <w:rFonts w:ascii="楷体" w:eastAsia="楷体"/>
          <w:spacing w:val="46"/>
          <w:position w:val="9"/>
          <w:sz w:val="9"/>
        </w:rPr>
        <w:t> </w:t>
      </w:r>
      <w:r>
        <w:rPr>
          <w:rFonts w:ascii="楷体" w:eastAsia="楷体" w:hint="eastAsia"/>
          <w:b/>
          <w:spacing w:val="-6"/>
          <w:sz w:val="18"/>
        </w:rPr>
        <w:t>医</w:t>
      </w:r>
      <w:r>
        <w:rPr>
          <w:rFonts w:ascii="楷体" w:eastAsia="楷体" w:hint="eastAsia"/>
          <w:b/>
          <w:spacing w:val="-6"/>
          <w:sz w:val="18"/>
        </w:rPr>
        <w:t>学</w:t>
      </w:r>
      <w:r>
        <w:rPr>
          <w:rFonts w:ascii="楷体" w:eastAsia="楷体" w:hint="eastAsia"/>
          <w:b/>
          <w:spacing w:val="-6"/>
          <w:sz w:val="18"/>
        </w:rPr>
        <w:t>必需：</w:t>
      </w:r>
      <w:r>
        <w:rPr>
          <w:rFonts w:ascii="楷体" w:eastAsia="楷体"/>
          <w:spacing w:val="-12"/>
          <w:sz w:val="18"/>
        </w:rPr>
        <w:t>指医疗费用符合下列所有条件：</w:t>
      </w:r>
      <w:r>
        <w:rPr>
          <w:rFonts w:ascii="楷体" w:eastAsia="楷体"/>
          <w:spacing w:val="26"/>
          <w:sz w:val="18"/>
        </w:rPr>
        <w:t>（</w:t>
      </w:r>
      <w:r>
        <w:rPr>
          <w:rFonts w:ascii="楷体" w:eastAsia="楷体"/>
          <w:spacing w:val="27"/>
          <w:sz w:val="18"/>
        </w:rPr>
        <w:t>1</w:t>
      </w:r>
      <w:r>
        <w:rPr>
          <w:rFonts w:ascii="楷体" w:eastAsia="楷体"/>
          <w:spacing w:val="6"/>
          <w:sz w:val="18"/>
        </w:rPr>
        <w:t>）</w:t>
      </w:r>
      <w:r>
        <w:rPr>
          <w:rFonts w:ascii="楷体" w:eastAsia="楷体"/>
          <w:spacing w:val="-11"/>
          <w:sz w:val="18"/>
        </w:rPr>
        <w:t>治疗意外伤害或者疾病所必需的项目；</w:t>
      </w:r>
      <w:r>
        <w:rPr>
          <w:rFonts w:ascii="楷体" w:eastAsia="楷体"/>
          <w:spacing w:val="26"/>
          <w:sz w:val="18"/>
        </w:rPr>
        <w:t>（</w:t>
      </w:r>
      <w:r>
        <w:rPr>
          <w:rFonts w:ascii="楷体" w:eastAsia="楷体"/>
          <w:spacing w:val="27"/>
          <w:sz w:val="18"/>
        </w:rPr>
        <w:t>2</w:t>
      </w:r>
      <w:r>
        <w:rPr>
          <w:rFonts w:ascii="楷体" w:eastAsia="楷体"/>
          <w:spacing w:val="6"/>
          <w:sz w:val="18"/>
        </w:rPr>
        <w:t>）</w:t>
      </w:r>
      <w:r>
        <w:rPr>
          <w:rFonts w:ascii="楷体" w:eastAsia="楷体"/>
          <w:spacing w:val="-6"/>
          <w:sz w:val="18"/>
        </w:rPr>
        <w:t>不超过安全、足量治疗原则的项目；（3）由医生开具的处方；（4）非试验性的、非研究性的项目；（5）与接受治疗当地普遍接受的医疗专业实践标准一致的</w:t>
      </w:r>
      <w:r>
        <w:rPr>
          <w:rFonts w:ascii="楷体" w:eastAsia="楷体"/>
          <w:spacing w:val="-4"/>
          <w:sz w:val="18"/>
        </w:rPr>
        <w:t>项目。</w:t>
      </w:r>
    </w:p>
    <w:p>
      <w:pPr>
        <w:spacing w:line="230" w:lineRule="exact" w:before="0"/>
        <w:ind w:left="160" w:right="0" w:firstLine="0"/>
        <w:jc w:val="both"/>
        <w:rPr>
          <w:rFonts w:ascii="楷体" w:eastAsia="楷体"/>
          <w:sz w:val="18"/>
        </w:rPr>
      </w:pPr>
      <w:r>
        <w:rPr>
          <w:position w:val="9"/>
          <w:sz w:val="9"/>
        </w:rPr>
        <w:t>10</w:t>
      </w:r>
      <w:r>
        <w:rPr>
          <w:spacing w:val="38"/>
          <w:position w:val="9"/>
          <w:sz w:val="9"/>
        </w:rPr>
        <w:t> </w:t>
      </w:r>
      <w:r>
        <w:rPr>
          <w:rFonts w:ascii="楷体" w:eastAsia="楷体" w:hint="eastAsia"/>
          <w:b/>
          <w:sz w:val="18"/>
        </w:rPr>
        <w:t>医</w:t>
      </w:r>
      <w:r>
        <w:rPr>
          <w:rFonts w:ascii="楷体" w:eastAsia="楷体" w:hint="eastAsia"/>
          <w:b/>
          <w:sz w:val="18"/>
        </w:rPr>
        <w:t>疗</w:t>
      </w:r>
      <w:r>
        <w:rPr>
          <w:rFonts w:ascii="楷体" w:eastAsia="楷体" w:hint="eastAsia"/>
          <w:b/>
          <w:sz w:val="18"/>
        </w:rPr>
        <w:t>费用：</w:t>
      </w:r>
      <w:r>
        <w:rPr>
          <w:rFonts w:ascii="楷体" w:eastAsia="楷体"/>
          <w:spacing w:val="-1"/>
          <w:sz w:val="18"/>
        </w:rPr>
        <w:t>在院内发生且和医院进行结算的费用。</w:t>
      </w:r>
    </w:p>
    <w:p>
      <w:pPr>
        <w:spacing w:line="242" w:lineRule="auto" w:before="4"/>
        <w:ind w:left="160" w:right="194" w:firstLine="0"/>
        <w:jc w:val="both"/>
        <w:rPr>
          <w:rFonts w:ascii="楷体" w:eastAsia="楷体"/>
          <w:sz w:val="18"/>
        </w:rPr>
      </w:pPr>
      <w:r>
        <w:rPr>
          <w:rFonts w:ascii="楷体" w:eastAsia="楷体"/>
          <w:position w:val="9"/>
          <w:sz w:val="9"/>
        </w:rPr>
        <w:t>11 </w:t>
      </w:r>
      <w:r>
        <w:rPr>
          <w:rFonts w:ascii="楷体" w:eastAsia="楷体" w:hint="eastAsia"/>
          <w:b/>
          <w:sz w:val="18"/>
        </w:rPr>
        <w:t>膳食</w:t>
      </w:r>
      <w:r>
        <w:rPr>
          <w:rFonts w:ascii="楷体" w:eastAsia="楷体" w:hint="eastAsia"/>
          <w:b/>
          <w:sz w:val="18"/>
        </w:rPr>
        <w:t>费</w:t>
      </w:r>
      <w:r>
        <w:rPr>
          <w:rFonts w:ascii="楷体" w:eastAsia="楷体" w:hint="eastAsia"/>
          <w:b/>
          <w:sz w:val="18"/>
        </w:rPr>
        <w:t>：</w:t>
      </w:r>
      <w:r>
        <w:rPr>
          <w:rFonts w:ascii="楷体" w:eastAsia="楷体"/>
          <w:sz w:val="18"/>
        </w:rPr>
        <w:t>根据医生的医嘱，由作为医院内部专属部门的、为住院病人配餐的食堂配送的膳食费。膳食费应包含在医疗账单</w:t>
      </w:r>
      <w:r>
        <w:rPr>
          <w:rFonts w:ascii="楷体" w:eastAsia="楷体"/>
          <w:spacing w:val="-2"/>
          <w:sz w:val="18"/>
        </w:rPr>
        <w:t>内；根据各医疗机构的惯例，可以作为独立的款项、也可以合并在病房费等其他款项内。</w:t>
      </w:r>
      <w:r>
        <w:rPr>
          <w:rFonts w:ascii="楷体" w:eastAsia="楷体"/>
          <w:color w:val="000000"/>
          <w:spacing w:val="-2"/>
          <w:sz w:val="18"/>
          <w:shd w:fill="E4E4E4" w:color="auto" w:val="clear"/>
        </w:rPr>
        <w:t>若一些医疗机构自身不设内部专属</w:t>
      </w:r>
      <w:r>
        <w:rPr>
          <w:rFonts w:ascii="楷体" w:eastAsia="楷体"/>
          <w:color w:val="000000"/>
          <w:spacing w:val="40"/>
          <w:sz w:val="18"/>
          <w:shd w:fill="E4E4E4" w:color="auto" w:val="clear"/>
        </w:rPr>
        <w:t> </w:t>
      </w:r>
      <w:r>
        <w:rPr>
          <w:rFonts w:ascii="楷体" w:eastAsia="楷体"/>
          <w:color w:val="000000"/>
          <w:spacing w:val="-2"/>
          <w:sz w:val="18"/>
          <w:shd w:fill="E4E4E4" w:color="auto" w:val="clear"/>
        </w:rPr>
        <w:t>的食堂而将病人膳食外包给独立经营的商业餐饮单位、从而膳食费不包含在医疗账单内，受益人提供证明上述情况属实并经</w:t>
      </w:r>
      <w:r>
        <w:rPr>
          <w:rFonts w:ascii="楷体" w:eastAsia="楷体"/>
          <w:color w:val="000000"/>
          <w:spacing w:val="-3"/>
          <w:sz w:val="18"/>
          <w:shd w:fill="E4E4E4" w:color="auto" w:val="clear"/>
        </w:rPr>
        <w:t>本公司证实后，按照膳食费发票金额的 </w:t>
      </w:r>
      <w:r>
        <w:rPr>
          <w:rFonts w:ascii="楷体" w:eastAsia="楷体"/>
          <w:color w:val="000000"/>
          <w:sz w:val="18"/>
          <w:shd w:fill="E4E4E4" w:color="auto" w:val="clear"/>
        </w:rPr>
        <w:t>50%作为与医疗相关的膳食费金额进行后续的理赔计算。</w:t>
      </w:r>
    </w:p>
    <w:p>
      <w:pPr>
        <w:spacing w:before="3"/>
        <w:ind w:left="160" w:right="0" w:firstLine="0"/>
        <w:jc w:val="left"/>
        <w:rPr>
          <w:rFonts w:ascii="楷体" w:eastAsia="楷体"/>
          <w:sz w:val="18"/>
        </w:rPr>
      </w:pPr>
      <w:r>
        <w:rPr>
          <w:rFonts w:ascii="楷体" w:eastAsia="楷体"/>
          <w:position w:val="9"/>
          <w:sz w:val="9"/>
        </w:rPr>
        <w:t>12</w:t>
      </w:r>
      <w:r>
        <w:rPr>
          <w:rFonts w:ascii="楷体" w:eastAsia="楷体"/>
          <w:spacing w:val="40"/>
          <w:position w:val="9"/>
          <w:sz w:val="9"/>
        </w:rPr>
        <w:t> </w:t>
      </w:r>
      <w:r>
        <w:rPr>
          <w:rFonts w:ascii="楷体" w:eastAsia="楷体" w:hint="eastAsia"/>
          <w:b/>
          <w:sz w:val="18"/>
        </w:rPr>
        <w:t>护理费：</w:t>
      </w:r>
      <w:r>
        <w:rPr>
          <w:rFonts w:ascii="楷体" w:eastAsia="楷体"/>
          <w:spacing w:val="-1"/>
          <w:sz w:val="18"/>
        </w:rPr>
        <w:t>指根据医生的医嘱所示的护理等级确定的护理费用。</w:t>
      </w:r>
    </w:p>
    <w:p>
      <w:pPr>
        <w:spacing w:before="2"/>
        <w:ind w:left="160" w:right="0" w:firstLine="0"/>
        <w:jc w:val="left"/>
        <w:rPr>
          <w:rFonts w:ascii="楷体" w:eastAsia="楷体"/>
          <w:sz w:val="18"/>
        </w:rPr>
      </w:pPr>
      <w:r>
        <w:rPr>
          <w:rFonts w:ascii="楷体" w:eastAsia="楷体"/>
          <w:position w:val="9"/>
          <w:sz w:val="9"/>
        </w:rPr>
        <w:t>13</w:t>
      </w:r>
      <w:r>
        <w:rPr>
          <w:rFonts w:ascii="楷体" w:eastAsia="楷体"/>
          <w:spacing w:val="40"/>
          <w:position w:val="9"/>
          <w:sz w:val="9"/>
        </w:rPr>
        <w:t> </w:t>
      </w:r>
      <w:r>
        <w:rPr>
          <w:rFonts w:ascii="楷体" w:eastAsia="楷体" w:hint="eastAsia"/>
          <w:b/>
          <w:sz w:val="18"/>
        </w:rPr>
        <w:t>诊</w:t>
      </w:r>
      <w:r>
        <w:rPr>
          <w:rFonts w:ascii="楷体" w:eastAsia="楷体" w:hint="eastAsia"/>
          <w:b/>
          <w:sz w:val="18"/>
        </w:rPr>
        <w:t>疗</w:t>
      </w:r>
      <w:r>
        <w:rPr>
          <w:rFonts w:ascii="楷体" w:eastAsia="楷体" w:hint="eastAsia"/>
          <w:b/>
          <w:sz w:val="18"/>
        </w:rPr>
        <w:t>费</w:t>
      </w:r>
      <w:r>
        <w:rPr>
          <w:rFonts w:ascii="楷体" w:eastAsia="楷体" w:hint="eastAsia"/>
          <w:b/>
          <w:sz w:val="18"/>
        </w:rPr>
        <w:t>：</w:t>
      </w:r>
      <w:r>
        <w:rPr>
          <w:rFonts w:ascii="楷体" w:eastAsia="楷体"/>
          <w:spacing w:val="-1"/>
          <w:sz w:val="18"/>
        </w:rPr>
        <w:t>指被保险人门急诊间发生的主诊医生或会诊医生的劳务费用，包括挂号费。</w:t>
      </w:r>
    </w:p>
    <w:p>
      <w:pPr>
        <w:spacing w:before="2"/>
        <w:ind w:left="160" w:right="0" w:firstLine="0"/>
        <w:jc w:val="left"/>
        <w:rPr>
          <w:rFonts w:ascii="楷体" w:eastAsia="楷体"/>
          <w:sz w:val="18"/>
        </w:rPr>
      </w:pPr>
      <w:r>
        <w:rPr>
          <w:rFonts w:ascii="楷体" w:eastAsia="楷体"/>
          <w:position w:val="9"/>
          <w:sz w:val="9"/>
        </w:rPr>
        <w:t>14</w:t>
      </w:r>
      <w:r>
        <w:rPr>
          <w:rFonts w:ascii="楷体" w:eastAsia="楷体"/>
          <w:spacing w:val="51"/>
          <w:position w:val="9"/>
          <w:sz w:val="9"/>
        </w:rPr>
        <w:t> </w:t>
      </w:r>
      <w:r>
        <w:rPr>
          <w:rFonts w:ascii="楷体" w:eastAsia="楷体" w:hint="eastAsia"/>
          <w:b/>
          <w:sz w:val="18"/>
        </w:rPr>
        <w:t>医</w:t>
      </w:r>
      <w:r>
        <w:rPr>
          <w:rFonts w:ascii="楷体" w:eastAsia="楷体" w:hint="eastAsia"/>
          <w:b/>
          <w:sz w:val="18"/>
        </w:rPr>
        <w:t>生</w:t>
      </w:r>
      <w:r>
        <w:rPr>
          <w:rFonts w:ascii="楷体" w:eastAsia="楷体" w:hint="eastAsia"/>
          <w:b/>
          <w:spacing w:val="4"/>
          <w:sz w:val="18"/>
        </w:rPr>
        <w:t>： </w:t>
      </w:r>
      <w:r>
        <w:rPr>
          <w:rFonts w:ascii="楷体" w:eastAsia="楷体"/>
          <w:spacing w:val="-1"/>
          <w:sz w:val="18"/>
        </w:rPr>
        <w:t>指在卫生管理机构合法注册的具有医生资格、拥有处方权且正在执业的医疗服务人员，并需要满足下列全部条件：</w:t>
      </w:r>
    </w:p>
    <w:p>
      <w:pPr>
        <w:spacing w:before="4"/>
        <w:ind w:left="160" w:right="0" w:firstLine="0"/>
        <w:jc w:val="left"/>
        <w:rPr>
          <w:rFonts w:ascii="楷体" w:eastAsia="楷体"/>
          <w:sz w:val="18"/>
        </w:rPr>
      </w:pPr>
      <w:r>
        <w:rPr>
          <w:rFonts w:ascii="楷体" w:eastAsia="楷体"/>
          <w:spacing w:val="-2"/>
          <w:sz w:val="18"/>
        </w:rPr>
        <w:t>（1）对其从事的医疗操作经过培训和训练从而具有相应的治疗资格；（2）</w:t>
      </w:r>
      <w:r>
        <w:rPr>
          <w:rFonts w:ascii="楷体" w:eastAsia="楷体"/>
          <w:spacing w:val="-3"/>
          <w:sz w:val="18"/>
        </w:rPr>
        <w:t>其从事的医疗操作在其执业医师资格允许的范围；</w:t>
      </w:r>
    </w:p>
    <w:p>
      <w:pPr>
        <w:spacing w:before="3"/>
        <w:ind w:left="160" w:right="0" w:firstLine="0"/>
        <w:jc w:val="left"/>
        <w:rPr>
          <w:rFonts w:ascii="楷体" w:eastAsia="楷体"/>
          <w:sz w:val="18"/>
        </w:rPr>
      </w:pPr>
      <w:r>
        <w:rPr>
          <w:rFonts w:ascii="楷体" w:eastAsia="楷体"/>
          <w:spacing w:val="-4"/>
          <w:sz w:val="18"/>
        </w:rPr>
        <w:t>（3）不是被保险人本人或其直系亲属；（4）</w:t>
      </w:r>
      <w:r>
        <w:rPr>
          <w:rFonts w:ascii="楷体" w:eastAsia="楷体"/>
          <w:spacing w:val="-5"/>
          <w:sz w:val="18"/>
        </w:rPr>
        <w:t>与被保险人没有商业联系。</w:t>
      </w:r>
    </w:p>
    <w:p>
      <w:pPr>
        <w:spacing w:line="242" w:lineRule="auto" w:before="2"/>
        <w:ind w:left="160" w:right="197" w:firstLine="0"/>
        <w:jc w:val="both"/>
        <w:rPr>
          <w:rFonts w:ascii="楷体" w:eastAsia="楷体"/>
          <w:sz w:val="18"/>
        </w:rPr>
      </w:pPr>
      <w:r>
        <w:rPr>
          <w:rFonts w:ascii="楷体" w:eastAsia="楷体"/>
          <w:w w:val="101"/>
          <w:position w:val="9"/>
          <w:sz w:val="9"/>
        </w:rPr>
        <w:t>15</w:t>
      </w:r>
      <w:r>
        <w:rPr>
          <w:rFonts w:ascii="楷体" w:eastAsia="楷体"/>
          <w:position w:val="9"/>
          <w:sz w:val="9"/>
        </w:rPr>
        <w:t>  </w:t>
      </w:r>
      <w:r>
        <w:rPr>
          <w:rFonts w:ascii="楷体" w:eastAsia="楷体" w:hint="eastAsia"/>
          <w:b/>
          <w:w w:val="99"/>
          <w:sz w:val="18"/>
        </w:rPr>
        <w:t>检查检验费：</w:t>
      </w:r>
      <w:r>
        <w:rPr>
          <w:rFonts w:ascii="楷体" w:eastAsia="楷体"/>
          <w:spacing w:val="-1"/>
          <w:sz w:val="18"/>
        </w:rPr>
        <w:t>指实际发生的，以诊断疾病为目的的，采取必要的医学手段进行检查及检验而发生的合理的医疗费用，包括</w:t>
      </w:r>
      <w:r>
        <w:rPr>
          <w:rFonts w:ascii="楷体" w:eastAsia="楷体"/>
          <w:spacing w:val="-3"/>
          <w:sz w:val="18"/>
        </w:rPr>
        <w:t>诊查费、妇检费、</w:t>
      </w:r>
      <w:r>
        <w:rPr>
          <w:rFonts w:ascii="楷体" w:eastAsia="楷体"/>
          <w:sz w:val="18"/>
        </w:rPr>
        <w:t>X</w:t>
      </w:r>
      <w:r>
        <w:rPr>
          <w:rFonts w:ascii="楷体" w:eastAsia="楷体"/>
          <w:spacing w:val="-8"/>
          <w:sz w:val="18"/>
        </w:rPr>
        <w:t> 光费、心电图费、</w:t>
      </w:r>
      <w:r>
        <w:rPr>
          <w:rFonts w:ascii="楷体" w:eastAsia="楷体"/>
          <w:sz w:val="18"/>
        </w:rPr>
        <w:t>B</w:t>
      </w:r>
      <w:r>
        <w:rPr>
          <w:rFonts w:ascii="楷体" w:eastAsia="楷体"/>
          <w:spacing w:val="-8"/>
          <w:sz w:val="18"/>
        </w:rPr>
        <w:t> 超费、脑电图费、内窥镜费、肺功能仪费、分子生化检验费和血、尿、便常规检验费等。</w:t>
      </w:r>
    </w:p>
    <w:p>
      <w:pPr>
        <w:spacing w:after="0" w:line="242" w:lineRule="auto"/>
        <w:jc w:val="both"/>
        <w:rPr>
          <w:rFonts w:ascii="楷体" w:eastAsia="楷体"/>
          <w:sz w:val="18"/>
        </w:rPr>
        <w:sectPr>
          <w:pgSz w:w="11910" w:h="16840"/>
          <w:pgMar w:header="0" w:footer="659" w:top="1580" w:bottom="1000" w:left="920" w:right="880"/>
        </w:sectPr>
      </w:pPr>
    </w:p>
    <w:tbl>
      <w:tblPr>
        <w:tblW w:w="0" w:type="auto"/>
        <w:jc w:val="left"/>
        <w:tblInd w:w="4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8"/>
        <w:gridCol w:w="1771"/>
        <w:gridCol w:w="7001"/>
      </w:tblGrid>
      <w:tr>
        <w:trPr>
          <w:trHeight w:val="327" w:hRule="atLeast"/>
        </w:trPr>
        <w:tc>
          <w:tcPr>
            <w:tcW w:w="2459" w:type="dxa"/>
            <w:gridSpan w:val="2"/>
            <w:vMerge w:val="restart"/>
          </w:tcPr>
          <w:p>
            <w:pPr>
              <w:pStyle w:val="TableParagraph"/>
              <w:rPr>
                <w:rFonts w:ascii="Times New Roman"/>
                <w:sz w:val="18"/>
              </w:rPr>
            </w:pPr>
          </w:p>
        </w:tc>
        <w:tc>
          <w:tcPr>
            <w:tcW w:w="7001" w:type="dxa"/>
          </w:tcPr>
          <w:p>
            <w:pPr>
              <w:pStyle w:val="TableParagraph"/>
              <w:spacing w:line="233" w:lineRule="exact"/>
              <w:ind w:left="108"/>
              <w:rPr>
                <w:sz w:val="21"/>
              </w:rPr>
            </w:pPr>
            <w:r>
              <w:rPr>
                <w:sz w:val="21"/>
              </w:rPr>
              <w:t>（7）</w:t>
            </w:r>
            <w:r>
              <w:rPr>
                <w:spacing w:val="13"/>
                <w:sz w:val="21"/>
              </w:rPr>
              <w:t> 治疗费；</w:t>
            </w:r>
          </w:p>
        </w:tc>
      </w:tr>
      <w:tr>
        <w:trPr>
          <w:trHeight w:val="468" w:hRule="atLeast"/>
        </w:trPr>
        <w:tc>
          <w:tcPr>
            <w:tcW w:w="2459" w:type="dxa"/>
            <w:gridSpan w:val="2"/>
            <w:vMerge/>
            <w:tcBorders>
              <w:top w:val="nil"/>
            </w:tcBorders>
          </w:tcPr>
          <w:p>
            <w:pPr>
              <w:rPr>
                <w:sz w:val="2"/>
                <w:szCs w:val="2"/>
              </w:rPr>
            </w:pPr>
          </w:p>
        </w:tc>
        <w:tc>
          <w:tcPr>
            <w:tcW w:w="7001" w:type="dxa"/>
          </w:tcPr>
          <w:p>
            <w:pPr>
              <w:pStyle w:val="TableParagraph"/>
              <w:spacing w:before="95"/>
              <w:ind w:left="108"/>
              <w:rPr>
                <w:sz w:val="21"/>
              </w:rPr>
            </w:pPr>
            <w:r>
              <w:rPr>
                <w:sz w:val="21"/>
              </w:rPr>
              <w:t>（8）</w:t>
            </w:r>
            <w:r>
              <w:rPr>
                <w:spacing w:val="87"/>
                <w:sz w:val="21"/>
              </w:rPr>
              <w:t> </w:t>
            </w:r>
            <w:r>
              <w:rPr>
                <w:b/>
                <w:sz w:val="21"/>
              </w:rPr>
              <w:t>陪床费</w:t>
            </w:r>
            <w:r>
              <w:rPr>
                <w:spacing w:val="-5"/>
                <w:position w:val="11"/>
                <w:sz w:val="11"/>
              </w:rPr>
              <w:t>16</w:t>
            </w:r>
            <w:r>
              <w:rPr>
                <w:spacing w:val="-5"/>
                <w:sz w:val="21"/>
              </w:rPr>
              <w:t>；</w:t>
            </w:r>
          </w:p>
        </w:tc>
      </w:tr>
      <w:tr>
        <w:trPr>
          <w:trHeight w:val="468" w:hRule="atLeast"/>
        </w:trPr>
        <w:tc>
          <w:tcPr>
            <w:tcW w:w="2459" w:type="dxa"/>
            <w:gridSpan w:val="2"/>
            <w:vMerge/>
            <w:tcBorders>
              <w:top w:val="nil"/>
            </w:tcBorders>
          </w:tcPr>
          <w:p>
            <w:pPr>
              <w:rPr>
                <w:sz w:val="2"/>
                <w:szCs w:val="2"/>
              </w:rPr>
            </w:pPr>
          </w:p>
        </w:tc>
        <w:tc>
          <w:tcPr>
            <w:tcW w:w="7001" w:type="dxa"/>
          </w:tcPr>
          <w:p>
            <w:pPr>
              <w:pStyle w:val="TableParagraph"/>
              <w:spacing w:before="94"/>
              <w:ind w:left="108"/>
              <w:rPr>
                <w:sz w:val="21"/>
              </w:rPr>
            </w:pPr>
            <w:r>
              <w:rPr>
                <w:sz w:val="21"/>
              </w:rPr>
              <w:t>（9）</w:t>
            </w:r>
            <w:r>
              <w:rPr>
                <w:spacing w:val="87"/>
                <w:sz w:val="21"/>
              </w:rPr>
              <w:t> </w:t>
            </w:r>
            <w:r>
              <w:rPr>
                <w:b/>
                <w:sz w:val="21"/>
              </w:rPr>
              <w:t>药品费</w:t>
            </w:r>
            <w:r>
              <w:rPr>
                <w:spacing w:val="-5"/>
                <w:position w:val="11"/>
                <w:sz w:val="11"/>
              </w:rPr>
              <w:t>17</w:t>
            </w:r>
            <w:r>
              <w:rPr>
                <w:spacing w:val="-5"/>
                <w:sz w:val="21"/>
              </w:rPr>
              <w:t>；</w:t>
            </w:r>
          </w:p>
        </w:tc>
      </w:tr>
      <w:tr>
        <w:trPr>
          <w:trHeight w:val="479" w:hRule="atLeast"/>
        </w:trPr>
        <w:tc>
          <w:tcPr>
            <w:tcW w:w="2459" w:type="dxa"/>
            <w:gridSpan w:val="2"/>
            <w:vMerge/>
            <w:tcBorders>
              <w:top w:val="nil"/>
            </w:tcBorders>
          </w:tcPr>
          <w:p>
            <w:pPr>
              <w:rPr>
                <w:sz w:val="2"/>
                <w:szCs w:val="2"/>
              </w:rPr>
            </w:pPr>
          </w:p>
        </w:tc>
        <w:tc>
          <w:tcPr>
            <w:tcW w:w="7001" w:type="dxa"/>
          </w:tcPr>
          <w:p>
            <w:pPr>
              <w:pStyle w:val="TableParagraph"/>
              <w:spacing w:before="94"/>
              <w:ind w:left="108"/>
              <w:rPr>
                <w:sz w:val="21"/>
              </w:rPr>
            </w:pPr>
            <w:r>
              <w:rPr>
                <w:sz w:val="21"/>
              </w:rPr>
              <w:t>（10）</w:t>
            </w:r>
            <w:r>
              <w:rPr>
                <w:spacing w:val="-19"/>
                <w:sz w:val="21"/>
              </w:rPr>
              <w:t> </w:t>
            </w:r>
            <w:r>
              <w:rPr>
                <w:b/>
                <w:sz w:val="21"/>
              </w:rPr>
              <w:t>手术费</w:t>
            </w:r>
            <w:r>
              <w:rPr>
                <w:spacing w:val="-5"/>
                <w:position w:val="11"/>
                <w:sz w:val="11"/>
              </w:rPr>
              <w:t>18</w:t>
            </w:r>
            <w:r>
              <w:rPr>
                <w:spacing w:val="-5"/>
                <w:sz w:val="21"/>
              </w:rPr>
              <w:t>；</w:t>
            </w:r>
          </w:p>
        </w:tc>
      </w:tr>
      <w:tr>
        <w:trPr>
          <w:trHeight w:val="456" w:hRule="atLeast"/>
        </w:trPr>
        <w:tc>
          <w:tcPr>
            <w:tcW w:w="2459" w:type="dxa"/>
            <w:gridSpan w:val="2"/>
            <w:vMerge/>
            <w:tcBorders>
              <w:top w:val="nil"/>
            </w:tcBorders>
          </w:tcPr>
          <w:p>
            <w:pPr>
              <w:rPr>
                <w:sz w:val="2"/>
                <w:szCs w:val="2"/>
              </w:rPr>
            </w:pPr>
          </w:p>
        </w:tc>
        <w:tc>
          <w:tcPr>
            <w:tcW w:w="7001" w:type="dxa"/>
          </w:tcPr>
          <w:p>
            <w:pPr>
              <w:pStyle w:val="TableParagraph"/>
              <w:spacing w:before="93"/>
              <w:ind w:left="108"/>
              <w:rPr>
                <w:sz w:val="21"/>
              </w:rPr>
            </w:pPr>
            <w:r>
              <w:rPr>
                <w:spacing w:val="-2"/>
                <w:sz w:val="21"/>
              </w:rPr>
              <w:t>（11） 体外膜肺氧合（ECMO）</w:t>
            </w:r>
            <w:r>
              <w:rPr>
                <w:spacing w:val="-6"/>
                <w:sz w:val="21"/>
              </w:rPr>
              <w:t>费；</w:t>
            </w:r>
          </w:p>
        </w:tc>
      </w:tr>
      <w:tr>
        <w:trPr>
          <w:trHeight w:val="479" w:hRule="atLeast"/>
        </w:trPr>
        <w:tc>
          <w:tcPr>
            <w:tcW w:w="2459" w:type="dxa"/>
            <w:gridSpan w:val="2"/>
            <w:vMerge/>
            <w:tcBorders>
              <w:top w:val="nil"/>
            </w:tcBorders>
          </w:tcPr>
          <w:p>
            <w:pPr>
              <w:rPr>
                <w:sz w:val="2"/>
                <w:szCs w:val="2"/>
              </w:rPr>
            </w:pPr>
          </w:p>
        </w:tc>
        <w:tc>
          <w:tcPr>
            <w:tcW w:w="7001" w:type="dxa"/>
          </w:tcPr>
          <w:p>
            <w:pPr>
              <w:pStyle w:val="TableParagraph"/>
              <w:spacing w:before="94"/>
              <w:ind w:left="108"/>
              <w:rPr>
                <w:sz w:val="21"/>
              </w:rPr>
            </w:pPr>
            <w:r>
              <w:rPr>
                <w:sz w:val="21"/>
              </w:rPr>
              <w:t>（12）</w:t>
            </w:r>
            <w:r>
              <w:rPr>
                <w:spacing w:val="-24"/>
                <w:sz w:val="21"/>
              </w:rPr>
              <w:t> </w:t>
            </w:r>
            <w:r>
              <w:rPr>
                <w:b/>
                <w:sz w:val="21"/>
              </w:rPr>
              <w:t>救护车使用费</w:t>
            </w:r>
            <w:r>
              <w:rPr>
                <w:position w:val="11"/>
                <w:sz w:val="11"/>
              </w:rPr>
              <w:t>19</w:t>
            </w:r>
            <w:r>
              <w:rPr>
                <w:spacing w:val="-10"/>
                <w:sz w:val="21"/>
              </w:rPr>
              <w:t>。</w:t>
            </w:r>
          </w:p>
        </w:tc>
      </w:tr>
      <w:tr>
        <w:trPr>
          <w:trHeight w:val="390" w:hRule="atLeast"/>
        </w:trPr>
        <w:tc>
          <w:tcPr>
            <w:tcW w:w="2459" w:type="dxa"/>
            <w:gridSpan w:val="2"/>
            <w:vMerge/>
            <w:tcBorders>
              <w:top w:val="nil"/>
            </w:tcBorders>
          </w:tcPr>
          <w:p>
            <w:pPr>
              <w:rPr>
                <w:sz w:val="2"/>
                <w:szCs w:val="2"/>
              </w:rPr>
            </w:pPr>
          </w:p>
        </w:tc>
        <w:tc>
          <w:tcPr>
            <w:tcW w:w="7001" w:type="dxa"/>
          </w:tcPr>
          <w:p>
            <w:pPr>
              <w:pStyle w:val="TableParagraph"/>
              <w:spacing w:before="93"/>
              <w:ind w:left="108"/>
              <w:rPr>
                <w:sz w:val="21"/>
              </w:rPr>
            </w:pPr>
            <w:r>
              <w:rPr>
                <w:spacing w:val="-1"/>
                <w:sz w:val="21"/>
              </w:rPr>
              <w:t>本公司对于以上医疗费用的累计赔偿金额之和以本合同约定的法定传染病</w:t>
            </w:r>
          </w:p>
        </w:tc>
      </w:tr>
      <w:tr>
        <w:trPr>
          <w:trHeight w:val="312" w:hRule="atLeast"/>
        </w:trPr>
        <w:tc>
          <w:tcPr>
            <w:tcW w:w="2459" w:type="dxa"/>
            <w:gridSpan w:val="2"/>
            <w:vMerge/>
            <w:tcBorders>
              <w:top w:val="nil"/>
            </w:tcBorders>
          </w:tcPr>
          <w:p>
            <w:pPr>
              <w:rPr>
                <w:sz w:val="2"/>
                <w:szCs w:val="2"/>
              </w:rPr>
            </w:pPr>
          </w:p>
        </w:tc>
        <w:tc>
          <w:tcPr>
            <w:tcW w:w="7001" w:type="dxa"/>
          </w:tcPr>
          <w:p>
            <w:pPr>
              <w:pStyle w:val="TableParagraph"/>
              <w:spacing w:before="14"/>
              <w:ind w:left="108"/>
              <w:rPr>
                <w:sz w:val="21"/>
              </w:rPr>
            </w:pPr>
            <w:r>
              <w:rPr>
                <w:spacing w:val="-10"/>
                <w:sz w:val="21"/>
              </w:rPr>
              <w:t>住院医疗保险金给付限额为限。累计赔偿金额达到本项法定传染病住院医疗</w:t>
            </w:r>
          </w:p>
        </w:tc>
      </w:tr>
      <w:tr>
        <w:trPr>
          <w:trHeight w:val="312" w:hRule="atLeast"/>
        </w:trPr>
        <w:tc>
          <w:tcPr>
            <w:tcW w:w="2459" w:type="dxa"/>
            <w:gridSpan w:val="2"/>
            <w:vMerge/>
            <w:tcBorders>
              <w:top w:val="nil"/>
            </w:tcBorders>
          </w:tcPr>
          <w:p>
            <w:pPr>
              <w:rPr>
                <w:sz w:val="2"/>
                <w:szCs w:val="2"/>
              </w:rPr>
            </w:pPr>
          </w:p>
        </w:tc>
        <w:tc>
          <w:tcPr>
            <w:tcW w:w="7001" w:type="dxa"/>
          </w:tcPr>
          <w:p>
            <w:pPr>
              <w:pStyle w:val="TableParagraph"/>
              <w:spacing w:before="15"/>
              <w:ind w:left="108"/>
              <w:rPr>
                <w:sz w:val="21"/>
              </w:rPr>
            </w:pPr>
            <w:r>
              <w:rPr>
                <w:spacing w:val="-12"/>
                <w:sz w:val="21"/>
              </w:rPr>
              <w:t>保险金给付限额时，本公司对于被保险人在法定传染病住院医疗保险金项下</w:t>
            </w:r>
          </w:p>
        </w:tc>
      </w:tr>
      <w:tr>
        <w:trPr>
          <w:trHeight w:val="468" w:hRule="atLeast"/>
        </w:trPr>
        <w:tc>
          <w:tcPr>
            <w:tcW w:w="2459" w:type="dxa"/>
            <w:gridSpan w:val="2"/>
            <w:vMerge/>
            <w:tcBorders>
              <w:top w:val="nil"/>
            </w:tcBorders>
          </w:tcPr>
          <w:p>
            <w:pPr>
              <w:rPr>
                <w:sz w:val="2"/>
                <w:szCs w:val="2"/>
              </w:rPr>
            </w:pPr>
          </w:p>
        </w:tc>
        <w:tc>
          <w:tcPr>
            <w:tcW w:w="7001" w:type="dxa"/>
          </w:tcPr>
          <w:p>
            <w:pPr>
              <w:pStyle w:val="TableParagraph"/>
              <w:spacing w:before="15"/>
              <w:ind w:left="108"/>
              <w:rPr>
                <w:sz w:val="21"/>
              </w:rPr>
            </w:pPr>
            <w:r>
              <w:rPr>
                <w:spacing w:val="-4"/>
                <w:sz w:val="21"/>
              </w:rPr>
              <w:t>的保险责任终止。</w:t>
            </w:r>
          </w:p>
        </w:tc>
      </w:tr>
      <w:tr>
        <w:trPr>
          <w:trHeight w:val="468" w:hRule="atLeast"/>
        </w:trPr>
        <w:tc>
          <w:tcPr>
            <w:tcW w:w="688" w:type="dxa"/>
          </w:tcPr>
          <w:p>
            <w:pPr>
              <w:pStyle w:val="TableParagraph"/>
              <w:spacing w:before="171"/>
              <w:ind w:left="50"/>
              <w:rPr>
                <w:b/>
                <w:sz w:val="21"/>
              </w:rPr>
            </w:pPr>
            <w:r>
              <w:rPr>
                <w:b/>
                <w:spacing w:val="-2"/>
                <w:sz w:val="21"/>
              </w:rPr>
              <w:t>2.3.2</w:t>
            </w:r>
          </w:p>
        </w:tc>
        <w:tc>
          <w:tcPr>
            <w:tcW w:w="1771" w:type="dxa"/>
          </w:tcPr>
          <w:p>
            <w:pPr>
              <w:pStyle w:val="TableParagraph"/>
              <w:spacing w:before="171"/>
              <w:ind w:left="110"/>
              <w:rPr>
                <w:b/>
                <w:sz w:val="21"/>
              </w:rPr>
            </w:pPr>
            <w:r>
              <w:rPr>
                <w:b/>
                <w:spacing w:val="8"/>
                <w:sz w:val="21"/>
              </w:rPr>
              <w:t>法定传染病住院</w:t>
            </w:r>
          </w:p>
        </w:tc>
        <w:tc>
          <w:tcPr>
            <w:tcW w:w="7001" w:type="dxa"/>
          </w:tcPr>
          <w:p>
            <w:pPr>
              <w:pStyle w:val="TableParagraph"/>
              <w:spacing w:before="171"/>
              <w:ind w:left="108"/>
              <w:rPr>
                <w:sz w:val="21"/>
              </w:rPr>
            </w:pPr>
            <w:r>
              <w:rPr>
                <w:spacing w:val="-1"/>
                <w:sz w:val="21"/>
              </w:rPr>
              <w:t>被保险人在其保险期间内在本公司指定或认可的医疗机构确诊初次发生本</w:t>
            </w:r>
          </w:p>
        </w:tc>
      </w:tr>
      <w:tr>
        <w:trPr>
          <w:trHeight w:val="312" w:hRule="atLeast"/>
        </w:trPr>
        <w:tc>
          <w:tcPr>
            <w:tcW w:w="688" w:type="dxa"/>
          </w:tcPr>
          <w:p>
            <w:pPr>
              <w:pStyle w:val="TableParagraph"/>
              <w:rPr>
                <w:rFonts w:ascii="Times New Roman"/>
                <w:sz w:val="18"/>
              </w:rPr>
            </w:pPr>
          </w:p>
        </w:tc>
        <w:tc>
          <w:tcPr>
            <w:tcW w:w="1771" w:type="dxa"/>
          </w:tcPr>
          <w:p>
            <w:pPr>
              <w:pStyle w:val="TableParagraph"/>
              <w:spacing w:before="15"/>
              <w:ind w:left="110"/>
              <w:rPr>
                <w:b/>
                <w:sz w:val="21"/>
              </w:rPr>
            </w:pPr>
            <w:r>
              <w:rPr>
                <w:b/>
                <w:spacing w:val="-2"/>
                <w:sz w:val="21"/>
              </w:rPr>
              <w:t>津贴保险金</w:t>
            </w:r>
          </w:p>
        </w:tc>
        <w:tc>
          <w:tcPr>
            <w:tcW w:w="7001" w:type="dxa"/>
          </w:tcPr>
          <w:p>
            <w:pPr>
              <w:pStyle w:val="TableParagraph"/>
              <w:spacing w:before="15"/>
              <w:ind w:left="108"/>
              <w:rPr>
                <w:sz w:val="21"/>
              </w:rPr>
            </w:pPr>
            <w:r>
              <w:rPr>
                <w:spacing w:val="-10"/>
                <w:sz w:val="21"/>
              </w:rPr>
              <w:t>合同所定义的法定传染病的，经本公司指定或认可的医疗机构诊断而必须住</w:t>
            </w:r>
          </w:p>
        </w:tc>
      </w:tr>
      <w:tr>
        <w:trPr>
          <w:trHeight w:val="312"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before="14"/>
              <w:ind w:left="108"/>
              <w:rPr>
                <w:sz w:val="21"/>
              </w:rPr>
            </w:pPr>
            <w:r>
              <w:rPr>
                <w:spacing w:val="-13"/>
                <w:sz w:val="21"/>
              </w:rPr>
              <w:t>院的，本公司将依据该被保险人的合理住院天数和本合同项下的法定传染病</w:t>
            </w:r>
          </w:p>
        </w:tc>
      </w:tr>
      <w:tr>
        <w:trPr>
          <w:trHeight w:val="312"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before="15"/>
              <w:ind w:left="108"/>
              <w:rPr>
                <w:sz w:val="21"/>
              </w:rPr>
            </w:pPr>
            <w:r>
              <w:rPr>
                <w:spacing w:val="-12"/>
                <w:sz w:val="21"/>
              </w:rPr>
              <w:t>住院日津贴额，按照约定方式，向该被保险人给付法定传染病住院津贴保险</w:t>
            </w:r>
          </w:p>
        </w:tc>
      </w:tr>
      <w:tr>
        <w:trPr>
          <w:trHeight w:val="386"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before="15"/>
              <w:ind w:left="108"/>
              <w:rPr>
                <w:sz w:val="21"/>
              </w:rPr>
            </w:pPr>
            <w:r>
              <w:rPr>
                <w:spacing w:val="-5"/>
                <w:sz w:val="21"/>
              </w:rPr>
              <w:t>金。</w:t>
            </w:r>
          </w:p>
        </w:tc>
      </w:tr>
      <w:tr>
        <w:trPr>
          <w:trHeight w:val="857"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line="278" w:lineRule="auto" w:before="96"/>
              <w:ind w:left="108" w:right="46"/>
              <w:rPr>
                <w:sz w:val="21"/>
              </w:rPr>
            </w:pPr>
            <w:r>
              <w:rPr>
                <w:spacing w:val="-2"/>
                <w:sz w:val="21"/>
              </w:rPr>
              <w:t>法定传染病住院津贴保险金</w:t>
            </w:r>
            <w:r>
              <w:rPr>
                <w:rFonts w:ascii="Times New Roman" w:hAnsi="Times New Roman" w:eastAsia="Times New Roman"/>
                <w:spacing w:val="-2"/>
                <w:sz w:val="21"/>
              </w:rPr>
              <w:t>=</w:t>
            </w:r>
            <w:r>
              <w:rPr>
                <w:spacing w:val="-2"/>
                <w:sz w:val="21"/>
              </w:rPr>
              <w:t>住院天数╳法定传染病住院日津贴额。其中，</w:t>
            </w:r>
            <w:r>
              <w:rPr>
                <w:spacing w:val="-1"/>
                <w:sz w:val="21"/>
              </w:rPr>
              <w:t>本合同法定传染病住院津贴保险金的累计给付天数最高以 </w:t>
            </w:r>
            <w:r>
              <w:rPr>
                <w:rFonts w:ascii="Times New Roman" w:hAnsi="Times New Roman" w:eastAsia="Times New Roman"/>
                <w:sz w:val="21"/>
              </w:rPr>
              <w:t>90 </w:t>
            </w:r>
            <w:r>
              <w:rPr>
                <w:sz w:val="21"/>
              </w:rPr>
              <w:t>日为限。</w:t>
            </w:r>
          </w:p>
        </w:tc>
      </w:tr>
      <w:tr>
        <w:trPr>
          <w:trHeight w:val="471" w:hRule="atLeast"/>
        </w:trPr>
        <w:tc>
          <w:tcPr>
            <w:tcW w:w="688" w:type="dxa"/>
          </w:tcPr>
          <w:p>
            <w:pPr>
              <w:pStyle w:val="TableParagraph"/>
              <w:spacing w:before="174"/>
              <w:ind w:left="50"/>
              <w:rPr>
                <w:b/>
                <w:sz w:val="21"/>
              </w:rPr>
            </w:pPr>
            <w:r>
              <w:rPr>
                <w:b/>
                <w:spacing w:val="-2"/>
                <w:sz w:val="21"/>
              </w:rPr>
              <w:t>2.3.3</w:t>
            </w:r>
          </w:p>
        </w:tc>
        <w:tc>
          <w:tcPr>
            <w:tcW w:w="1771" w:type="dxa"/>
          </w:tcPr>
          <w:p>
            <w:pPr>
              <w:pStyle w:val="TableParagraph"/>
              <w:spacing w:before="174"/>
              <w:ind w:left="110"/>
              <w:rPr>
                <w:b/>
                <w:sz w:val="21"/>
              </w:rPr>
            </w:pPr>
            <w:r>
              <w:rPr>
                <w:b/>
                <w:spacing w:val="8"/>
                <w:sz w:val="21"/>
              </w:rPr>
              <w:t>法定传染病隔离</w:t>
            </w:r>
          </w:p>
        </w:tc>
        <w:tc>
          <w:tcPr>
            <w:tcW w:w="7001" w:type="dxa"/>
          </w:tcPr>
          <w:p>
            <w:pPr>
              <w:pStyle w:val="TableParagraph"/>
              <w:spacing w:before="164"/>
              <w:ind w:left="108"/>
              <w:rPr>
                <w:sz w:val="21"/>
              </w:rPr>
            </w:pPr>
            <w:r>
              <w:rPr>
                <w:spacing w:val="-2"/>
                <w:sz w:val="21"/>
              </w:rPr>
              <w:t>被保险人在保险期间根据国家相关防疫办法</w:t>
            </w:r>
            <w:r>
              <w:rPr>
                <w:color w:val="333333"/>
                <w:spacing w:val="-2"/>
                <w:sz w:val="21"/>
              </w:rPr>
              <w:t>实施</w:t>
            </w:r>
            <w:r>
              <w:rPr>
                <w:b/>
                <w:color w:val="333333"/>
                <w:spacing w:val="-2"/>
                <w:sz w:val="21"/>
              </w:rPr>
              <w:t>门急诊留观</w:t>
            </w:r>
            <w:r>
              <w:rPr>
                <w:spacing w:val="-2"/>
                <w:position w:val="11"/>
                <w:sz w:val="11"/>
              </w:rPr>
              <w:t>20</w:t>
            </w:r>
            <w:r>
              <w:rPr>
                <w:color w:val="333333"/>
                <w:spacing w:val="-44"/>
                <w:sz w:val="21"/>
              </w:rPr>
              <w:t>、集中隔离</w:t>
            </w:r>
            <w:r>
              <w:rPr>
                <w:color w:val="333333"/>
                <w:spacing w:val="-2"/>
                <w:sz w:val="21"/>
              </w:rPr>
              <w:t>（</w:t>
            </w:r>
            <w:r>
              <w:rPr>
                <w:color w:val="333333"/>
                <w:spacing w:val="-10"/>
                <w:sz w:val="21"/>
              </w:rPr>
              <w:t>不</w:t>
            </w:r>
          </w:p>
        </w:tc>
      </w:tr>
      <w:tr>
        <w:trPr>
          <w:trHeight w:val="312" w:hRule="atLeast"/>
        </w:trPr>
        <w:tc>
          <w:tcPr>
            <w:tcW w:w="688" w:type="dxa"/>
          </w:tcPr>
          <w:p>
            <w:pPr>
              <w:pStyle w:val="TableParagraph"/>
              <w:rPr>
                <w:rFonts w:ascii="Times New Roman"/>
                <w:sz w:val="18"/>
              </w:rPr>
            </w:pPr>
          </w:p>
        </w:tc>
        <w:tc>
          <w:tcPr>
            <w:tcW w:w="1771" w:type="dxa"/>
          </w:tcPr>
          <w:p>
            <w:pPr>
              <w:pStyle w:val="TableParagraph"/>
              <w:spacing w:before="14"/>
              <w:ind w:left="110"/>
              <w:rPr>
                <w:b/>
                <w:sz w:val="21"/>
              </w:rPr>
            </w:pPr>
            <w:r>
              <w:rPr>
                <w:b/>
                <w:spacing w:val="-2"/>
                <w:sz w:val="21"/>
              </w:rPr>
              <w:t>津贴保险金</w:t>
            </w:r>
          </w:p>
        </w:tc>
        <w:tc>
          <w:tcPr>
            <w:tcW w:w="7001" w:type="dxa"/>
          </w:tcPr>
          <w:p>
            <w:pPr>
              <w:pStyle w:val="TableParagraph"/>
              <w:spacing w:before="14"/>
              <w:ind w:left="108"/>
              <w:rPr>
                <w:sz w:val="21"/>
              </w:rPr>
            </w:pPr>
            <w:r>
              <w:rPr>
                <w:color w:val="333333"/>
                <w:spacing w:val="-4"/>
                <w:sz w:val="21"/>
              </w:rPr>
              <w:t>包括居家隔离</w:t>
            </w:r>
            <w:r>
              <w:rPr>
                <w:color w:val="333333"/>
                <w:spacing w:val="-51"/>
                <w:sz w:val="21"/>
              </w:rPr>
              <w:t>）</w:t>
            </w:r>
            <w:r>
              <w:rPr>
                <w:color w:val="333333"/>
                <w:spacing w:val="-4"/>
                <w:sz w:val="21"/>
              </w:rPr>
              <w:t>措施的</w:t>
            </w:r>
            <w:r>
              <w:rPr>
                <w:spacing w:val="-5"/>
                <w:sz w:val="21"/>
              </w:rPr>
              <w:t>，本公司将依据其按规定的门急诊留观或集中隔离天</w:t>
            </w:r>
          </w:p>
        </w:tc>
      </w:tr>
      <w:tr>
        <w:trPr>
          <w:trHeight w:val="312"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before="15"/>
              <w:ind w:left="108"/>
              <w:rPr>
                <w:sz w:val="21"/>
              </w:rPr>
            </w:pPr>
            <w:r>
              <w:rPr>
                <w:spacing w:val="-7"/>
                <w:sz w:val="21"/>
              </w:rPr>
              <w:t>数和本合同项下的法定传染病隔离津贴额，按照约定方式，向该被保险人给</w:t>
            </w:r>
          </w:p>
        </w:tc>
      </w:tr>
      <w:tr>
        <w:trPr>
          <w:trHeight w:val="378"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before="14"/>
              <w:ind w:left="108"/>
              <w:rPr>
                <w:sz w:val="21"/>
              </w:rPr>
            </w:pPr>
            <w:r>
              <w:rPr>
                <w:spacing w:val="-3"/>
                <w:sz w:val="21"/>
              </w:rPr>
              <w:t>付法定传染病隔离津贴保险金。</w:t>
            </w:r>
          </w:p>
        </w:tc>
      </w:tr>
      <w:tr>
        <w:trPr>
          <w:trHeight w:val="401"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before="94"/>
              <w:ind w:left="108"/>
              <w:rPr>
                <w:sz w:val="21"/>
              </w:rPr>
            </w:pPr>
            <w:r>
              <w:rPr>
                <w:spacing w:val="-2"/>
                <w:sz w:val="21"/>
              </w:rPr>
              <w:t>如在被保险人实施集中隔离措施的同时，其配偶与</w:t>
            </w:r>
            <w:r>
              <w:rPr>
                <w:b/>
                <w:spacing w:val="-2"/>
                <w:sz w:val="21"/>
              </w:rPr>
              <w:t>直系血亲</w:t>
            </w:r>
            <w:r>
              <w:rPr>
                <w:spacing w:val="-2"/>
                <w:position w:val="11"/>
                <w:sz w:val="11"/>
              </w:rPr>
              <w:t>21</w:t>
            </w:r>
            <w:r>
              <w:rPr>
                <w:spacing w:val="-4"/>
                <w:sz w:val="21"/>
              </w:rPr>
              <w:t>也必须共同实</w:t>
            </w:r>
          </w:p>
        </w:tc>
      </w:tr>
      <w:tr>
        <w:trPr>
          <w:trHeight w:val="312"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before="14"/>
              <w:ind w:left="108"/>
              <w:rPr>
                <w:sz w:val="21"/>
              </w:rPr>
            </w:pPr>
            <w:r>
              <w:rPr>
                <w:spacing w:val="-12"/>
                <w:sz w:val="21"/>
              </w:rPr>
              <w:t>施集中隔离措施的，本公司以被保险人在内的共同实施集中隔离措施人数为</w:t>
            </w:r>
          </w:p>
        </w:tc>
      </w:tr>
      <w:tr>
        <w:trPr>
          <w:trHeight w:val="386"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before="15"/>
              <w:ind w:left="108"/>
              <w:rPr>
                <w:sz w:val="21"/>
              </w:rPr>
            </w:pPr>
            <w:r>
              <w:rPr>
                <w:spacing w:val="-3"/>
                <w:sz w:val="21"/>
              </w:rPr>
              <w:t>法定传染病隔离津贴额的给付份数。</w:t>
            </w:r>
          </w:p>
        </w:tc>
      </w:tr>
      <w:tr>
        <w:trPr>
          <w:trHeight w:val="654" w:hRule="atLeast"/>
        </w:trPr>
        <w:tc>
          <w:tcPr>
            <w:tcW w:w="688" w:type="dxa"/>
          </w:tcPr>
          <w:p>
            <w:pPr>
              <w:pStyle w:val="TableParagraph"/>
              <w:rPr>
                <w:rFonts w:ascii="Times New Roman"/>
                <w:sz w:val="18"/>
              </w:rPr>
            </w:pPr>
          </w:p>
        </w:tc>
        <w:tc>
          <w:tcPr>
            <w:tcW w:w="1771" w:type="dxa"/>
          </w:tcPr>
          <w:p>
            <w:pPr>
              <w:pStyle w:val="TableParagraph"/>
              <w:rPr>
                <w:rFonts w:ascii="Times New Roman"/>
                <w:sz w:val="18"/>
              </w:rPr>
            </w:pPr>
          </w:p>
        </w:tc>
        <w:tc>
          <w:tcPr>
            <w:tcW w:w="7001" w:type="dxa"/>
          </w:tcPr>
          <w:p>
            <w:pPr>
              <w:pStyle w:val="TableParagraph"/>
              <w:spacing w:line="310" w:lineRule="atLeast" w:before="35"/>
              <w:ind w:left="108" w:right="49"/>
              <w:rPr>
                <w:sz w:val="21"/>
              </w:rPr>
            </w:pPr>
            <w:r>
              <w:rPr>
                <w:spacing w:val="4"/>
                <w:w w:val="100"/>
                <w:sz w:val="21"/>
              </w:rPr>
              <w:t>法定传染病隔离津贴保险金</w:t>
            </w:r>
            <w:r>
              <w:rPr>
                <w:rFonts w:ascii="Times New Roman" w:hAnsi="Times New Roman" w:eastAsia="Times New Roman"/>
                <w:spacing w:val="8"/>
                <w:w w:val="100"/>
                <w:sz w:val="21"/>
              </w:rPr>
              <w:t>=</w:t>
            </w:r>
            <w:r>
              <w:rPr>
                <w:spacing w:val="3"/>
                <w:w w:val="100"/>
                <w:sz w:val="21"/>
              </w:rPr>
              <w:t>隔离天数╳法定传染病隔离津贴额╳给付份</w:t>
            </w:r>
            <w:r>
              <w:rPr>
                <w:spacing w:val="-11"/>
                <w:w w:val="100"/>
                <w:sz w:val="21"/>
              </w:rPr>
              <w:t>数。其中给付份数最低为一份，最高为三份。本合同法定传染病隔离津贴保</w:t>
            </w:r>
          </w:p>
        </w:tc>
      </w:tr>
    </w:tbl>
    <w:p>
      <w:pPr>
        <w:pStyle w:val="BodyText"/>
        <w:rPr>
          <w:rFonts w:ascii="楷体"/>
          <w:sz w:val="20"/>
        </w:rPr>
      </w:pPr>
    </w:p>
    <w:p>
      <w:pPr>
        <w:pStyle w:val="BodyText"/>
        <w:spacing w:before="1"/>
        <w:rPr>
          <w:rFonts w:ascii="楷体"/>
          <w:sz w:val="17"/>
        </w:rPr>
      </w:pPr>
      <w:r>
        <w:rPr/>
        <w:drawing>
          <wp:anchor distT="0" distB="0" distL="0" distR="0" allowOverlap="1" layoutInCell="1" locked="0" behindDoc="0" simplePos="0" relativeHeight="6">
            <wp:simplePos x="0" y="0"/>
            <wp:positionH relativeFrom="page">
              <wp:posOffset>685800</wp:posOffset>
            </wp:positionH>
            <wp:positionV relativeFrom="paragraph">
              <wp:posOffset>154654</wp:posOffset>
            </wp:positionV>
            <wp:extent cx="1829511" cy="6095"/>
            <wp:effectExtent l="0" t="0" r="0" b="0"/>
            <wp:wrapTopAndBottom/>
            <wp:docPr id="15" name="image6.png"/>
            <wp:cNvGraphicFramePr>
              <a:graphicFrameLocks noChangeAspect="1"/>
            </wp:cNvGraphicFramePr>
            <a:graphic>
              <a:graphicData uri="http://schemas.openxmlformats.org/drawingml/2006/picture">
                <pic:pic>
                  <pic:nvPicPr>
                    <pic:cNvPr id="16"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line="242" w:lineRule="auto" w:before="91"/>
        <w:ind w:left="160" w:right="196" w:firstLine="0"/>
        <w:jc w:val="left"/>
        <w:rPr>
          <w:rFonts w:ascii="楷体" w:eastAsia="楷体"/>
          <w:sz w:val="18"/>
        </w:rPr>
      </w:pPr>
      <w:r>
        <w:rPr>
          <w:rFonts w:ascii="楷体" w:eastAsia="楷体"/>
          <w:position w:val="9"/>
          <w:sz w:val="9"/>
        </w:rPr>
        <w:t>16</w:t>
      </w:r>
      <w:r>
        <w:rPr>
          <w:rFonts w:ascii="楷体" w:eastAsia="楷体"/>
          <w:spacing w:val="15"/>
          <w:position w:val="9"/>
          <w:sz w:val="9"/>
        </w:rPr>
        <w:t> </w:t>
      </w:r>
      <w:r>
        <w:rPr>
          <w:rFonts w:ascii="楷体" w:eastAsia="楷体" w:hint="eastAsia"/>
          <w:b/>
          <w:sz w:val="18"/>
        </w:rPr>
        <w:t>陪</w:t>
      </w:r>
      <w:r>
        <w:rPr>
          <w:rFonts w:ascii="楷体" w:eastAsia="楷体" w:hint="eastAsia"/>
          <w:b/>
          <w:sz w:val="18"/>
        </w:rPr>
        <w:t>床</w:t>
      </w:r>
      <w:r>
        <w:rPr>
          <w:rFonts w:ascii="楷体" w:eastAsia="楷体" w:hint="eastAsia"/>
          <w:b/>
          <w:sz w:val="18"/>
        </w:rPr>
        <w:t>费</w:t>
      </w:r>
      <w:r>
        <w:rPr>
          <w:rFonts w:ascii="楷体" w:eastAsia="楷体" w:hint="eastAsia"/>
          <w:b/>
          <w:sz w:val="18"/>
        </w:rPr>
        <w:t>：</w:t>
      </w:r>
      <w:r>
        <w:rPr>
          <w:rFonts w:ascii="楷体" w:eastAsia="楷体"/>
          <w:spacing w:val="-15"/>
          <w:sz w:val="18"/>
        </w:rPr>
        <w:t>未满 </w:t>
      </w:r>
      <w:r>
        <w:rPr>
          <w:rFonts w:ascii="楷体" w:eastAsia="楷体"/>
          <w:sz w:val="18"/>
        </w:rPr>
        <w:t>18</w:t>
      </w:r>
      <w:r>
        <w:rPr>
          <w:rFonts w:ascii="楷体" w:eastAsia="楷体"/>
          <w:spacing w:val="-7"/>
          <w:sz w:val="18"/>
        </w:rPr>
        <w:t> 周岁被保险人住院期间其父亲或母亲</w:t>
      </w:r>
      <w:r>
        <w:rPr>
          <w:rFonts w:ascii="楷体" w:eastAsia="楷体"/>
          <w:sz w:val="18"/>
        </w:rPr>
        <w:t>（限一名）</w:t>
      </w:r>
      <w:r>
        <w:rPr>
          <w:rFonts w:ascii="楷体" w:eastAsia="楷体"/>
          <w:spacing w:val="-3"/>
          <w:sz w:val="18"/>
        </w:rPr>
        <w:t>或被保险人住院期间其出生未满 </w:t>
      </w:r>
      <w:r>
        <w:rPr>
          <w:rFonts w:ascii="楷体" w:eastAsia="楷体"/>
          <w:sz w:val="18"/>
        </w:rPr>
        <w:t>16</w:t>
      </w:r>
      <w:r>
        <w:rPr>
          <w:rFonts w:ascii="楷体" w:eastAsia="楷体"/>
          <w:spacing w:val="-7"/>
          <w:sz w:val="18"/>
        </w:rPr>
        <w:t> 周的新生儿陪同住院</w:t>
      </w:r>
      <w:r>
        <w:rPr>
          <w:rFonts w:ascii="楷体" w:eastAsia="楷体"/>
          <w:spacing w:val="-2"/>
          <w:sz w:val="18"/>
        </w:rPr>
        <w:t>加床费以及医疗机构提供的膳食费。</w:t>
      </w:r>
    </w:p>
    <w:p>
      <w:pPr>
        <w:spacing w:line="242" w:lineRule="auto" w:before="2"/>
        <w:ind w:left="160" w:right="194" w:firstLine="0"/>
        <w:jc w:val="left"/>
        <w:rPr>
          <w:rFonts w:ascii="楷体" w:eastAsia="楷体"/>
          <w:sz w:val="18"/>
        </w:rPr>
      </w:pPr>
      <w:r>
        <w:rPr>
          <w:rFonts w:ascii="楷体" w:eastAsia="楷体"/>
          <w:position w:val="9"/>
          <w:sz w:val="9"/>
        </w:rPr>
        <w:t>17</w:t>
      </w:r>
      <w:r>
        <w:rPr>
          <w:rFonts w:ascii="楷体" w:eastAsia="楷体"/>
          <w:spacing w:val="37"/>
          <w:position w:val="9"/>
          <w:sz w:val="9"/>
        </w:rPr>
        <w:t> </w:t>
      </w:r>
      <w:r>
        <w:rPr>
          <w:rFonts w:ascii="楷体" w:eastAsia="楷体" w:hint="eastAsia"/>
          <w:b/>
          <w:sz w:val="18"/>
        </w:rPr>
        <w:t>药品</w:t>
      </w:r>
      <w:r>
        <w:rPr>
          <w:rFonts w:ascii="楷体" w:eastAsia="楷体" w:hint="eastAsia"/>
          <w:b/>
          <w:sz w:val="18"/>
        </w:rPr>
        <w:t>费</w:t>
      </w:r>
      <w:r>
        <w:rPr>
          <w:rFonts w:ascii="楷体" w:eastAsia="楷体" w:hint="eastAsia"/>
          <w:b/>
          <w:sz w:val="18"/>
        </w:rPr>
        <w:t>：</w:t>
      </w:r>
      <w:r>
        <w:rPr>
          <w:rFonts w:ascii="楷体" w:eastAsia="楷体"/>
          <w:sz w:val="18"/>
        </w:rPr>
        <w:t>指实际发生的合理且必要的、由医生开具的、具有国家药品监督管理部门核发的药品批准文号或者进口药品注册证书、医药产品注册证书的国产或进口药品的费用。</w:t>
      </w:r>
      <w:r>
        <w:rPr>
          <w:rFonts w:ascii="楷体" w:eastAsia="楷体"/>
          <w:color w:val="000000"/>
          <w:spacing w:val="-1"/>
          <w:sz w:val="18"/>
          <w:shd w:fill="E4E4E4" w:color="auto" w:val="clear"/>
        </w:rPr>
        <w:t>但不包括营养补充类药品、免疫功能调节类药品、美容及减肥类药品，</w:t>
      </w:r>
    </w:p>
    <w:p>
      <w:pPr>
        <w:pStyle w:val="BodyText"/>
        <w:ind w:left="160"/>
        <w:rPr>
          <w:rFonts w:ascii="楷体"/>
          <w:sz w:val="20"/>
        </w:rPr>
      </w:pPr>
      <w:r>
        <w:rPr>
          <w:rFonts w:ascii="楷体"/>
          <w:sz w:val="20"/>
        </w:rPr>
        <w:pict>
          <v:shape style="width:487.45pt;height:46.75pt;mso-position-horizontal-relative:char;mso-position-vertical-relative:line" type="#_x0000_t202" id="docshape3" filled="true" fillcolor="#e4e4e4" stroked="false">
            <w10:anchorlock/>
            <v:textbox inset="0,0,0,0">
              <w:txbxContent>
                <w:p>
                  <w:pPr>
                    <w:spacing w:line="242" w:lineRule="auto" w:before="0"/>
                    <w:ind w:left="0" w:right="0" w:firstLine="0"/>
                    <w:jc w:val="both"/>
                    <w:rPr>
                      <w:rFonts w:ascii="楷体" w:eastAsia="楷体"/>
                      <w:color w:val="000000"/>
                      <w:sz w:val="18"/>
                    </w:rPr>
                  </w:pPr>
                  <w:r>
                    <w:rPr>
                      <w:rFonts w:ascii="楷体" w:eastAsia="楷体"/>
                      <w:color w:val="000000"/>
                      <w:spacing w:val="-2"/>
                      <w:sz w:val="18"/>
                    </w:rPr>
                    <w:t>预防类药品、非医院药房购买的药品以及下列中药类药品：（1）主要起营养滋补作用的单方、复方中药或中成药品，如花旗</w:t>
                  </w:r>
                  <w:r>
                    <w:rPr>
                      <w:rFonts w:ascii="楷体" w:eastAsia="楷体"/>
                      <w:color w:val="000000"/>
                      <w:spacing w:val="-10"/>
                      <w:sz w:val="18"/>
                    </w:rPr>
                    <w:t>参，冬虫草，白糖参，朝鲜红参，玳瑁，蛤蚧，珊瑚，狗宝，红参，琥珀，灵芝，羚羊角尖粉，马宝，玛瑙，牛黄，麝香，西红花</w:t>
                  </w:r>
                  <w:r>
                    <w:rPr>
                      <w:rFonts w:ascii="楷体" w:eastAsia="楷体"/>
                      <w:color w:val="000000"/>
                      <w:spacing w:val="-8"/>
                      <w:sz w:val="18"/>
                    </w:rPr>
                    <w:t>，血竭，燕窝，野山参，移山参，珍珠（粉），紫河车，阿胶，阿胶珠，血宝胶囊，红桃 K 口服液，十全大补丸，十全大补膏等</w:t>
                  </w:r>
                  <w:r>
                    <w:rPr>
                      <w:rFonts w:ascii="楷体" w:eastAsia="楷体"/>
                      <w:color w:val="000000"/>
                      <w:spacing w:val="-4"/>
                      <w:sz w:val="18"/>
                    </w:rPr>
                    <w:t>；（2）</w:t>
                  </w:r>
                  <w:r>
                    <w:rPr>
                      <w:rFonts w:ascii="楷体" w:eastAsia="楷体"/>
                      <w:color w:val="000000"/>
                      <w:spacing w:val="-7"/>
                      <w:sz w:val="18"/>
                    </w:rPr>
                    <w:t>部分可以入药的动物及动物脏器，如鹿茸，海马，胎盘，鞭，尾，筋，骨等；</w:t>
                  </w:r>
                  <w:r>
                    <w:rPr>
                      <w:rFonts w:ascii="楷体" w:eastAsia="楷体"/>
                      <w:color w:val="000000"/>
                      <w:spacing w:val="25"/>
                      <w:sz w:val="18"/>
                    </w:rPr>
                    <w:t>（</w:t>
                  </w:r>
                  <w:r>
                    <w:rPr>
                      <w:rFonts w:ascii="楷体" w:eastAsia="楷体"/>
                      <w:color w:val="000000"/>
                      <w:spacing w:val="26"/>
                      <w:sz w:val="18"/>
                    </w:rPr>
                    <w:t>3</w:t>
                  </w:r>
                  <w:r>
                    <w:rPr>
                      <w:rFonts w:ascii="楷体" w:eastAsia="楷体"/>
                      <w:color w:val="000000"/>
                      <w:spacing w:val="10"/>
                      <w:sz w:val="18"/>
                    </w:rPr>
                    <w:t>）</w:t>
                  </w:r>
                  <w:r>
                    <w:rPr>
                      <w:rFonts w:ascii="楷体" w:eastAsia="楷体"/>
                      <w:color w:val="000000"/>
                      <w:spacing w:val="-4"/>
                      <w:sz w:val="18"/>
                    </w:rPr>
                    <w:t>用中药材和中药饮片炮制的各</w:t>
                  </w:r>
                </w:p>
              </w:txbxContent>
            </v:textbox>
            <v:fill type="solid"/>
          </v:shape>
        </w:pict>
      </w:r>
      <w:r>
        <w:rPr>
          <w:rFonts w:ascii="楷体"/>
          <w:sz w:val="20"/>
        </w:rPr>
      </w:r>
    </w:p>
    <w:p>
      <w:pPr>
        <w:spacing w:line="205" w:lineRule="exact" w:before="0"/>
        <w:ind w:left="160" w:right="0" w:firstLine="0"/>
        <w:jc w:val="left"/>
        <w:rPr>
          <w:rFonts w:ascii="楷体" w:eastAsia="楷体"/>
          <w:sz w:val="18"/>
        </w:rPr>
      </w:pPr>
      <w:r>
        <w:rPr>
          <w:rFonts w:ascii="楷体" w:eastAsia="楷体"/>
          <w:color w:val="000000"/>
          <w:spacing w:val="-2"/>
          <w:sz w:val="18"/>
          <w:shd w:fill="E4E4E4" w:color="auto" w:val="clear"/>
        </w:rPr>
        <w:t>类酒制剂等。</w:t>
      </w:r>
    </w:p>
    <w:p>
      <w:pPr>
        <w:spacing w:line="242" w:lineRule="auto" w:before="4"/>
        <w:ind w:left="160" w:right="197" w:firstLine="0"/>
        <w:jc w:val="left"/>
        <w:rPr>
          <w:rFonts w:ascii="楷体" w:eastAsia="楷体"/>
          <w:sz w:val="18"/>
        </w:rPr>
      </w:pPr>
      <w:r>
        <w:rPr>
          <w:rFonts w:ascii="楷体" w:eastAsia="楷体"/>
          <w:position w:val="9"/>
          <w:sz w:val="9"/>
        </w:rPr>
        <w:t>18</w:t>
      </w:r>
      <w:r>
        <w:rPr>
          <w:rFonts w:ascii="楷体" w:eastAsia="楷体"/>
          <w:spacing w:val="34"/>
          <w:position w:val="9"/>
          <w:sz w:val="9"/>
        </w:rPr>
        <w:t> </w:t>
      </w:r>
      <w:r>
        <w:rPr>
          <w:rFonts w:ascii="楷体" w:eastAsia="楷体" w:hint="eastAsia"/>
          <w:b/>
          <w:sz w:val="18"/>
        </w:rPr>
        <w:t>手术</w:t>
      </w:r>
      <w:r>
        <w:rPr>
          <w:rFonts w:ascii="楷体" w:eastAsia="楷体" w:hint="eastAsia"/>
          <w:b/>
          <w:sz w:val="18"/>
        </w:rPr>
        <w:t>费</w:t>
      </w:r>
      <w:r>
        <w:rPr>
          <w:rFonts w:ascii="楷体" w:eastAsia="楷体" w:hint="eastAsia"/>
          <w:b/>
          <w:sz w:val="18"/>
        </w:rPr>
        <w:t>：</w:t>
      </w:r>
      <w:r>
        <w:rPr>
          <w:rFonts w:ascii="楷体" w:eastAsia="楷体"/>
          <w:sz w:val="18"/>
        </w:rPr>
        <w:t>指当地卫生行政部门规定的手术项目的费用。包括手术室费、麻醉费、手术监测费、手术材料费、术中用药费、</w:t>
      </w:r>
      <w:r>
        <w:rPr>
          <w:rFonts w:ascii="楷体" w:eastAsia="楷体"/>
          <w:spacing w:val="-2"/>
          <w:sz w:val="18"/>
        </w:rPr>
        <w:t>手术设备费；若因器官移植而发生的手术费用，</w:t>
      </w:r>
      <w:r>
        <w:rPr>
          <w:rFonts w:ascii="楷体" w:eastAsia="楷体"/>
          <w:color w:val="000000"/>
          <w:spacing w:val="-2"/>
          <w:sz w:val="18"/>
          <w:shd w:fill="E4E4E4" w:color="auto" w:val="clear"/>
        </w:rPr>
        <w:t>不包括器官本身的费用和获取器官过程中的费用。</w:t>
      </w:r>
    </w:p>
    <w:p>
      <w:pPr>
        <w:spacing w:line="230" w:lineRule="exact" w:before="0"/>
        <w:ind w:left="160" w:right="0" w:firstLine="0"/>
        <w:jc w:val="left"/>
        <w:rPr>
          <w:rFonts w:ascii="楷体" w:eastAsia="楷体"/>
          <w:sz w:val="18"/>
        </w:rPr>
      </w:pPr>
      <w:r>
        <w:rPr>
          <w:rFonts w:ascii="楷体" w:eastAsia="楷体"/>
          <w:position w:val="9"/>
          <w:sz w:val="9"/>
        </w:rPr>
        <w:t>19</w:t>
      </w:r>
      <w:r>
        <w:rPr>
          <w:rFonts w:ascii="楷体" w:eastAsia="楷体"/>
          <w:spacing w:val="37"/>
          <w:position w:val="9"/>
          <w:sz w:val="9"/>
        </w:rPr>
        <w:t> </w:t>
      </w:r>
      <w:r>
        <w:rPr>
          <w:rFonts w:ascii="楷体" w:eastAsia="楷体" w:hint="eastAsia"/>
          <w:b/>
          <w:sz w:val="18"/>
        </w:rPr>
        <w:t>救</w:t>
      </w:r>
      <w:r>
        <w:rPr>
          <w:rFonts w:ascii="楷体" w:eastAsia="楷体" w:hint="eastAsia"/>
          <w:b/>
          <w:sz w:val="18"/>
        </w:rPr>
        <w:t>护</w:t>
      </w:r>
      <w:r>
        <w:rPr>
          <w:rFonts w:ascii="楷体" w:eastAsia="楷体" w:hint="eastAsia"/>
          <w:b/>
          <w:sz w:val="18"/>
        </w:rPr>
        <w:t>车</w:t>
      </w:r>
      <w:r>
        <w:rPr>
          <w:rFonts w:ascii="楷体" w:eastAsia="楷体" w:hint="eastAsia"/>
          <w:b/>
          <w:sz w:val="18"/>
        </w:rPr>
        <w:t>使</w:t>
      </w:r>
      <w:r>
        <w:rPr>
          <w:rFonts w:ascii="楷体" w:eastAsia="楷体" w:hint="eastAsia"/>
          <w:b/>
          <w:sz w:val="18"/>
        </w:rPr>
        <w:t>用</w:t>
      </w:r>
      <w:r>
        <w:rPr>
          <w:rFonts w:ascii="楷体" w:eastAsia="楷体" w:hint="eastAsia"/>
          <w:b/>
          <w:sz w:val="18"/>
        </w:rPr>
        <w:t>费</w:t>
      </w:r>
      <w:r>
        <w:rPr>
          <w:rFonts w:ascii="楷体" w:eastAsia="楷体" w:hint="eastAsia"/>
          <w:b/>
          <w:sz w:val="18"/>
        </w:rPr>
        <w:t>：</w:t>
      </w:r>
      <w:r>
        <w:rPr>
          <w:rFonts w:ascii="楷体" w:eastAsia="楷体"/>
          <w:spacing w:val="-1"/>
          <w:sz w:val="18"/>
        </w:rPr>
        <w:t>住院前或住院期间转诊时发生的同城急救车费。</w:t>
      </w:r>
    </w:p>
    <w:p>
      <w:pPr>
        <w:spacing w:before="2"/>
        <w:ind w:left="160" w:right="0" w:firstLine="0"/>
        <w:jc w:val="left"/>
        <w:rPr>
          <w:rFonts w:ascii="楷体" w:eastAsia="楷体"/>
          <w:sz w:val="18"/>
        </w:rPr>
      </w:pPr>
      <w:r>
        <w:rPr>
          <w:position w:val="9"/>
          <w:sz w:val="9"/>
        </w:rPr>
        <w:t>20</w:t>
      </w:r>
      <w:r>
        <w:rPr>
          <w:spacing w:val="37"/>
          <w:position w:val="9"/>
          <w:sz w:val="9"/>
        </w:rPr>
        <w:t> </w:t>
      </w:r>
      <w:r>
        <w:rPr>
          <w:rFonts w:ascii="楷体" w:eastAsia="楷体" w:hint="eastAsia"/>
          <w:b/>
          <w:sz w:val="18"/>
        </w:rPr>
        <w:t>门</w:t>
      </w:r>
      <w:r>
        <w:rPr>
          <w:rFonts w:ascii="楷体" w:eastAsia="楷体" w:hint="eastAsia"/>
          <w:b/>
          <w:sz w:val="18"/>
        </w:rPr>
        <w:t>急</w:t>
      </w:r>
      <w:r>
        <w:rPr>
          <w:rFonts w:ascii="楷体" w:eastAsia="楷体" w:hint="eastAsia"/>
          <w:b/>
          <w:sz w:val="18"/>
        </w:rPr>
        <w:t>诊</w:t>
      </w:r>
      <w:r>
        <w:rPr>
          <w:rFonts w:ascii="楷体" w:eastAsia="楷体" w:hint="eastAsia"/>
          <w:b/>
          <w:sz w:val="18"/>
        </w:rPr>
        <w:t>留</w:t>
      </w:r>
      <w:r>
        <w:rPr>
          <w:rFonts w:ascii="楷体" w:eastAsia="楷体" w:hint="eastAsia"/>
          <w:b/>
          <w:sz w:val="18"/>
        </w:rPr>
        <w:t>观</w:t>
      </w:r>
      <w:r>
        <w:rPr>
          <w:rFonts w:ascii="楷体" w:eastAsia="楷体" w:hint="eastAsia"/>
          <w:b/>
          <w:sz w:val="18"/>
        </w:rPr>
        <w:t>：</w:t>
      </w:r>
      <w:r>
        <w:rPr>
          <w:rFonts w:ascii="楷体" w:eastAsia="楷体"/>
          <w:spacing w:val="-1"/>
          <w:sz w:val="18"/>
        </w:rPr>
        <w:t>指不符合住院条件，但临床医生根据病情评估，尚需安排患者在急诊观察室进行观察、治疗的医疗行为。</w:t>
      </w:r>
    </w:p>
    <w:p>
      <w:pPr>
        <w:spacing w:before="5"/>
        <w:ind w:left="160" w:right="0" w:firstLine="0"/>
        <w:jc w:val="left"/>
        <w:rPr>
          <w:rFonts w:ascii="楷体" w:eastAsia="楷体"/>
          <w:sz w:val="18"/>
        </w:rPr>
      </w:pPr>
      <w:r>
        <w:rPr>
          <w:position w:val="9"/>
          <w:sz w:val="9"/>
        </w:rPr>
        <w:t>21</w:t>
      </w:r>
      <w:r>
        <w:rPr>
          <w:spacing w:val="39"/>
          <w:position w:val="9"/>
          <w:sz w:val="9"/>
        </w:rPr>
        <w:t> </w:t>
      </w:r>
      <w:r>
        <w:rPr>
          <w:rFonts w:ascii="楷体" w:eastAsia="楷体" w:hint="eastAsia"/>
          <w:b/>
          <w:sz w:val="18"/>
        </w:rPr>
        <w:t>直</w:t>
      </w:r>
      <w:r>
        <w:rPr>
          <w:rFonts w:ascii="楷体" w:eastAsia="楷体" w:hint="eastAsia"/>
          <w:b/>
          <w:sz w:val="18"/>
        </w:rPr>
        <w:t>系</w:t>
      </w:r>
      <w:r>
        <w:rPr>
          <w:rFonts w:ascii="楷体" w:eastAsia="楷体" w:hint="eastAsia"/>
          <w:b/>
          <w:sz w:val="18"/>
        </w:rPr>
        <w:t>血</w:t>
      </w:r>
      <w:r>
        <w:rPr>
          <w:rFonts w:ascii="楷体" w:eastAsia="楷体" w:hint="eastAsia"/>
          <w:b/>
          <w:sz w:val="18"/>
        </w:rPr>
        <w:t>亲</w:t>
      </w:r>
      <w:r>
        <w:rPr>
          <w:sz w:val="18"/>
        </w:rPr>
        <w:t>：</w:t>
      </w:r>
      <w:r>
        <w:rPr>
          <w:rFonts w:ascii="楷体" w:eastAsia="楷体"/>
          <w:spacing w:val="-1"/>
          <w:sz w:val="18"/>
        </w:rPr>
        <w:t>指有生与被生关系的直接血缘关系的亲属，包括父母、子女、祖父母、孙子女、外祖父母、外孙子女等。</w:t>
      </w:r>
    </w:p>
    <w:p>
      <w:pPr>
        <w:spacing w:after="0"/>
        <w:jc w:val="left"/>
        <w:rPr>
          <w:rFonts w:ascii="楷体" w:eastAsia="楷体"/>
          <w:sz w:val="18"/>
        </w:rPr>
        <w:sectPr>
          <w:pgSz w:w="11910" w:h="16840"/>
          <w:pgMar w:header="0" w:footer="659" w:top="1480" w:bottom="1000" w:left="920" w:right="880"/>
        </w:sectPr>
      </w:pPr>
    </w:p>
    <w:p>
      <w:pPr>
        <w:pStyle w:val="BodyText"/>
        <w:spacing w:before="64"/>
        <w:ind w:left="3002" w:right="3431"/>
        <w:jc w:val="center"/>
      </w:pPr>
      <w:r>
        <w:rPr>
          <w:spacing w:val="-6"/>
        </w:rPr>
        <w:t>险金的累计给付天数最高以 </w:t>
      </w:r>
      <w:r>
        <w:rPr>
          <w:rFonts w:ascii="Times New Roman" w:eastAsia="Times New Roman"/>
          <w:spacing w:val="-2"/>
        </w:rPr>
        <w:t>30</w:t>
      </w:r>
      <w:r>
        <w:rPr>
          <w:rFonts w:ascii="Times New Roman" w:eastAsia="Times New Roman"/>
          <w:spacing w:val="6"/>
        </w:rPr>
        <w:t> </w:t>
      </w:r>
      <w:r>
        <w:rPr>
          <w:spacing w:val="-4"/>
        </w:rPr>
        <w:t>日为限。</w:t>
      </w:r>
    </w:p>
    <w:p>
      <w:pPr>
        <w:pStyle w:val="BodyText"/>
        <w:rPr>
          <w:sz w:val="10"/>
        </w:rPr>
      </w:pPr>
    </w:p>
    <w:p>
      <w:pPr>
        <w:spacing w:after="0"/>
        <w:rPr>
          <w:sz w:val="10"/>
        </w:rPr>
        <w:sectPr>
          <w:pgSz w:w="11910" w:h="16840"/>
          <w:pgMar w:header="0" w:footer="659" w:top="1380" w:bottom="1000" w:left="920" w:right="880"/>
        </w:sectPr>
      </w:pPr>
    </w:p>
    <w:p>
      <w:pPr>
        <w:pStyle w:val="Heading3"/>
        <w:numPr>
          <w:ilvl w:val="2"/>
          <w:numId w:val="5"/>
        </w:numPr>
        <w:tabs>
          <w:tab w:pos="1229" w:val="left" w:leader="none"/>
        </w:tabs>
        <w:spacing w:line="240" w:lineRule="auto" w:before="71" w:after="0"/>
        <w:ind w:left="1228" w:right="0" w:hanging="750"/>
        <w:jc w:val="left"/>
      </w:pPr>
      <w:r>
        <w:rPr>
          <w:spacing w:val="8"/>
        </w:rPr>
        <w:t>法定传染病疫苗</w:t>
      </w:r>
    </w:p>
    <w:p>
      <w:pPr>
        <w:spacing w:before="43"/>
        <w:ind w:left="1228" w:right="0" w:firstLine="0"/>
        <w:jc w:val="left"/>
        <w:rPr>
          <w:b/>
          <w:sz w:val="21"/>
        </w:rPr>
      </w:pPr>
      <w:r>
        <w:rPr>
          <w:b/>
          <w:spacing w:val="-2"/>
          <w:sz w:val="21"/>
        </w:rPr>
        <w:t>接种保险金</w:t>
      </w:r>
    </w:p>
    <w:p>
      <w:pPr>
        <w:pStyle w:val="BodyText"/>
        <w:spacing w:line="268" w:lineRule="auto" w:before="71"/>
        <w:ind w:left="174" w:right="265"/>
        <w:jc w:val="both"/>
      </w:pPr>
      <w:r>
        <w:rPr/>
        <w:br w:type="column"/>
      </w:r>
      <w:r>
        <w:rPr>
          <w:spacing w:val="-2"/>
        </w:rPr>
        <w:t>被保险人在其保险期间内经人民政府卫生主管部门指定的医疗卫生机构接</w:t>
      </w:r>
      <w:r>
        <w:rPr>
          <w:spacing w:val="-2"/>
        </w:rPr>
        <w:t>种法定传染病</w:t>
      </w:r>
      <w:r>
        <w:rPr>
          <w:b/>
          <w:spacing w:val="-2"/>
        </w:rPr>
        <w:t>疫苗</w:t>
      </w:r>
      <w:r>
        <w:rPr>
          <w:spacing w:val="-2"/>
          <w:position w:val="11"/>
          <w:sz w:val="11"/>
        </w:rPr>
        <w:t>22</w:t>
      </w:r>
      <w:r>
        <w:rPr>
          <w:spacing w:val="-2"/>
        </w:rPr>
        <w:t>的，对接种该疫苗发生的并需要由被保险人个人支付的</w:t>
      </w:r>
      <w:r>
        <w:rPr>
          <w:b/>
          <w:spacing w:val="-2"/>
        </w:rPr>
        <w:t>接种费用</w:t>
      </w:r>
      <w:r>
        <w:rPr>
          <w:spacing w:val="-2"/>
          <w:position w:val="11"/>
          <w:sz w:val="11"/>
        </w:rPr>
        <w:t>23</w:t>
      </w:r>
      <w:r>
        <w:rPr>
          <w:spacing w:val="-2"/>
        </w:rPr>
        <w:t>，本公司将按约定给付法定传染病疫苗接种保险金。</w:t>
      </w:r>
    </w:p>
    <w:p>
      <w:pPr>
        <w:pStyle w:val="Heading3"/>
        <w:spacing w:line="278" w:lineRule="auto" w:before="168"/>
        <w:ind w:left="174" w:right="162"/>
      </w:pPr>
      <w:r>
        <w:rPr>
          <w:spacing w:val="-7"/>
        </w:rPr>
        <w:t>如被保险人在私立医院或公立医院特需门诊</w:t>
      </w:r>
      <w:r>
        <w:rPr>
          <w:spacing w:val="-2"/>
        </w:rPr>
        <w:t>（</w:t>
      </w:r>
      <w:r>
        <w:rPr>
          <w:spacing w:val="-19"/>
        </w:rPr>
        <w:t>含特需部、</w:t>
      </w:r>
      <w:r>
        <w:rPr>
          <w:spacing w:val="-2"/>
        </w:rPr>
        <w:t>VIP</w:t>
      </w:r>
      <w:r>
        <w:rPr>
          <w:spacing w:val="-9"/>
        </w:rPr>
        <w:t> 部及国际部等</w:t>
      </w:r>
      <w:r>
        <w:rPr>
          <w:spacing w:val="-2"/>
        </w:rPr>
        <w:t>）</w:t>
      </w:r>
      <w:r>
        <w:rPr/>
        <w:t>进行接种，疫苗接种服务费（含诊疗费）</w:t>
      </w:r>
      <w:r>
        <w:rPr>
          <w:spacing w:val="-8"/>
        </w:rPr>
        <w:t>限额 </w:t>
      </w:r>
      <w:r>
        <w:rPr/>
        <w:t>25</w:t>
      </w:r>
      <w:r>
        <w:rPr>
          <w:spacing w:val="-8"/>
        </w:rPr>
        <w:t> 元/</w:t>
      </w:r>
      <w:r>
        <w:rPr/>
        <w:t>次。</w:t>
      </w:r>
    </w:p>
    <w:p>
      <w:pPr>
        <w:pStyle w:val="BodyText"/>
        <w:spacing w:line="278" w:lineRule="auto" w:before="156"/>
        <w:ind w:left="174" w:right="265"/>
      </w:pPr>
      <w:r>
        <w:rPr>
          <w:spacing w:val="-6"/>
        </w:rPr>
        <w:t>本合同法定传染病疫苗接种保险金限额由投保人与本公司约定，并在合同中</w:t>
      </w:r>
      <w:r>
        <w:rPr>
          <w:spacing w:val="-2"/>
        </w:rPr>
        <w:t>载明。本合同的法定传染病疫苗接种保险金累计给付次数为两次。</w:t>
      </w:r>
    </w:p>
    <w:p>
      <w:pPr>
        <w:spacing w:after="0" w:line="278" w:lineRule="auto"/>
        <w:sectPr>
          <w:type w:val="continuous"/>
          <w:pgSz w:w="11910" w:h="16840"/>
          <w:pgMar w:header="0" w:footer="659" w:top="480" w:bottom="840" w:left="920" w:right="880"/>
          <w:cols w:num="2" w:equalWidth="0">
            <w:col w:w="2783" w:space="40"/>
            <w:col w:w="7287"/>
          </w:cols>
        </w:sectPr>
      </w:pPr>
    </w:p>
    <w:p>
      <w:pPr>
        <w:pStyle w:val="Heading3"/>
        <w:numPr>
          <w:ilvl w:val="2"/>
          <w:numId w:val="5"/>
        </w:numPr>
        <w:tabs>
          <w:tab w:pos="1229" w:val="left" w:leader="none"/>
        </w:tabs>
        <w:spacing w:line="240" w:lineRule="auto" w:before="156" w:after="0"/>
        <w:ind w:left="1228" w:right="0" w:hanging="750"/>
        <w:jc w:val="left"/>
      </w:pPr>
      <w:r>
        <w:rPr>
          <w:spacing w:val="8"/>
        </w:rPr>
        <w:t>法定传染病疫苗</w:t>
      </w:r>
    </w:p>
    <w:p>
      <w:pPr>
        <w:spacing w:line="278" w:lineRule="auto" w:before="43"/>
        <w:ind w:left="1228" w:right="0" w:firstLine="0"/>
        <w:jc w:val="left"/>
        <w:rPr>
          <w:b/>
          <w:sz w:val="21"/>
        </w:rPr>
      </w:pPr>
      <w:r>
        <w:rPr>
          <w:b/>
          <w:spacing w:val="8"/>
          <w:sz w:val="21"/>
        </w:rPr>
        <w:t>接种意外住院医</w:t>
      </w:r>
      <w:r>
        <w:rPr>
          <w:b/>
          <w:spacing w:val="-4"/>
          <w:sz w:val="21"/>
        </w:rPr>
        <w:t>疗保险金</w:t>
      </w:r>
    </w:p>
    <w:p>
      <w:pPr>
        <w:pStyle w:val="BodyText"/>
        <w:spacing w:line="276" w:lineRule="auto" w:before="156"/>
        <w:ind w:left="174" w:right="265"/>
        <w:jc w:val="both"/>
      </w:pPr>
      <w:r>
        <w:rPr/>
        <w:br w:type="column"/>
      </w:r>
      <w:r>
        <w:rPr>
          <w:spacing w:val="-2"/>
        </w:rPr>
        <w:t>被保险人在其保险期间内经人民政府卫生主管部门指定的医疗卫生机构接</w:t>
      </w:r>
      <w:r>
        <w:rPr>
          <w:w w:val="95"/>
        </w:rPr>
        <w:t>种</w:t>
      </w:r>
      <w:r>
        <w:rPr>
          <w:w w:val="95"/>
        </w:rPr>
        <w:t>疫</w:t>
      </w:r>
      <w:r>
        <w:rPr>
          <w:w w:val="95"/>
        </w:rPr>
        <w:t>苗</w:t>
      </w:r>
      <w:r>
        <w:rPr>
          <w:w w:val="95"/>
        </w:rPr>
        <w:t>，自接种疫苗时起</w:t>
      </w:r>
      <w:r>
        <w:rPr>
          <w:spacing w:val="28"/>
        </w:rPr>
        <w:t> </w:t>
      </w:r>
      <w:r>
        <w:rPr>
          <w:w w:val="95"/>
        </w:rPr>
        <w:t>180</w:t>
      </w:r>
      <w:r>
        <w:rPr>
          <w:spacing w:val="36"/>
        </w:rPr>
        <w:t> </w:t>
      </w:r>
      <w:r>
        <w:rPr>
          <w:w w:val="95"/>
        </w:rPr>
        <w:t>日内，因接种该疫苗发生</w:t>
      </w:r>
      <w:r>
        <w:rPr>
          <w:b/>
          <w:w w:val="95"/>
        </w:rPr>
        <w:t>预</w:t>
      </w:r>
      <w:r>
        <w:rPr>
          <w:b/>
          <w:w w:val="95"/>
        </w:rPr>
        <w:t>防</w:t>
      </w:r>
      <w:r>
        <w:rPr>
          <w:b/>
          <w:w w:val="95"/>
        </w:rPr>
        <w:t>接</w:t>
      </w:r>
      <w:r>
        <w:rPr>
          <w:b/>
          <w:w w:val="95"/>
        </w:rPr>
        <w:t>种</w:t>
      </w:r>
      <w:r>
        <w:rPr>
          <w:b/>
          <w:w w:val="95"/>
        </w:rPr>
        <w:t>异</w:t>
      </w:r>
      <w:r>
        <w:rPr>
          <w:b/>
          <w:w w:val="95"/>
        </w:rPr>
        <w:t>常</w:t>
      </w:r>
      <w:r>
        <w:rPr>
          <w:b/>
          <w:w w:val="95"/>
        </w:rPr>
        <w:t>反</w:t>
      </w:r>
      <w:r>
        <w:rPr>
          <w:b/>
          <w:w w:val="95"/>
        </w:rPr>
        <w:t>应</w:t>
      </w:r>
      <w:r>
        <w:rPr>
          <w:w w:val="95"/>
          <w:position w:val="11"/>
          <w:sz w:val="11"/>
        </w:rPr>
        <w:t>24</w:t>
      </w:r>
      <w:r>
        <w:rPr>
          <w:spacing w:val="-2"/>
        </w:rPr>
        <w:t>或</w:t>
      </w:r>
      <w:r>
        <w:rPr>
          <w:b/>
          <w:spacing w:val="-2"/>
        </w:rPr>
        <w:t>偶合症</w:t>
      </w:r>
      <w:r>
        <w:rPr>
          <w:spacing w:val="-2"/>
          <w:position w:val="11"/>
          <w:sz w:val="11"/>
        </w:rPr>
        <w:t>25</w:t>
      </w:r>
      <w:r>
        <w:rPr>
          <w:spacing w:val="-2"/>
        </w:rPr>
        <w:t>，并经本公司指定或认可的医疗机构或接种疫苗的医疗卫生机构</w:t>
      </w:r>
      <w:r>
        <w:rPr>
          <w:spacing w:val="-12"/>
        </w:rPr>
        <w:t>诊断而必须住院的，对住院期间发生的医学必需的并需要由被保险人个人支</w:t>
      </w:r>
      <w:r>
        <w:rPr>
          <w:spacing w:val="-12"/>
        </w:rPr>
        <w:t>付的下列医疗费用，本公司将按下列约定给付法定传染病疫苗接种意外住院</w:t>
      </w:r>
      <w:r>
        <w:rPr>
          <w:spacing w:val="-2"/>
        </w:rPr>
        <w:t>医疗保险金：</w:t>
      </w:r>
    </w:p>
    <w:p>
      <w:pPr>
        <w:pStyle w:val="BodyText"/>
        <w:spacing w:before="152"/>
        <w:ind w:left="174"/>
      </w:pPr>
      <w:r>
        <w:rPr>
          <w:spacing w:val="-3"/>
        </w:rPr>
        <w:t>住院医疗费用包括：</w:t>
      </w:r>
    </w:p>
    <w:p>
      <w:pPr>
        <w:spacing w:after="0"/>
        <w:sectPr>
          <w:type w:val="continuous"/>
          <w:pgSz w:w="11910" w:h="16840"/>
          <w:pgMar w:header="0" w:footer="659" w:top="480" w:bottom="840" w:left="920" w:right="880"/>
          <w:cols w:num="2" w:equalWidth="0">
            <w:col w:w="2783" w:space="40"/>
            <w:col w:w="7287"/>
          </w:cols>
        </w:sectPr>
      </w:pPr>
    </w:p>
    <w:p>
      <w:pPr>
        <w:pStyle w:val="BodyText"/>
        <w:spacing w:before="12"/>
        <w:rPr>
          <w:sz w:val="9"/>
        </w:rPr>
      </w:pPr>
    </w:p>
    <w:p>
      <w:pPr>
        <w:pStyle w:val="ListParagraph"/>
        <w:numPr>
          <w:ilvl w:val="3"/>
          <w:numId w:val="5"/>
        </w:numPr>
        <w:tabs>
          <w:tab w:pos="3718" w:val="left" w:leader="none"/>
        </w:tabs>
        <w:spacing w:line="240" w:lineRule="auto" w:before="72" w:after="0"/>
        <w:ind w:left="3717" w:right="0" w:hanging="721"/>
        <w:jc w:val="left"/>
        <w:rPr>
          <w:sz w:val="21"/>
        </w:rPr>
      </w:pPr>
      <w:r>
        <w:rPr>
          <w:spacing w:val="-2"/>
          <w:sz w:val="21"/>
        </w:rPr>
        <w:t>床位费</w:t>
      </w:r>
      <w:r>
        <w:rPr>
          <w:color w:val="000000"/>
          <w:spacing w:val="-2"/>
          <w:sz w:val="21"/>
          <w:shd w:fill="D2D2D2" w:color="auto" w:val="clear"/>
        </w:rPr>
        <w:t>（不含单人间</w:t>
      </w:r>
      <w:r>
        <w:rPr>
          <w:color w:val="000000"/>
          <w:spacing w:val="-111"/>
          <w:sz w:val="21"/>
          <w:shd w:fill="D2D2D2" w:color="auto" w:val="clear"/>
        </w:rPr>
        <w:t>）</w:t>
      </w:r>
      <w:r>
        <w:rPr>
          <w:color w:val="000000"/>
          <w:spacing w:val="-5"/>
          <w:sz w:val="21"/>
          <w:shd w:fill="D2D2D2" w:color="auto" w:val="clear"/>
        </w:rPr>
        <w:t>；</w:t>
      </w:r>
    </w:p>
    <w:p>
      <w:pPr>
        <w:pStyle w:val="BodyText"/>
        <w:spacing w:before="6"/>
        <w:rPr>
          <w:sz w:val="15"/>
        </w:rPr>
      </w:pPr>
    </w:p>
    <w:p>
      <w:pPr>
        <w:pStyle w:val="ListParagraph"/>
        <w:numPr>
          <w:ilvl w:val="3"/>
          <w:numId w:val="5"/>
        </w:numPr>
        <w:tabs>
          <w:tab w:pos="3718" w:val="left" w:leader="none"/>
        </w:tabs>
        <w:spacing w:line="240" w:lineRule="auto" w:before="0" w:after="0"/>
        <w:ind w:left="3717" w:right="0" w:hanging="721"/>
        <w:jc w:val="left"/>
        <w:rPr>
          <w:sz w:val="21"/>
        </w:rPr>
      </w:pPr>
      <w:r>
        <w:rPr>
          <w:spacing w:val="-4"/>
          <w:sz w:val="21"/>
        </w:rPr>
        <w:t>膳食费；</w:t>
      </w:r>
    </w:p>
    <w:p>
      <w:pPr>
        <w:pStyle w:val="BodyText"/>
        <w:spacing w:before="7"/>
        <w:rPr>
          <w:sz w:val="15"/>
        </w:rPr>
      </w:pPr>
    </w:p>
    <w:p>
      <w:pPr>
        <w:pStyle w:val="ListParagraph"/>
        <w:numPr>
          <w:ilvl w:val="3"/>
          <w:numId w:val="5"/>
        </w:numPr>
        <w:tabs>
          <w:tab w:pos="3718" w:val="left" w:leader="none"/>
        </w:tabs>
        <w:spacing w:line="240" w:lineRule="auto" w:before="0" w:after="0"/>
        <w:ind w:left="3717" w:right="0" w:hanging="721"/>
        <w:jc w:val="left"/>
        <w:rPr>
          <w:sz w:val="21"/>
        </w:rPr>
      </w:pPr>
      <w:r>
        <w:rPr>
          <w:spacing w:val="-4"/>
          <w:sz w:val="21"/>
        </w:rPr>
        <w:t>护理费；</w:t>
      </w:r>
    </w:p>
    <w:p>
      <w:pPr>
        <w:pStyle w:val="BodyText"/>
        <w:spacing w:before="7"/>
        <w:rPr>
          <w:sz w:val="15"/>
        </w:rPr>
      </w:pPr>
    </w:p>
    <w:p>
      <w:pPr>
        <w:pStyle w:val="ListParagraph"/>
        <w:numPr>
          <w:ilvl w:val="3"/>
          <w:numId w:val="5"/>
        </w:numPr>
        <w:tabs>
          <w:tab w:pos="3718" w:val="left" w:leader="none"/>
        </w:tabs>
        <w:spacing w:line="240" w:lineRule="auto" w:before="0" w:after="0"/>
        <w:ind w:left="3717" w:right="0" w:hanging="721"/>
        <w:jc w:val="left"/>
        <w:rPr>
          <w:sz w:val="21"/>
        </w:rPr>
      </w:pPr>
      <w:r>
        <w:rPr>
          <w:spacing w:val="-4"/>
          <w:sz w:val="21"/>
        </w:rPr>
        <w:t>重症监护室费；</w:t>
      </w:r>
    </w:p>
    <w:p>
      <w:pPr>
        <w:pStyle w:val="BodyText"/>
        <w:spacing w:before="6"/>
        <w:rPr>
          <w:sz w:val="15"/>
        </w:rPr>
      </w:pPr>
    </w:p>
    <w:p>
      <w:pPr>
        <w:pStyle w:val="ListParagraph"/>
        <w:numPr>
          <w:ilvl w:val="3"/>
          <w:numId w:val="5"/>
        </w:numPr>
        <w:tabs>
          <w:tab w:pos="3718" w:val="left" w:leader="none"/>
        </w:tabs>
        <w:spacing w:line="240" w:lineRule="auto" w:before="1" w:after="0"/>
        <w:ind w:left="3717" w:right="0" w:hanging="721"/>
        <w:jc w:val="left"/>
        <w:rPr>
          <w:sz w:val="21"/>
        </w:rPr>
      </w:pPr>
      <w:r>
        <w:rPr>
          <w:spacing w:val="-4"/>
          <w:sz w:val="21"/>
        </w:rPr>
        <w:t>诊疗费、医生费；</w:t>
      </w:r>
    </w:p>
    <w:p>
      <w:pPr>
        <w:pStyle w:val="BodyText"/>
        <w:spacing w:before="6"/>
        <w:rPr>
          <w:sz w:val="15"/>
        </w:rPr>
      </w:pPr>
    </w:p>
    <w:p>
      <w:pPr>
        <w:pStyle w:val="ListParagraph"/>
        <w:numPr>
          <w:ilvl w:val="3"/>
          <w:numId w:val="5"/>
        </w:numPr>
        <w:tabs>
          <w:tab w:pos="3718" w:val="left" w:leader="none"/>
        </w:tabs>
        <w:spacing w:line="240" w:lineRule="auto" w:before="1" w:after="0"/>
        <w:ind w:left="3717" w:right="0" w:hanging="721"/>
        <w:jc w:val="left"/>
        <w:rPr>
          <w:sz w:val="21"/>
        </w:rPr>
      </w:pPr>
      <w:r>
        <w:rPr>
          <w:spacing w:val="-4"/>
          <w:sz w:val="21"/>
        </w:rPr>
        <w:t>检查检验费；</w:t>
      </w:r>
    </w:p>
    <w:p>
      <w:pPr>
        <w:pStyle w:val="BodyText"/>
        <w:spacing w:before="6"/>
        <w:rPr>
          <w:sz w:val="15"/>
        </w:rPr>
      </w:pPr>
    </w:p>
    <w:p>
      <w:pPr>
        <w:pStyle w:val="ListParagraph"/>
        <w:numPr>
          <w:ilvl w:val="3"/>
          <w:numId w:val="5"/>
        </w:numPr>
        <w:tabs>
          <w:tab w:pos="3718" w:val="left" w:leader="none"/>
        </w:tabs>
        <w:spacing w:line="240" w:lineRule="auto" w:before="0" w:after="0"/>
        <w:ind w:left="3717" w:right="0" w:hanging="721"/>
        <w:jc w:val="left"/>
        <w:rPr>
          <w:sz w:val="21"/>
        </w:rPr>
      </w:pPr>
      <w:r>
        <w:rPr>
          <w:spacing w:val="-4"/>
          <w:sz w:val="21"/>
        </w:rPr>
        <w:t>治疗费；</w:t>
      </w:r>
    </w:p>
    <w:p>
      <w:pPr>
        <w:pStyle w:val="BodyText"/>
        <w:spacing w:before="7"/>
        <w:rPr>
          <w:sz w:val="15"/>
        </w:rPr>
      </w:pPr>
    </w:p>
    <w:p>
      <w:pPr>
        <w:pStyle w:val="ListParagraph"/>
        <w:numPr>
          <w:ilvl w:val="3"/>
          <w:numId w:val="5"/>
        </w:numPr>
        <w:tabs>
          <w:tab w:pos="3718" w:val="left" w:leader="none"/>
        </w:tabs>
        <w:spacing w:line="240" w:lineRule="auto" w:before="0" w:after="0"/>
        <w:ind w:left="3717" w:right="0" w:hanging="721"/>
        <w:jc w:val="left"/>
        <w:rPr>
          <w:sz w:val="21"/>
        </w:rPr>
      </w:pPr>
      <w:r>
        <w:rPr>
          <w:spacing w:val="-4"/>
          <w:sz w:val="21"/>
        </w:rPr>
        <w:t>陪床费；</w:t>
      </w:r>
    </w:p>
    <w:p>
      <w:pPr>
        <w:pStyle w:val="BodyText"/>
        <w:spacing w:before="7"/>
        <w:rPr>
          <w:sz w:val="15"/>
        </w:rPr>
      </w:pPr>
    </w:p>
    <w:p>
      <w:pPr>
        <w:pStyle w:val="ListParagraph"/>
        <w:numPr>
          <w:ilvl w:val="3"/>
          <w:numId w:val="5"/>
        </w:numPr>
        <w:tabs>
          <w:tab w:pos="3718" w:val="left" w:leader="none"/>
        </w:tabs>
        <w:spacing w:line="240" w:lineRule="auto" w:before="0" w:after="0"/>
        <w:ind w:left="3717" w:right="0" w:hanging="721"/>
        <w:jc w:val="left"/>
        <w:rPr>
          <w:sz w:val="21"/>
        </w:rPr>
      </w:pPr>
      <w:r>
        <w:rPr>
          <w:spacing w:val="-4"/>
          <w:sz w:val="21"/>
        </w:rPr>
        <w:t>药品费；</w:t>
      </w:r>
    </w:p>
    <w:p>
      <w:pPr>
        <w:pStyle w:val="BodyText"/>
        <w:spacing w:before="6"/>
        <w:rPr>
          <w:sz w:val="15"/>
        </w:rPr>
      </w:pPr>
    </w:p>
    <w:p>
      <w:pPr>
        <w:pStyle w:val="ListParagraph"/>
        <w:numPr>
          <w:ilvl w:val="3"/>
          <w:numId w:val="5"/>
        </w:numPr>
        <w:tabs>
          <w:tab w:pos="3718" w:val="left" w:leader="none"/>
        </w:tabs>
        <w:spacing w:line="240" w:lineRule="auto" w:before="1" w:after="0"/>
        <w:ind w:left="3717" w:right="0" w:hanging="721"/>
        <w:jc w:val="left"/>
        <w:rPr>
          <w:sz w:val="21"/>
        </w:rPr>
      </w:pPr>
      <w:r>
        <w:rPr>
          <w:spacing w:val="-4"/>
          <w:sz w:val="21"/>
        </w:rPr>
        <w:t>手术费；</w:t>
      </w:r>
    </w:p>
    <w:p>
      <w:pPr>
        <w:pStyle w:val="BodyText"/>
        <w:spacing w:before="6"/>
        <w:rPr>
          <w:sz w:val="15"/>
        </w:rPr>
      </w:pPr>
    </w:p>
    <w:p>
      <w:pPr>
        <w:pStyle w:val="ListParagraph"/>
        <w:numPr>
          <w:ilvl w:val="3"/>
          <w:numId w:val="5"/>
        </w:numPr>
        <w:tabs>
          <w:tab w:pos="3718" w:val="left" w:leader="none"/>
        </w:tabs>
        <w:spacing w:line="240" w:lineRule="auto" w:before="0" w:after="0"/>
        <w:ind w:left="3717" w:right="0" w:hanging="721"/>
        <w:jc w:val="left"/>
        <w:rPr>
          <w:sz w:val="21"/>
        </w:rPr>
      </w:pPr>
      <w:r>
        <w:rPr>
          <w:spacing w:val="-2"/>
          <w:sz w:val="21"/>
        </w:rPr>
        <w:t>体外膜肺氧合（ECMO）</w:t>
      </w:r>
      <w:r>
        <w:rPr>
          <w:spacing w:val="-6"/>
          <w:sz w:val="21"/>
        </w:rPr>
        <w:t>费；</w:t>
      </w:r>
    </w:p>
    <w:p>
      <w:pPr>
        <w:pStyle w:val="BodyText"/>
        <w:spacing w:before="7"/>
        <w:rPr>
          <w:sz w:val="15"/>
        </w:rPr>
      </w:pPr>
    </w:p>
    <w:p>
      <w:pPr>
        <w:pStyle w:val="ListParagraph"/>
        <w:numPr>
          <w:ilvl w:val="3"/>
          <w:numId w:val="5"/>
        </w:numPr>
        <w:tabs>
          <w:tab w:pos="3718" w:val="left" w:leader="none"/>
        </w:tabs>
        <w:spacing w:line="240" w:lineRule="auto" w:before="0" w:after="0"/>
        <w:ind w:left="3717" w:right="0" w:hanging="721"/>
        <w:jc w:val="left"/>
        <w:rPr>
          <w:sz w:val="21"/>
        </w:rPr>
      </w:pPr>
      <w:r>
        <w:rPr>
          <w:spacing w:val="-4"/>
          <w:sz w:val="21"/>
        </w:rPr>
        <w:t>救护车使用费。</w:t>
      </w:r>
    </w:p>
    <w:p>
      <w:pPr>
        <w:pStyle w:val="BodyText"/>
        <w:spacing w:before="7"/>
        <w:rPr>
          <w:sz w:val="15"/>
        </w:rPr>
      </w:pPr>
    </w:p>
    <w:p>
      <w:pPr>
        <w:pStyle w:val="BodyText"/>
        <w:ind w:left="2997"/>
      </w:pPr>
      <w:r>
        <w:rPr>
          <w:spacing w:val="-1"/>
        </w:rPr>
        <w:t>本公司对于以上医疗费用的累计赔偿金额之和以本合同约定的法定传染病</w:t>
      </w:r>
    </w:p>
    <w:p>
      <w:pPr>
        <w:pStyle w:val="BodyText"/>
        <w:rPr>
          <w:sz w:val="20"/>
        </w:rPr>
      </w:pPr>
    </w:p>
    <w:p>
      <w:pPr>
        <w:pStyle w:val="BodyText"/>
        <w:spacing w:before="7"/>
        <w:rPr>
          <w:sz w:val="14"/>
        </w:rPr>
      </w:pPr>
      <w:r>
        <w:rPr/>
        <w:drawing>
          <wp:anchor distT="0" distB="0" distL="0" distR="0" allowOverlap="1" layoutInCell="1" locked="0" behindDoc="0" simplePos="0" relativeHeight="8">
            <wp:simplePos x="0" y="0"/>
            <wp:positionH relativeFrom="page">
              <wp:posOffset>685800</wp:posOffset>
            </wp:positionH>
            <wp:positionV relativeFrom="paragraph">
              <wp:posOffset>134044</wp:posOffset>
            </wp:positionV>
            <wp:extent cx="1829511" cy="6095"/>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before="91"/>
        <w:ind w:left="160" w:right="0" w:firstLine="0"/>
        <w:jc w:val="both"/>
        <w:rPr>
          <w:rFonts w:ascii="楷体" w:eastAsia="楷体"/>
          <w:sz w:val="18"/>
        </w:rPr>
      </w:pPr>
      <w:r>
        <w:rPr>
          <w:position w:val="9"/>
          <w:sz w:val="9"/>
        </w:rPr>
        <w:t>22</w:t>
      </w:r>
      <w:r>
        <w:rPr>
          <w:spacing w:val="40"/>
          <w:position w:val="9"/>
          <w:sz w:val="9"/>
        </w:rPr>
        <w:t> </w:t>
      </w:r>
      <w:r>
        <w:rPr>
          <w:rFonts w:ascii="楷体" w:eastAsia="楷体" w:hint="eastAsia"/>
          <w:b/>
          <w:sz w:val="18"/>
        </w:rPr>
        <w:t>疫</w:t>
      </w:r>
      <w:r>
        <w:rPr>
          <w:rFonts w:ascii="楷体" w:eastAsia="楷体" w:hint="eastAsia"/>
          <w:b/>
          <w:sz w:val="18"/>
        </w:rPr>
        <w:t>苗</w:t>
      </w:r>
      <w:r>
        <w:rPr>
          <w:rFonts w:ascii="楷体" w:eastAsia="楷体" w:hint="eastAsia"/>
          <w:b/>
          <w:sz w:val="18"/>
        </w:rPr>
        <w:t>：</w:t>
      </w:r>
      <w:r>
        <w:rPr>
          <w:rFonts w:ascii="楷体" w:eastAsia="楷体"/>
          <w:spacing w:val="-1"/>
          <w:sz w:val="18"/>
        </w:rPr>
        <w:t>指为了预防、控制传染病的发生、流行，用于人体预防接种的疫苗类预防性生物制品，包括一类疫苗和二类疫苗。</w:t>
      </w:r>
    </w:p>
    <w:p>
      <w:pPr>
        <w:spacing w:before="2"/>
        <w:ind w:left="160" w:right="0" w:firstLine="0"/>
        <w:jc w:val="both"/>
        <w:rPr>
          <w:rFonts w:ascii="楷体" w:eastAsia="楷体"/>
          <w:sz w:val="18"/>
        </w:rPr>
      </w:pPr>
      <w:r>
        <w:rPr>
          <w:position w:val="9"/>
          <w:sz w:val="9"/>
        </w:rPr>
        <w:t>23</w:t>
      </w:r>
      <w:r>
        <w:rPr>
          <w:spacing w:val="38"/>
          <w:position w:val="9"/>
          <w:sz w:val="9"/>
        </w:rPr>
        <w:t> </w:t>
      </w:r>
      <w:r>
        <w:rPr>
          <w:rFonts w:ascii="楷体" w:eastAsia="楷体" w:hint="eastAsia"/>
          <w:b/>
          <w:sz w:val="18"/>
        </w:rPr>
        <w:t>接</w:t>
      </w:r>
      <w:r>
        <w:rPr>
          <w:rFonts w:ascii="楷体" w:eastAsia="楷体" w:hint="eastAsia"/>
          <w:b/>
          <w:sz w:val="18"/>
        </w:rPr>
        <w:t>种</w:t>
      </w:r>
      <w:r>
        <w:rPr>
          <w:rFonts w:ascii="楷体" w:eastAsia="楷体" w:hint="eastAsia"/>
          <w:b/>
          <w:sz w:val="18"/>
        </w:rPr>
        <w:t>费用：</w:t>
      </w:r>
      <w:r>
        <w:rPr>
          <w:rFonts w:ascii="楷体" w:eastAsia="楷体"/>
          <w:spacing w:val="-1"/>
          <w:sz w:val="18"/>
        </w:rPr>
        <w:t>包括但不仅限于疫苗费用与疫苗的登记、预检、留观、接种、接种耗材、存储、运输等费用。</w:t>
      </w:r>
    </w:p>
    <w:p>
      <w:pPr>
        <w:spacing w:line="242" w:lineRule="auto" w:before="2"/>
        <w:ind w:left="160" w:right="216" w:firstLine="0"/>
        <w:jc w:val="both"/>
        <w:rPr>
          <w:rFonts w:ascii="楷体" w:eastAsia="楷体"/>
          <w:sz w:val="18"/>
        </w:rPr>
      </w:pPr>
      <w:r>
        <w:rPr>
          <w:rFonts w:ascii="楷体" w:eastAsia="楷体"/>
          <w:position w:val="9"/>
          <w:sz w:val="9"/>
        </w:rPr>
        <w:t>24 </w:t>
      </w:r>
      <w:r>
        <w:rPr>
          <w:rFonts w:ascii="楷体" w:eastAsia="楷体" w:hint="eastAsia"/>
          <w:b/>
          <w:sz w:val="18"/>
        </w:rPr>
        <w:t>预</w:t>
      </w:r>
      <w:r>
        <w:rPr>
          <w:rFonts w:ascii="楷体" w:eastAsia="楷体" w:hint="eastAsia"/>
          <w:b/>
          <w:sz w:val="18"/>
        </w:rPr>
        <w:t>防</w:t>
      </w:r>
      <w:r>
        <w:rPr>
          <w:rFonts w:ascii="楷体" w:eastAsia="楷体" w:hint="eastAsia"/>
          <w:b/>
          <w:sz w:val="18"/>
        </w:rPr>
        <w:t>接</w:t>
      </w:r>
      <w:r>
        <w:rPr>
          <w:rFonts w:ascii="楷体" w:eastAsia="楷体" w:hint="eastAsia"/>
          <w:b/>
          <w:sz w:val="18"/>
        </w:rPr>
        <w:t>种</w:t>
      </w:r>
      <w:r>
        <w:rPr>
          <w:rFonts w:ascii="楷体" w:eastAsia="楷体" w:hint="eastAsia"/>
          <w:b/>
          <w:sz w:val="18"/>
        </w:rPr>
        <w:t>异</w:t>
      </w:r>
      <w:r>
        <w:rPr>
          <w:rFonts w:ascii="楷体" w:eastAsia="楷体" w:hint="eastAsia"/>
          <w:b/>
          <w:sz w:val="18"/>
        </w:rPr>
        <w:t>常</w:t>
      </w:r>
      <w:r>
        <w:rPr>
          <w:rFonts w:ascii="楷体" w:eastAsia="楷体" w:hint="eastAsia"/>
          <w:b/>
          <w:sz w:val="18"/>
        </w:rPr>
        <w:t>反</w:t>
      </w:r>
      <w:r>
        <w:rPr>
          <w:rFonts w:ascii="楷体" w:eastAsia="楷体" w:hint="eastAsia"/>
          <w:b/>
          <w:sz w:val="18"/>
        </w:rPr>
        <w:t>应</w:t>
      </w:r>
      <w:r>
        <w:rPr>
          <w:rFonts w:ascii="楷体" w:eastAsia="楷体" w:hint="eastAsia"/>
          <w:b/>
          <w:sz w:val="18"/>
        </w:rPr>
        <w:t>：</w:t>
      </w:r>
      <w:r>
        <w:rPr>
          <w:rFonts w:ascii="楷体" w:eastAsia="楷体"/>
          <w:sz w:val="18"/>
        </w:rPr>
        <w:t>指合格的疫苗在实施规范接种过程中或者实施规范接种后造成的受种者机体组织器官、功能损害，相</w:t>
      </w:r>
      <w:r>
        <w:rPr>
          <w:rFonts w:ascii="楷体" w:eastAsia="楷体"/>
          <w:spacing w:val="-2"/>
          <w:sz w:val="18"/>
        </w:rPr>
        <w:t>关各方均无过错的药品不良反应。常见的预防接种异常反应包括无菌性脓肿、热性惊厥、过敏性休克、过敏性皮疹、过敏性</w:t>
      </w:r>
      <w:r>
        <w:rPr>
          <w:rFonts w:ascii="楷体" w:eastAsia="楷体"/>
          <w:spacing w:val="-2"/>
          <w:sz w:val="18"/>
        </w:rPr>
        <w:t>紫癜、血小板减少性紫癜、局部过敏反应、血管性水肿、多发性神经炎、臂丛神经炎、癫痫、脑病、脑炎和脑膜炎、脊灰疫</w:t>
      </w:r>
      <w:r>
        <w:rPr>
          <w:rFonts w:ascii="楷体" w:eastAsia="楷体"/>
          <w:spacing w:val="-2"/>
          <w:sz w:val="18"/>
        </w:rPr>
        <w:t>苗相关病例以及接种卡介苗后的淋巴结炎、骨髓炎、全身散播性卡介苗感染等。对预防接种异常反应鉴定有争议的，以《预</w:t>
      </w:r>
      <w:r>
        <w:rPr>
          <w:rFonts w:ascii="楷体" w:eastAsia="楷体"/>
          <w:spacing w:val="-2"/>
          <w:sz w:val="18"/>
        </w:rPr>
        <w:t>防接种异常反应鉴定办法》为准。</w:t>
      </w:r>
    </w:p>
    <w:p>
      <w:pPr>
        <w:spacing w:before="4"/>
        <w:ind w:left="160" w:right="0" w:firstLine="0"/>
        <w:jc w:val="both"/>
        <w:rPr>
          <w:rFonts w:ascii="楷体" w:eastAsia="楷体"/>
          <w:sz w:val="18"/>
        </w:rPr>
      </w:pPr>
      <w:r>
        <w:rPr>
          <w:rFonts w:ascii="楷体" w:eastAsia="楷体"/>
          <w:position w:val="9"/>
          <w:sz w:val="9"/>
        </w:rPr>
        <w:t>25</w:t>
      </w:r>
      <w:r>
        <w:rPr>
          <w:rFonts w:ascii="楷体" w:eastAsia="楷体"/>
          <w:spacing w:val="40"/>
          <w:position w:val="9"/>
          <w:sz w:val="9"/>
        </w:rPr>
        <w:t> </w:t>
      </w:r>
      <w:r>
        <w:rPr>
          <w:rFonts w:ascii="楷体" w:eastAsia="楷体" w:hint="eastAsia"/>
          <w:b/>
          <w:sz w:val="18"/>
        </w:rPr>
        <w:t>偶</w:t>
      </w:r>
      <w:r>
        <w:rPr>
          <w:rFonts w:ascii="楷体" w:eastAsia="楷体" w:hint="eastAsia"/>
          <w:b/>
          <w:sz w:val="18"/>
        </w:rPr>
        <w:t>合</w:t>
      </w:r>
      <w:r>
        <w:rPr>
          <w:rFonts w:ascii="楷体" w:eastAsia="楷体" w:hint="eastAsia"/>
          <w:b/>
          <w:sz w:val="18"/>
        </w:rPr>
        <w:t>症</w:t>
      </w:r>
      <w:r>
        <w:rPr>
          <w:rFonts w:ascii="楷体" w:eastAsia="楷体" w:hint="eastAsia"/>
          <w:b/>
          <w:sz w:val="18"/>
        </w:rPr>
        <w:t>：</w:t>
      </w:r>
      <w:r>
        <w:rPr>
          <w:rFonts w:ascii="楷体" w:eastAsia="楷体"/>
          <w:spacing w:val="-1"/>
          <w:sz w:val="18"/>
        </w:rPr>
        <w:t>指受种者在接种时正处于某种疾病的潜伏期或前驱期，接种后偶合发病。</w:t>
      </w:r>
    </w:p>
    <w:p>
      <w:pPr>
        <w:spacing w:after="0"/>
        <w:jc w:val="both"/>
        <w:rPr>
          <w:rFonts w:ascii="楷体" w:eastAsia="楷体"/>
          <w:sz w:val="18"/>
        </w:rPr>
        <w:sectPr>
          <w:type w:val="continuous"/>
          <w:pgSz w:w="11910" w:h="16840"/>
          <w:pgMar w:header="0" w:footer="659" w:top="480" w:bottom="840" w:left="920" w:right="880"/>
        </w:sectPr>
      </w:pPr>
    </w:p>
    <w:p>
      <w:pPr>
        <w:pStyle w:val="BodyText"/>
        <w:spacing w:line="278" w:lineRule="auto" w:before="44"/>
        <w:ind w:left="2997" w:right="266"/>
        <w:jc w:val="both"/>
      </w:pPr>
      <w:r>
        <w:rPr>
          <w:spacing w:val="-7"/>
        </w:rPr>
        <w:t>疫苗接种意外住院医疗保险金给付限额为限。累计赔偿金额达到本项法定传</w:t>
      </w:r>
      <w:r>
        <w:rPr>
          <w:spacing w:val="-7"/>
        </w:rPr>
        <w:t>染病疫苗接种意外住院医疗保险金给付限额时，本公司对于被保险人在法定</w:t>
      </w:r>
      <w:r>
        <w:rPr>
          <w:spacing w:val="-2"/>
        </w:rPr>
        <w:t>传染病疫苗接种意外住院医疗保险金项下的保险责任终止。</w:t>
      </w:r>
    </w:p>
    <w:p>
      <w:pPr>
        <w:pStyle w:val="BodyText"/>
        <w:rPr>
          <w:sz w:val="20"/>
        </w:rPr>
      </w:pPr>
    </w:p>
    <w:p>
      <w:pPr>
        <w:spacing w:after="0"/>
        <w:rPr>
          <w:sz w:val="20"/>
        </w:rPr>
        <w:sectPr>
          <w:pgSz w:w="11910" w:h="16840"/>
          <w:pgMar w:header="0" w:footer="659" w:top="1400" w:bottom="1000" w:left="920" w:right="880"/>
        </w:sectPr>
      </w:pPr>
    </w:p>
    <w:p>
      <w:pPr>
        <w:pStyle w:val="BodyText"/>
        <w:spacing w:before="7"/>
        <w:rPr>
          <w:sz w:val="19"/>
        </w:rPr>
      </w:pPr>
    </w:p>
    <w:p>
      <w:pPr>
        <w:pStyle w:val="Heading3"/>
        <w:numPr>
          <w:ilvl w:val="1"/>
          <w:numId w:val="6"/>
        </w:numPr>
        <w:tabs>
          <w:tab w:pos="1228" w:val="left" w:leader="none"/>
          <w:tab w:pos="1229" w:val="left" w:leader="none"/>
        </w:tabs>
        <w:spacing w:line="278" w:lineRule="auto" w:before="0" w:after="0"/>
        <w:ind w:left="1228" w:right="0" w:hanging="961"/>
        <w:jc w:val="left"/>
      </w:pPr>
      <w:r>
        <w:rPr>
          <w:spacing w:val="8"/>
        </w:rPr>
        <w:t>补偿原则与给付</w:t>
      </w:r>
      <w:r>
        <w:rPr>
          <w:spacing w:val="-6"/>
        </w:rPr>
        <w:t>标准</w:t>
      </w:r>
    </w:p>
    <w:p>
      <w:pPr>
        <w:spacing w:line="240" w:lineRule="auto" w:before="7"/>
        <w:rPr>
          <w:b/>
          <w:sz w:val="19"/>
        </w:rPr>
      </w:pPr>
      <w:r>
        <w:rPr/>
        <w:br w:type="column"/>
      </w:r>
      <w:r>
        <w:rPr>
          <w:b/>
          <w:sz w:val="19"/>
        </w:rPr>
      </w:r>
    </w:p>
    <w:p>
      <w:pPr>
        <w:pStyle w:val="BodyText"/>
        <w:spacing w:line="276" w:lineRule="auto"/>
        <w:ind w:left="174" w:right="160"/>
      </w:pPr>
      <w:r>
        <w:rPr/>
        <w:drawing>
          <wp:anchor distT="0" distB="0" distL="0" distR="0" allowOverlap="1" layoutInCell="1" locked="0" behindDoc="1" simplePos="0" relativeHeight="487060992">
            <wp:simplePos x="0" y="0"/>
            <wp:positionH relativeFrom="page">
              <wp:posOffset>5392801</wp:posOffset>
            </wp:positionH>
            <wp:positionV relativeFrom="paragraph">
              <wp:posOffset>195834</wp:posOffset>
            </wp:positionV>
            <wp:extent cx="1435862" cy="173735"/>
            <wp:effectExtent l="0" t="0" r="0" b="0"/>
            <wp:wrapNone/>
            <wp:docPr id="19" name="image7.png"/>
            <wp:cNvGraphicFramePr>
              <a:graphicFrameLocks noChangeAspect="1"/>
            </wp:cNvGraphicFramePr>
            <a:graphic>
              <a:graphicData uri="http://schemas.openxmlformats.org/drawingml/2006/picture">
                <pic:pic>
                  <pic:nvPicPr>
                    <pic:cNvPr id="20" name="image7.png"/>
                    <pic:cNvPicPr/>
                  </pic:nvPicPr>
                  <pic:blipFill>
                    <a:blip r:embed="rId12" cstate="print"/>
                    <a:stretch>
                      <a:fillRect/>
                    </a:stretch>
                  </pic:blipFill>
                  <pic:spPr>
                    <a:xfrm>
                      <a:off x="0" y="0"/>
                      <a:ext cx="1435862" cy="173735"/>
                    </a:xfrm>
                    <a:prstGeom prst="rect">
                      <a:avLst/>
                    </a:prstGeom>
                  </pic:spPr>
                </pic:pic>
              </a:graphicData>
            </a:graphic>
          </wp:anchor>
        </w:drawing>
      </w:r>
      <w:r>
        <w:rPr>
          <w:color w:val="000000"/>
          <w:spacing w:val="1"/>
          <w:w w:val="100"/>
          <w:shd w:fill="E4E4E4" w:color="auto" w:val="clear"/>
        </w:rPr>
        <w:t>对于法定传染病住院医疗保险金、法定传染病疫苗接种意外住院医疗保险</w:t>
      </w:r>
      <w:r>
        <w:rPr>
          <w:color w:val="000000"/>
          <w:spacing w:val="1"/>
          <w:w w:val="100"/>
          <w:shd w:fill="E4E4E4" w:color="auto" w:val="clear"/>
        </w:rPr>
        <w:t>                                                                                                                                </w:t>
      </w:r>
      <w:r>
        <w:rPr>
          <w:color w:val="000000"/>
          <w:spacing w:val="-8"/>
          <w:w w:val="100"/>
          <w:shd w:fill="E4E4E4" w:color="auto" w:val="clear"/>
        </w:rPr>
        <w:t>金，若被保险人已从其他途径</w:t>
      </w:r>
      <w:r>
        <w:rPr>
          <w:color w:val="000000"/>
          <w:spacing w:val="-3"/>
          <w:w w:val="100"/>
          <w:shd w:fill="E4E4E4" w:color="auto" w:val="clear"/>
        </w:rPr>
        <w:t>（</w:t>
      </w:r>
      <w:r>
        <w:rPr>
          <w:color w:val="000000"/>
          <w:spacing w:val="-2"/>
          <w:w w:val="100"/>
          <w:shd w:fill="E4E4E4" w:color="auto" w:val="clear"/>
        </w:rPr>
        <w:t>包括</w:t>
      </w:r>
      <w:r>
        <w:rPr>
          <w:b/>
          <w:color w:val="000000"/>
          <w:spacing w:val="-1"/>
          <w:w w:val="100"/>
          <w:shd w:fill="E4E4E4" w:color="auto" w:val="clear"/>
        </w:rPr>
        <w:t>基本医疗保险</w:t>
      </w:r>
      <w:r>
        <w:rPr>
          <w:color w:val="000000"/>
          <w:w w:val="100"/>
          <w:position w:val="11"/>
          <w:sz w:val="11"/>
        </w:rPr>
        <w:t>26</w:t>
      </w:r>
      <w:r>
        <w:rPr>
          <w:color w:val="000000"/>
          <w:spacing w:val="-9"/>
          <w:w w:val="100"/>
        </w:rPr>
        <w:t>、公费医疗、财政补贴、</w:t>
      </w:r>
      <w:r>
        <w:rPr>
          <w:color w:val="000000"/>
          <w:spacing w:val="-9"/>
          <w:w w:val="100"/>
          <w:shd w:fill="E4E4E4" w:color="auto" w:val="clear"/>
        </w:rPr>
        <w:t>工作单位、保险人在内的任何商业保险机构等</w:t>
      </w:r>
      <w:r>
        <w:rPr>
          <w:color w:val="000000"/>
          <w:spacing w:val="-32"/>
          <w:w w:val="100"/>
          <w:shd w:fill="E4E4E4" w:color="auto" w:val="clear"/>
        </w:rPr>
        <w:t>）</w:t>
      </w:r>
      <w:r>
        <w:rPr>
          <w:color w:val="000000"/>
          <w:spacing w:val="-7"/>
          <w:w w:val="100"/>
          <w:shd w:fill="E4E4E4" w:color="auto" w:val="clear"/>
        </w:rPr>
        <w:t>获得费用补偿，则本公司仅</w:t>
      </w:r>
      <w:r>
        <w:rPr>
          <w:color w:val="000000"/>
          <w:spacing w:val="1"/>
          <w:w w:val="100"/>
          <w:shd w:fill="E4E4E4" w:color="auto" w:val="clear"/>
        </w:rPr>
        <w:t>对被保险人实际发生的费用扣除其所获费用补偿后的余额按照本合同的约</w:t>
      </w:r>
      <w:r>
        <w:rPr>
          <w:color w:val="000000"/>
          <w:spacing w:val="-10"/>
          <w:w w:val="100"/>
          <w:shd w:fill="E4E4E4" w:color="auto" w:val="clear"/>
        </w:rPr>
        <w:t>定进行赔付。基本医疗保险个人账户支出部分视为个人支付，不属于已获得</w:t>
      </w:r>
      <w:r>
        <w:rPr>
          <w:color w:val="000000"/>
          <w:spacing w:val="-5"/>
          <w:w w:val="100"/>
          <w:shd w:fill="E4E4E4" w:color="auto" w:val="clear"/>
        </w:rPr>
        <w:t>的费用补偿。</w:t>
      </w:r>
    </w:p>
    <w:p>
      <w:pPr>
        <w:spacing w:after="0" w:line="276" w:lineRule="auto"/>
        <w:sectPr>
          <w:type w:val="continuous"/>
          <w:pgSz w:w="11910" w:h="16840"/>
          <w:pgMar w:header="0" w:footer="659" w:top="480" w:bottom="840" w:left="920" w:right="880"/>
          <w:cols w:num="2" w:equalWidth="0">
            <w:col w:w="2783" w:space="40"/>
            <w:col w:w="7287"/>
          </w:cols>
        </w:sectPr>
      </w:pPr>
    </w:p>
    <w:p>
      <w:pPr>
        <w:pStyle w:val="BodyText"/>
        <w:spacing w:before="2"/>
        <w:rPr>
          <w:sz w:val="19"/>
        </w:rPr>
      </w:pPr>
    </w:p>
    <w:p>
      <w:pPr>
        <w:pStyle w:val="ListParagraph"/>
        <w:numPr>
          <w:ilvl w:val="2"/>
          <w:numId w:val="6"/>
        </w:numPr>
        <w:tabs>
          <w:tab w:pos="3718" w:val="left" w:leader="none"/>
        </w:tabs>
        <w:spacing w:line="278" w:lineRule="auto" w:before="72" w:after="0"/>
        <w:ind w:left="3717" w:right="265" w:hanging="721"/>
        <w:jc w:val="both"/>
        <w:rPr>
          <w:sz w:val="21"/>
        </w:rPr>
      </w:pPr>
      <w:r>
        <w:rPr>
          <w:color w:val="000000"/>
          <w:spacing w:val="-2"/>
          <w:sz w:val="21"/>
          <w:shd w:fill="E4E4E4" w:color="auto" w:val="clear"/>
        </w:rPr>
        <w:t>若被保险人以参加基本医疗保险身份投保且以参加基本医疗保险身</w:t>
      </w:r>
      <w:r>
        <w:rPr>
          <w:color w:val="000000"/>
          <w:spacing w:val="11760"/>
          <w:sz w:val="21"/>
          <w:shd w:fill="E4E4E4" w:color="auto" w:val="clear"/>
        </w:rPr>
        <w:t> </w:t>
      </w:r>
      <w:r>
        <w:rPr>
          <w:color w:val="000000"/>
          <w:spacing w:val="-2"/>
          <w:sz w:val="21"/>
          <w:shd w:fill="E4E4E4" w:color="auto" w:val="clear"/>
        </w:rPr>
        <w:t>份就诊并结算的，或被保险人未以参加基本医疗保险身份投保的，</w:t>
      </w:r>
      <w:r>
        <w:rPr>
          <w:color w:val="000000"/>
          <w:sz w:val="21"/>
          <w:shd w:fill="E4E4E4" w:color="auto" w:val="clear"/>
        </w:rPr>
        <w:t>则本公司对于符合保险责任的医疗费用按照保险金的 100%进行赔</w:t>
      </w:r>
      <w:r>
        <w:rPr>
          <w:color w:val="000000"/>
          <w:spacing w:val="-6"/>
          <w:sz w:val="21"/>
          <w:shd w:fill="E4E4E4" w:color="auto" w:val="clear"/>
        </w:rPr>
        <w:t>付；</w:t>
      </w:r>
    </w:p>
    <w:p>
      <w:pPr>
        <w:pStyle w:val="ListParagraph"/>
        <w:numPr>
          <w:ilvl w:val="2"/>
          <w:numId w:val="6"/>
        </w:numPr>
        <w:tabs>
          <w:tab w:pos="3718" w:val="left" w:leader="none"/>
        </w:tabs>
        <w:spacing w:line="278" w:lineRule="auto" w:before="156" w:after="0"/>
        <w:ind w:left="3717" w:right="265" w:hanging="721"/>
        <w:jc w:val="both"/>
        <w:rPr>
          <w:sz w:val="21"/>
        </w:rPr>
      </w:pPr>
      <w:r>
        <w:rPr>
          <w:color w:val="000000"/>
          <w:spacing w:val="-2"/>
          <w:sz w:val="21"/>
          <w:shd w:fill="E4E4E4" w:color="auto" w:val="clear"/>
        </w:rPr>
        <w:t>若被保险人以参加基本医疗保险身份投保，但未以参加基本医疗保</w:t>
      </w:r>
      <w:r>
        <w:rPr>
          <w:color w:val="000000"/>
          <w:spacing w:val="40"/>
          <w:sz w:val="21"/>
          <w:shd w:fill="E4E4E4" w:color="auto" w:val="clear"/>
        </w:rPr>
        <w:t> </w:t>
      </w:r>
      <w:r>
        <w:rPr>
          <w:color w:val="000000"/>
          <w:spacing w:val="-2"/>
          <w:sz w:val="21"/>
          <w:shd w:fill="E4E4E4" w:color="auto" w:val="clear"/>
        </w:rPr>
        <w:t>险身份就诊并结算的，则本公司对于符合保险责任的医疗费用按照</w:t>
      </w:r>
      <w:r>
        <w:rPr>
          <w:color w:val="000000"/>
          <w:spacing w:val="-1"/>
          <w:sz w:val="21"/>
          <w:shd w:fill="E4E4E4" w:color="auto" w:val="clear"/>
        </w:rPr>
        <w:t>保险金的 </w:t>
      </w:r>
      <w:r>
        <w:rPr>
          <w:color w:val="000000"/>
          <w:sz w:val="21"/>
          <w:shd w:fill="E4E4E4" w:color="auto" w:val="clear"/>
        </w:rPr>
        <w:t>60%进行赔付；本公司对于符合法定传染病疫苗接种保险</w:t>
      </w:r>
      <w:r>
        <w:rPr>
          <w:color w:val="000000"/>
          <w:spacing w:val="-4"/>
          <w:sz w:val="21"/>
          <w:shd w:fill="E4E4E4" w:color="auto" w:val="clear"/>
        </w:rPr>
        <w:t>责任的费用，按照保险金的 </w:t>
      </w:r>
      <w:r>
        <w:rPr>
          <w:color w:val="000000"/>
          <w:sz w:val="21"/>
          <w:shd w:fill="E4E4E4" w:color="auto" w:val="clear"/>
        </w:rPr>
        <w:t>100%进行赔付。</w:t>
      </w:r>
    </w:p>
    <w:p>
      <w:pPr>
        <w:pStyle w:val="BodyText"/>
        <w:spacing w:before="9"/>
        <w:rPr>
          <w:sz w:val="18"/>
        </w:rPr>
      </w:pPr>
    </w:p>
    <w:p>
      <w:pPr>
        <w:pStyle w:val="Heading3"/>
        <w:numPr>
          <w:ilvl w:val="1"/>
          <w:numId w:val="6"/>
        </w:numPr>
        <w:tabs>
          <w:tab w:pos="1228" w:val="left" w:leader="none"/>
          <w:tab w:pos="1229" w:val="left" w:leader="none"/>
        </w:tabs>
        <w:spacing w:line="240" w:lineRule="auto" w:before="72" w:after="0"/>
        <w:ind w:left="1228" w:right="0" w:hanging="962"/>
        <w:jc w:val="left"/>
      </w:pPr>
      <w:r>
        <w:rPr>
          <w:spacing w:val="-3"/>
        </w:rPr>
        <w:t>责任免除</w:t>
      </w:r>
    </w:p>
    <w:p>
      <w:pPr>
        <w:pStyle w:val="BodyText"/>
        <w:spacing w:before="9"/>
        <w:rPr>
          <w:b/>
          <w:sz w:val="27"/>
        </w:rPr>
      </w:pPr>
    </w:p>
    <w:p>
      <w:pPr>
        <w:pStyle w:val="ListParagraph"/>
        <w:numPr>
          <w:ilvl w:val="2"/>
          <w:numId w:val="7"/>
        </w:numPr>
        <w:tabs>
          <w:tab w:pos="1229" w:val="left" w:leader="none"/>
          <w:tab w:pos="2997" w:val="left" w:leader="none"/>
        </w:tabs>
        <w:spacing w:line="278" w:lineRule="auto" w:before="0" w:after="0"/>
        <w:ind w:left="2997" w:right="172" w:hanging="2518"/>
        <w:jc w:val="left"/>
        <w:rPr>
          <w:sz w:val="21"/>
        </w:rPr>
      </w:pPr>
      <w:r>
        <w:rPr>
          <w:b/>
          <w:spacing w:val="-2"/>
          <w:sz w:val="21"/>
        </w:rPr>
        <w:t>一</w:t>
      </w:r>
      <w:r>
        <w:rPr>
          <w:b/>
          <w:spacing w:val="-2"/>
          <w:sz w:val="21"/>
        </w:rPr>
        <w:t>般</w:t>
      </w:r>
      <w:r>
        <w:rPr>
          <w:b/>
          <w:spacing w:val="-2"/>
          <w:sz w:val="21"/>
        </w:rPr>
        <w:t>责</w:t>
      </w:r>
      <w:r>
        <w:rPr>
          <w:b/>
          <w:spacing w:val="-2"/>
          <w:sz w:val="21"/>
        </w:rPr>
        <w:t>任</w:t>
      </w:r>
      <w:r>
        <w:rPr>
          <w:b/>
          <w:spacing w:val="-2"/>
          <w:sz w:val="21"/>
        </w:rPr>
        <w:t>免</w:t>
      </w:r>
      <w:r>
        <w:rPr>
          <w:b/>
          <w:spacing w:val="-2"/>
          <w:sz w:val="21"/>
        </w:rPr>
        <w:t>除</w:t>
      </w:r>
      <w:r>
        <w:rPr>
          <w:b/>
          <w:sz w:val="21"/>
        </w:rPr>
        <w:tab/>
      </w:r>
      <w:r>
        <w:rPr>
          <w:color w:val="000000"/>
          <w:spacing w:val="-2"/>
          <w:w w:val="95"/>
          <w:sz w:val="21"/>
          <w:shd w:fill="E4E4E4" w:color="auto" w:val="clear"/>
        </w:rPr>
        <w:t>因</w:t>
      </w:r>
      <w:r>
        <w:rPr>
          <w:color w:val="000000"/>
          <w:spacing w:val="-2"/>
          <w:w w:val="95"/>
          <w:sz w:val="21"/>
          <w:shd w:fill="E4E4E4" w:color="auto" w:val="clear"/>
        </w:rPr>
        <w:t>下</w:t>
      </w:r>
      <w:r>
        <w:rPr>
          <w:color w:val="000000"/>
          <w:spacing w:val="-2"/>
          <w:w w:val="95"/>
          <w:sz w:val="21"/>
          <w:shd w:fill="E4E4E4" w:color="auto" w:val="clear"/>
        </w:rPr>
        <w:t>列情形之一导致被保</w:t>
      </w:r>
      <w:r>
        <w:rPr>
          <w:color w:val="000000"/>
          <w:spacing w:val="-2"/>
          <w:w w:val="95"/>
          <w:sz w:val="21"/>
          <w:shd w:fill="E4E4E4" w:color="auto" w:val="clear"/>
        </w:rPr>
        <w:t>险</w:t>
      </w:r>
      <w:r>
        <w:rPr>
          <w:color w:val="000000"/>
          <w:spacing w:val="-2"/>
          <w:w w:val="95"/>
          <w:sz w:val="21"/>
          <w:shd w:fill="E4E4E4" w:color="auto" w:val="clear"/>
        </w:rPr>
        <w:t>人</w:t>
      </w:r>
      <w:r>
        <w:rPr>
          <w:color w:val="000000"/>
          <w:spacing w:val="-2"/>
          <w:w w:val="95"/>
          <w:sz w:val="21"/>
          <w:shd w:fill="E4E4E4" w:color="auto" w:val="clear"/>
        </w:rPr>
        <w:t>支出医疗费用、发生</w:t>
      </w:r>
      <w:r>
        <w:rPr>
          <w:color w:val="000000"/>
          <w:spacing w:val="-2"/>
          <w:w w:val="95"/>
          <w:sz w:val="21"/>
          <w:shd w:fill="E4E4E4" w:color="auto" w:val="clear"/>
        </w:rPr>
        <w:t>门</w:t>
      </w:r>
      <w:r>
        <w:rPr>
          <w:color w:val="000000"/>
          <w:spacing w:val="-2"/>
          <w:w w:val="95"/>
          <w:sz w:val="21"/>
          <w:shd w:fill="E4E4E4" w:color="auto" w:val="clear"/>
        </w:rPr>
        <w:t>急</w:t>
      </w:r>
      <w:r>
        <w:rPr>
          <w:color w:val="000000"/>
          <w:spacing w:val="-2"/>
          <w:w w:val="95"/>
          <w:sz w:val="21"/>
          <w:shd w:fill="E4E4E4" w:color="auto" w:val="clear"/>
        </w:rPr>
        <w:t>诊留观或集中隔离、</w:t>
      </w:r>
      <w:r>
        <w:rPr>
          <w:color w:val="000000"/>
          <w:spacing w:val="13335"/>
          <w:w w:val="95"/>
          <w:sz w:val="21"/>
          <w:shd w:fill="E4E4E4" w:color="auto" w:val="clear"/>
        </w:rPr>
        <w:t> </w:t>
      </w:r>
      <w:r>
        <w:rPr>
          <w:color w:val="000000"/>
          <w:spacing w:val="-2"/>
          <w:sz w:val="21"/>
          <w:shd w:fill="E4E4E4" w:color="auto" w:val="clear"/>
        </w:rPr>
        <w:t>或</w:t>
      </w:r>
      <w:r>
        <w:rPr>
          <w:color w:val="000000"/>
          <w:spacing w:val="-2"/>
          <w:sz w:val="21"/>
          <w:shd w:fill="E4E4E4" w:color="auto" w:val="clear"/>
        </w:rPr>
        <w:t>发</w:t>
      </w:r>
      <w:r>
        <w:rPr>
          <w:color w:val="000000"/>
          <w:spacing w:val="-2"/>
          <w:sz w:val="21"/>
          <w:shd w:fill="E4E4E4" w:color="auto" w:val="clear"/>
        </w:rPr>
        <w:t>生如下列明的医疗费</w:t>
      </w:r>
      <w:r>
        <w:rPr>
          <w:color w:val="000000"/>
          <w:spacing w:val="-2"/>
          <w:sz w:val="21"/>
          <w:shd w:fill="E4E4E4" w:color="auto" w:val="clear"/>
        </w:rPr>
        <w:t>用</w:t>
      </w:r>
      <w:r>
        <w:rPr>
          <w:color w:val="000000"/>
          <w:spacing w:val="-2"/>
          <w:sz w:val="21"/>
          <w:shd w:fill="E4E4E4" w:color="auto" w:val="clear"/>
        </w:rPr>
        <w:t>的</w:t>
      </w:r>
      <w:r>
        <w:rPr>
          <w:color w:val="000000"/>
          <w:spacing w:val="-2"/>
          <w:sz w:val="21"/>
          <w:shd w:fill="E4E4E4" w:color="auto" w:val="clear"/>
        </w:rPr>
        <w:t>，本公司不承担给付</w:t>
      </w:r>
      <w:r>
        <w:rPr>
          <w:color w:val="000000"/>
          <w:spacing w:val="-2"/>
          <w:sz w:val="21"/>
          <w:shd w:fill="E4E4E4" w:color="auto" w:val="clear"/>
        </w:rPr>
        <w:t>保</w:t>
      </w:r>
      <w:r>
        <w:rPr>
          <w:color w:val="000000"/>
          <w:spacing w:val="-2"/>
          <w:sz w:val="21"/>
          <w:shd w:fill="E4E4E4" w:color="auto" w:val="clear"/>
        </w:rPr>
        <w:t>险</w:t>
      </w:r>
      <w:r>
        <w:rPr>
          <w:color w:val="000000"/>
          <w:spacing w:val="-2"/>
          <w:sz w:val="21"/>
          <w:shd w:fill="E4E4E4" w:color="auto" w:val="clear"/>
        </w:rPr>
        <w:t>金的责</w:t>
      </w:r>
      <w:r>
        <w:rPr>
          <w:color w:val="000000"/>
          <w:spacing w:val="-2"/>
          <w:sz w:val="21"/>
          <w:shd w:fill="E4E4E4" w:color="auto" w:val="clear"/>
        </w:rPr>
        <w:t>任</w:t>
      </w:r>
      <w:r>
        <w:rPr>
          <w:color w:val="000000"/>
          <w:spacing w:val="-2"/>
          <w:sz w:val="21"/>
          <w:shd w:fill="E4E4E4" w:color="auto" w:val="clear"/>
        </w:rPr>
        <w:t>：</w:t>
      </w:r>
    </w:p>
    <w:p>
      <w:pPr>
        <w:pStyle w:val="ListParagraph"/>
        <w:numPr>
          <w:ilvl w:val="3"/>
          <w:numId w:val="7"/>
        </w:numPr>
        <w:tabs>
          <w:tab w:pos="3718" w:val="left" w:leader="none"/>
        </w:tabs>
        <w:spacing w:line="240" w:lineRule="auto" w:before="156" w:after="0"/>
        <w:ind w:left="3717" w:right="0" w:hanging="721"/>
        <w:jc w:val="left"/>
        <w:rPr>
          <w:sz w:val="21"/>
        </w:rPr>
      </w:pPr>
      <w:r>
        <w:rPr>
          <w:color w:val="000000"/>
          <w:spacing w:val="-3"/>
          <w:sz w:val="21"/>
          <w:shd w:fill="E4E4E4" w:color="auto" w:val="clear"/>
        </w:rPr>
        <w:t>投保人对被保险人的故意杀害或故意伤害；</w:t>
      </w:r>
    </w:p>
    <w:p>
      <w:pPr>
        <w:pStyle w:val="BodyText"/>
        <w:spacing w:before="12"/>
        <w:rPr>
          <w:sz w:val="9"/>
        </w:rPr>
      </w:pPr>
    </w:p>
    <w:p>
      <w:pPr>
        <w:pStyle w:val="ListParagraph"/>
        <w:numPr>
          <w:ilvl w:val="3"/>
          <w:numId w:val="7"/>
        </w:numPr>
        <w:tabs>
          <w:tab w:pos="3718" w:val="left" w:leader="none"/>
        </w:tabs>
        <w:spacing w:line="278" w:lineRule="auto" w:before="72" w:after="0"/>
        <w:ind w:left="3717" w:right="266" w:hanging="721"/>
        <w:jc w:val="left"/>
        <w:rPr>
          <w:sz w:val="21"/>
        </w:rPr>
      </w:pPr>
      <w:r>
        <w:rPr>
          <w:color w:val="000000"/>
          <w:spacing w:val="-2"/>
          <w:sz w:val="21"/>
          <w:shd w:fill="E4E4E4" w:color="auto" w:val="clear"/>
        </w:rPr>
        <w:t>被保险人故意犯罪、抗拒依法采取的刑事强制措施被政府依法拘禁</w:t>
      </w:r>
      <w:r>
        <w:rPr>
          <w:color w:val="000000"/>
          <w:spacing w:val="-2"/>
          <w:sz w:val="21"/>
          <w:shd w:fill="E4E4E4" w:color="auto" w:val="clear"/>
        </w:rPr>
        <w:t>或入狱期间；</w:t>
      </w:r>
    </w:p>
    <w:p>
      <w:pPr>
        <w:pStyle w:val="ListParagraph"/>
        <w:numPr>
          <w:ilvl w:val="3"/>
          <w:numId w:val="7"/>
        </w:numPr>
        <w:tabs>
          <w:tab w:pos="3718" w:val="left" w:leader="none"/>
        </w:tabs>
        <w:spacing w:line="278" w:lineRule="auto" w:before="156" w:after="0"/>
        <w:ind w:left="3717" w:right="266" w:hanging="721"/>
        <w:jc w:val="left"/>
        <w:rPr>
          <w:sz w:val="21"/>
        </w:rPr>
      </w:pPr>
      <w:r>
        <w:rPr>
          <w:color w:val="000000"/>
          <w:spacing w:val="-2"/>
          <w:sz w:val="21"/>
          <w:shd w:fill="E4E4E4" w:color="auto" w:val="clear"/>
        </w:rPr>
        <w:t>被保险人故意自伤或因被保险人挑衅或故意行为而导致的打斗、被</w:t>
      </w:r>
      <w:r>
        <w:rPr>
          <w:color w:val="000000"/>
          <w:spacing w:val="11760"/>
          <w:sz w:val="21"/>
          <w:shd w:fill="E4E4E4" w:color="auto" w:val="clear"/>
        </w:rPr>
        <w:t> </w:t>
      </w:r>
      <w:r>
        <w:rPr>
          <w:color w:val="000000"/>
          <w:spacing w:val="-2"/>
          <w:sz w:val="21"/>
          <w:shd w:fill="E4E4E4" w:color="auto" w:val="clear"/>
        </w:rPr>
        <w:t>袭击、被谋杀；</w:t>
      </w:r>
    </w:p>
    <w:p>
      <w:pPr>
        <w:pStyle w:val="ListParagraph"/>
        <w:numPr>
          <w:ilvl w:val="3"/>
          <w:numId w:val="7"/>
        </w:numPr>
        <w:tabs>
          <w:tab w:pos="3718" w:val="left" w:leader="none"/>
        </w:tabs>
        <w:spacing w:line="268" w:lineRule="auto" w:before="145" w:after="0"/>
        <w:ind w:left="3717" w:right="268" w:hanging="721"/>
        <w:jc w:val="left"/>
        <w:rPr>
          <w:sz w:val="21"/>
        </w:rPr>
      </w:pPr>
      <w:r>
        <w:rPr>
          <w:color w:val="000000"/>
          <w:spacing w:val="-2"/>
          <w:sz w:val="21"/>
          <w:shd w:fill="E4E4E4" w:color="auto" w:val="clear"/>
        </w:rPr>
        <w:t>被保险人</w:t>
      </w:r>
      <w:r>
        <w:rPr>
          <w:b/>
          <w:color w:val="000000"/>
          <w:spacing w:val="-2"/>
          <w:sz w:val="21"/>
          <w:shd w:fill="E4E4E4" w:color="auto" w:val="clear"/>
        </w:rPr>
        <w:t>酒后驾驶</w:t>
      </w:r>
      <w:r>
        <w:rPr>
          <w:color w:val="000000"/>
          <w:spacing w:val="-2"/>
          <w:position w:val="11"/>
          <w:sz w:val="11"/>
        </w:rPr>
        <w:t>27</w:t>
      </w:r>
      <w:r>
        <w:rPr>
          <w:color w:val="000000"/>
          <w:spacing w:val="-2"/>
          <w:sz w:val="21"/>
          <w:shd w:fill="E4E4E4" w:color="auto" w:val="clear"/>
        </w:rPr>
        <w:t>、</w:t>
      </w:r>
      <w:r>
        <w:rPr>
          <w:b/>
          <w:color w:val="000000"/>
          <w:spacing w:val="-2"/>
          <w:sz w:val="21"/>
          <w:shd w:fill="E4E4E4" w:color="auto" w:val="clear"/>
        </w:rPr>
        <w:t>无合法有效驾驶证驾驶</w:t>
      </w:r>
      <w:r>
        <w:rPr>
          <w:color w:val="000000"/>
          <w:spacing w:val="-2"/>
          <w:position w:val="11"/>
          <w:sz w:val="11"/>
        </w:rPr>
        <w:t>28</w:t>
      </w:r>
      <w:r>
        <w:rPr>
          <w:color w:val="000000"/>
          <w:spacing w:val="-2"/>
          <w:sz w:val="21"/>
          <w:shd w:fill="E4E4E4" w:color="auto" w:val="clear"/>
        </w:rPr>
        <w:t>，或驾驶</w:t>
      </w:r>
      <w:r>
        <w:rPr>
          <w:b/>
          <w:color w:val="000000"/>
          <w:spacing w:val="-2"/>
          <w:sz w:val="21"/>
          <w:shd w:fill="E4E4E4" w:color="auto" w:val="clear"/>
        </w:rPr>
        <w:t>无有效行驶</w:t>
      </w:r>
      <w:r>
        <w:rPr>
          <w:b/>
          <w:color w:val="000000"/>
          <w:spacing w:val="80"/>
          <w:w w:val="150"/>
          <w:sz w:val="21"/>
          <w:shd w:fill="E4E4E4" w:color="auto" w:val="clear"/>
        </w:rPr>
        <w:t>                                 </w:t>
      </w:r>
      <w:r>
        <w:rPr>
          <w:b/>
          <w:color w:val="000000"/>
          <w:spacing w:val="-2"/>
          <w:sz w:val="21"/>
          <w:shd w:fill="E4E4E4" w:color="auto" w:val="clear"/>
        </w:rPr>
        <w:t>证</w:t>
      </w:r>
      <w:r>
        <w:rPr>
          <w:color w:val="000000"/>
          <w:spacing w:val="-2"/>
          <w:position w:val="11"/>
          <w:sz w:val="11"/>
        </w:rPr>
        <w:t>29</w:t>
      </w:r>
      <w:r>
        <w:rPr>
          <w:color w:val="000000"/>
          <w:spacing w:val="-2"/>
          <w:sz w:val="21"/>
          <w:shd w:fill="E4E4E4" w:color="auto" w:val="clear"/>
        </w:rPr>
        <w:t>的</w:t>
      </w:r>
      <w:r>
        <w:rPr>
          <w:b/>
          <w:color w:val="000000"/>
          <w:spacing w:val="-2"/>
          <w:sz w:val="21"/>
          <w:shd w:fill="E4E4E4" w:color="auto" w:val="clear"/>
        </w:rPr>
        <w:t>机动车</w:t>
      </w:r>
      <w:r>
        <w:rPr>
          <w:color w:val="000000"/>
          <w:spacing w:val="-2"/>
          <w:position w:val="11"/>
          <w:sz w:val="11"/>
        </w:rPr>
        <w:t>30</w:t>
      </w:r>
      <w:r>
        <w:rPr>
          <w:color w:val="000000"/>
          <w:spacing w:val="-2"/>
          <w:sz w:val="21"/>
          <w:shd w:fill="E4E4E4" w:color="auto" w:val="clear"/>
        </w:rPr>
        <w:t>；</w:t>
      </w:r>
    </w:p>
    <w:p>
      <w:pPr>
        <w:pStyle w:val="BodyText"/>
        <w:rPr>
          <w:sz w:val="20"/>
        </w:rPr>
      </w:pPr>
    </w:p>
    <w:p>
      <w:pPr>
        <w:pStyle w:val="BodyText"/>
        <w:rPr>
          <w:sz w:val="20"/>
        </w:rPr>
      </w:pPr>
    </w:p>
    <w:p>
      <w:pPr>
        <w:pStyle w:val="BodyText"/>
        <w:rPr>
          <w:sz w:val="20"/>
        </w:rPr>
      </w:pPr>
    </w:p>
    <w:p>
      <w:pPr>
        <w:pStyle w:val="BodyText"/>
        <w:spacing w:before="11"/>
        <w:rPr>
          <w:sz w:val="23"/>
        </w:rPr>
      </w:pPr>
      <w:r>
        <w:rPr/>
        <w:drawing>
          <wp:anchor distT="0" distB="0" distL="0" distR="0" allowOverlap="1" layoutInCell="1" locked="0" behindDoc="0" simplePos="0" relativeHeight="9">
            <wp:simplePos x="0" y="0"/>
            <wp:positionH relativeFrom="page">
              <wp:posOffset>685800</wp:posOffset>
            </wp:positionH>
            <wp:positionV relativeFrom="paragraph">
              <wp:posOffset>209411</wp:posOffset>
            </wp:positionV>
            <wp:extent cx="1829511" cy="6095"/>
            <wp:effectExtent l="0" t="0" r="0" b="0"/>
            <wp:wrapTopAndBottom/>
            <wp:docPr id="21" name="image6.png"/>
            <wp:cNvGraphicFramePr>
              <a:graphicFrameLocks noChangeAspect="1"/>
            </wp:cNvGraphicFramePr>
            <a:graphic>
              <a:graphicData uri="http://schemas.openxmlformats.org/drawingml/2006/picture">
                <pic:pic>
                  <pic:nvPicPr>
                    <pic:cNvPr id="22" name="image6.png"/>
                    <pic:cNvPicPr/>
                  </pic:nvPicPr>
                  <pic:blipFill>
                    <a:blip r:embed="rId11" cstate="print"/>
                    <a:stretch>
                      <a:fillRect/>
                    </a:stretch>
                  </pic:blipFill>
                  <pic:spPr>
                    <a:xfrm>
                      <a:off x="0" y="0"/>
                      <a:ext cx="1829511" cy="6095"/>
                    </a:xfrm>
                    <a:prstGeom prst="rect">
                      <a:avLst/>
                    </a:prstGeom>
                  </pic:spPr>
                </pic:pic>
              </a:graphicData>
            </a:graphic>
          </wp:anchor>
        </w:drawing>
      </w:r>
    </w:p>
    <w:p>
      <w:pPr>
        <w:spacing w:before="91"/>
        <w:ind w:left="160" w:right="0" w:firstLine="0"/>
        <w:jc w:val="both"/>
        <w:rPr>
          <w:rFonts w:ascii="楷体" w:eastAsia="楷体"/>
          <w:sz w:val="18"/>
        </w:rPr>
      </w:pPr>
      <w:r>
        <w:rPr>
          <w:rFonts w:ascii="楷体" w:eastAsia="楷体"/>
          <w:position w:val="9"/>
          <w:sz w:val="9"/>
        </w:rPr>
        <w:t>26</w:t>
      </w:r>
      <w:r>
        <w:rPr>
          <w:rFonts w:ascii="楷体" w:eastAsia="楷体"/>
          <w:spacing w:val="37"/>
          <w:position w:val="9"/>
          <w:sz w:val="9"/>
        </w:rPr>
        <w:t> </w:t>
      </w:r>
      <w:r>
        <w:rPr>
          <w:rFonts w:ascii="楷体" w:eastAsia="楷体" w:hint="eastAsia"/>
          <w:b/>
          <w:sz w:val="18"/>
        </w:rPr>
        <w:t>基本</w:t>
      </w:r>
      <w:r>
        <w:rPr>
          <w:rFonts w:ascii="楷体" w:eastAsia="楷体" w:hint="eastAsia"/>
          <w:b/>
          <w:sz w:val="18"/>
        </w:rPr>
        <w:t>医</w:t>
      </w:r>
      <w:r>
        <w:rPr>
          <w:rFonts w:ascii="楷体" w:eastAsia="楷体" w:hint="eastAsia"/>
          <w:b/>
          <w:sz w:val="18"/>
        </w:rPr>
        <w:t>疗</w:t>
      </w:r>
      <w:r>
        <w:rPr>
          <w:rFonts w:ascii="楷体" w:eastAsia="楷体" w:hint="eastAsia"/>
          <w:b/>
          <w:sz w:val="18"/>
        </w:rPr>
        <w:t>保</w:t>
      </w:r>
      <w:r>
        <w:rPr>
          <w:rFonts w:ascii="楷体" w:eastAsia="楷体" w:hint="eastAsia"/>
          <w:b/>
          <w:sz w:val="18"/>
        </w:rPr>
        <w:t>险</w:t>
      </w:r>
      <w:r>
        <w:rPr>
          <w:rFonts w:ascii="楷体" w:eastAsia="楷体"/>
          <w:spacing w:val="-1"/>
          <w:sz w:val="18"/>
        </w:rPr>
        <w:t>：基本医疗保险包括城镇职工基本医疗保险、城镇居民基本医疗保险、新型农村合作医疗。</w:t>
      </w:r>
    </w:p>
    <w:p>
      <w:pPr>
        <w:spacing w:line="242" w:lineRule="auto" w:before="4"/>
        <w:ind w:left="160" w:right="199" w:firstLine="0"/>
        <w:jc w:val="both"/>
        <w:rPr>
          <w:rFonts w:ascii="楷体" w:eastAsia="楷体"/>
          <w:sz w:val="18"/>
        </w:rPr>
      </w:pPr>
      <w:r>
        <w:rPr>
          <w:rFonts w:ascii="楷体" w:eastAsia="楷体"/>
          <w:position w:val="9"/>
          <w:sz w:val="9"/>
        </w:rPr>
        <w:t>27 </w:t>
      </w:r>
      <w:r>
        <w:rPr>
          <w:rFonts w:ascii="楷体" w:eastAsia="楷体" w:hint="eastAsia"/>
          <w:b/>
          <w:sz w:val="18"/>
        </w:rPr>
        <w:t>酒后</w:t>
      </w:r>
      <w:r>
        <w:rPr>
          <w:rFonts w:ascii="楷体" w:eastAsia="楷体" w:hint="eastAsia"/>
          <w:b/>
          <w:sz w:val="18"/>
        </w:rPr>
        <w:t>驾</w:t>
      </w:r>
      <w:r>
        <w:rPr>
          <w:rFonts w:ascii="楷体" w:eastAsia="楷体" w:hint="eastAsia"/>
          <w:b/>
          <w:sz w:val="18"/>
        </w:rPr>
        <w:t>驶</w:t>
      </w:r>
      <w:r>
        <w:rPr>
          <w:rFonts w:ascii="楷体" w:eastAsia="楷体"/>
          <w:sz w:val="18"/>
        </w:rPr>
        <w:t>：指经检测或鉴定，发生事故时车辆驾驶人员每百毫升血液中的酒精含量达到或超过一定的标准，公安机关交通</w:t>
      </w:r>
      <w:r>
        <w:rPr>
          <w:rFonts w:ascii="楷体" w:eastAsia="楷体"/>
          <w:spacing w:val="-2"/>
          <w:sz w:val="18"/>
        </w:rPr>
        <w:t>管理部门依据《道路交通安全法》的规定认定为饮酒后驾驶或醉酒后驾驶。</w:t>
      </w:r>
    </w:p>
    <w:p>
      <w:pPr>
        <w:spacing w:line="242" w:lineRule="auto" w:before="0"/>
        <w:ind w:left="160" w:right="193" w:firstLine="0"/>
        <w:jc w:val="both"/>
        <w:rPr>
          <w:rFonts w:ascii="楷体" w:eastAsia="楷体"/>
          <w:sz w:val="18"/>
        </w:rPr>
      </w:pPr>
      <w:r>
        <w:rPr>
          <w:rFonts w:ascii="楷体" w:eastAsia="楷体"/>
          <w:spacing w:val="-8"/>
          <w:position w:val="9"/>
          <w:sz w:val="9"/>
        </w:rPr>
        <w:t>28</w:t>
      </w:r>
      <w:r>
        <w:rPr>
          <w:rFonts w:ascii="楷体" w:eastAsia="楷体"/>
          <w:position w:val="9"/>
          <w:sz w:val="9"/>
        </w:rPr>
        <w:t> </w:t>
      </w:r>
      <w:r>
        <w:rPr>
          <w:rFonts w:ascii="楷体" w:eastAsia="楷体" w:hint="eastAsia"/>
          <w:b/>
          <w:spacing w:val="-8"/>
          <w:sz w:val="18"/>
        </w:rPr>
        <w:t>无合</w:t>
      </w:r>
      <w:r>
        <w:rPr>
          <w:rFonts w:ascii="楷体" w:eastAsia="楷体" w:hint="eastAsia"/>
          <w:b/>
          <w:spacing w:val="-8"/>
          <w:sz w:val="18"/>
        </w:rPr>
        <w:t>法</w:t>
      </w:r>
      <w:r>
        <w:rPr>
          <w:rFonts w:ascii="楷体" w:eastAsia="楷体" w:hint="eastAsia"/>
          <w:b/>
          <w:spacing w:val="-8"/>
          <w:sz w:val="18"/>
        </w:rPr>
        <w:t>有</w:t>
      </w:r>
      <w:r>
        <w:rPr>
          <w:rFonts w:ascii="楷体" w:eastAsia="楷体" w:hint="eastAsia"/>
          <w:b/>
          <w:spacing w:val="-8"/>
          <w:sz w:val="18"/>
        </w:rPr>
        <w:t>效</w:t>
      </w:r>
      <w:r>
        <w:rPr>
          <w:rFonts w:ascii="楷体" w:eastAsia="楷体" w:hint="eastAsia"/>
          <w:b/>
          <w:spacing w:val="-8"/>
          <w:sz w:val="18"/>
        </w:rPr>
        <w:t>驾</w:t>
      </w:r>
      <w:r>
        <w:rPr>
          <w:rFonts w:ascii="楷体" w:eastAsia="楷体" w:hint="eastAsia"/>
          <w:b/>
          <w:spacing w:val="-8"/>
          <w:sz w:val="18"/>
        </w:rPr>
        <w:t>驶</w:t>
      </w:r>
      <w:r>
        <w:rPr>
          <w:rFonts w:ascii="楷体" w:eastAsia="楷体" w:hint="eastAsia"/>
          <w:b/>
          <w:spacing w:val="-8"/>
          <w:sz w:val="18"/>
        </w:rPr>
        <w:t>证</w:t>
      </w:r>
      <w:r>
        <w:rPr>
          <w:rFonts w:ascii="楷体" w:eastAsia="楷体" w:hint="eastAsia"/>
          <w:b/>
          <w:spacing w:val="-8"/>
          <w:sz w:val="18"/>
        </w:rPr>
        <w:t>驾驶</w:t>
      </w:r>
      <w:r>
        <w:rPr>
          <w:rFonts w:ascii="楷体" w:eastAsia="楷体"/>
          <w:spacing w:val="-16"/>
          <w:sz w:val="18"/>
        </w:rPr>
        <w:t>：指下列任何驾驶情形：</w:t>
      </w:r>
      <w:r>
        <w:rPr>
          <w:rFonts w:ascii="楷体" w:eastAsia="楷体"/>
          <w:spacing w:val="28"/>
          <w:sz w:val="18"/>
        </w:rPr>
        <w:t>（</w:t>
      </w:r>
      <w:r>
        <w:rPr>
          <w:rFonts w:ascii="楷体" w:eastAsia="楷体"/>
          <w:spacing w:val="29"/>
          <w:sz w:val="18"/>
        </w:rPr>
        <w:t>1</w:t>
      </w:r>
      <w:r>
        <w:rPr>
          <w:rFonts w:ascii="楷体" w:eastAsia="楷体"/>
          <w:spacing w:val="1"/>
          <w:sz w:val="18"/>
        </w:rPr>
        <w:t>）</w:t>
      </w:r>
      <w:r>
        <w:rPr>
          <w:rFonts w:ascii="楷体" w:eastAsia="楷体"/>
          <w:spacing w:val="-18"/>
          <w:sz w:val="18"/>
        </w:rPr>
        <w:t>没有取得驾驶资格；</w:t>
      </w:r>
      <w:r>
        <w:rPr>
          <w:rFonts w:ascii="楷体" w:eastAsia="楷体"/>
          <w:spacing w:val="28"/>
          <w:sz w:val="18"/>
        </w:rPr>
        <w:t>（</w:t>
      </w:r>
      <w:r>
        <w:rPr>
          <w:rFonts w:ascii="楷体" w:eastAsia="楷体"/>
          <w:spacing w:val="29"/>
          <w:sz w:val="18"/>
        </w:rPr>
        <w:t>2</w:t>
      </w:r>
      <w:r>
        <w:rPr>
          <w:rFonts w:ascii="楷体" w:eastAsia="楷体"/>
          <w:spacing w:val="1"/>
          <w:sz w:val="18"/>
        </w:rPr>
        <w:t>）</w:t>
      </w:r>
      <w:r>
        <w:rPr>
          <w:rFonts w:ascii="楷体" w:eastAsia="楷体"/>
          <w:spacing w:val="-13"/>
          <w:sz w:val="18"/>
        </w:rPr>
        <w:t>驾驶与驾驶证准驾车型不相符合的车辆；</w:t>
      </w:r>
      <w:r>
        <w:rPr>
          <w:rFonts w:ascii="楷体" w:eastAsia="楷体"/>
          <w:spacing w:val="21"/>
          <w:sz w:val="18"/>
        </w:rPr>
        <w:t>（</w:t>
      </w:r>
      <w:r>
        <w:rPr>
          <w:rFonts w:ascii="楷体" w:eastAsia="楷体"/>
          <w:spacing w:val="22"/>
          <w:sz w:val="18"/>
        </w:rPr>
        <w:t>3</w:t>
      </w:r>
      <w:r>
        <w:rPr>
          <w:rFonts w:ascii="楷体" w:eastAsia="楷体"/>
          <w:spacing w:val="21"/>
          <w:sz w:val="18"/>
        </w:rPr>
        <w:t>）</w:t>
      </w:r>
      <w:r>
        <w:rPr>
          <w:rFonts w:ascii="楷体" w:eastAsia="楷体"/>
          <w:spacing w:val="-2"/>
          <w:sz w:val="18"/>
        </w:rPr>
        <w:t>持审验不合格的驾驶证驾驶；（4）在驾驶证有效期内未按照中华人民共和国法律、行政法规的规定，定期对机动车驾驶证实</w:t>
      </w:r>
      <w:r>
        <w:rPr>
          <w:rFonts w:ascii="楷体" w:eastAsia="楷体"/>
          <w:spacing w:val="-22"/>
          <w:sz w:val="18"/>
        </w:rPr>
        <w:t>施审验的；</w:t>
      </w:r>
      <w:r>
        <w:rPr>
          <w:rFonts w:ascii="楷体" w:eastAsia="楷体"/>
          <w:spacing w:val="27"/>
          <w:sz w:val="18"/>
        </w:rPr>
        <w:t>（</w:t>
      </w:r>
      <w:r>
        <w:rPr>
          <w:rFonts w:ascii="楷体" w:eastAsia="楷体"/>
          <w:spacing w:val="28"/>
          <w:sz w:val="18"/>
        </w:rPr>
        <w:t>5</w:t>
      </w:r>
      <w:r>
        <w:rPr>
          <w:rFonts w:ascii="楷体" w:eastAsia="楷体"/>
          <w:spacing w:val="5"/>
          <w:sz w:val="18"/>
        </w:rPr>
        <w:t>）</w:t>
      </w:r>
      <w:r>
        <w:rPr>
          <w:rFonts w:ascii="楷体" w:eastAsia="楷体"/>
          <w:spacing w:val="-9"/>
          <w:sz w:val="18"/>
        </w:rPr>
        <w:t>持学习驾驶证学习驾车时，无教练员随车指导，或不按指定时间、路线学习驾车；</w:t>
      </w:r>
      <w:r>
        <w:rPr>
          <w:rFonts w:ascii="楷体" w:eastAsia="楷体"/>
          <w:spacing w:val="28"/>
          <w:sz w:val="18"/>
        </w:rPr>
        <w:t>（6</w:t>
      </w:r>
      <w:r>
        <w:rPr>
          <w:rFonts w:ascii="楷体" w:eastAsia="楷体"/>
          <w:spacing w:val="5"/>
          <w:sz w:val="18"/>
        </w:rPr>
        <w:t>）</w:t>
      </w:r>
      <w:r>
        <w:rPr>
          <w:rFonts w:ascii="楷体" w:eastAsia="楷体"/>
          <w:spacing w:val="-7"/>
          <w:sz w:val="18"/>
        </w:rPr>
        <w:t>驾驶证已过有效期的。</w:t>
      </w:r>
    </w:p>
    <w:p>
      <w:pPr>
        <w:spacing w:line="242" w:lineRule="auto" w:before="2"/>
        <w:ind w:left="160" w:right="197" w:firstLine="0"/>
        <w:jc w:val="both"/>
        <w:rPr>
          <w:rFonts w:ascii="楷体" w:eastAsia="楷体"/>
          <w:sz w:val="18"/>
        </w:rPr>
      </w:pPr>
      <w:r>
        <w:rPr>
          <w:rFonts w:ascii="楷体" w:eastAsia="楷体"/>
          <w:spacing w:val="-4"/>
          <w:position w:val="9"/>
          <w:sz w:val="9"/>
        </w:rPr>
        <w:t>29</w:t>
      </w:r>
      <w:r>
        <w:rPr>
          <w:rFonts w:ascii="楷体" w:eastAsia="楷体"/>
          <w:spacing w:val="-5"/>
          <w:position w:val="9"/>
          <w:sz w:val="9"/>
        </w:rPr>
        <w:t> </w:t>
      </w:r>
      <w:r>
        <w:rPr>
          <w:rFonts w:ascii="楷体" w:eastAsia="楷体" w:hint="eastAsia"/>
          <w:b/>
          <w:spacing w:val="-4"/>
          <w:sz w:val="18"/>
        </w:rPr>
        <w:t>无有效行驶证</w:t>
      </w:r>
      <w:r>
        <w:rPr>
          <w:rFonts w:ascii="楷体" w:eastAsia="楷体"/>
          <w:spacing w:val="-4"/>
          <w:sz w:val="18"/>
        </w:rPr>
        <w:t>：指下列任何情形：（1）未取得行驶证；（2）机动车被依法注销登记的；（3）未依法按时进行或通过机动车</w:t>
      </w:r>
      <w:r>
        <w:rPr>
          <w:rFonts w:ascii="楷体" w:eastAsia="楷体"/>
          <w:spacing w:val="-2"/>
          <w:sz w:val="18"/>
        </w:rPr>
        <w:t>安全技术检验。</w:t>
      </w:r>
    </w:p>
    <w:p>
      <w:pPr>
        <w:spacing w:before="2"/>
        <w:ind w:left="160" w:right="0" w:firstLine="0"/>
        <w:jc w:val="both"/>
        <w:rPr>
          <w:rFonts w:ascii="楷体" w:eastAsia="楷体"/>
          <w:sz w:val="18"/>
        </w:rPr>
      </w:pPr>
      <w:r>
        <w:rPr>
          <w:rFonts w:ascii="楷体" w:eastAsia="楷体"/>
          <w:position w:val="9"/>
          <w:sz w:val="9"/>
        </w:rPr>
        <w:t>30</w:t>
      </w:r>
      <w:r>
        <w:rPr>
          <w:rFonts w:ascii="楷体" w:eastAsia="楷体"/>
          <w:spacing w:val="42"/>
          <w:position w:val="9"/>
          <w:sz w:val="9"/>
        </w:rPr>
        <w:t> </w:t>
      </w:r>
      <w:r>
        <w:rPr>
          <w:rFonts w:ascii="楷体" w:eastAsia="楷体" w:hint="eastAsia"/>
          <w:b/>
          <w:sz w:val="18"/>
        </w:rPr>
        <w:t>机</w:t>
      </w:r>
      <w:r>
        <w:rPr>
          <w:rFonts w:ascii="楷体" w:eastAsia="楷体" w:hint="eastAsia"/>
          <w:b/>
          <w:sz w:val="18"/>
        </w:rPr>
        <w:t>动</w:t>
      </w:r>
      <w:r>
        <w:rPr>
          <w:rFonts w:ascii="楷体" w:eastAsia="楷体" w:hint="eastAsia"/>
          <w:b/>
          <w:sz w:val="18"/>
        </w:rPr>
        <w:t>车</w:t>
      </w:r>
      <w:r>
        <w:rPr>
          <w:rFonts w:ascii="楷体" w:eastAsia="楷体"/>
          <w:spacing w:val="-1"/>
          <w:sz w:val="18"/>
        </w:rPr>
        <w:t>：指以动力装置驱动或者牵引，上道路行驶的供人员乘用或者用于运送物品以及进行工程专项作业的轮式车辆。</w:t>
      </w:r>
    </w:p>
    <w:p>
      <w:pPr>
        <w:spacing w:after="0"/>
        <w:jc w:val="both"/>
        <w:rPr>
          <w:rFonts w:ascii="楷体" w:eastAsia="楷体"/>
          <w:sz w:val="18"/>
        </w:rPr>
        <w:sectPr>
          <w:type w:val="continuous"/>
          <w:pgSz w:w="11910" w:h="16840"/>
          <w:pgMar w:header="0" w:footer="659" w:top="480" w:bottom="840" w:left="920" w:right="880"/>
        </w:sectPr>
      </w:pPr>
    </w:p>
    <w:p>
      <w:pPr>
        <w:pStyle w:val="ListParagraph"/>
        <w:numPr>
          <w:ilvl w:val="3"/>
          <w:numId w:val="7"/>
        </w:numPr>
        <w:tabs>
          <w:tab w:pos="3718" w:val="left" w:leader="none"/>
        </w:tabs>
        <w:spacing w:line="278" w:lineRule="auto" w:before="70" w:after="0"/>
        <w:ind w:left="3717" w:right="266" w:hanging="721"/>
        <w:jc w:val="left"/>
        <w:rPr>
          <w:sz w:val="21"/>
        </w:rPr>
      </w:pPr>
      <w:r>
        <w:rPr>
          <w:color w:val="000000"/>
          <w:spacing w:val="-4"/>
          <w:sz w:val="21"/>
          <w:shd w:fill="E4E4E4" w:color="auto" w:val="clear"/>
        </w:rPr>
        <w:t>被保险人</w:t>
      </w:r>
      <w:r>
        <w:rPr>
          <w:b/>
          <w:color w:val="000000"/>
          <w:spacing w:val="-4"/>
          <w:sz w:val="21"/>
          <w:shd w:fill="E4E4E4" w:color="auto" w:val="clear"/>
        </w:rPr>
        <w:t>斗殴</w:t>
      </w:r>
      <w:r>
        <w:rPr>
          <w:color w:val="000000"/>
          <w:spacing w:val="-4"/>
          <w:position w:val="11"/>
          <w:sz w:val="11"/>
        </w:rPr>
        <w:t>31</w:t>
      </w:r>
      <w:r>
        <w:rPr>
          <w:color w:val="000000"/>
          <w:spacing w:val="-4"/>
          <w:sz w:val="21"/>
          <w:shd w:fill="E4E4E4" w:color="auto" w:val="clear"/>
        </w:rPr>
        <w:t>、</w:t>
      </w:r>
      <w:r>
        <w:rPr>
          <w:b/>
          <w:color w:val="000000"/>
          <w:spacing w:val="-4"/>
          <w:sz w:val="21"/>
          <w:shd w:fill="E4E4E4" w:color="auto" w:val="clear"/>
        </w:rPr>
        <w:t>醉酒</w:t>
      </w:r>
      <w:r>
        <w:rPr>
          <w:color w:val="000000"/>
          <w:spacing w:val="-4"/>
          <w:position w:val="11"/>
          <w:sz w:val="11"/>
        </w:rPr>
        <w:t>32</w:t>
      </w:r>
      <w:r>
        <w:rPr>
          <w:color w:val="000000"/>
          <w:spacing w:val="-4"/>
          <w:sz w:val="21"/>
          <w:shd w:fill="E4E4E4" w:color="auto" w:val="clear"/>
        </w:rPr>
        <w:t>，服用、吸食或注射</w:t>
      </w:r>
      <w:r>
        <w:rPr>
          <w:b/>
          <w:color w:val="000000"/>
          <w:spacing w:val="-4"/>
          <w:sz w:val="21"/>
          <w:shd w:fill="E4E4E4" w:color="auto" w:val="clear"/>
        </w:rPr>
        <w:t>毒品</w:t>
      </w:r>
      <w:r>
        <w:rPr>
          <w:rFonts w:ascii="黑体" w:eastAsia="黑体"/>
          <w:color w:val="000000"/>
          <w:spacing w:val="-4"/>
          <w:position w:val="11"/>
          <w:sz w:val="11"/>
        </w:rPr>
        <w:t>33</w:t>
      </w:r>
      <w:r>
        <w:rPr>
          <w:color w:val="000000"/>
          <w:spacing w:val="-4"/>
          <w:sz w:val="21"/>
          <w:shd w:fill="E4E4E4" w:color="auto" w:val="clear"/>
        </w:rPr>
        <w:t>，或未遵医嘱，擅</w:t>
      </w:r>
      <w:r>
        <w:rPr>
          <w:color w:val="000000"/>
          <w:spacing w:val="11760"/>
          <w:sz w:val="21"/>
          <w:shd w:fill="E4E4E4" w:color="auto" w:val="clear"/>
        </w:rPr>
        <w:t> </w:t>
      </w:r>
      <w:r>
        <w:rPr>
          <w:color w:val="000000"/>
          <w:spacing w:val="-2"/>
          <w:sz w:val="21"/>
          <w:shd w:fill="E4E4E4" w:color="auto" w:val="clear"/>
        </w:rPr>
        <w:t>自服用、涂用、注射药物；</w:t>
      </w:r>
    </w:p>
    <w:p>
      <w:pPr>
        <w:pStyle w:val="ListParagraph"/>
        <w:numPr>
          <w:ilvl w:val="3"/>
          <w:numId w:val="7"/>
        </w:numPr>
        <w:tabs>
          <w:tab w:pos="3527" w:val="left" w:leader="none"/>
        </w:tabs>
        <w:spacing w:line="240" w:lineRule="auto" w:before="156" w:after="0"/>
        <w:ind w:left="3526" w:right="0" w:hanging="530"/>
        <w:jc w:val="left"/>
        <w:rPr>
          <w:sz w:val="21"/>
        </w:rPr>
      </w:pPr>
      <w:r>
        <w:rPr/>
        <w:drawing>
          <wp:anchor distT="0" distB="0" distL="0" distR="0" allowOverlap="1" layoutInCell="1" locked="0" behindDoc="0" simplePos="0" relativeHeight="15734784">
            <wp:simplePos x="0" y="0"/>
            <wp:positionH relativeFrom="page">
              <wp:posOffset>2945002</wp:posOffset>
            </wp:positionH>
            <wp:positionV relativeFrom="paragraph">
              <wp:posOffset>294894</wp:posOffset>
            </wp:positionV>
            <wp:extent cx="3536315" cy="173735"/>
            <wp:effectExtent l="0" t="0" r="0" b="0"/>
            <wp:wrapNone/>
            <wp:docPr id="23" name="image8.png"/>
            <wp:cNvGraphicFramePr>
              <a:graphicFrameLocks noChangeAspect="1"/>
            </wp:cNvGraphicFramePr>
            <a:graphic>
              <a:graphicData uri="http://schemas.openxmlformats.org/drawingml/2006/picture">
                <pic:pic>
                  <pic:nvPicPr>
                    <pic:cNvPr id="24" name="image8.png"/>
                    <pic:cNvPicPr/>
                  </pic:nvPicPr>
                  <pic:blipFill>
                    <a:blip r:embed="rId13" cstate="print"/>
                    <a:stretch>
                      <a:fillRect/>
                    </a:stretch>
                  </pic:blipFill>
                  <pic:spPr>
                    <a:xfrm>
                      <a:off x="0" y="0"/>
                      <a:ext cx="3536315" cy="173735"/>
                    </a:xfrm>
                    <a:prstGeom prst="rect">
                      <a:avLst/>
                    </a:prstGeom>
                  </pic:spPr>
                </pic:pic>
              </a:graphicData>
            </a:graphic>
          </wp:anchor>
        </w:drawing>
      </w:r>
      <w:r>
        <w:rPr/>
        <w:pict>
          <v:shape style="position:absolute;margin-left:231.889999pt;margin-top:23.220022pt;width:278.45pt;height:13.7pt;mso-position-horizontal-relative:page;mso-position-vertical-relative:paragraph;z-index:15735296" type="#_x0000_t202" id="docshape4" filled="false" stroked="false">
            <v:textbox inset="0,0,0,0">
              <w:txbxContent>
                <w:p>
                  <w:pPr>
                    <w:pStyle w:val="BodyText"/>
                    <w:spacing w:before="3"/>
                    <w:ind w:right="-15"/>
                  </w:pPr>
                  <w:r>
                    <w:rPr>
                      <w:spacing w:val="-15"/>
                    </w:rPr>
                    <w:t>的国际统计分类》</w:t>
                  </w:r>
                  <w:r>
                    <w:rPr>
                      <w:spacing w:val="-2"/>
                    </w:rPr>
                    <w:t>（ICD10）分类为精神和行为障碍的疾病</w:t>
                  </w:r>
                  <w:r>
                    <w:rPr>
                      <w:spacing w:val="-111"/>
                    </w:rPr>
                    <w:t>）</w:t>
                  </w:r>
                  <w:r>
                    <w:rPr>
                      <w:spacing w:val="-5"/>
                    </w:rPr>
                    <w:t>；</w:t>
                  </w:r>
                </w:p>
              </w:txbxContent>
            </v:textbox>
            <w10:wrap type="none"/>
          </v:shape>
        </w:pict>
      </w:r>
      <w:r>
        <w:rPr/>
        <w:pict>
          <v:shape style="position:absolute;margin-left:231.889999pt;margin-top:7.620022pt;width:305.850pt;height:13.7pt;mso-position-horizontal-relative:page;mso-position-vertical-relative:paragraph;z-index:15735808" type="#_x0000_t202" id="docshape5" filled="true" fillcolor="#e4e4e4" stroked="false">
            <v:textbox inset="0,0,0,0">
              <w:txbxContent>
                <w:p>
                  <w:pPr>
                    <w:pStyle w:val="BodyText"/>
                    <w:spacing w:before="3"/>
                    <w:ind w:right="-15"/>
                    <w:rPr>
                      <w:color w:val="000000"/>
                    </w:rPr>
                  </w:pPr>
                  <w:r>
                    <w:rPr>
                      <w:color w:val="000000"/>
                      <w:spacing w:val="-2"/>
                    </w:rPr>
                    <w:t>被保险人患精神性疾病（</w:t>
                  </w:r>
                  <w:r>
                    <w:rPr>
                      <w:color w:val="000000"/>
                      <w:spacing w:val="-3"/>
                    </w:rPr>
                    <w:t>依据世界卫生组织《疾病和有关健康问题</w:t>
                  </w:r>
                </w:p>
              </w:txbxContent>
            </v:textbox>
            <v:fill type="solid"/>
            <w10:wrap type="none"/>
          </v:shape>
        </w:pict>
      </w:r>
      <w:r>
        <w:rPr>
          <w:spacing w:val="-5"/>
          <w:sz w:val="21"/>
        </w:rPr>
        <w:t>（6）</w:t>
      </w:r>
    </w:p>
    <w:p>
      <w:pPr>
        <w:pStyle w:val="BodyText"/>
        <w:rPr>
          <w:sz w:val="20"/>
        </w:rPr>
      </w:pPr>
    </w:p>
    <w:p>
      <w:pPr>
        <w:pStyle w:val="BodyText"/>
        <w:spacing w:before="4"/>
        <w:rPr>
          <w:sz w:val="14"/>
        </w:rPr>
      </w:pPr>
    </w:p>
    <w:p>
      <w:pPr>
        <w:pStyle w:val="ListParagraph"/>
        <w:numPr>
          <w:ilvl w:val="3"/>
          <w:numId w:val="7"/>
        </w:numPr>
        <w:tabs>
          <w:tab w:pos="3718" w:val="left" w:leader="none"/>
        </w:tabs>
        <w:spacing w:line="278" w:lineRule="auto" w:before="72" w:after="0"/>
        <w:ind w:left="3717" w:right="266" w:hanging="721"/>
        <w:jc w:val="left"/>
        <w:rPr>
          <w:sz w:val="21"/>
        </w:rPr>
      </w:pPr>
      <w:r>
        <w:rPr>
          <w:color w:val="000000"/>
          <w:spacing w:val="-2"/>
          <w:sz w:val="21"/>
          <w:shd w:fill="E4E4E4" w:color="auto" w:val="clear"/>
        </w:rPr>
        <w:t>整形手术、美容或整容手术、变性手术及前述手术的并发症或因前</w:t>
      </w:r>
      <w:r>
        <w:rPr>
          <w:color w:val="000000"/>
          <w:spacing w:val="11760"/>
          <w:sz w:val="21"/>
          <w:shd w:fill="E4E4E4" w:color="auto" w:val="clear"/>
        </w:rPr>
        <w:t> </w:t>
      </w:r>
      <w:r>
        <w:rPr>
          <w:color w:val="000000"/>
          <w:spacing w:val="-2"/>
          <w:sz w:val="21"/>
          <w:shd w:fill="E4E4E4" w:color="auto" w:val="clear"/>
        </w:rPr>
        <w:t>述手术导致的医疗事故；</w:t>
      </w:r>
    </w:p>
    <w:p>
      <w:pPr>
        <w:pStyle w:val="ListParagraph"/>
        <w:numPr>
          <w:ilvl w:val="3"/>
          <w:numId w:val="7"/>
        </w:numPr>
        <w:tabs>
          <w:tab w:pos="3718" w:val="left" w:leader="none"/>
        </w:tabs>
        <w:spacing w:line="268" w:lineRule="auto" w:before="145" w:after="0"/>
        <w:ind w:left="3717" w:right="266" w:hanging="721"/>
        <w:jc w:val="left"/>
        <w:rPr>
          <w:sz w:val="21"/>
        </w:rPr>
      </w:pPr>
      <w:r>
        <w:rPr>
          <w:color w:val="000000"/>
          <w:spacing w:val="-2"/>
          <w:sz w:val="21"/>
          <w:shd w:fill="E4E4E4" w:color="auto" w:val="clear"/>
        </w:rPr>
        <w:t>被保险人</w:t>
      </w:r>
      <w:r>
        <w:rPr>
          <w:b/>
          <w:color w:val="000000"/>
          <w:spacing w:val="-2"/>
          <w:sz w:val="21"/>
          <w:shd w:fill="E4E4E4" w:color="auto" w:val="clear"/>
        </w:rPr>
        <w:t>先天性疾病和症状</w:t>
      </w:r>
      <w:r>
        <w:rPr>
          <w:color w:val="000000"/>
          <w:spacing w:val="-2"/>
          <w:position w:val="11"/>
          <w:sz w:val="11"/>
        </w:rPr>
        <w:t>34</w:t>
      </w:r>
      <w:r>
        <w:rPr>
          <w:color w:val="000000"/>
          <w:spacing w:val="-2"/>
          <w:sz w:val="21"/>
          <w:shd w:fill="E4E4E4" w:color="auto" w:val="clear"/>
        </w:rPr>
        <w:t>、</w:t>
      </w:r>
      <w:r>
        <w:rPr>
          <w:b/>
          <w:color w:val="000000"/>
          <w:spacing w:val="-2"/>
          <w:sz w:val="21"/>
          <w:shd w:fill="E4E4E4" w:color="auto" w:val="clear"/>
        </w:rPr>
        <w:t>遗传性疾病</w:t>
      </w:r>
      <w:r>
        <w:rPr>
          <w:color w:val="000000"/>
          <w:spacing w:val="-2"/>
          <w:position w:val="11"/>
          <w:sz w:val="11"/>
        </w:rPr>
        <w:t>35</w:t>
      </w:r>
      <w:r>
        <w:rPr>
          <w:color w:val="000000"/>
          <w:spacing w:val="-2"/>
          <w:sz w:val="21"/>
          <w:shd w:fill="E4E4E4" w:color="auto" w:val="clear"/>
        </w:rPr>
        <w:t>、</w:t>
      </w:r>
      <w:r>
        <w:rPr>
          <w:b/>
          <w:color w:val="000000"/>
          <w:spacing w:val="-2"/>
          <w:sz w:val="21"/>
          <w:shd w:fill="E4E4E4" w:color="auto" w:val="clear"/>
        </w:rPr>
        <w:t>先天性畸形、变形或</w:t>
      </w:r>
      <w:r>
        <w:rPr>
          <w:b/>
          <w:color w:val="000000"/>
          <w:spacing w:val="11746"/>
          <w:sz w:val="21"/>
          <w:shd w:fill="E4E4E4" w:color="auto" w:val="clear"/>
        </w:rPr>
        <w:t> </w:t>
      </w:r>
      <w:r>
        <w:rPr>
          <w:b/>
          <w:color w:val="000000"/>
          <w:spacing w:val="-2"/>
          <w:sz w:val="21"/>
          <w:shd w:fill="E4E4E4" w:color="auto" w:val="clear"/>
        </w:rPr>
        <w:t>染色体异常</w:t>
      </w:r>
      <w:r>
        <w:rPr>
          <w:color w:val="000000"/>
          <w:spacing w:val="-2"/>
          <w:position w:val="11"/>
          <w:sz w:val="11"/>
        </w:rPr>
        <w:t>36</w:t>
      </w:r>
      <w:r>
        <w:rPr>
          <w:color w:val="000000"/>
          <w:spacing w:val="-2"/>
          <w:sz w:val="21"/>
          <w:shd w:fill="E4E4E4" w:color="auto" w:val="clear"/>
        </w:rPr>
        <w:t>；</w:t>
      </w:r>
    </w:p>
    <w:p>
      <w:pPr>
        <w:pStyle w:val="ListParagraph"/>
        <w:numPr>
          <w:ilvl w:val="3"/>
          <w:numId w:val="7"/>
        </w:numPr>
        <w:tabs>
          <w:tab w:pos="3718" w:val="left" w:leader="none"/>
        </w:tabs>
        <w:spacing w:line="278" w:lineRule="auto" w:before="168" w:after="0"/>
        <w:ind w:left="3717" w:right="266" w:hanging="721"/>
        <w:jc w:val="left"/>
        <w:rPr>
          <w:sz w:val="21"/>
        </w:rPr>
      </w:pPr>
      <w:r>
        <w:rPr>
          <w:color w:val="000000"/>
          <w:spacing w:val="-2"/>
          <w:sz w:val="21"/>
          <w:shd w:fill="E4E4E4" w:color="auto" w:val="clear"/>
        </w:rPr>
        <w:t>被保险人怀孕（含宫外孕</w:t>
      </w:r>
      <w:r>
        <w:rPr>
          <w:color w:val="000000"/>
          <w:spacing w:val="-106"/>
          <w:sz w:val="21"/>
          <w:shd w:fill="E4E4E4" w:color="auto" w:val="clear"/>
        </w:rPr>
        <w:t>）</w:t>
      </w:r>
      <w:r>
        <w:rPr>
          <w:color w:val="000000"/>
          <w:spacing w:val="-2"/>
          <w:sz w:val="21"/>
          <w:shd w:fill="E4E4E4" w:color="auto" w:val="clear"/>
        </w:rPr>
        <w:t>、流产、分娩（含剖腹产</w:t>
      </w:r>
      <w:r>
        <w:rPr>
          <w:color w:val="000000"/>
          <w:spacing w:val="-106"/>
          <w:sz w:val="21"/>
          <w:shd w:fill="E4E4E4" w:color="auto" w:val="clear"/>
        </w:rPr>
        <w:t>）</w:t>
      </w:r>
      <w:r>
        <w:rPr>
          <w:color w:val="000000"/>
          <w:spacing w:val="-2"/>
          <w:sz w:val="21"/>
          <w:shd w:fill="E4E4E4" w:color="auto" w:val="clear"/>
        </w:rPr>
        <w:t>、避孕、绝育</w:t>
      </w:r>
      <w:r>
        <w:rPr>
          <w:color w:val="000000"/>
          <w:spacing w:val="11760"/>
          <w:sz w:val="21"/>
          <w:shd w:fill="E4E4E4" w:color="auto" w:val="clear"/>
        </w:rPr>
        <w:t> </w:t>
      </w:r>
      <w:r>
        <w:rPr>
          <w:color w:val="000000"/>
          <w:sz w:val="21"/>
          <w:shd w:fill="E4E4E4" w:color="auto" w:val="clear"/>
        </w:rPr>
        <w:t>手术、 治疗不孕不育症、人工受孕及由此导致的并发症；</w:t>
      </w:r>
    </w:p>
    <w:p>
      <w:pPr>
        <w:pStyle w:val="ListParagraph"/>
        <w:numPr>
          <w:ilvl w:val="3"/>
          <w:numId w:val="7"/>
        </w:numPr>
        <w:tabs>
          <w:tab w:pos="3718" w:val="left" w:leader="none"/>
        </w:tabs>
        <w:spacing w:line="278" w:lineRule="auto" w:before="156" w:after="0"/>
        <w:ind w:left="3717" w:right="266" w:hanging="721"/>
        <w:jc w:val="left"/>
        <w:rPr>
          <w:sz w:val="21"/>
        </w:rPr>
      </w:pPr>
      <w:r>
        <w:rPr>
          <w:color w:val="000000"/>
          <w:spacing w:val="-2"/>
          <w:sz w:val="21"/>
          <w:shd w:fill="E4E4E4" w:color="auto" w:val="clear"/>
        </w:rPr>
        <w:t>牙科疾病及相关治疗，视力矫正手术，但因意外所致的医疗费用不</w:t>
      </w:r>
      <w:r>
        <w:rPr>
          <w:color w:val="000000"/>
          <w:spacing w:val="-4"/>
          <w:sz w:val="21"/>
          <w:shd w:fill="E4E4E4" w:color="auto" w:val="clear"/>
        </w:rPr>
        <w:t>受此限；</w:t>
      </w:r>
    </w:p>
    <w:p>
      <w:pPr>
        <w:pStyle w:val="ListParagraph"/>
        <w:numPr>
          <w:ilvl w:val="3"/>
          <w:numId w:val="7"/>
        </w:numPr>
        <w:tabs>
          <w:tab w:pos="3718" w:val="left" w:leader="none"/>
        </w:tabs>
        <w:spacing w:line="278" w:lineRule="auto" w:before="156" w:after="0"/>
        <w:ind w:left="3717" w:right="266" w:hanging="721"/>
        <w:jc w:val="both"/>
        <w:rPr>
          <w:sz w:val="21"/>
        </w:rPr>
      </w:pPr>
      <w:r>
        <w:rPr>
          <w:color w:val="000000"/>
          <w:spacing w:val="-2"/>
          <w:sz w:val="21"/>
          <w:shd w:fill="E4E4E4" w:color="auto" w:val="clear"/>
        </w:rPr>
        <w:t>被保险人因预防、康复、保健性或非疾病治疗类项目发生的医疗费</w:t>
      </w:r>
      <w:r>
        <w:rPr>
          <w:color w:val="000000"/>
          <w:spacing w:val="11760"/>
          <w:sz w:val="21"/>
          <w:shd w:fill="E4E4E4" w:color="auto" w:val="clear"/>
        </w:rPr>
        <w:t> </w:t>
      </w:r>
      <w:r>
        <w:rPr>
          <w:color w:val="000000"/>
          <w:spacing w:val="-7"/>
          <w:sz w:val="21"/>
          <w:shd w:fill="E4E4E4" w:color="auto" w:val="clear"/>
        </w:rPr>
        <w:t>用眼镜、 义齿、义眼、义肢、助听器等康复性器具包皮环切术、包</w:t>
      </w:r>
      <w:r>
        <w:rPr>
          <w:color w:val="000000"/>
          <w:spacing w:val="-2"/>
          <w:sz w:val="21"/>
          <w:shd w:fill="E4E4E4" w:color="auto" w:val="clear"/>
        </w:rPr>
        <w:t>皮剥离术、包皮气囊扩张术、性功能障碍治疗；</w:t>
      </w:r>
      <w:r>
        <w:rPr>
          <w:color w:val="000000"/>
          <w:spacing w:val="40"/>
          <w:sz w:val="21"/>
          <w:shd w:fill="E4E4E4" w:color="auto" w:val="clear"/>
        </w:rPr>
        <w:t> </w:t>
      </w:r>
    </w:p>
    <w:p>
      <w:pPr>
        <w:pStyle w:val="ListParagraph"/>
        <w:numPr>
          <w:ilvl w:val="3"/>
          <w:numId w:val="7"/>
        </w:numPr>
        <w:tabs>
          <w:tab w:pos="3718" w:val="left" w:leader="none"/>
        </w:tabs>
        <w:spacing w:line="240" w:lineRule="auto" w:before="145" w:after="0"/>
        <w:ind w:left="3717" w:right="0" w:hanging="721"/>
        <w:jc w:val="both"/>
        <w:rPr>
          <w:sz w:val="21"/>
        </w:rPr>
      </w:pPr>
      <w:r>
        <w:rPr>
          <w:color w:val="000000"/>
          <w:spacing w:val="-2"/>
          <w:sz w:val="21"/>
          <w:shd w:fill="E4E4E4" w:color="auto" w:val="clear"/>
        </w:rPr>
        <w:t>被保险人</w:t>
      </w:r>
      <w:r>
        <w:rPr>
          <w:b/>
          <w:color w:val="000000"/>
          <w:spacing w:val="-2"/>
          <w:sz w:val="21"/>
          <w:shd w:fill="E4E4E4" w:color="auto" w:val="clear"/>
        </w:rPr>
        <w:t>感染艾滋病病毒或患艾滋病</w:t>
      </w:r>
      <w:r>
        <w:rPr>
          <w:color w:val="000000"/>
          <w:spacing w:val="-5"/>
          <w:position w:val="11"/>
          <w:sz w:val="11"/>
        </w:rPr>
        <w:t>37</w:t>
      </w:r>
      <w:r>
        <w:rPr>
          <w:color w:val="000000"/>
          <w:spacing w:val="-5"/>
          <w:sz w:val="21"/>
          <w:shd w:fill="E4E4E4" w:color="auto" w:val="clear"/>
        </w:rPr>
        <w:t>；</w:t>
      </w:r>
    </w:p>
    <w:p>
      <w:pPr>
        <w:pStyle w:val="ListParagraph"/>
        <w:numPr>
          <w:ilvl w:val="3"/>
          <w:numId w:val="7"/>
        </w:numPr>
        <w:tabs>
          <w:tab w:pos="3718" w:val="left" w:leader="none"/>
        </w:tabs>
        <w:spacing w:line="278" w:lineRule="auto" w:before="189" w:after="0"/>
        <w:ind w:left="3717" w:right="261" w:hanging="721"/>
        <w:jc w:val="both"/>
        <w:rPr>
          <w:sz w:val="21"/>
        </w:rPr>
      </w:pPr>
      <w:r>
        <w:rPr>
          <w:b/>
          <w:color w:val="000000"/>
          <w:spacing w:val="-2"/>
          <w:sz w:val="21"/>
          <w:shd w:fill="E4E4E4" w:color="auto" w:val="clear"/>
        </w:rPr>
        <w:t>战争</w:t>
      </w:r>
      <w:r>
        <w:rPr>
          <w:color w:val="000000"/>
          <w:spacing w:val="-2"/>
          <w:position w:val="11"/>
          <w:sz w:val="11"/>
        </w:rPr>
        <w:t>38</w:t>
      </w:r>
      <w:r>
        <w:rPr>
          <w:color w:val="000000"/>
          <w:spacing w:val="-2"/>
          <w:sz w:val="21"/>
          <w:shd w:fill="E4E4E4" w:color="auto" w:val="clear"/>
        </w:rPr>
        <w:t>、</w:t>
      </w:r>
      <w:r>
        <w:rPr>
          <w:b/>
          <w:color w:val="000000"/>
          <w:spacing w:val="-2"/>
          <w:sz w:val="21"/>
          <w:shd w:fill="E4E4E4" w:color="auto" w:val="clear"/>
        </w:rPr>
        <w:t>军事冲突</w:t>
      </w:r>
      <w:r>
        <w:rPr>
          <w:color w:val="000000"/>
          <w:spacing w:val="-2"/>
          <w:position w:val="11"/>
          <w:sz w:val="11"/>
        </w:rPr>
        <w:t>39</w:t>
      </w:r>
      <w:r>
        <w:rPr>
          <w:color w:val="000000"/>
          <w:spacing w:val="-2"/>
          <w:sz w:val="21"/>
          <w:shd w:fill="E4E4E4" w:color="auto" w:val="clear"/>
        </w:rPr>
        <w:t>、</w:t>
      </w:r>
      <w:r>
        <w:rPr>
          <w:b/>
          <w:color w:val="000000"/>
          <w:spacing w:val="-2"/>
          <w:sz w:val="21"/>
          <w:shd w:fill="E4E4E4" w:color="auto" w:val="clear"/>
        </w:rPr>
        <w:t>恐怖主义活动</w:t>
      </w:r>
      <w:r>
        <w:rPr>
          <w:color w:val="000000"/>
          <w:spacing w:val="-2"/>
          <w:position w:val="11"/>
          <w:sz w:val="11"/>
        </w:rPr>
        <w:t>40</w:t>
      </w:r>
      <w:r>
        <w:rPr>
          <w:color w:val="000000"/>
          <w:spacing w:val="-2"/>
          <w:sz w:val="21"/>
          <w:shd w:fill="E4E4E4" w:color="auto" w:val="clear"/>
        </w:rPr>
        <w:t>、</w:t>
      </w:r>
      <w:r>
        <w:rPr>
          <w:b/>
          <w:color w:val="000000"/>
          <w:spacing w:val="-2"/>
          <w:sz w:val="21"/>
          <w:shd w:fill="E4E4E4" w:color="auto" w:val="clear"/>
        </w:rPr>
        <w:t>暴乱</w:t>
      </w:r>
      <w:r>
        <w:rPr>
          <w:color w:val="000000"/>
          <w:spacing w:val="-2"/>
          <w:position w:val="11"/>
          <w:sz w:val="11"/>
        </w:rPr>
        <w:t>41</w:t>
      </w:r>
      <w:r>
        <w:rPr>
          <w:color w:val="000000"/>
          <w:spacing w:val="-2"/>
          <w:sz w:val="21"/>
          <w:shd w:fill="E4E4E4" w:color="auto" w:val="clear"/>
        </w:rPr>
        <w:t>或武装叛乱；核爆炸、</w:t>
      </w:r>
      <w:r>
        <w:rPr>
          <w:color w:val="000000"/>
          <w:spacing w:val="11760"/>
          <w:sz w:val="21"/>
          <w:shd w:fill="E4E4E4" w:color="auto" w:val="clear"/>
        </w:rPr>
        <w:t> </w:t>
      </w:r>
      <w:r>
        <w:rPr>
          <w:color w:val="000000"/>
          <w:spacing w:val="-2"/>
          <w:sz w:val="21"/>
          <w:shd w:fill="E4E4E4" w:color="auto" w:val="clear"/>
        </w:rPr>
        <w:t>核辐射或核污染；</w:t>
      </w:r>
    </w:p>
    <w:p>
      <w:pPr>
        <w:pStyle w:val="ListParagraph"/>
        <w:numPr>
          <w:ilvl w:val="3"/>
          <w:numId w:val="7"/>
        </w:numPr>
        <w:tabs>
          <w:tab w:pos="3718" w:val="left" w:leader="none"/>
        </w:tabs>
        <w:spacing w:line="240" w:lineRule="auto" w:before="146" w:after="0"/>
        <w:ind w:left="3717" w:right="0" w:hanging="721"/>
        <w:jc w:val="both"/>
        <w:rPr>
          <w:sz w:val="21"/>
        </w:rPr>
      </w:pPr>
      <w:r>
        <w:rPr>
          <w:color w:val="000000"/>
          <w:spacing w:val="-2"/>
          <w:sz w:val="21"/>
          <w:shd w:fill="E4E4E4" w:color="auto" w:val="clear"/>
        </w:rPr>
        <w:t>被保险人从事</w:t>
      </w:r>
      <w:r>
        <w:rPr>
          <w:b/>
          <w:color w:val="000000"/>
          <w:spacing w:val="-2"/>
          <w:sz w:val="21"/>
          <w:shd w:fill="E4E4E4" w:color="auto" w:val="clear"/>
        </w:rPr>
        <w:t>潜水</w:t>
      </w:r>
      <w:r>
        <w:rPr>
          <w:color w:val="000000"/>
          <w:spacing w:val="-2"/>
          <w:position w:val="11"/>
          <w:sz w:val="11"/>
        </w:rPr>
        <w:t>42</w:t>
      </w:r>
      <w:r>
        <w:rPr>
          <w:color w:val="000000"/>
          <w:spacing w:val="-2"/>
          <w:sz w:val="21"/>
          <w:shd w:fill="E4E4E4" w:color="auto" w:val="clear"/>
        </w:rPr>
        <w:t>、跳伞、</w:t>
      </w:r>
      <w:r>
        <w:rPr>
          <w:b/>
          <w:color w:val="000000"/>
          <w:spacing w:val="-2"/>
          <w:sz w:val="21"/>
          <w:shd w:fill="E4E4E4" w:color="auto" w:val="clear"/>
        </w:rPr>
        <w:t>攀岩</w:t>
      </w:r>
      <w:r>
        <w:rPr>
          <w:color w:val="000000"/>
          <w:spacing w:val="-2"/>
          <w:position w:val="11"/>
          <w:sz w:val="11"/>
        </w:rPr>
        <w:t>43</w:t>
      </w:r>
      <w:r>
        <w:rPr>
          <w:color w:val="000000"/>
          <w:spacing w:val="-3"/>
          <w:sz w:val="21"/>
          <w:shd w:fill="E4E4E4" w:color="auto" w:val="clear"/>
        </w:rPr>
        <w:t>、蹦极、驾驶滑翔机或滑翔伞、</w:t>
      </w:r>
    </w:p>
    <w:p>
      <w:pPr>
        <w:pStyle w:val="BodyText"/>
        <w:rPr>
          <w:sz w:val="20"/>
        </w:rPr>
      </w:pPr>
    </w:p>
    <w:p>
      <w:pPr>
        <w:pStyle w:val="BodyText"/>
        <w:rPr>
          <w:sz w:val="20"/>
        </w:rPr>
      </w:pPr>
    </w:p>
    <w:p>
      <w:pPr>
        <w:pStyle w:val="BodyText"/>
        <w:spacing w:before="6"/>
        <w:rPr>
          <w:sz w:val="19"/>
        </w:rPr>
      </w:pPr>
      <w:r>
        <w:rPr/>
        <w:drawing>
          <wp:anchor distT="0" distB="0" distL="0" distR="0" allowOverlap="1" layoutInCell="1" locked="0" behindDoc="0" simplePos="0" relativeHeight="11">
            <wp:simplePos x="0" y="0"/>
            <wp:positionH relativeFrom="page">
              <wp:posOffset>685800</wp:posOffset>
            </wp:positionH>
            <wp:positionV relativeFrom="paragraph">
              <wp:posOffset>174069</wp:posOffset>
            </wp:positionV>
            <wp:extent cx="1829511" cy="6096"/>
            <wp:effectExtent l="0" t="0" r="0" b="0"/>
            <wp:wrapTopAndBottom/>
            <wp:docPr id="25" name="image6.png"/>
            <wp:cNvGraphicFramePr>
              <a:graphicFrameLocks noChangeAspect="1"/>
            </wp:cNvGraphicFramePr>
            <a:graphic>
              <a:graphicData uri="http://schemas.openxmlformats.org/drawingml/2006/picture">
                <pic:pic>
                  <pic:nvPicPr>
                    <pic:cNvPr id="26" name="image6.png"/>
                    <pic:cNvPicPr/>
                  </pic:nvPicPr>
                  <pic:blipFill>
                    <a:blip r:embed="rId11" cstate="print"/>
                    <a:stretch>
                      <a:fillRect/>
                    </a:stretch>
                  </pic:blipFill>
                  <pic:spPr>
                    <a:xfrm>
                      <a:off x="0" y="0"/>
                      <a:ext cx="1829511" cy="6096"/>
                    </a:xfrm>
                    <a:prstGeom prst="rect">
                      <a:avLst/>
                    </a:prstGeom>
                  </pic:spPr>
                </pic:pic>
              </a:graphicData>
            </a:graphic>
          </wp:anchor>
        </w:drawing>
      </w:r>
    </w:p>
    <w:p>
      <w:pPr>
        <w:spacing w:line="244" w:lineRule="auto" w:before="91"/>
        <w:ind w:left="160" w:right="197" w:firstLine="0"/>
        <w:jc w:val="both"/>
        <w:rPr>
          <w:rFonts w:ascii="楷体" w:eastAsia="楷体"/>
          <w:sz w:val="18"/>
        </w:rPr>
      </w:pPr>
      <w:r>
        <w:rPr>
          <w:rFonts w:ascii="楷体" w:eastAsia="楷体"/>
          <w:position w:val="9"/>
          <w:sz w:val="9"/>
        </w:rPr>
        <w:t>31 </w:t>
      </w:r>
      <w:r>
        <w:rPr>
          <w:rFonts w:ascii="楷体" w:eastAsia="楷体" w:hint="eastAsia"/>
          <w:b/>
          <w:sz w:val="18"/>
        </w:rPr>
        <w:t>斗殴</w:t>
      </w:r>
      <w:r>
        <w:rPr>
          <w:rFonts w:ascii="楷体" w:eastAsia="楷体"/>
          <w:sz w:val="18"/>
        </w:rPr>
        <w:t>：指双方或多方通过拳脚、器械等武力以求制胜的行为。斗殴的认定，如有司法机关、公安部门的有关法律文件，则</w:t>
      </w:r>
      <w:r>
        <w:rPr>
          <w:rFonts w:ascii="楷体" w:eastAsia="楷体"/>
          <w:spacing w:val="-2"/>
          <w:sz w:val="18"/>
        </w:rPr>
        <w:t>以上述法律文件为准。</w:t>
      </w:r>
    </w:p>
    <w:p>
      <w:pPr>
        <w:spacing w:line="242" w:lineRule="auto" w:before="0"/>
        <w:ind w:left="160" w:right="195" w:firstLine="0"/>
        <w:jc w:val="both"/>
        <w:rPr>
          <w:rFonts w:ascii="楷体" w:eastAsia="楷体"/>
          <w:sz w:val="18"/>
        </w:rPr>
      </w:pPr>
      <w:r>
        <w:rPr>
          <w:rFonts w:ascii="楷体" w:eastAsia="楷体"/>
          <w:position w:val="9"/>
          <w:sz w:val="9"/>
        </w:rPr>
        <w:t>32 </w:t>
      </w:r>
      <w:r>
        <w:rPr>
          <w:rFonts w:ascii="楷体" w:eastAsia="楷体" w:hint="eastAsia"/>
          <w:b/>
          <w:sz w:val="18"/>
        </w:rPr>
        <w:t>醉酒</w:t>
      </w:r>
      <w:r>
        <w:rPr>
          <w:rFonts w:ascii="楷体" w:eastAsia="楷体"/>
          <w:sz w:val="18"/>
        </w:rPr>
        <w:t>：指因饮酒而表现出动作不协调、意识紊乱、舌重口吃或其他不能清醒地控制自己行为的状态。醉酒的认定，如有司</w:t>
      </w:r>
      <w:r>
        <w:rPr>
          <w:rFonts w:ascii="楷体" w:eastAsia="楷体"/>
          <w:spacing w:val="-2"/>
          <w:sz w:val="18"/>
        </w:rPr>
        <w:t>法机关、公安部门的有关法律文件、医院的诊断书等，则以上述法律文件、诊断书等为准。</w:t>
      </w:r>
    </w:p>
    <w:p>
      <w:pPr>
        <w:spacing w:line="242" w:lineRule="auto" w:before="0"/>
        <w:ind w:left="160" w:right="197" w:firstLine="0"/>
        <w:jc w:val="both"/>
        <w:rPr>
          <w:rFonts w:ascii="楷体" w:eastAsia="楷体"/>
          <w:sz w:val="18"/>
        </w:rPr>
      </w:pPr>
      <w:r>
        <w:rPr>
          <w:rFonts w:ascii="楷体" w:eastAsia="楷体"/>
          <w:spacing w:val="-2"/>
          <w:position w:val="9"/>
          <w:sz w:val="9"/>
        </w:rPr>
        <w:t>33 </w:t>
      </w:r>
      <w:r>
        <w:rPr>
          <w:rFonts w:ascii="楷体" w:eastAsia="楷体" w:hint="eastAsia"/>
          <w:b/>
          <w:spacing w:val="-2"/>
          <w:sz w:val="18"/>
        </w:rPr>
        <w:t>毒品</w:t>
      </w:r>
      <w:r>
        <w:rPr>
          <w:rFonts w:ascii="楷体" w:eastAsia="楷体"/>
          <w:spacing w:val="-2"/>
          <w:sz w:val="18"/>
        </w:rPr>
        <w:t>：指中华人民共和国刑法规定的鸦片、海洛因、甲基苯丙胺（冰毒</w:t>
      </w:r>
      <w:r>
        <w:rPr>
          <w:rFonts w:ascii="楷体" w:eastAsia="楷体"/>
          <w:spacing w:val="-92"/>
          <w:sz w:val="18"/>
        </w:rPr>
        <w:t>）</w:t>
      </w:r>
      <w:r>
        <w:rPr>
          <w:rFonts w:ascii="楷体" w:eastAsia="楷体"/>
          <w:spacing w:val="-2"/>
          <w:sz w:val="18"/>
        </w:rPr>
        <w:t>、吗啡、大麻、可卡因以及国家规定管制的其他能</w:t>
      </w:r>
      <w:r>
        <w:rPr>
          <w:rFonts w:ascii="楷体" w:eastAsia="楷体"/>
          <w:spacing w:val="-2"/>
          <w:sz w:val="18"/>
        </w:rPr>
        <w:t>够使人形成瘾癖的麻醉药品和精神药品，但不包括由医生开具并遵医嘱使用的用于治疗疾病但含有毒品成分的处方药品。</w:t>
      </w:r>
    </w:p>
    <w:p>
      <w:pPr>
        <w:spacing w:line="242" w:lineRule="auto" w:before="0"/>
        <w:ind w:left="160" w:right="196" w:firstLine="0"/>
        <w:jc w:val="both"/>
        <w:rPr>
          <w:rFonts w:ascii="楷体" w:eastAsia="楷体"/>
          <w:sz w:val="18"/>
        </w:rPr>
      </w:pPr>
      <w:r>
        <w:rPr>
          <w:rFonts w:ascii="楷体" w:eastAsia="楷体"/>
          <w:position w:val="9"/>
          <w:sz w:val="9"/>
        </w:rPr>
        <w:t>34 </w:t>
      </w:r>
      <w:r>
        <w:rPr>
          <w:rFonts w:ascii="楷体" w:eastAsia="楷体" w:hint="eastAsia"/>
          <w:b/>
          <w:sz w:val="18"/>
        </w:rPr>
        <w:t>先天性疾病和症状：</w:t>
      </w:r>
      <w:r>
        <w:rPr>
          <w:rFonts w:ascii="楷体" w:eastAsia="楷体"/>
          <w:sz w:val="18"/>
        </w:rPr>
        <w:t>指由于基因因素、先天性新陈代谢异常或其他因素导致的、出生时即存在的遗传性疾病和症状、出生</w:t>
      </w:r>
      <w:r>
        <w:rPr>
          <w:rFonts w:ascii="楷体" w:eastAsia="楷体"/>
          <w:spacing w:val="-2"/>
          <w:sz w:val="18"/>
        </w:rPr>
        <w:t>缺陷、身体残疾、智障等发育不完全正常的疾病和症状，这些疾病和症状可能在出生时显现或在出生后逐步显现。</w:t>
      </w:r>
    </w:p>
    <w:p>
      <w:pPr>
        <w:spacing w:line="242" w:lineRule="auto" w:before="1"/>
        <w:ind w:left="160" w:right="194" w:firstLine="0"/>
        <w:jc w:val="both"/>
        <w:rPr>
          <w:rFonts w:ascii="楷体" w:eastAsia="楷体"/>
          <w:sz w:val="18"/>
        </w:rPr>
      </w:pPr>
      <w:r>
        <w:rPr>
          <w:rFonts w:ascii="楷体" w:eastAsia="楷体"/>
          <w:position w:val="9"/>
          <w:sz w:val="9"/>
        </w:rPr>
        <w:t>35</w:t>
      </w:r>
      <w:r>
        <w:rPr>
          <w:rFonts w:ascii="楷体" w:eastAsia="楷体"/>
          <w:spacing w:val="-12"/>
          <w:position w:val="9"/>
          <w:sz w:val="9"/>
        </w:rPr>
        <w:t> </w:t>
      </w:r>
      <w:r>
        <w:rPr>
          <w:rFonts w:ascii="楷体" w:eastAsia="楷体" w:hint="eastAsia"/>
          <w:b/>
          <w:sz w:val="18"/>
        </w:rPr>
        <w:t>遗传</w:t>
      </w:r>
      <w:r>
        <w:rPr>
          <w:rFonts w:ascii="楷体" w:eastAsia="楷体" w:hint="eastAsia"/>
          <w:b/>
          <w:sz w:val="18"/>
        </w:rPr>
        <w:t>性</w:t>
      </w:r>
      <w:r>
        <w:rPr>
          <w:rFonts w:ascii="楷体" w:eastAsia="楷体" w:hint="eastAsia"/>
          <w:b/>
          <w:sz w:val="18"/>
        </w:rPr>
        <w:t>疾</w:t>
      </w:r>
      <w:r>
        <w:rPr>
          <w:rFonts w:ascii="楷体" w:eastAsia="楷体" w:hint="eastAsia"/>
          <w:b/>
          <w:sz w:val="18"/>
        </w:rPr>
        <w:t>病</w:t>
      </w:r>
      <w:r>
        <w:rPr>
          <w:rFonts w:ascii="楷体" w:eastAsia="楷体" w:hint="eastAsia"/>
          <w:b/>
          <w:spacing w:val="-11"/>
          <w:sz w:val="18"/>
        </w:rPr>
        <w:t>： </w:t>
      </w:r>
      <w:r>
        <w:rPr>
          <w:rFonts w:ascii="楷体" w:eastAsia="楷体"/>
          <w:sz w:val="18"/>
        </w:rPr>
        <w:t>指生殖细胞或受精卵的遗传物质（染色体和基因）发生突变或畸变所引起的疾病，通常具有由亲代传至后代</w:t>
      </w:r>
      <w:r>
        <w:rPr>
          <w:rFonts w:ascii="楷体" w:eastAsia="楷体"/>
          <w:spacing w:val="-2"/>
          <w:sz w:val="18"/>
        </w:rPr>
        <w:t>的垂直传递的特征。</w:t>
      </w:r>
    </w:p>
    <w:p>
      <w:pPr>
        <w:spacing w:line="242" w:lineRule="auto" w:before="0"/>
        <w:ind w:left="160" w:right="194" w:firstLine="0"/>
        <w:jc w:val="both"/>
        <w:rPr>
          <w:rFonts w:ascii="楷体" w:eastAsia="楷体"/>
          <w:sz w:val="18"/>
        </w:rPr>
      </w:pPr>
      <w:r>
        <w:rPr>
          <w:rFonts w:ascii="楷体" w:eastAsia="楷体"/>
          <w:position w:val="9"/>
          <w:sz w:val="9"/>
        </w:rPr>
        <w:t>36</w:t>
      </w:r>
      <w:r>
        <w:rPr>
          <w:rFonts w:ascii="楷体" w:eastAsia="楷体"/>
          <w:spacing w:val="-12"/>
          <w:position w:val="9"/>
          <w:sz w:val="9"/>
        </w:rPr>
        <w:t> </w:t>
      </w:r>
      <w:r>
        <w:rPr>
          <w:rFonts w:ascii="楷体" w:eastAsia="楷体" w:hint="eastAsia"/>
          <w:b/>
          <w:sz w:val="18"/>
        </w:rPr>
        <w:t>先天</w:t>
      </w:r>
      <w:r>
        <w:rPr>
          <w:rFonts w:ascii="楷体" w:eastAsia="楷体" w:hint="eastAsia"/>
          <w:b/>
          <w:sz w:val="18"/>
        </w:rPr>
        <w:t>性</w:t>
      </w:r>
      <w:r>
        <w:rPr>
          <w:rFonts w:ascii="楷体" w:eastAsia="楷体" w:hint="eastAsia"/>
          <w:b/>
          <w:sz w:val="18"/>
        </w:rPr>
        <w:t>畸</w:t>
      </w:r>
      <w:r>
        <w:rPr>
          <w:rFonts w:ascii="楷体" w:eastAsia="楷体" w:hint="eastAsia"/>
          <w:b/>
          <w:sz w:val="18"/>
        </w:rPr>
        <w:t>形</w:t>
      </w:r>
      <w:r>
        <w:rPr>
          <w:rFonts w:ascii="楷体" w:eastAsia="楷体" w:hint="eastAsia"/>
          <w:b/>
          <w:sz w:val="18"/>
        </w:rPr>
        <w:t>、变</w:t>
      </w:r>
      <w:r>
        <w:rPr>
          <w:rFonts w:ascii="楷体" w:eastAsia="楷体" w:hint="eastAsia"/>
          <w:b/>
          <w:sz w:val="18"/>
        </w:rPr>
        <w:t>形</w:t>
      </w:r>
      <w:r>
        <w:rPr>
          <w:rFonts w:ascii="楷体" w:eastAsia="楷体" w:hint="eastAsia"/>
          <w:b/>
          <w:sz w:val="18"/>
        </w:rPr>
        <w:t>或</w:t>
      </w:r>
      <w:r>
        <w:rPr>
          <w:rFonts w:ascii="楷体" w:eastAsia="楷体" w:hint="eastAsia"/>
          <w:b/>
          <w:sz w:val="18"/>
        </w:rPr>
        <w:t>染</w:t>
      </w:r>
      <w:r>
        <w:rPr>
          <w:rFonts w:ascii="楷体" w:eastAsia="楷体" w:hint="eastAsia"/>
          <w:b/>
          <w:sz w:val="18"/>
        </w:rPr>
        <w:t>色</w:t>
      </w:r>
      <w:r>
        <w:rPr>
          <w:rFonts w:ascii="楷体" w:eastAsia="楷体" w:hint="eastAsia"/>
          <w:b/>
          <w:sz w:val="18"/>
        </w:rPr>
        <w:t>体</w:t>
      </w:r>
      <w:r>
        <w:rPr>
          <w:rFonts w:ascii="楷体" w:eastAsia="楷体" w:hint="eastAsia"/>
          <w:b/>
          <w:sz w:val="18"/>
        </w:rPr>
        <w:t>异</w:t>
      </w:r>
      <w:r>
        <w:rPr>
          <w:rFonts w:ascii="楷体" w:eastAsia="楷体" w:hint="eastAsia"/>
          <w:b/>
          <w:sz w:val="18"/>
        </w:rPr>
        <w:t>常</w:t>
      </w:r>
      <w:r>
        <w:rPr>
          <w:rFonts w:ascii="楷体" w:eastAsia="楷体" w:hint="eastAsia"/>
          <w:b/>
          <w:spacing w:val="-11"/>
          <w:sz w:val="18"/>
        </w:rPr>
        <w:t>： </w:t>
      </w:r>
      <w:r>
        <w:rPr>
          <w:rFonts w:ascii="楷体" w:eastAsia="楷体"/>
          <w:sz w:val="18"/>
        </w:rPr>
        <w:t>指被保险人出生时就具有的畸形、变形或染色体异常。先天性畸形、变形和染色体异常</w:t>
      </w:r>
      <w:r>
        <w:rPr>
          <w:rFonts w:ascii="楷体" w:eastAsia="楷体"/>
          <w:spacing w:val="-6"/>
          <w:sz w:val="18"/>
        </w:rPr>
        <w:t>依照世界卫生组织《疾病和有关健康问题的国际统计分类》</w:t>
      </w:r>
      <w:r>
        <w:rPr>
          <w:rFonts w:ascii="楷体" w:eastAsia="楷体"/>
          <w:spacing w:val="-2"/>
          <w:sz w:val="18"/>
        </w:rPr>
        <w:t>（ICD-10）确定。</w:t>
      </w:r>
    </w:p>
    <w:p>
      <w:pPr>
        <w:spacing w:line="242" w:lineRule="auto" w:before="2"/>
        <w:ind w:left="160" w:right="194" w:firstLine="0"/>
        <w:jc w:val="both"/>
        <w:rPr>
          <w:rFonts w:ascii="楷体" w:eastAsia="楷体"/>
          <w:sz w:val="18"/>
        </w:rPr>
      </w:pPr>
      <w:r>
        <w:rPr>
          <w:rFonts w:ascii="楷体" w:eastAsia="楷体"/>
          <w:w w:val="101"/>
          <w:position w:val="9"/>
          <w:sz w:val="9"/>
        </w:rPr>
        <w:t>37</w:t>
      </w:r>
      <w:r>
        <w:rPr>
          <w:rFonts w:ascii="楷体" w:eastAsia="楷体"/>
          <w:position w:val="9"/>
          <w:sz w:val="9"/>
        </w:rPr>
        <w:t>  </w:t>
      </w:r>
      <w:r>
        <w:rPr>
          <w:rFonts w:ascii="楷体" w:eastAsia="楷体" w:hint="eastAsia"/>
          <w:b/>
          <w:w w:val="99"/>
          <w:sz w:val="18"/>
        </w:rPr>
        <w:t>感染艾滋病病毒或患艾滋病：</w:t>
      </w:r>
      <w:r>
        <w:rPr>
          <w:rFonts w:ascii="楷体" w:eastAsia="楷体" w:hint="eastAsia"/>
          <w:b/>
          <w:spacing w:val="-9"/>
          <w:sz w:val="18"/>
        </w:rPr>
        <w:t> </w:t>
      </w:r>
      <w:r>
        <w:rPr>
          <w:rFonts w:ascii="楷体" w:eastAsia="楷体"/>
          <w:spacing w:val="-4"/>
          <w:sz w:val="18"/>
        </w:rPr>
        <w:t>艾滋病毒指人类免疫缺陷病毒，英文缩写为 </w:t>
      </w:r>
      <w:r>
        <w:rPr>
          <w:rFonts w:ascii="楷体" w:eastAsia="楷体"/>
          <w:spacing w:val="1"/>
          <w:sz w:val="18"/>
        </w:rPr>
        <w:t>H</w:t>
      </w:r>
      <w:r>
        <w:rPr>
          <w:rFonts w:ascii="楷体" w:eastAsia="楷体"/>
          <w:spacing w:val="-2"/>
          <w:sz w:val="18"/>
        </w:rPr>
        <w:t>I</w:t>
      </w:r>
      <w:r>
        <w:rPr>
          <w:rFonts w:ascii="楷体" w:eastAsia="楷体"/>
          <w:spacing w:val="1"/>
          <w:sz w:val="18"/>
        </w:rPr>
        <w:t>V</w:t>
      </w:r>
      <w:r>
        <w:rPr>
          <w:rFonts w:ascii="楷体" w:eastAsia="楷体"/>
          <w:spacing w:val="-4"/>
          <w:sz w:val="18"/>
        </w:rPr>
        <w:t>。艾滋病指人类免疫缺陷病毒引起的获得性</w:t>
      </w:r>
      <w:r>
        <w:rPr>
          <w:rFonts w:ascii="楷体" w:eastAsia="楷体"/>
          <w:spacing w:val="-10"/>
          <w:sz w:val="18"/>
        </w:rPr>
        <w:t>人类免疫缺陷综合征，英文缩写为 </w:t>
      </w:r>
      <w:r>
        <w:rPr>
          <w:rFonts w:ascii="楷体" w:eastAsia="楷体"/>
          <w:spacing w:val="1"/>
          <w:sz w:val="18"/>
        </w:rPr>
        <w:t>A</w:t>
      </w:r>
      <w:r>
        <w:rPr>
          <w:rFonts w:ascii="楷体" w:eastAsia="楷体"/>
          <w:spacing w:val="-2"/>
          <w:sz w:val="18"/>
        </w:rPr>
        <w:t>I</w:t>
      </w:r>
      <w:r>
        <w:rPr>
          <w:rFonts w:ascii="楷体" w:eastAsia="楷体"/>
          <w:spacing w:val="1"/>
          <w:sz w:val="18"/>
        </w:rPr>
        <w:t>D</w:t>
      </w:r>
      <w:r>
        <w:rPr>
          <w:rFonts w:ascii="楷体" w:eastAsia="楷体"/>
          <w:spacing w:val="2"/>
          <w:sz w:val="18"/>
        </w:rPr>
        <w:t>S</w:t>
      </w:r>
      <w:r>
        <w:rPr>
          <w:rFonts w:ascii="楷体" w:eastAsia="楷体"/>
          <w:spacing w:val="-13"/>
          <w:sz w:val="18"/>
        </w:rPr>
        <w:t>。在人体血液或其他样本中检测到艾滋病毒或其抗体呈阳性，没有出现临床症状征的，</w:t>
      </w:r>
      <w:r>
        <w:rPr>
          <w:rFonts w:ascii="楷体" w:eastAsia="楷体"/>
          <w:spacing w:val="-11"/>
          <w:sz w:val="18"/>
        </w:rPr>
        <w:t>为感染艾滋病病毒； 如果同时出现了明显临床症状或体征的，为患艾滋病。</w:t>
      </w:r>
    </w:p>
    <w:p>
      <w:pPr>
        <w:spacing w:line="244" w:lineRule="auto" w:before="1"/>
        <w:ind w:left="160" w:right="197" w:firstLine="0"/>
        <w:jc w:val="both"/>
        <w:rPr>
          <w:rFonts w:ascii="楷体" w:eastAsia="楷体"/>
          <w:sz w:val="18"/>
        </w:rPr>
      </w:pPr>
      <w:r>
        <w:rPr>
          <w:rFonts w:ascii="楷体" w:eastAsia="楷体"/>
          <w:position w:val="9"/>
          <w:sz w:val="9"/>
        </w:rPr>
        <w:t>38 </w:t>
      </w:r>
      <w:r>
        <w:rPr>
          <w:rFonts w:ascii="楷体" w:eastAsia="楷体" w:hint="eastAsia"/>
          <w:b/>
          <w:sz w:val="18"/>
        </w:rPr>
        <w:t>战争</w:t>
      </w:r>
      <w:r>
        <w:rPr>
          <w:rFonts w:ascii="楷体" w:eastAsia="楷体"/>
          <w:sz w:val="18"/>
        </w:rPr>
        <w:t>：指国家与国家、民族与民族、政治集团与政治集团之间为了一定的政治、经济目的而进行的武装斗争，以政府宣布</w:t>
      </w:r>
      <w:r>
        <w:rPr>
          <w:rFonts w:ascii="楷体" w:eastAsia="楷体"/>
          <w:spacing w:val="-4"/>
          <w:sz w:val="18"/>
        </w:rPr>
        <w:t>为准。</w:t>
      </w:r>
    </w:p>
    <w:p>
      <w:pPr>
        <w:spacing w:line="228" w:lineRule="exact" w:before="0"/>
        <w:ind w:left="160" w:right="0" w:firstLine="0"/>
        <w:jc w:val="both"/>
        <w:rPr>
          <w:rFonts w:ascii="楷体" w:eastAsia="楷体"/>
          <w:sz w:val="18"/>
        </w:rPr>
      </w:pPr>
      <w:r>
        <w:rPr>
          <w:rFonts w:ascii="楷体" w:eastAsia="楷体"/>
          <w:position w:val="9"/>
          <w:sz w:val="9"/>
        </w:rPr>
        <w:t>39</w:t>
      </w:r>
      <w:r>
        <w:rPr>
          <w:rFonts w:ascii="楷体" w:eastAsia="楷体"/>
          <w:spacing w:val="40"/>
          <w:position w:val="9"/>
          <w:sz w:val="9"/>
        </w:rPr>
        <w:t> </w:t>
      </w:r>
      <w:r>
        <w:rPr>
          <w:rFonts w:ascii="楷体" w:eastAsia="楷体" w:hint="eastAsia"/>
          <w:b/>
          <w:sz w:val="18"/>
        </w:rPr>
        <w:t>军事冲突</w:t>
      </w:r>
      <w:r>
        <w:rPr>
          <w:rFonts w:ascii="楷体" w:eastAsia="楷体"/>
          <w:spacing w:val="-1"/>
          <w:sz w:val="18"/>
        </w:rPr>
        <w:t>：指国家或民族之间在一定范围内的武装对抗，以政府宣布为准。</w:t>
      </w:r>
    </w:p>
    <w:p>
      <w:pPr>
        <w:spacing w:line="242" w:lineRule="auto" w:before="2"/>
        <w:ind w:left="160" w:right="198" w:firstLine="0"/>
        <w:jc w:val="both"/>
        <w:rPr>
          <w:rFonts w:ascii="楷体" w:eastAsia="楷体"/>
          <w:sz w:val="18"/>
        </w:rPr>
      </w:pPr>
      <w:r>
        <w:rPr>
          <w:rFonts w:ascii="楷体" w:eastAsia="楷体"/>
          <w:position w:val="9"/>
          <w:sz w:val="9"/>
        </w:rPr>
        <w:t>40 </w:t>
      </w:r>
      <w:r>
        <w:rPr>
          <w:rFonts w:ascii="楷体" w:eastAsia="楷体" w:hint="eastAsia"/>
          <w:b/>
          <w:sz w:val="18"/>
        </w:rPr>
        <w:t>恐怖主义活动</w:t>
      </w:r>
      <w:r>
        <w:rPr>
          <w:rFonts w:ascii="楷体" w:eastAsia="楷体"/>
          <w:sz w:val="18"/>
        </w:rPr>
        <w:t>：指以制造社会恐慌、危害公共安全或胁迫国家机关、国际组织为目的，采取暴力、破坏、恐吓等手段，造</w:t>
      </w:r>
      <w:r>
        <w:rPr>
          <w:rFonts w:ascii="楷体" w:eastAsia="楷体"/>
          <w:spacing w:val="-2"/>
          <w:sz w:val="18"/>
        </w:rPr>
        <w:t>成或意图造成人员伤亡、重大财产损失、公共设施损坏、社会秩序混乱等严重社会危害的行为，以及煽动、资助或以其他方</w:t>
      </w:r>
      <w:r>
        <w:rPr>
          <w:rFonts w:ascii="楷体" w:eastAsia="楷体"/>
          <w:spacing w:val="-2"/>
          <w:sz w:val="18"/>
        </w:rPr>
        <w:t>式协助实施上述活动的行为。</w:t>
      </w:r>
    </w:p>
    <w:p>
      <w:pPr>
        <w:spacing w:before="2"/>
        <w:ind w:left="160" w:right="0" w:firstLine="0"/>
        <w:jc w:val="left"/>
        <w:rPr>
          <w:rFonts w:ascii="楷体" w:eastAsia="楷体"/>
          <w:sz w:val="18"/>
        </w:rPr>
      </w:pPr>
      <w:r>
        <w:rPr>
          <w:rFonts w:ascii="楷体" w:eastAsia="楷体"/>
          <w:position w:val="9"/>
          <w:sz w:val="9"/>
        </w:rPr>
        <w:t>41</w:t>
      </w:r>
      <w:r>
        <w:rPr>
          <w:rFonts w:ascii="楷体" w:eastAsia="楷体"/>
          <w:spacing w:val="42"/>
          <w:position w:val="9"/>
          <w:sz w:val="9"/>
        </w:rPr>
        <w:t> </w:t>
      </w:r>
      <w:r>
        <w:rPr>
          <w:rFonts w:ascii="楷体" w:eastAsia="楷体" w:hint="eastAsia"/>
          <w:b/>
          <w:sz w:val="18"/>
        </w:rPr>
        <w:t>暴乱</w:t>
      </w:r>
      <w:r>
        <w:rPr>
          <w:rFonts w:ascii="楷体" w:eastAsia="楷体"/>
          <w:spacing w:val="-1"/>
          <w:sz w:val="18"/>
        </w:rPr>
        <w:t>：指破坏社会秩序的武装骚动，以政府宣布为准。</w:t>
      </w:r>
    </w:p>
    <w:p>
      <w:pPr>
        <w:spacing w:before="2"/>
        <w:ind w:left="160" w:right="0" w:firstLine="0"/>
        <w:jc w:val="left"/>
        <w:rPr>
          <w:rFonts w:ascii="楷体" w:eastAsia="楷体"/>
          <w:sz w:val="18"/>
        </w:rPr>
      </w:pPr>
      <w:r>
        <w:rPr>
          <w:rFonts w:ascii="楷体" w:eastAsia="楷体"/>
          <w:position w:val="9"/>
          <w:sz w:val="9"/>
        </w:rPr>
        <w:t>42</w:t>
      </w:r>
      <w:r>
        <w:rPr>
          <w:rFonts w:ascii="楷体" w:eastAsia="楷体"/>
          <w:spacing w:val="42"/>
          <w:position w:val="9"/>
          <w:sz w:val="9"/>
        </w:rPr>
        <w:t> </w:t>
      </w:r>
      <w:r>
        <w:rPr>
          <w:rFonts w:ascii="楷体" w:eastAsia="楷体" w:hint="eastAsia"/>
          <w:b/>
          <w:sz w:val="18"/>
        </w:rPr>
        <w:t>潜水</w:t>
      </w:r>
      <w:r>
        <w:rPr>
          <w:rFonts w:ascii="楷体" w:eastAsia="楷体"/>
          <w:spacing w:val="-1"/>
          <w:sz w:val="18"/>
        </w:rPr>
        <w:t>：指使用辅助呼吸器材在江、河、湖、海、水库、运河等水域进行的水下运动。</w:t>
      </w:r>
    </w:p>
    <w:p>
      <w:pPr>
        <w:spacing w:before="4"/>
        <w:ind w:left="160" w:right="0" w:firstLine="0"/>
        <w:jc w:val="left"/>
        <w:rPr>
          <w:rFonts w:ascii="楷体" w:eastAsia="楷体"/>
          <w:sz w:val="18"/>
        </w:rPr>
      </w:pPr>
      <w:r>
        <w:rPr>
          <w:rFonts w:ascii="楷体" w:eastAsia="楷体"/>
          <w:position w:val="9"/>
          <w:sz w:val="9"/>
        </w:rPr>
        <w:t>43</w:t>
      </w:r>
      <w:r>
        <w:rPr>
          <w:rFonts w:ascii="楷体" w:eastAsia="楷体"/>
          <w:spacing w:val="42"/>
          <w:position w:val="9"/>
          <w:sz w:val="9"/>
        </w:rPr>
        <w:t> </w:t>
      </w:r>
      <w:r>
        <w:rPr>
          <w:rFonts w:ascii="楷体" w:eastAsia="楷体" w:hint="eastAsia"/>
          <w:b/>
          <w:sz w:val="18"/>
        </w:rPr>
        <w:t>攀岩</w:t>
      </w:r>
      <w:r>
        <w:rPr>
          <w:rFonts w:ascii="楷体" w:eastAsia="楷体"/>
          <w:spacing w:val="-1"/>
          <w:sz w:val="18"/>
        </w:rPr>
        <w:t>：指攀登悬崖、楼宇外墙、人造悬崖、冰崖、冰山等运动。</w:t>
      </w:r>
    </w:p>
    <w:p>
      <w:pPr>
        <w:spacing w:after="0"/>
        <w:jc w:val="left"/>
        <w:rPr>
          <w:rFonts w:ascii="楷体" w:eastAsia="楷体"/>
          <w:sz w:val="18"/>
        </w:rPr>
        <w:sectPr>
          <w:pgSz w:w="11910" w:h="16840"/>
          <w:pgMar w:header="0" w:footer="659" w:top="1520" w:bottom="1000" w:left="920" w:right="880"/>
        </w:sectPr>
      </w:pPr>
    </w:p>
    <w:p>
      <w:pPr>
        <w:pStyle w:val="BodyText"/>
        <w:spacing w:line="278" w:lineRule="auto" w:before="74"/>
        <w:ind w:left="3717" w:right="162"/>
      </w:pPr>
      <w:r>
        <w:rPr>
          <w:b/>
          <w:color w:val="000000"/>
          <w:spacing w:val="-2"/>
          <w:shd w:fill="E4E4E4" w:color="auto" w:val="clear"/>
        </w:rPr>
        <w:t>探险</w:t>
      </w:r>
      <w:r>
        <w:rPr>
          <w:color w:val="000000"/>
          <w:spacing w:val="-2"/>
          <w:position w:val="11"/>
          <w:sz w:val="11"/>
        </w:rPr>
        <w:t>44</w:t>
      </w:r>
      <w:r>
        <w:rPr>
          <w:color w:val="000000"/>
          <w:spacing w:val="-2"/>
          <w:shd w:fill="E4E4E4" w:color="auto" w:val="clear"/>
        </w:rPr>
        <w:t>、摔跤、</w:t>
      </w:r>
      <w:r>
        <w:rPr>
          <w:b/>
          <w:color w:val="000000"/>
          <w:spacing w:val="-2"/>
          <w:shd w:fill="E4E4E4" w:color="auto" w:val="clear"/>
        </w:rPr>
        <w:t>武术比赛</w:t>
      </w:r>
      <w:r>
        <w:rPr>
          <w:color w:val="000000"/>
          <w:spacing w:val="-2"/>
          <w:position w:val="11"/>
          <w:sz w:val="11"/>
        </w:rPr>
        <w:t>45</w:t>
      </w:r>
      <w:r>
        <w:rPr>
          <w:color w:val="000000"/>
          <w:spacing w:val="-2"/>
          <w:shd w:fill="E4E4E4" w:color="auto" w:val="clear"/>
        </w:rPr>
        <w:t>、</w:t>
      </w:r>
      <w:r>
        <w:rPr>
          <w:b/>
          <w:color w:val="000000"/>
          <w:spacing w:val="-2"/>
          <w:shd w:fill="E4E4E4" w:color="auto" w:val="clear"/>
        </w:rPr>
        <w:t>特技表演</w:t>
      </w:r>
      <w:r>
        <w:rPr>
          <w:color w:val="000000"/>
          <w:spacing w:val="-2"/>
          <w:position w:val="11"/>
          <w:sz w:val="11"/>
        </w:rPr>
        <w:t>46</w:t>
      </w:r>
      <w:r>
        <w:rPr>
          <w:color w:val="000000"/>
          <w:spacing w:val="-2"/>
          <w:shd w:fill="E4E4E4" w:color="auto" w:val="clear"/>
        </w:rPr>
        <w:t>、赛马、赛车等高风险运动；</w:t>
      </w:r>
      <w:r>
        <w:rPr>
          <w:color w:val="000000"/>
          <w:spacing w:val="80"/>
          <w:w w:val="150"/>
          <w:shd w:fill="E4E4E4" w:color="auto" w:val="clear"/>
        </w:rPr>
        <w:t>                                  </w:t>
      </w:r>
      <w:r>
        <w:rPr>
          <w:color w:val="000000"/>
          <w:spacing w:val="-2"/>
          <w:shd w:fill="E4E4E4" w:color="auto" w:val="clear"/>
        </w:rPr>
        <w:t>被保险人参与任何水、陆、空交通工具的竞赛，或作为职业运动员</w:t>
      </w:r>
      <w:r>
        <w:rPr>
          <w:color w:val="000000"/>
          <w:spacing w:val="-2"/>
          <w:shd w:fill="E4E4E4" w:color="auto" w:val="clear"/>
        </w:rPr>
        <w:t>参与任何体育竞赛；</w:t>
      </w:r>
    </w:p>
    <w:p>
      <w:pPr>
        <w:pStyle w:val="ListParagraph"/>
        <w:numPr>
          <w:ilvl w:val="3"/>
          <w:numId w:val="7"/>
        </w:numPr>
        <w:tabs>
          <w:tab w:pos="3718" w:val="left" w:leader="none"/>
        </w:tabs>
        <w:spacing w:line="240" w:lineRule="auto" w:before="156" w:after="0"/>
        <w:ind w:left="3717" w:right="0" w:hanging="721"/>
        <w:jc w:val="left"/>
        <w:rPr>
          <w:sz w:val="21"/>
        </w:rPr>
      </w:pPr>
      <w:r>
        <w:rPr>
          <w:color w:val="000000"/>
          <w:spacing w:val="-2"/>
          <w:sz w:val="21"/>
          <w:shd w:fill="E4E4E4" w:color="auto" w:val="clear"/>
        </w:rPr>
        <w:t>被保险人因出境（包括港、澳、台地区）</w:t>
      </w:r>
      <w:r>
        <w:rPr>
          <w:color w:val="000000"/>
          <w:spacing w:val="-3"/>
          <w:sz w:val="21"/>
          <w:shd w:fill="E4E4E4" w:color="auto" w:val="clear"/>
        </w:rPr>
        <w:t>后入境导致的隔离；</w:t>
      </w:r>
    </w:p>
    <w:p>
      <w:pPr>
        <w:pStyle w:val="BodyText"/>
        <w:spacing w:before="12"/>
        <w:rPr>
          <w:sz w:val="9"/>
        </w:rPr>
      </w:pPr>
    </w:p>
    <w:p>
      <w:pPr>
        <w:pStyle w:val="ListParagraph"/>
        <w:numPr>
          <w:ilvl w:val="3"/>
          <w:numId w:val="7"/>
        </w:numPr>
        <w:tabs>
          <w:tab w:pos="3718" w:val="left" w:leader="none"/>
        </w:tabs>
        <w:spacing w:line="240" w:lineRule="auto" w:before="72" w:after="0"/>
        <w:ind w:left="3717" w:right="0" w:hanging="721"/>
        <w:jc w:val="left"/>
        <w:rPr>
          <w:sz w:val="21"/>
        </w:rPr>
      </w:pPr>
      <w:r>
        <w:rPr>
          <w:color w:val="000000"/>
          <w:spacing w:val="-3"/>
          <w:sz w:val="21"/>
          <w:shd w:fill="E4E4E4" w:color="auto" w:val="clear"/>
        </w:rPr>
        <w:t>被保险人于投保前确诊、疑似或已感染法定传染病；</w:t>
      </w:r>
    </w:p>
    <w:p>
      <w:pPr>
        <w:pStyle w:val="BodyText"/>
        <w:spacing w:before="12"/>
        <w:rPr>
          <w:sz w:val="9"/>
        </w:rPr>
      </w:pPr>
    </w:p>
    <w:p>
      <w:pPr>
        <w:pStyle w:val="ListParagraph"/>
        <w:numPr>
          <w:ilvl w:val="3"/>
          <w:numId w:val="7"/>
        </w:numPr>
        <w:tabs>
          <w:tab w:pos="3718" w:val="left" w:leader="none"/>
        </w:tabs>
        <w:spacing w:line="278" w:lineRule="auto" w:before="71" w:after="0"/>
        <w:ind w:left="3717" w:right="266" w:hanging="721"/>
        <w:jc w:val="left"/>
        <w:rPr>
          <w:sz w:val="21"/>
        </w:rPr>
      </w:pPr>
      <w:r>
        <w:rPr>
          <w:color w:val="000000"/>
          <w:spacing w:val="-2"/>
          <w:sz w:val="21"/>
          <w:shd w:fill="E4E4E4" w:color="auto" w:val="clear"/>
        </w:rPr>
        <w:t>被保险人在不具有卫生主管部门要求具备预防接种条件的单位接种</w:t>
      </w:r>
      <w:r>
        <w:rPr>
          <w:color w:val="000000"/>
          <w:spacing w:val="11760"/>
          <w:sz w:val="21"/>
          <w:shd w:fill="E4E4E4" w:color="auto" w:val="clear"/>
        </w:rPr>
        <w:t> </w:t>
      </w:r>
      <w:r>
        <w:rPr>
          <w:color w:val="000000"/>
          <w:spacing w:val="-4"/>
          <w:sz w:val="21"/>
          <w:shd w:fill="E4E4E4" w:color="auto" w:val="clear"/>
        </w:rPr>
        <w:t>疫苗；</w:t>
      </w:r>
    </w:p>
    <w:p>
      <w:pPr>
        <w:pStyle w:val="ListParagraph"/>
        <w:numPr>
          <w:ilvl w:val="3"/>
          <w:numId w:val="7"/>
        </w:numPr>
        <w:tabs>
          <w:tab w:pos="3718" w:val="left" w:leader="none"/>
        </w:tabs>
        <w:spacing w:line="278" w:lineRule="auto" w:before="156" w:after="0"/>
        <w:ind w:left="3717" w:right="266" w:hanging="721"/>
        <w:jc w:val="left"/>
        <w:rPr>
          <w:sz w:val="21"/>
        </w:rPr>
      </w:pPr>
      <w:r>
        <w:rPr>
          <w:color w:val="000000"/>
          <w:spacing w:val="-2"/>
          <w:sz w:val="21"/>
          <w:shd w:fill="E4E4E4" w:color="auto" w:val="clear"/>
        </w:rPr>
        <w:t>实施接种的医疗卫生人员未参加卫生主管部门组织的预防接种专业</w:t>
      </w:r>
      <w:r>
        <w:rPr>
          <w:color w:val="000000"/>
          <w:spacing w:val="11760"/>
          <w:sz w:val="21"/>
          <w:shd w:fill="E4E4E4" w:color="auto" w:val="clear"/>
        </w:rPr>
        <w:t> </w:t>
      </w:r>
      <w:r>
        <w:rPr>
          <w:color w:val="000000"/>
          <w:spacing w:val="-2"/>
          <w:sz w:val="21"/>
          <w:shd w:fill="E4E4E4" w:color="auto" w:val="clear"/>
        </w:rPr>
        <w:t>培训或考核不合格；</w:t>
      </w:r>
    </w:p>
    <w:p>
      <w:pPr>
        <w:pStyle w:val="ListParagraph"/>
        <w:numPr>
          <w:ilvl w:val="3"/>
          <w:numId w:val="7"/>
        </w:numPr>
        <w:tabs>
          <w:tab w:pos="3718" w:val="left" w:leader="none"/>
        </w:tabs>
        <w:spacing w:line="278" w:lineRule="auto" w:before="156" w:after="0"/>
        <w:ind w:left="3717" w:right="266" w:hanging="721"/>
        <w:jc w:val="left"/>
        <w:rPr>
          <w:sz w:val="21"/>
        </w:rPr>
      </w:pPr>
      <w:r>
        <w:rPr>
          <w:color w:val="000000"/>
          <w:spacing w:val="-2"/>
          <w:sz w:val="21"/>
          <w:shd w:fill="E4E4E4" w:color="auto" w:val="clear"/>
        </w:rPr>
        <w:t>接种单位违反相关疫苗管理法、预防接种工作规范、免疫程序、疫</w:t>
      </w:r>
      <w:r>
        <w:rPr>
          <w:color w:val="000000"/>
          <w:spacing w:val="11760"/>
          <w:sz w:val="21"/>
          <w:shd w:fill="E4E4E4" w:color="auto" w:val="clear"/>
        </w:rPr>
        <w:t> </w:t>
      </w:r>
      <w:r>
        <w:rPr>
          <w:color w:val="000000"/>
          <w:spacing w:val="-2"/>
          <w:sz w:val="21"/>
          <w:shd w:fill="E4E4E4" w:color="auto" w:val="clear"/>
        </w:rPr>
        <w:t>苗使用指导原则、接种方案；</w:t>
      </w:r>
    </w:p>
    <w:p>
      <w:pPr>
        <w:pStyle w:val="ListParagraph"/>
        <w:numPr>
          <w:ilvl w:val="3"/>
          <w:numId w:val="7"/>
        </w:numPr>
        <w:tabs>
          <w:tab w:pos="3718" w:val="left" w:leader="none"/>
        </w:tabs>
        <w:spacing w:line="278" w:lineRule="auto" w:before="156" w:after="0"/>
        <w:ind w:left="3717" w:right="266" w:hanging="721"/>
        <w:jc w:val="left"/>
        <w:rPr>
          <w:sz w:val="21"/>
        </w:rPr>
      </w:pPr>
      <w:r>
        <w:rPr>
          <w:color w:val="000000"/>
          <w:spacing w:val="-2"/>
          <w:sz w:val="21"/>
          <w:shd w:fill="E4E4E4" w:color="auto" w:val="clear"/>
        </w:rPr>
        <w:t>对于有接种禁忌而不能接种的被保险人，在医护人员提出医学建议</w:t>
      </w:r>
      <w:r>
        <w:rPr>
          <w:color w:val="000000"/>
          <w:spacing w:val="11760"/>
          <w:sz w:val="21"/>
          <w:shd w:fill="E4E4E4" w:color="auto" w:val="clear"/>
        </w:rPr>
        <w:t> </w:t>
      </w:r>
      <w:r>
        <w:rPr>
          <w:color w:val="000000"/>
          <w:spacing w:val="-2"/>
          <w:sz w:val="21"/>
          <w:shd w:fill="E4E4E4" w:color="auto" w:val="clear"/>
        </w:rPr>
        <w:t>后，被保险人或被保险人监护人仍要求实施接种的；</w:t>
      </w:r>
    </w:p>
    <w:p>
      <w:pPr>
        <w:pStyle w:val="ListParagraph"/>
        <w:numPr>
          <w:ilvl w:val="3"/>
          <w:numId w:val="7"/>
        </w:numPr>
        <w:tabs>
          <w:tab w:pos="3718" w:val="left" w:leader="none"/>
        </w:tabs>
        <w:spacing w:line="278" w:lineRule="auto" w:before="156" w:after="0"/>
        <w:ind w:left="3717" w:right="265" w:hanging="721"/>
        <w:jc w:val="both"/>
        <w:rPr>
          <w:sz w:val="21"/>
        </w:rPr>
      </w:pPr>
      <w:r>
        <w:rPr>
          <w:color w:val="000000"/>
          <w:spacing w:val="-2"/>
          <w:sz w:val="21"/>
          <w:shd w:fill="E4E4E4" w:color="auto" w:val="clear"/>
        </w:rPr>
        <w:t>被保险人有疫苗说明书规定的接种禁忌、在接种前被保险人或者其</w:t>
      </w:r>
      <w:r>
        <w:rPr>
          <w:color w:val="000000"/>
          <w:spacing w:val="11760"/>
          <w:sz w:val="21"/>
          <w:shd w:fill="E4E4E4" w:color="auto" w:val="clear"/>
        </w:rPr>
        <w:t> </w:t>
      </w:r>
      <w:r>
        <w:rPr>
          <w:color w:val="000000"/>
          <w:spacing w:val="-2"/>
          <w:sz w:val="21"/>
          <w:shd w:fill="E4E4E4" w:color="auto" w:val="clear"/>
        </w:rPr>
        <w:t>监护人未如实提供被保险人的健康状况和接种禁忌等情况，接种后</w:t>
      </w:r>
      <w:r>
        <w:rPr>
          <w:color w:val="000000"/>
          <w:spacing w:val="-2"/>
          <w:sz w:val="21"/>
          <w:shd w:fill="E4E4E4" w:color="auto" w:val="clear"/>
        </w:rPr>
        <w:t>被保险人原有疾病急性复发或者病情加重；</w:t>
      </w:r>
    </w:p>
    <w:p>
      <w:pPr>
        <w:pStyle w:val="ListParagraph"/>
        <w:numPr>
          <w:ilvl w:val="3"/>
          <w:numId w:val="7"/>
        </w:numPr>
        <w:tabs>
          <w:tab w:pos="3718" w:val="left" w:leader="none"/>
        </w:tabs>
        <w:spacing w:line="240" w:lineRule="auto" w:before="156" w:after="0"/>
        <w:ind w:left="3717" w:right="0" w:hanging="721"/>
        <w:jc w:val="left"/>
        <w:rPr>
          <w:sz w:val="21"/>
        </w:rPr>
      </w:pPr>
      <w:r>
        <w:rPr>
          <w:color w:val="000000"/>
          <w:spacing w:val="-3"/>
          <w:sz w:val="21"/>
          <w:shd w:fill="E4E4E4" w:color="auto" w:val="clear"/>
        </w:rPr>
        <w:t>被保险人未按规定程序按时接受疫苗的预防接种。</w:t>
      </w:r>
    </w:p>
    <w:p>
      <w:pPr>
        <w:pStyle w:val="BodyText"/>
        <w:spacing w:before="9"/>
        <w:rPr>
          <w:sz w:val="27"/>
        </w:rPr>
      </w:pPr>
    </w:p>
    <w:p>
      <w:pPr>
        <w:pStyle w:val="ListParagraph"/>
        <w:numPr>
          <w:ilvl w:val="2"/>
          <w:numId w:val="7"/>
        </w:numPr>
        <w:tabs>
          <w:tab w:pos="1229" w:val="left" w:leader="none"/>
          <w:tab w:pos="2997" w:val="left" w:leader="none"/>
        </w:tabs>
        <w:spacing w:line="278" w:lineRule="auto" w:before="0" w:after="0"/>
        <w:ind w:left="2997" w:right="162" w:hanging="2518"/>
        <w:jc w:val="left"/>
        <w:rPr>
          <w:sz w:val="21"/>
        </w:rPr>
      </w:pPr>
      <w:r>
        <w:rPr>
          <w:b/>
          <w:spacing w:val="-2"/>
          <w:sz w:val="21"/>
        </w:rPr>
        <w:t>其</w:t>
      </w:r>
      <w:r>
        <w:rPr>
          <w:b/>
          <w:spacing w:val="-2"/>
          <w:sz w:val="21"/>
        </w:rPr>
        <w:t>他</w:t>
      </w:r>
      <w:r>
        <w:rPr>
          <w:b/>
          <w:spacing w:val="-2"/>
          <w:sz w:val="21"/>
        </w:rPr>
        <w:t>免</w:t>
      </w:r>
      <w:r>
        <w:rPr>
          <w:b/>
          <w:spacing w:val="-2"/>
          <w:sz w:val="21"/>
        </w:rPr>
        <w:t>责</w:t>
      </w:r>
      <w:r>
        <w:rPr>
          <w:b/>
          <w:spacing w:val="-2"/>
          <w:sz w:val="21"/>
        </w:rPr>
        <w:t>条</w:t>
      </w:r>
      <w:r>
        <w:rPr>
          <w:b/>
          <w:spacing w:val="-2"/>
          <w:sz w:val="21"/>
        </w:rPr>
        <w:t>款</w:t>
      </w:r>
      <w:r>
        <w:rPr>
          <w:b/>
          <w:sz w:val="21"/>
        </w:rPr>
        <w:tab/>
      </w:r>
      <w:r>
        <w:rPr>
          <w:color w:val="000000"/>
          <w:sz w:val="21"/>
          <w:shd w:fill="E4E4E4" w:color="auto" w:val="clear"/>
        </w:rPr>
        <w:t>除“2.5.1</w:t>
      </w:r>
      <w:r>
        <w:rPr>
          <w:color w:val="000000"/>
          <w:spacing w:val="-42"/>
          <w:sz w:val="21"/>
          <w:shd w:fill="E4E4E4" w:color="auto" w:val="clear"/>
        </w:rPr>
        <w:t> </w:t>
      </w:r>
      <w:r>
        <w:rPr>
          <w:color w:val="000000"/>
          <w:sz w:val="21"/>
          <w:shd w:fill="E4E4E4" w:color="auto" w:val="clear"/>
        </w:rPr>
        <w:t>一般责任免除”外，本合同还有一些免除</w:t>
      </w:r>
      <w:r>
        <w:rPr>
          <w:color w:val="000000"/>
          <w:sz w:val="21"/>
          <w:shd w:fill="E4E4E4" w:color="auto" w:val="clear"/>
        </w:rPr>
        <w:t>本公司责任的条款，详</w:t>
      </w:r>
      <w:r>
        <w:rPr>
          <w:color w:val="000000"/>
          <w:spacing w:val="13335"/>
          <w:sz w:val="21"/>
          <w:shd w:fill="E4E4E4" w:color="auto" w:val="clear"/>
        </w:rPr>
        <w:t> </w:t>
      </w:r>
      <w:r>
        <w:rPr>
          <w:color w:val="000000"/>
          <w:sz w:val="21"/>
          <w:shd w:fill="E4E4E4" w:color="auto" w:val="clear"/>
        </w:rPr>
        <w:t>见“1.4</w:t>
      </w:r>
      <w:r>
        <w:rPr>
          <w:color w:val="000000"/>
          <w:spacing w:val="-2"/>
          <w:sz w:val="21"/>
          <w:shd w:fill="E4E4E4" w:color="auto" w:val="clear"/>
        </w:rPr>
        <w:t> </w:t>
      </w:r>
      <w:r>
        <w:rPr>
          <w:color w:val="000000"/>
          <w:sz w:val="21"/>
          <w:shd w:fill="E4E4E4" w:color="auto" w:val="clear"/>
        </w:rPr>
        <w:t>犹</w:t>
      </w:r>
      <w:r>
        <w:rPr>
          <w:color w:val="000000"/>
          <w:sz w:val="21"/>
          <w:shd w:fill="E4E4E4" w:color="auto" w:val="clear"/>
        </w:rPr>
        <w:t>豫期</w:t>
      </w:r>
      <w:r>
        <w:rPr>
          <w:color w:val="000000"/>
          <w:spacing w:val="-108"/>
          <w:sz w:val="21"/>
          <w:shd w:fill="E4E4E4" w:color="auto" w:val="clear"/>
        </w:rPr>
        <w:t>”</w:t>
      </w:r>
      <w:r>
        <w:rPr>
          <w:color w:val="000000"/>
          <w:spacing w:val="-106"/>
          <w:sz w:val="21"/>
          <w:shd w:fill="E4E4E4" w:color="auto" w:val="clear"/>
        </w:rPr>
        <w:t>、</w:t>
      </w:r>
      <w:r>
        <w:rPr>
          <w:color w:val="000000"/>
          <w:sz w:val="21"/>
          <w:shd w:fill="E4E4E4" w:color="auto" w:val="clear"/>
        </w:rPr>
        <w:t>“2.3</w:t>
      </w:r>
      <w:r>
        <w:rPr>
          <w:color w:val="000000"/>
          <w:spacing w:val="-4"/>
          <w:sz w:val="21"/>
          <w:shd w:fill="E4E4E4" w:color="auto" w:val="clear"/>
        </w:rPr>
        <w:t> </w:t>
      </w:r>
      <w:r>
        <w:rPr>
          <w:color w:val="000000"/>
          <w:sz w:val="21"/>
          <w:shd w:fill="E4E4E4" w:color="auto" w:val="clear"/>
        </w:rPr>
        <w:t>保险责任</w:t>
      </w:r>
      <w:r>
        <w:rPr>
          <w:color w:val="000000"/>
          <w:spacing w:val="-106"/>
          <w:sz w:val="21"/>
          <w:shd w:fill="E4E4E4" w:color="auto" w:val="clear"/>
        </w:rPr>
        <w:t>”</w:t>
      </w:r>
      <w:r>
        <w:rPr>
          <w:color w:val="000000"/>
          <w:spacing w:val="-108"/>
          <w:sz w:val="21"/>
          <w:shd w:fill="E4E4E4" w:color="auto" w:val="clear"/>
        </w:rPr>
        <w:t>、</w:t>
      </w:r>
      <w:r>
        <w:rPr>
          <w:color w:val="000000"/>
          <w:sz w:val="21"/>
          <w:shd w:fill="E4E4E4" w:color="auto" w:val="clear"/>
        </w:rPr>
        <w:t>“3.2</w:t>
      </w:r>
      <w:r>
        <w:rPr>
          <w:color w:val="000000"/>
          <w:spacing w:val="-2"/>
          <w:sz w:val="21"/>
          <w:shd w:fill="E4E4E4" w:color="auto" w:val="clear"/>
        </w:rPr>
        <w:t> </w:t>
      </w:r>
      <w:r>
        <w:rPr>
          <w:color w:val="000000"/>
          <w:sz w:val="21"/>
          <w:shd w:fill="E4E4E4" w:color="auto" w:val="clear"/>
        </w:rPr>
        <w:t>保险事</w:t>
      </w:r>
      <w:r>
        <w:rPr>
          <w:color w:val="000000"/>
          <w:sz w:val="21"/>
          <w:shd w:fill="E4E4E4" w:color="auto" w:val="clear"/>
        </w:rPr>
        <w:t>故通知</w:t>
      </w:r>
      <w:r>
        <w:rPr>
          <w:color w:val="000000"/>
          <w:spacing w:val="-106"/>
          <w:sz w:val="21"/>
          <w:shd w:fill="E4E4E4" w:color="auto" w:val="clear"/>
        </w:rPr>
        <w:t>”、</w:t>
      </w:r>
      <w:r>
        <w:rPr>
          <w:color w:val="000000"/>
          <w:sz w:val="21"/>
          <w:shd w:fill="E4E4E4" w:color="auto" w:val="clear"/>
        </w:rPr>
        <w:t>“3.3</w:t>
      </w:r>
      <w:r>
        <w:rPr>
          <w:color w:val="000000"/>
          <w:spacing w:val="-4"/>
          <w:sz w:val="21"/>
          <w:shd w:fill="E4E4E4" w:color="auto" w:val="clear"/>
        </w:rPr>
        <w:t> </w:t>
      </w:r>
      <w:r>
        <w:rPr>
          <w:color w:val="000000"/>
          <w:sz w:val="21"/>
          <w:shd w:fill="E4E4E4" w:color="auto" w:val="clear"/>
        </w:rPr>
        <w:t>保险</w:t>
      </w:r>
      <w:r>
        <w:rPr>
          <w:color w:val="000000"/>
          <w:sz w:val="21"/>
          <w:shd w:fill="E4E4E4" w:color="auto" w:val="clear"/>
        </w:rPr>
        <w:t>金申</w:t>
      </w:r>
      <w:r>
        <w:rPr>
          <w:color w:val="000000"/>
          <w:spacing w:val="-2"/>
          <w:sz w:val="21"/>
          <w:shd w:fill="E4E4E4" w:color="auto" w:val="clear"/>
        </w:rPr>
        <w:t>请</w:t>
      </w:r>
      <w:r>
        <w:rPr>
          <w:color w:val="000000"/>
          <w:spacing w:val="-106"/>
          <w:sz w:val="21"/>
          <w:shd w:fill="E4E4E4" w:color="auto" w:val="clear"/>
        </w:rPr>
        <w:t>”</w:t>
      </w:r>
      <w:r>
        <w:rPr>
          <w:color w:val="000000"/>
          <w:spacing w:val="-140"/>
          <w:sz w:val="21"/>
          <w:shd w:fill="E4E4E4" w:color="auto" w:val="clear"/>
        </w:rPr>
        <w:t>、</w:t>
      </w:r>
      <w:r>
        <w:rPr>
          <w:color w:val="000000"/>
          <w:spacing w:val="-2"/>
          <w:sz w:val="21"/>
          <w:shd w:fill="E4E4E4" w:color="auto" w:val="clear"/>
        </w:rPr>
        <w:t>“6.1</w:t>
      </w:r>
      <w:r>
        <w:rPr>
          <w:color w:val="000000"/>
          <w:spacing w:val="-46"/>
          <w:sz w:val="21"/>
          <w:shd w:fill="E4E4E4" w:color="auto" w:val="clear"/>
        </w:rPr>
        <w:t> </w:t>
      </w:r>
      <w:r>
        <w:rPr>
          <w:color w:val="000000"/>
          <w:spacing w:val="-2"/>
          <w:sz w:val="21"/>
          <w:shd w:fill="E4E4E4" w:color="auto" w:val="clear"/>
        </w:rPr>
        <w:t>明确说明与如实</w:t>
      </w:r>
      <w:r>
        <w:rPr>
          <w:color w:val="000000"/>
          <w:spacing w:val="-2"/>
          <w:sz w:val="21"/>
          <w:shd w:fill="E4E4E4" w:color="auto" w:val="clear"/>
        </w:rPr>
        <w:t>告</w:t>
      </w:r>
      <w:r>
        <w:rPr>
          <w:color w:val="000000"/>
          <w:spacing w:val="-2"/>
          <w:sz w:val="21"/>
          <w:shd w:fill="E4E4E4" w:color="auto" w:val="clear"/>
        </w:rPr>
        <w:t>知</w:t>
      </w:r>
      <w:r>
        <w:rPr>
          <w:color w:val="000000"/>
          <w:spacing w:val="-106"/>
          <w:sz w:val="21"/>
          <w:shd w:fill="E4E4E4" w:color="auto" w:val="clear"/>
        </w:rPr>
        <w:t>”</w:t>
      </w:r>
      <w:r>
        <w:rPr>
          <w:color w:val="000000"/>
          <w:spacing w:val="-140"/>
          <w:sz w:val="21"/>
          <w:shd w:fill="E4E4E4" w:color="auto" w:val="clear"/>
        </w:rPr>
        <w:t>、</w:t>
      </w:r>
      <w:r>
        <w:rPr>
          <w:color w:val="000000"/>
          <w:spacing w:val="-2"/>
          <w:sz w:val="21"/>
          <w:shd w:fill="E4E4E4" w:color="auto" w:val="clear"/>
        </w:rPr>
        <w:t>“6.3</w:t>
      </w:r>
      <w:r>
        <w:rPr>
          <w:color w:val="000000"/>
          <w:spacing w:val="-44"/>
          <w:sz w:val="21"/>
          <w:shd w:fill="E4E4E4" w:color="auto" w:val="clear"/>
        </w:rPr>
        <w:t> </w:t>
      </w:r>
      <w:r>
        <w:rPr>
          <w:color w:val="000000"/>
          <w:spacing w:val="-2"/>
          <w:sz w:val="21"/>
          <w:shd w:fill="E4E4E4" w:color="auto" w:val="clear"/>
        </w:rPr>
        <w:t>年龄错误”中</w:t>
      </w:r>
      <w:r>
        <w:rPr>
          <w:color w:val="000000"/>
          <w:spacing w:val="-2"/>
          <w:sz w:val="21"/>
          <w:shd w:fill="E4E4E4" w:color="auto" w:val="clear"/>
        </w:rPr>
        <w:t>背</w:t>
      </w:r>
      <w:r>
        <w:rPr>
          <w:color w:val="000000"/>
          <w:spacing w:val="-2"/>
          <w:sz w:val="21"/>
          <w:shd w:fill="E4E4E4" w:color="auto" w:val="clear"/>
        </w:rPr>
        <w:t>景</w:t>
      </w:r>
      <w:r>
        <w:rPr>
          <w:color w:val="000000"/>
          <w:spacing w:val="-2"/>
          <w:sz w:val="21"/>
          <w:shd w:fill="E4E4E4" w:color="auto" w:val="clear"/>
        </w:rPr>
        <w:t>突出显示的内容；</w:t>
      </w:r>
      <w:r>
        <w:rPr>
          <w:color w:val="000000"/>
          <w:spacing w:val="-2"/>
          <w:sz w:val="21"/>
        </w:rPr>
        <w:t> </w:t>
      </w:r>
      <w:r>
        <w:rPr>
          <w:color w:val="000000"/>
          <w:sz w:val="21"/>
          <w:shd w:fill="E4E4E4" w:color="auto" w:val="clear"/>
        </w:rPr>
        <w:t>“2.3</w:t>
      </w:r>
      <w:r>
        <w:rPr>
          <w:color w:val="000000"/>
          <w:spacing w:val="-46"/>
          <w:sz w:val="21"/>
          <w:shd w:fill="E4E4E4" w:color="auto" w:val="clear"/>
        </w:rPr>
        <w:t> </w:t>
      </w:r>
      <w:r>
        <w:rPr>
          <w:color w:val="000000"/>
          <w:sz w:val="21"/>
          <w:shd w:fill="E4E4E4" w:color="auto" w:val="clear"/>
        </w:rPr>
        <w:t>保险责任”中脚注</w:t>
      </w:r>
      <w:r>
        <w:rPr>
          <w:color w:val="000000"/>
          <w:sz w:val="21"/>
          <w:shd w:fill="E4E4E4" w:color="auto" w:val="clear"/>
        </w:rPr>
        <w:t>背景突出显示的内容。</w:t>
      </w:r>
    </w:p>
    <w:p>
      <w:pPr>
        <w:pStyle w:val="BodyText"/>
        <w:spacing w:before="1"/>
        <w:rPr>
          <w:sz w:val="27"/>
        </w:rPr>
      </w:pPr>
    </w:p>
    <w:p>
      <w:pPr>
        <w:pStyle w:val="Heading2"/>
        <w:numPr>
          <w:ilvl w:val="0"/>
          <w:numId w:val="4"/>
        </w:numPr>
        <w:tabs>
          <w:tab w:pos="1228" w:val="left" w:leader="none"/>
          <w:tab w:pos="1229" w:val="left" w:leader="none"/>
        </w:tabs>
        <w:spacing w:line="240" w:lineRule="auto" w:before="0" w:after="0"/>
        <w:ind w:left="1228" w:right="0" w:hanging="962"/>
        <w:jc w:val="left"/>
      </w:pPr>
      <w:r>
        <w:rPr>
          <w:w w:val="95"/>
        </w:rPr>
        <w:t>保险金</w:t>
      </w:r>
      <w:r>
        <w:rPr>
          <w:w w:val="95"/>
        </w:rPr>
        <w:t>申</w:t>
      </w:r>
      <w:r>
        <w:rPr>
          <w:spacing w:val="-10"/>
          <w:w w:val="95"/>
        </w:rPr>
        <w:t>领</w:t>
      </w:r>
    </w:p>
    <w:p>
      <w:pPr>
        <w:pStyle w:val="BodyText"/>
        <w:spacing w:before="6"/>
        <w:rPr>
          <w:b/>
          <w:sz w:val="14"/>
        </w:rPr>
      </w:pPr>
      <w:r>
        <w:rPr/>
        <w:drawing>
          <wp:anchor distT="0" distB="0" distL="0" distR="0" allowOverlap="1" layoutInCell="1" locked="0" behindDoc="0" simplePos="0" relativeHeight="15">
            <wp:simplePos x="0" y="0"/>
            <wp:positionH relativeFrom="page">
              <wp:posOffset>685800</wp:posOffset>
            </wp:positionH>
            <wp:positionV relativeFrom="paragraph">
              <wp:posOffset>133215</wp:posOffset>
            </wp:positionV>
            <wp:extent cx="6260230" cy="12287"/>
            <wp:effectExtent l="0" t="0" r="0" b="0"/>
            <wp:wrapTopAndBottom/>
            <wp:docPr id="27" name="image9.png"/>
            <wp:cNvGraphicFramePr>
              <a:graphicFrameLocks noChangeAspect="1"/>
            </wp:cNvGraphicFramePr>
            <a:graphic>
              <a:graphicData uri="http://schemas.openxmlformats.org/drawingml/2006/picture">
                <pic:pic>
                  <pic:nvPicPr>
                    <pic:cNvPr id="28" name="image9.png"/>
                    <pic:cNvPicPr/>
                  </pic:nvPicPr>
                  <pic:blipFill>
                    <a:blip r:embed="rId14" cstate="print"/>
                    <a:stretch>
                      <a:fillRect/>
                    </a:stretch>
                  </pic:blipFill>
                  <pic:spPr>
                    <a:xfrm>
                      <a:off x="0" y="0"/>
                      <a:ext cx="6260230" cy="12287"/>
                    </a:xfrm>
                    <a:prstGeom prst="rect">
                      <a:avLst/>
                    </a:prstGeom>
                  </pic:spPr>
                </pic:pic>
              </a:graphicData>
            </a:graphic>
          </wp:anchor>
        </w:drawing>
      </w:r>
    </w:p>
    <w:p>
      <w:pPr>
        <w:pStyle w:val="ListParagraph"/>
        <w:numPr>
          <w:ilvl w:val="1"/>
          <w:numId w:val="4"/>
        </w:numPr>
        <w:tabs>
          <w:tab w:pos="1228" w:val="left" w:leader="none"/>
          <w:tab w:pos="1229" w:val="left" w:leader="none"/>
          <w:tab w:pos="2997" w:val="left" w:leader="none"/>
        </w:tabs>
        <w:spacing w:line="240" w:lineRule="auto" w:before="178" w:after="0"/>
        <w:ind w:left="1228" w:right="0" w:hanging="962"/>
        <w:jc w:val="left"/>
        <w:rPr>
          <w:sz w:val="21"/>
        </w:rPr>
      </w:pPr>
      <w:r>
        <w:rPr>
          <w:b/>
          <w:sz w:val="21"/>
        </w:rPr>
        <w:t>受益</w:t>
      </w:r>
      <w:r>
        <w:rPr>
          <w:b/>
          <w:spacing w:val="-10"/>
          <w:sz w:val="21"/>
        </w:rPr>
        <w:t>人</w:t>
      </w:r>
      <w:r>
        <w:rPr>
          <w:b/>
          <w:sz w:val="21"/>
        </w:rPr>
        <w:tab/>
      </w:r>
      <w:r>
        <w:rPr>
          <w:spacing w:val="-2"/>
          <w:sz w:val="21"/>
        </w:rPr>
        <w:t>除</w:t>
      </w:r>
      <w:r>
        <w:rPr>
          <w:spacing w:val="-2"/>
          <w:sz w:val="21"/>
        </w:rPr>
        <w:t>另</w:t>
      </w:r>
      <w:r>
        <w:rPr>
          <w:spacing w:val="-2"/>
          <w:sz w:val="21"/>
        </w:rPr>
        <w:t>有约定外，保险金受</w:t>
      </w:r>
      <w:r>
        <w:rPr>
          <w:spacing w:val="-2"/>
          <w:sz w:val="21"/>
        </w:rPr>
        <w:t>益</w:t>
      </w:r>
      <w:r>
        <w:rPr>
          <w:spacing w:val="-2"/>
          <w:sz w:val="21"/>
        </w:rPr>
        <w:t>人</w:t>
      </w:r>
      <w:r>
        <w:rPr>
          <w:spacing w:val="-2"/>
          <w:sz w:val="21"/>
        </w:rPr>
        <w:t>为被保险人本人</w:t>
      </w:r>
      <w:r>
        <w:rPr>
          <w:spacing w:val="-10"/>
          <w:sz w:val="21"/>
        </w:rPr>
        <w:t>。</w:t>
      </w:r>
    </w:p>
    <w:p>
      <w:pPr>
        <w:pStyle w:val="BodyText"/>
        <w:spacing w:before="2"/>
        <w:rPr>
          <w:sz w:val="22"/>
        </w:rPr>
      </w:pPr>
    </w:p>
    <w:p>
      <w:pPr>
        <w:pStyle w:val="ListParagraph"/>
        <w:numPr>
          <w:ilvl w:val="1"/>
          <w:numId w:val="4"/>
        </w:numPr>
        <w:tabs>
          <w:tab w:pos="1228" w:val="left" w:leader="none"/>
          <w:tab w:pos="1229" w:val="left" w:leader="none"/>
          <w:tab w:pos="2997" w:val="left" w:leader="none"/>
        </w:tabs>
        <w:spacing w:line="240" w:lineRule="auto" w:before="71" w:after="0"/>
        <w:ind w:left="1228" w:right="0" w:hanging="962"/>
        <w:jc w:val="left"/>
        <w:rPr>
          <w:sz w:val="21"/>
        </w:rPr>
      </w:pPr>
      <w:r>
        <w:rPr>
          <w:b/>
          <w:sz w:val="21"/>
        </w:rPr>
        <w:t>保险事故通</w:t>
      </w:r>
      <w:r>
        <w:rPr>
          <w:b/>
          <w:spacing w:val="-10"/>
          <w:sz w:val="21"/>
        </w:rPr>
        <w:t>知</w:t>
      </w:r>
      <w:r>
        <w:rPr>
          <w:b/>
          <w:sz w:val="21"/>
        </w:rPr>
        <w:tab/>
      </w:r>
      <w:r>
        <w:rPr>
          <w:color w:val="000000"/>
          <w:spacing w:val="-2"/>
          <w:sz w:val="21"/>
          <w:shd w:fill="E4E4E4" w:color="auto" w:val="clear"/>
        </w:rPr>
        <w:t>请</w:t>
      </w:r>
      <w:r>
        <w:rPr>
          <w:color w:val="000000"/>
          <w:spacing w:val="-2"/>
          <w:sz w:val="21"/>
          <w:shd w:fill="E4E4E4" w:color="auto" w:val="clear"/>
        </w:rPr>
        <w:t>投</w:t>
      </w:r>
      <w:r>
        <w:rPr>
          <w:color w:val="000000"/>
          <w:spacing w:val="-2"/>
          <w:sz w:val="21"/>
          <w:shd w:fill="E4E4E4" w:color="auto" w:val="clear"/>
        </w:rPr>
        <w:t>保人、被保险人或受</w:t>
      </w:r>
      <w:r>
        <w:rPr>
          <w:color w:val="000000"/>
          <w:spacing w:val="-2"/>
          <w:sz w:val="21"/>
          <w:shd w:fill="E4E4E4" w:color="auto" w:val="clear"/>
        </w:rPr>
        <w:t>益</w:t>
      </w:r>
      <w:r>
        <w:rPr>
          <w:color w:val="000000"/>
          <w:spacing w:val="-2"/>
          <w:sz w:val="21"/>
          <w:shd w:fill="E4E4E4" w:color="auto" w:val="clear"/>
        </w:rPr>
        <w:t>人</w:t>
      </w:r>
      <w:r>
        <w:rPr>
          <w:color w:val="000000"/>
          <w:spacing w:val="-2"/>
          <w:sz w:val="21"/>
          <w:shd w:fill="E4E4E4" w:color="auto" w:val="clear"/>
        </w:rPr>
        <w:t>在知道保险事故发生后</w:t>
      </w:r>
      <w:r>
        <w:rPr>
          <w:color w:val="000000"/>
          <w:spacing w:val="-40"/>
          <w:sz w:val="21"/>
          <w:shd w:fill="E4E4E4" w:color="auto" w:val="clear"/>
        </w:rPr>
        <w:t> </w:t>
      </w:r>
      <w:r>
        <w:rPr>
          <w:color w:val="000000"/>
          <w:spacing w:val="-2"/>
          <w:sz w:val="21"/>
          <w:shd w:fill="E4E4E4" w:color="auto" w:val="clear"/>
        </w:rPr>
        <w:t>10</w:t>
      </w:r>
      <w:r>
        <w:rPr>
          <w:color w:val="000000"/>
          <w:spacing w:val="-42"/>
          <w:sz w:val="21"/>
          <w:shd w:fill="E4E4E4" w:color="auto" w:val="clear"/>
        </w:rPr>
        <w:t> </w:t>
      </w:r>
      <w:r>
        <w:rPr>
          <w:color w:val="000000"/>
          <w:spacing w:val="-2"/>
          <w:sz w:val="21"/>
          <w:shd w:fill="E4E4E4" w:color="auto" w:val="clear"/>
        </w:rPr>
        <w:t>日内通知本公司</w:t>
      </w:r>
      <w:r>
        <w:rPr>
          <w:color w:val="000000"/>
          <w:spacing w:val="-10"/>
          <w:sz w:val="21"/>
          <w:shd w:fill="E4E4E4" w:color="auto" w:val="clear"/>
        </w:rPr>
        <w:t>。</w:t>
      </w:r>
    </w:p>
    <w:p>
      <w:pPr>
        <w:pStyle w:val="BodyText"/>
        <w:rPr>
          <w:sz w:val="10"/>
        </w:rPr>
      </w:pPr>
    </w:p>
    <w:p>
      <w:pPr>
        <w:pStyle w:val="BodyText"/>
        <w:spacing w:line="278" w:lineRule="auto" w:before="71"/>
        <w:ind w:left="2997" w:right="265"/>
        <w:jc w:val="both"/>
      </w:pPr>
      <w:r>
        <w:rPr>
          <w:color w:val="000000"/>
          <w:spacing w:val="-11"/>
          <w:shd w:fill="E4E4E4" w:color="auto" w:val="clear"/>
        </w:rPr>
        <w:t>若投保人、被保险人或受益人故意或因重大过失未及时通知，致使保险事故</w:t>
      </w:r>
      <w:r>
        <w:rPr>
          <w:color w:val="000000"/>
          <w:spacing w:val="40"/>
          <w:shd w:fill="E4E4E4" w:color="auto" w:val="clear"/>
        </w:rPr>
        <w:t> </w:t>
      </w:r>
      <w:r>
        <w:rPr>
          <w:color w:val="000000"/>
          <w:spacing w:val="-4"/>
          <w:shd w:fill="E4E4E4" w:color="auto" w:val="clear"/>
        </w:rPr>
        <w:t>的性质、原因、损失程度等难以确定的，本公司对无法确定的部分，不承担</w:t>
      </w:r>
      <w:r>
        <w:rPr>
          <w:color w:val="000000"/>
          <w:spacing w:val="-13"/>
          <w:shd w:fill="E4E4E4" w:color="auto" w:val="clear"/>
        </w:rPr>
        <w:t>给付保险金的责任，</w:t>
      </w:r>
      <w:r>
        <w:rPr>
          <w:color w:val="000000"/>
          <w:spacing w:val="-2"/>
        </w:rPr>
        <w:t>但本公司通过其他途径已经及时知道或应当及时知道保</w:t>
      </w:r>
      <w:r>
        <w:rPr>
          <w:color w:val="000000"/>
          <w:spacing w:val="-6"/>
        </w:rPr>
        <w:t>险事故发生或虽未及时通知但不影响本公司确定保险事故的性质、原因、损</w:t>
      </w:r>
      <w:r>
        <w:rPr>
          <w:color w:val="000000"/>
          <w:spacing w:val="-2"/>
        </w:rPr>
        <w:t>失程度的除外。</w:t>
      </w:r>
    </w:p>
    <w:p>
      <w:pPr>
        <w:pStyle w:val="BodyText"/>
        <w:rPr>
          <w:sz w:val="20"/>
        </w:rPr>
      </w:pPr>
    </w:p>
    <w:p>
      <w:pPr>
        <w:pStyle w:val="BodyText"/>
        <w:rPr>
          <w:sz w:val="20"/>
        </w:rPr>
      </w:pPr>
    </w:p>
    <w:p>
      <w:pPr>
        <w:pStyle w:val="BodyText"/>
        <w:rPr>
          <w:sz w:val="26"/>
        </w:rPr>
      </w:pPr>
      <w:r>
        <w:rPr/>
        <w:drawing>
          <wp:anchor distT="0" distB="0" distL="0" distR="0" allowOverlap="1" layoutInCell="1" locked="0" behindDoc="0" simplePos="0" relativeHeight="16">
            <wp:simplePos x="0" y="0"/>
            <wp:positionH relativeFrom="page">
              <wp:posOffset>685800</wp:posOffset>
            </wp:positionH>
            <wp:positionV relativeFrom="paragraph">
              <wp:posOffset>227369</wp:posOffset>
            </wp:positionV>
            <wp:extent cx="1829511" cy="6096"/>
            <wp:effectExtent l="0" t="0" r="0" b="0"/>
            <wp:wrapTopAndBottom/>
            <wp:docPr id="29" name="image10.png"/>
            <wp:cNvGraphicFramePr>
              <a:graphicFrameLocks noChangeAspect="1"/>
            </wp:cNvGraphicFramePr>
            <a:graphic>
              <a:graphicData uri="http://schemas.openxmlformats.org/drawingml/2006/picture">
                <pic:pic>
                  <pic:nvPicPr>
                    <pic:cNvPr id="30" name="image10.png"/>
                    <pic:cNvPicPr/>
                  </pic:nvPicPr>
                  <pic:blipFill>
                    <a:blip r:embed="rId15" cstate="print"/>
                    <a:stretch>
                      <a:fillRect/>
                    </a:stretch>
                  </pic:blipFill>
                  <pic:spPr>
                    <a:xfrm>
                      <a:off x="0" y="0"/>
                      <a:ext cx="1829511" cy="6096"/>
                    </a:xfrm>
                    <a:prstGeom prst="rect">
                      <a:avLst/>
                    </a:prstGeom>
                  </pic:spPr>
                </pic:pic>
              </a:graphicData>
            </a:graphic>
          </wp:anchor>
        </w:drawing>
      </w:r>
    </w:p>
    <w:p>
      <w:pPr>
        <w:spacing w:line="242" w:lineRule="auto" w:before="91"/>
        <w:ind w:left="160" w:right="194" w:firstLine="0"/>
        <w:jc w:val="left"/>
        <w:rPr>
          <w:rFonts w:ascii="楷体" w:eastAsia="楷体"/>
          <w:sz w:val="18"/>
        </w:rPr>
      </w:pPr>
      <w:r>
        <w:rPr>
          <w:rFonts w:ascii="楷体" w:eastAsia="楷体"/>
          <w:position w:val="9"/>
          <w:sz w:val="9"/>
        </w:rPr>
        <w:t>44</w:t>
      </w:r>
      <w:r>
        <w:rPr>
          <w:rFonts w:ascii="楷体" w:eastAsia="楷体"/>
          <w:spacing w:val="39"/>
          <w:position w:val="9"/>
          <w:sz w:val="9"/>
        </w:rPr>
        <w:t> </w:t>
      </w:r>
      <w:r>
        <w:rPr>
          <w:rFonts w:ascii="楷体" w:eastAsia="楷体" w:hint="eastAsia"/>
          <w:b/>
          <w:sz w:val="18"/>
        </w:rPr>
        <w:t>探险</w:t>
      </w:r>
      <w:r>
        <w:rPr>
          <w:rFonts w:ascii="楷体" w:eastAsia="楷体"/>
          <w:sz w:val="18"/>
        </w:rPr>
        <w:t>：指明知在某种特定的自然条件下有失去生命或使身体受到伤害的危险，而故意使自己置身于其中的行为，如：江河</w:t>
      </w:r>
      <w:r>
        <w:rPr>
          <w:rFonts w:ascii="楷体" w:eastAsia="楷体"/>
          <w:spacing w:val="-2"/>
          <w:sz w:val="18"/>
        </w:rPr>
        <w:t>漂流、登山、徒步穿越沙漠或人迹罕至的原始森林等活动。</w:t>
      </w:r>
    </w:p>
    <w:p>
      <w:pPr>
        <w:spacing w:line="230" w:lineRule="exact" w:before="0"/>
        <w:ind w:left="160" w:right="0" w:firstLine="0"/>
        <w:jc w:val="left"/>
        <w:rPr>
          <w:rFonts w:ascii="楷体" w:eastAsia="楷体"/>
          <w:sz w:val="18"/>
        </w:rPr>
      </w:pPr>
      <w:r>
        <w:rPr>
          <w:rFonts w:ascii="楷体" w:eastAsia="楷体"/>
          <w:position w:val="9"/>
          <w:sz w:val="9"/>
        </w:rPr>
        <w:t>45</w:t>
      </w:r>
      <w:r>
        <w:rPr>
          <w:rFonts w:ascii="楷体" w:eastAsia="楷体"/>
          <w:spacing w:val="40"/>
          <w:position w:val="9"/>
          <w:sz w:val="9"/>
        </w:rPr>
        <w:t> </w:t>
      </w:r>
      <w:r>
        <w:rPr>
          <w:rFonts w:ascii="楷体" w:eastAsia="楷体" w:hint="eastAsia"/>
          <w:b/>
          <w:sz w:val="18"/>
        </w:rPr>
        <w:t>武术比赛</w:t>
      </w:r>
      <w:r>
        <w:rPr>
          <w:rFonts w:ascii="楷体" w:eastAsia="楷体"/>
          <w:spacing w:val="-1"/>
          <w:sz w:val="18"/>
        </w:rPr>
        <w:t>：指两人或两人以上对抗性柔道、空手道、跆拳道、散打、拳击等各种拳术及使用器械的对抗性比赛。</w:t>
      </w:r>
    </w:p>
    <w:p>
      <w:pPr>
        <w:spacing w:before="4"/>
        <w:ind w:left="160" w:right="0" w:firstLine="0"/>
        <w:jc w:val="left"/>
        <w:rPr>
          <w:rFonts w:ascii="楷体" w:eastAsia="楷体"/>
          <w:sz w:val="18"/>
        </w:rPr>
      </w:pPr>
      <w:r>
        <w:rPr>
          <w:rFonts w:ascii="楷体" w:eastAsia="楷体"/>
          <w:position w:val="9"/>
          <w:sz w:val="9"/>
        </w:rPr>
        <w:t>46</w:t>
      </w:r>
      <w:r>
        <w:rPr>
          <w:rFonts w:ascii="楷体" w:eastAsia="楷体"/>
          <w:spacing w:val="40"/>
          <w:position w:val="9"/>
          <w:sz w:val="9"/>
        </w:rPr>
        <w:t> </w:t>
      </w:r>
      <w:r>
        <w:rPr>
          <w:rFonts w:ascii="楷体" w:eastAsia="楷体" w:hint="eastAsia"/>
          <w:b/>
          <w:sz w:val="18"/>
        </w:rPr>
        <w:t>特技表演</w:t>
      </w:r>
      <w:r>
        <w:rPr>
          <w:rFonts w:ascii="楷体" w:eastAsia="楷体"/>
          <w:spacing w:val="-1"/>
          <w:sz w:val="18"/>
        </w:rPr>
        <w:t>：指进行马术、杂技、驯兽等表演。</w:t>
      </w:r>
    </w:p>
    <w:p>
      <w:pPr>
        <w:spacing w:after="0"/>
        <w:jc w:val="left"/>
        <w:rPr>
          <w:rFonts w:ascii="楷体" w:eastAsia="楷体"/>
          <w:sz w:val="18"/>
        </w:rPr>
        <w:sectPr>
          <w:pgSz w:w="11910" w:h="16840"/>
          <w:pgMar w:header="0" w:footer="659" w:top="1360" w:bottom="1000" w:left="920" w:right="880"/>
        </w:sectPr>
      </w:pPr>
    </w:p>
    <w:p>
      <w:pPr>
        <w:pStyle w:val="ListParagraph"/>
        <w:numPr>
          <w:ilvl w:val="1"/>
          <w:numId w:val="4"/>
        </w:numPr>
        <w:tabs>
          <w:tab w:pos="1228" w:val="left" w:leader="none"/>
          <w:tab w:pos="1229" w:val="left" w:leader="none"/>
          <w:tab w:pos="2997" w:val="left" w:leader="none"/>
        </w:tabs>
        <w:spacing w:line="278" w:lineRule="auto" w:before="60" w:after="0"/>
        <w:ind w:left="2997" w:right="172" w:hanging="2730"/>
        <w:jc w:val="left"/>
        <w:rPr>
          <w:sz w:val="21"/>
        </w:rPr>
      </w:pPr>
      <w:r>
        <w:rPr>
          <w:b/>
          <w:spacing w:val="-2"/>
          <w:sz w:val="21"/>
        </w:rPr>
        <w:t>保</w:t>
      </w:r>
      <w:r>
        <w:rPr>
          <w:b/>
          <w:spacing w:val="-2"/>
          <w:sz w:val="21"/>
        </w:rPr>
        <w:t>险</w:t>
      </w:r>
      <w:r>
        <w:rPr>
          <w:b/>
          <w:spacing w:val="-2"/>
          <w:sz w:val="21"/>
        </w:rPr>
        <w:t>金</w:t>
      </w:r>
      <w:r>
        <w:rPr>
          <w:b/>
          <w:spacing w:val="-2"/>
          <w:sz w:val="21"/>
        </w:rPr>
        <w:t>申</w:t>
      </w:r>
      <w:r>
        <w:rPr>
          <w:b/>
          <w:spacing w:val="-2"/>
          <w:sz w:val="21"/>
        </w:rPr>
        <w:t>请</w:t>
      </w:r>
      <w:r>
        <w:rPr>
          <w:b/>
          <w:sz w:val="21"/>
        </w:rPr>
        <w:tab/>
      </w:r>
      <w:r>
        <w:rPr>
          <w:spacing w:val="-2"/>
          <w:sz w:val="21"/>
        </w:rPr>
        <w:t>受</w:t>
      </w:r>
      <w:r>
        <w:rPr>
          <w:spacing w:val="-2"/>
          <w:sz w:val="21"/>
        </w:rPr>
        <w:t>益</w:t>
      </w:r>
      <w:r>
        <w:rPr>
          <w:spacing w:val="-2"/>
          <w:sz w:val="21"/>
        </w:rPr>
        <w:t>人向本公司申请给付</w:t>
      </w:r>
      <w:r>
        <w:rPr>
          <w:spacing w:val="-2"/>
          <w:sz w:val="21"/>
        </w:rPr>
        <w:t>保</w:t>
      </w:r>
      <w:r>
        <w:rPr>
          <w:spacing w:val="-2"/>
          <w:sz w:val="21"/>
        </w:rPr>
        <w:t>险</w:t>
      </w:r>
      <w:r>
        <w:rPr>
          <w:spacing w:val="-2"/>
          <w:sz w:val="21"/>
        </w:rPr>
        <w:t>金时</w:t>
      </w:r>
      <w:r>
        <w:rPr>
          <w:spacing w:val="-51"/>
          <w:sz w:val="21"/>
        </w:rPr>
        <w:t>，</w:t>
      </w:r>
      <w:r>
        <w:rPr>
          <w:spacing w:val="-2"/>
          <w:sz w:val="21"/>
        </w:rPr>
        <w:t>应当填写保险</w:t>
      </w:r>
      <w:r>
        <w:rPr>
          <w:spacing w:val="-2"/>
          <w:sz w:val="21"/>
        </w:rPr>
        <w:t>金</w:t>
      </w:r>
      <w:r>
        <w:rPr>
          <w:spacing w:val="-2"/>
          <w:sz w:val="21"/>
        </w:rPr>
        <w:t>给</w:t>
      </w:r>
      <w:r>
        <w:rPr>
          <w:spacing w:val="-2"/>
          <w:sz w:val="21"/>
        </w:rPr>
        <w:t>付申请书</w:t>
      </w:r>
      <w:r>
        <w:rPr>
          <w:spacing w:val="-51"/>
          <w:sz w:val="21"/>
        </w:rPr>
        <w:t>，</w:t>
      </w:r>
      <w:r>
        <w:rPr>
          <w:spacing w:val="-2"/>
          <w:sz w:val="21"/>
        </w:rPr>
        <w:t>并以</w:t>
      </w:r>
      <w:r>
        <w:rPr>
          <w:spacing w:val="-2"/>
          <w:sz w:val="21"/>
        </w:rPr>
        <w:t>书</w:t>
      </w:r>
      <w:r>
        <w:rPr>
          <w:spacing w:val="-2"/>
          <w:sz w:val="21"/>
        </w:rPr>
        <w:t>面</w:t>
      </w:r>
      <w:r>
        <w:rPr>
          <w:spacing w:val="-2"/>
          <w:sz w:val="21"/>
        </w:rPr>
        <w:t>形</w:t>
      </w:r>
      <w:r>
        <w:rPr>
          <w:spacing w:val="-2"/>
          <w:sz w:val="21"/>
        </w:rPr>
        <w:t>式</w:t>
      </w:r>
      <w:r>
        <w:rPr>
          <w:spacing w:val="-2"/>
          <w:sz w:val="21"/>
        </w:rPr>
        <w:t>提交下列证明和资料</w:t>
      </w:r>
      <w:r>
        <w:rPr>
          <w:spacing w:val="-2"/>
          <w:sz w:val="21"/>
        </w:rPr>
        <w:t>。</w:t>
      </w:r>
      <w:r>
        <w:rPr>
          <w:spacing w:val="-2"/>
          <w:sz w:val="21"/>
        </w:rPr>
        <w:t>受</w:t>
      </w:r>
      <w:r>
        <w:rPr>
          <w:spacing w:val="-2"/>
          <w:sz w:val="21"/>
        </w:rPr>
        <w:t>益人因特殊原因不能</w:t>
      </w:r>
      <w:r>
        <w:rPr>
          <w:spacing w:val="-2"/>
          <w:sz w:val="21"/>
        </w:rPr>
        <w:t>提</w:t>
      </w:r>
      <w:r>
        <w:rPr>
          <w:spacing w:val="-2"/>
          <w:sz w:val="21"/>
        </w:rPr>
        <w:t>供</w:t>
      </w:r>
      <w:r>
        <w:rPr>
          <w:spacing w:val="-2"/>
          <w:sz w:val="21"/>
        </w:rPr>
        <w:t>下列证明和资料的，</w:t>
      </w:r>
      <w:r>
        <w:rPr>
          <w:spacing w:val="-2"/>
          <w:sz w:val="21"/>
        </w:rPr>
        <w:t>应</w:t>
      </w:r>
      <w:r>
        <w:rPr>
          <w:spacing w:val="-2"/>
          <w:sz w:val="21"/>
        </w:rPr>
        <w:t>当</w:t>
      </w:r>
      <w:r>
        <w:rPr>
          <w:spacing w:val="-2"/>
          <w:sz w:val="21"/>
        </w:rPr>
        <w:t>提供其他合法、有效</w:t>
      </w:r>
      <w:r>
        <w:rPr>
          <w:spacing w:val="-2"/>
          <w:sz w:val="21"/>
        </w:rPr>
        <w:t>的</w:t>
      </w:r>
      <w:r>
        <w:rPr>
          <w:spacing w:val="-2"/>
          <w:sz w:val="21"/>
        </w:rPr>
        <w:t>证</w:t>
      </w:r>
      <w:r>
        <w:rPr>
          <w:spacing w:val="-2"/>
          <w:sz w:val="21"/>
        </w:rPr>
        <w:t>明和资料。</w:t>
      </w:r>
      <w:r>
        <w:rPr>
          <w:color w:val="000000"/>
          <w:spacing w:val="-2"/>
          <w:sz w:val="21"/>
          <w:shd w:fill="E4E4E4" w:color="auto" w:val="clear"/>
        </w:rPr>
        <w:t>受益人未</w:t>
      </w:r>
      <w:r>
        <w:rPr>
          <w:color w:val="000000"/>
          <w:spacing w:val="-2"/>
          <w:sz w:val="21"/>
          <w:shd w:fill="E4E4E4" w:color="auto" w:val="clear"/>
        </w:rPr>
        <w:t>能</w:t>
      </w:r>
      <w:r>
        <w:rPr>
          <w:color w:val="000000"/>
          <w:spacing w:val="-2"/>
          <w:sz w:val="21"/>
          <w:shd w:fill="E4E4E4" w:color="auto" w:val="clear"/>
        </w:rPr>
        <w:t>提</w:t>
      </w:r>
      <w:r>
        <w:rPr>
          <w:color w:val="000000"/>
          <w:spacing w:val="-2"/>
          <w:sz w:val="21"/>
          <w:shd w:fill="E4E4E4" w:color="auto" w:val="clear"/>
        </w:rPr>
        <w:t>供有关证明和资料，</w:t>
      </w:r>
      <w:r>
        <w:rPr>
          <w:color w:val="000000"/>
          <w:spacing w:val="13335"/>
          <w:sz w:val="21"/>
          <w:shd w:fill="E4E4E4" w:color="auto" w:val="clear"/>
        </w:rPr>
        <w:t> </w:t>
      </w:r>
      <w:r>
        <w:rPr>
          <w:color w:val="000000"/>
          <w:spacing w:val="-2"/>
          <w:sz w:val="21"/>
          <w:shd w:fill="E4E4E4" w:color="auto" w:val="clear"/>
        </w:rPr>
        <w:t>导</w:t>
      </w:r>
      <w:r>
        <w:rPr>
          <w:color w:val="000000"/>
          <w:spacing w:val="-2"/>
          <w:sz w:val="21"/>
          <w:shd w:fill="E4E4E4" w:color="auto" w:val="clear"/>
        </w:rPr>
        <w:t>致</w:t>
      </w:r>
      <w:r>
        <w:rPr>
          <w:color w:val="000000"/>
          <w:spacing w:val="-2"/>
          <w:sz w:val="21"/>
          <w:shd w:fill="E4E4E4" w:color="auto" w:val="clear"/>
        </w:rPr>
        <w:t>本公司无法核实事故</w:t>
      </w:r>
      <w:r>
        <w:rPr>
          <w:color w:val="000000"/>
          <w:spacing w:val="-2"/>
          <w:sz w:val="21"/>
          <w:shd w:fill="E4E4E4" w:color="auto" w:val="clear"/>
        </w:rPr>
        <w:t>的</w:t>
      </w:r>
      <w:r>
        <w:rPr>
          <w:color w:val="000000"/>
          <w:spacing w:val="-2"/>
          <w:sz w:val="21"/>
          <w:shd w:fill="E4E4E4" w:color="auto" w:val="clear"/>
        </w:rPr>
        <w:t>性</w:t>
      </w:r>
      <w:r>
        <w:rPr>
          <w:color w:val="000000"/>
          <w:spacing w:val="-2"/>
          <w:sz w:val="21"/>
          <w:shd w:fill="E4E4E4" w:color="auto" w:val="clear"/>
        </w:rPr>
        <w:t>质、原因、损失程度的，本公司对</w:t>
      </w:r>
      <w:r>
        <w:rPr>
          <w:color w:val="000000"/>
          <w:spacing w:val="-2"/>
          <w:sz w:val="21"/>
          <w:shd w:fill="E4E4E4" w:color="auto" w:val="clear"/>
        </w:rPr>
        <w:t>无</w:t>
      </w:r>
      <w:r>
        <w:rPr>
          <w:color w:val="000000"/>
          <w:spacing w:val="-2"/>
          <w:sz w:val="21"/>
          <w:shd w:fill="E4E4E4" w:color="auto" w:val="clear"/>
        </w:rPr>
        <w:t>法</w:t>
      </w:r>
      <w:r>
        <w:rPr>
          <w:color w:val="000000"/>
          <w:spacing w:val="-2"/>
          <w:sz w:val="21"/>
          <w:shd w:fill="E4E4E4" w:color="auto" w:val="clear"/>
        </w:rPr>
        <w:t>核</w:t>
      </w:r>
      <w:r>
        <w:rPr>
          <w:color w:val="000000"/>
          <w:spacing w:val="-2"/>
          <w:sz w:val="21"/>
          <w:shd w:fill="E4E4E4" w:color="auto" w:val="clear"/>
        </w:rPr>
        <w:t>实</w:t>
      </w:r>
      <w:r>
        <w:rPr>
          <w:color w:val="000000"/>
          <w:spacing w:val="-2"/>
          <w:sz w:val="21"/>
          <w:shd w:fill="E4E4E4" w:color="auto" w:val="clear"/>
        </w:rPr>
        <w:t>部</w:t>
      </w:r>
      <w:r>
        <w:rPr>
          <w:color w:val="000000"/>
          <w:spacing w:val="-2"/>
          <w:sz w:val="21"/>
          <w:shd w:fill="E4E4E4" w:color="auto" w:val="clear"/>
        </w:rPr>
        <w:t>分</w:t>
      </w:r>
      <w:r>
        <w:rPr>
          <w:color w:val="000000"/>
          <w:spacing w:val="-2"/>
          <w:sz w:val="21"/>
          <w:shd w:fill="E4E4E4" w:color="auto" w:val="clear"/>
        </w:rPr>
        <w:t>不</w:t>
      </w:r>
      <w:r>
        <w:rPr>
          <w:color w:val="000000"/>
          <w:spacing w:val="-2"/>
          <w:sz w:val="21"/>
          <w:shd w:fill="E4E4E4" w:color="auto" w:val="clear"/>
        </w:rPr>
        <w:t>承担给付保险金的责</w:t>
      </w:r>
      <w:r>
        <w:rPr>
          <w:color w:val="000000"/>
          <w:spacing w:val="-2"/>
          <w:sz w:val="21"/>
          <w:shd w:fill="E4E4E4" w:color="auto" w:val="clear"/>
        </w:rPr>
        <w:t>任</w:t>
      </w:r>
      <w:r>
        <w:rPr>
          <w:color w:val="000000"/>
          <w:spacing w:val="-2"/>
          <w:sz w:val="21"/>
          <w:shd w:fill="E4E4E4" w:color="auto" w:val="clear"/>
        </w:rPr>
        <w:t>。</w:t>
      </w:r>
    </w:p>
    <w:p>
      <w:pPr>
        <w:pStyle w:val="BodyText"/>
        <w:spacing w:before="156"/>
        <w:ind w:left="2997"/>
      </w:pPr>
      <w:r>
        <w:rPr>
          <w:spacing w:val="-3"/>
        </w:rPr>
        <w:t>须提供的证明和资料：</w:t>
      </w:r>
    </w:p>
    <w:p>
      <w:pPr>
        <w:pStyle w:val="BodyText"/>
        <w:spacing w:before="6"/>
        <w:rPr>
          <w:sz w:val="15"/>
        </w:rPr>
      </w:pPr>
    </w:p>
    <w:p>
      <w:pPr>
        <w:pStyle w:val="ListParagraph"/>
        <w:numPr>
          <w:ilvl w:val="2"/>
          <w:numId w:val="4"/>
        </w:numPr>
        <w:tabs>
          <w:tab w:pos="3718" w:val="left" w:leader="none"/>
        </w:tabs>
        <w:spacing w:line="240" w:lineRule="auto" w:before="1" w:after="0"/>
        <w:ind w:left="3717" w:right="0" w:hanging="721"/>
        <w:jc w:val="left"/>
        <w:rPr>
          <w:sz w:val="21"/>
        </w:rPr>
      </w:pPr>
      <w:r>
        <w:rPr>
          <w:spacing w:val="-3"/>
          <w:sz w:val="21"/>
        </w:rPr>
        <w:t>受益人有效身份证件；</w:t>
      </w:r>
    </w:p>
    <w:p>
      <w:pPr>
        <w:pStyle w:val="BodyText"/>
        <w:spacing w:before="6"/>
        <w:rPr>
          <w:sz w:val="15"/>
        </w:rPr>
      </w:pPr>
    </w:p>
    <w:p>
      <w:pPr>
        <w:pStyle w:val="ListParagraph"/>
        <w:numPr>
          <w:ilvl w:val="2"/>
          <w:numId w:val="4"/>
        </w:numPr>
        <w:tabs>
          <w:tab w:pos="3718" w:val="left" w:leader="none"/>
        </w:tabs>
        <w:spacing w:line="278" w:lineRule="auto" w:before="0" w:after="0"/>
        <w:ind w:left="3717" w:right="265" w:hanging="721"/>
        <w:jc w:val="both"/>
        <w:rPr>
          <w:sz w:val="21"/>
        </w:rPr>
      </w:pPr>
      <w:r>
        <w:rPr>
          <w:spacing w:val="-2"/>
          <w:sz w:val="21"/>
        </w:rPr>
        <w:t>本公司指定或认可的医疗机构出具的支持索赔的账单明细、证明、</w:t>
      </w:r>
      <w:r>
        <w:rPr>
          <w:spacing w:val="-4"/>
          <w:sz w:val="21"/>
        </w:rPr>
        <w:t>信息和证据，包括但不限于医院出具的病历资料、 医学诊断书、处</w:t>
      </w:r>
      <w:r>
        <w:rPr>
          <w:spacing w:val="-2"/>
          <w:sz w:val="21"/>
        </w:rPr>
        <w:t>方、病理检查报告、化验检查报告、医疗费用原始单据、费用明细</w:t>
      </w:r>
      <w:r>
        <w:rPr>
          <w:spacing w:val="-2"/>
          <w:sz w:val="21"/>
        </w:rPr>
        <w:t>单据等。受益人因特殊原因不能提供上述材料的，应提供其它合法</w:t>
      </w:r>
      <w:r>
        <w:rPr>
          <w:spacing w:val="-2"/>
          <w:sz w:val="21"/>
        </w:rPr>
        <w:t>有效的材料，如被保险人诊断证明、门急诊病历、出院小结或出院</w:t>
      </w:r>
      <w:r>
        <w:rPr>
          <w:spacing w:val="-2"/>
          <w:sz w:val="21"/>
        </w:rPr>
        <w:t>病历（加盖医院病历专用章</w:t>
      </w:r>
      <w:r>
        <w:rPr>
          <w:spacing w:val="-106"/>
          <w:sz w:val="21"/>
        </w:rPr>
        <w:t>）</w:t>
      </w:r>
      <w:r>
        <w:rPr>
          <w:spacing w:val="-2"/>
          <w:sz w:val="21"/>
        </w:rPr>
        <w:t>、医疗费用发票及明细；</w:t>
      </w:r>
    </w:p>
    <w:p>
      <w:pPr>
        <w:pStyle w:val="ListParagraph"/>
        <w:numPr>
          <w:ilvl w:val="2"/>
          <w:numId w:val="4"/>
        </w:numPr>
        <w:tabs>
          <w:tab w:pos="3718" w:val="left" w:leader="none"/>
        </w:tabs>
        <w:spacing w:line="278" w:lineRule="auto" w:before="156" w:after="0"/>
        <w:ind w:left="3717" w:right="265" w:hanging="721"/>
        <w:jc w:val="both"/>
        <w:rPr>
          <w:sz w:val="21"/>
        </w:rPr>
      </w:pPr>
      <w:r>
        <w:rPr>
          <w:spacing w:val="-2"/>
          <w:sz w:val="21"/>
        </w:rPr>
        <w:t>接种疫苗的医疗机构出具的医疗证明和医疗费用原始凭证；若被保</w:t>
      </w:r>
      <w:r>
        <w:rPr>
          <w:spacing w:val="-2"/>
          <w:sz w:val="21"/>
        </w:rPr>
        <w:t>险人发生预防接种异常反应的，需提供县级或以上预防接种异常反</w:t>
      </w:r>
      <w:r>
        <w:rPr>
          <w:spacing w:val="-2"/>
          <w:sz w:val="21"/>
        </w:rPr>
        <w:t>应调查诊断专家组出具的预防接种异常反应调查诊断或鉴定结论；</w:t>
      </w:r>
      <w:r>
        <w:rPr>
          <w:spacing w:val="-2"/>
          <w:sz w:val="21"/>
        </w:rPr>
        <w:t>若被保险人发生偶合症的，需提供接种疫苗的医疗机构出具的事故</w:t>
      </w:r>
      <w:r>
        <w:rPr>
          <w:spacing w:val="-4"/>
          <w:sz w:val="21"/>
        </w:rPr>
        <w:t>证明；</w:t>
      </w:r>
    </w:p>
    <w:p>
      <w:pPr>
        <w:pStyle w:val="ListParagraph"/>
        <w:numPr>
          <w:ilvl w:val="2"/>
          <w:numId w:val="4"/>
        </w:numPr>
        <w:tabs>
          <w:tab w:pos="3718" w:val="left" w:leader="none"/>
        </w:tabs>
        <w:spacing w:line="240" w:lineRule="auto" w:before="156" w:after="0"/>
        <w:ind w:left="3717" w:right="0" w:hanging="721"/>
        <w:jc w:val="both"/>
        <w:rPr>
          <w:sz w:val="21"/>
        </w:rPr>
      </w:pPr>
      <w:r>
        <w:rPr>
          <w:spacing w:val="-3"/>
          <w:sz w:val="21"/>
        </w:rPr>
        <w:t>集中隔离证明及集中隔离天数等相关证明；</w:t>
      </w:r>
    </w:p>
    <w:p>
      <w:pPr>
        <w:pStyle w:val="BodyText"/>
        <w:spacing w:before="6"/>
        <w:rPr>
          <w:sz w:val="15"/>
        </w:rPr>
      </w:pPr>
    </w:p>
    <w:p>
      <w:pPr>
        <w:pStyle w:val="ListParagraph"/>
        <w:numPr>
          <w:ilvl w:val="2"/>
          <w:numId w:val="4"/>
        </w:numPr>
        <w:tabs>
          <w:tab w:pos="3718" w:val="left" w:leader="none"/>
        </w:tabs>
        <w:spacing w:line="240" w:lineRule="auto" w:before="1" w:after="0"/>
        <w:ind w:left="3717" w:right="0" w:hanging="721"/>
        <w:jc w:val="both"/>
        <w:rPr>
          <w:sz w:val="21"/>
        </w:rPr>
      </w:pPr>
      <w:r>
        <w:rPr>
          <w:spacing w:val="-3"/>
          <w:sz w:val="21"/>
        </w:rPr>
        <w:t>所能提供的与确认事故的性质、原因等有关的其他证明和资料。</w:t>
      </w:r>
    </w:p>
    <w:p>
      <w:pPr>
        <w:pStyle w:val="BodyText"/>
        <w:spacing w:before="6"/>
        <w:rPr>
          <w:sz w:val="15"/>
        </w:rPr>
      </w:pPr>
    </w:p>
    <w:p>
      <w:pPr>
        <w:pStyle w:val="BodyText"/>
        <w:spacing w:line="278" w:lineRule="auto"/>
        <w:ind w:left="2997" w:right="266"/>
      </w:pPr>
      <w:r>
        <w:rPr>
          <w:spacing w:val="-4"/>
        </w:rPr>
        <w:t>如未能提供有关材料，导致本公司无法核实该申请的真实性的，本公司对无</w:t>
      </w:r>
      <w:r>
        <w:rPr>
          <w:spacing w:val="-2"/>
        </w:rPr>
        <w:t>法核实部分不承担给付保险金的责任。</w:t>
      </w:r>
    </w:p>
    <w:p>
      <w:pPr>
        <w:pStyle w:val="BodyText"/>
        <w:spacing w:before="5"/>
        <w:rPr>
          <w:sz w:val="24"/>
        </w:rPr>
      </w:pPr>
    </w:p>
    <w:p>
      <w:pPr>
        <w:pStyle w:val="ListParagraph"/>
        <w:numPr>
          <w:ilvl w:val="1"/>
          <w:numId w:val="4"/>
        </w:numPr>
        <w:tabs>
          <w:tab w:pos="1229" w:val="left" w:leader="none"/>
        </w:tabs>
        <w:spacing w:line="278" w:lineRule="auto" w:before="0" w:after="0"/>
        <w:ind w:left="2997" w:right="266" w:hanging="2730"/>
        <w:jc w:val="both"/>
        <w:rPr>
          <w:sz w:val="21"/>
        </w:rPr>
      </w:pPr>
      <w:r>
        <w:rPr>
          <w:b/>
          <w:sz w:val="21"/>
        </w:rPr>
        <w:t>代理申请及其他 </w:t>
      </w:r>
      <w:r>
        <w:rPr>
          <w:spacing w:val="-6"/>
          <w:sz w:val="21"/>
        </w:rPr>
        <w:t>受益人委托他人申请给付保险金的，还应当提供受托人身份证明、授权委托</w:t>
      </w:r>
      <w:r>
        <w:rPr>
          <w:spacing w:val="-4"/>
          <w:sz w:val="21"/>
        </w:rPr>
        <w:t>书。保险金作为遗产时，还应当提供可证明合法继承权的相关权利文件。受</w:t>
      </w:r>
      <w:r>
        <w:rPr>
          <w:spacing w:val="-7"/>
          <w:sz w:val="21"/>
        </w:rPr>
        <w:t>益人或继承人为未成年人或无民事行为能力人时，由其合法监护人代其申请</w:t>
      </w:r>
      <w:r>
        <w:rPr>
          <w:spacing w:val="-2"/>
          <w:sz w:val="21"/>
        </w:rPr>
        <w:t>领取保险金，并提供未成年人或无民事行为能力证明和合法监护权证明。</w:t>
      </w:r>
    </w:p>
    <w:p>
      <w:pPr>
        <w:pStyle w:val="BodyText"/>
        <w:spacing w:before="4"/>
        <w:rPr>
          <w:sz w:val="24"/>
        </w:rPr>
      </w:pPr>
    </w:p>
    <w:p>
      <w:pPr>
        <w:pStyle w:val="ListParagraph"/>
        <w:numPr>
          <w:ilvl w:val="1"/>
          <w:numId w:val="4"/>
        </w:numPr>
        <w:tabs>
          <w:tab w:pos="1229" w:val="left" w:leader="none"/>
        </w:tabs>
        <w:spacing w:line="278" w:lineRule="auto" w:before="0" w:after="0"/>
        <w:ind w:left="2997" w:right="265" w:hanging="2730"/>
        <w:jc w:val="both"/>
        <w:rPr>
          <w:sz w:val="21"/>
        </w:rPr>
      </w:pPr>
      <w:r>
        <w:rPr>
          <w:b/>
          <w:sz w:val="21"/>
        </w:rPr>
        <w:t>配合调查</w:t>
      </w:r>
      <w:r>
        <w:rPr>
          <w:b/>
          <w:spacing w:val="696"/>
          <w:sz w:val="21"/>
        </w:rPr>
        <w:t> </w:t>
      </w:r>
      <w:r>
        <w:rPr>
          <w:sz w:val="21"/>
        </w:rPr>
        <w:t>被保险人遭受事故的，除法律禁止的情况外，本公司有权对投保人、被保险</w:t>
      </w:r>
      <w:r>
        <w:rPr>
          <w:spacing w:val="-4"/>
          <w:sz w:val="21"/>
        </w:rPr>
        <w:t>人、受益人等，就事故的性质、原因、结果及被保险人的损伤程度和身体情</w:t>
      </w:r>
      <w:r>
        <w:rPr>
          <w:spacing w:val="-4"/>
          <w:sz w:val="21"/>
        </w:rPr>
        <w:t>况等，进行调查、检查、评估和鉴定（包括但不限于提请作必要、合理的解</w:t>
      </w:r>
      <w:r>
        <w:rPr>
          <w:spacing w:val="-2"/>
          <w:sz w:val="21"/>
        </w:rPr>
        <w:t>剖检验），投保人、被保险人、受益人等应当予以充分配合。</w:t>
      </w:r>
    </w:p>
    <w:p>
      <w:pPr>
        <w:pStyle w:val="BodyText"/>
        <w:spacing w:before="4"/>
        <w:rPr>
          <w:sz w:val="24"/>
        </w:rPr>
      </w:pPr>
    </w:p>
    <w:p>
      <w:pPr>
        <w:pStyle w:val="ListParagraph"/>
        <w:numPr>
          <w:ilvl w:val="1"/>
          <w:numId w:val="4"/>
        </w:numPr>
        <w:tabs>
          <w:tab w:pos="1228" w:val="left" w:leader="none"/>
          <w:tab w:pos="1229" w:val="left" w:leader="none"/>
          <w:tab w:pos="2997" w:val="left" w:leader="none"/>
        </w:tabs>
        <w:spacing w:line="278" w:lineRule="auto" w:before="1" w:after="0"/>
        <w:ind w:left="2997" w:right="265" w:hanging="2730"/>
        <w:jc w:val="left"/>
        <w:rPr>
          <w:sz w:val="21"/>
        </w:rPr>
      </w:pPr>
      <w:r>
        <w:rPr>
          <w:b/>
          <w:spacing w:val="-2"/>
          <w:sz w:val="21"/>
        </w:rPr>
        <w:t>保</w:t>
      </w:r>
      <w:r>
        <w:rPr>
          <w:b/>
          <w:spacing w:val="-2"/>
          <w:sz w:val="21"/>
        </w:rPr>
        <w:t>险</w:t>
      </w:r>
      <w:r>
        <w:rPr>
          <w:b/>
          <w:spacing w:val="-2"/>
          <w:sz w:val="21"/>
        </w:rPr>
        <w:t>金</w:t>
      </w:r>
      <w:r>
        <w:rPr>
          <w:b/>
          <w:spacing w:val="-2"/>
          <w:sz w:val="21"/>
        </w:rPr>
        <w:t>的</w:t>
      </w:r>
      <w:r>
        <w:rPr>
          <w:b/>
          <w:spacing w:val="-2"/>
          <w:sz w:val="21"/>
        </w:rPr>
        <w:t>给</w:t>
      </w:r>
      <w:r>
        <w:rPr>
          <w:b/>
          <w:spacing w:val="-2"/>
          <w:sz w:val="21"/>
        </w:rPr>
        <w:t>付</w:t>
      </w:r>
      <w:r>
        <w:rPr>
          <w:b/>
          <w:sz w:val="21"/>
        </w:rPr>
        <w:tab/>
      </w:r>
      <w:r>
        <w:rPr>
          <w:sz w:val="21"/>
        </w:rPr>
        <w:t>收到保险金给付申请书及</w:t>
      </w:r>
      <w:r>
        <w:rPr>
          <w:sz w:val="21"/>
        </w:rPr>
        <w:t>有关证明和资料后，本公</w:t>
      </w:r>
      <w:r>
        <w:rPr>
          <w:sz w:val="21"/>
        </w:rPr>
        <w:t>司将在</w:t>
      </w:r>
      <w:r>
        <w:rPr>
          <w:spacing w:val="-50"/>
          <w:sz w:val="21"/>
        </w:rPr>
        <w:t> </w:t>
      </w:r>
      <w:r>
        <w:rPr>
          <w:sz w:val="21"/>
        </w:rPr>
        <w:t>10</w:t>
      </w:r>
      <w:r>
        <w:rPr>
          <w:spacing w:val="-47"/>
          <w:sz w:val="21"/>
        </w:rPr>
        <w:t> </w:t>
      </w:r>
      <w:r>
        <w:rPr>
          <w:sz w:val="21"/>
        </w:rPr>
        <w:t>个工作日内作出核定；情形复杂的，在</w:t>
      </w:r>
      <w:r>
        <w:rPr>
          <w:spacing w:val="-25"/>
          <w:sz w:val="21"/>
        </w:rPr>
        <w:t> </w:t>
      </w:r>
      <w:r>
        <w:rPr>
          <w:sz w:val="21"/>
        </w:rPr>
        <w:t>30</w:t>
      </w:r>
      <w:r>
        <w:rPr>
          <w:spacing w:val="-22"/>
          <w:sz w:val="21"/>
        </w:rPr>
        <w:t> </w:t>
      </w:r>
      <w:r>
        <w:rPr>
          <w:sz w:val="21"/>
        </w:rPr>
        <w:t>日内作出核</w:t>
      </w:r>
      <w:r>
        <w:rPr>
          <w:sz w:val="21"/>
        </w:rPr>
        <w:t>定。</w:t>
      </w:r>
    </w:p>
    <w:p>
      <w:pPr>
        <w:pStyle w:val="BodyText"/>
        <w:spacing w:line="278" w:lineRule="auto" w:before="155"/>
        <w:ind w:left="2997" w:right="265"/>
      </w:pPr>
      <w:r>
        <w:rPr>
          <w:spacing w:val="-8"/>
        </w:rPr>
        <w:t>本公司应当将核定结果通知受益人。对属于保险责任的，在与受益人达成给</w:t>
      </w:r>
      <w:r>
        <w:rPr>
          <w:spacing w:val="-6"/>
        </w:rPr>
        <w:t>付保险金的协议后 </w:t>
      </w:r>
      <w:r>
        <w:rPr>
          <w:spacing w:val="-2"/>
        </w:rPr>
        <w:t>10</w:t>
      </w:r>
      <w:r>
        <w:rPr>
          <w:spacing w:val="-9"/>
        </w:rPr>
        <w:t> 日内履行给付保险金义务；对不属于保险责任的，本</w:t>
      </w:r>
    </w:p>
    <w:p>
      <w:pPr>
        <w:pStyle w:val="BodyText"/>
        <w:spacing w:line="278" w:lineRule="auto"/>
        <w:ind w:left="2997" w:right="268"/>
      </w:pPr>
      <w:r>
        <w:rPr>
          <w:spacing w:val="-1"/>
        </w:rPr>
        <w:t>公司自作出核定之日起 </w:t>
      </w:r>
      <w:r>
        <w:rPr/>
        <w:t>3</w:t>
      </w:r>
      <w:r>
        <w:rPr>
          <w:spacing w:val="-3"/>
        </w:rPr>
        <w:t> 日内向受益人发出拒绝给付保险金通知书，并说</w:t>
      </w:r>
      <w:r>
        <w:rPr>
          <w:spacing w:val="-4"/>
        </w:rPr>
        <w:t>明理由。</w:t>
      </w:r>
    </w:p>
    <w:p>
      <w:pPr>
        <w:spacing w:after="0" w:line="278" w:lineRule="auto"/>
        <w:sectPr>
          <w:pgSz w:w="11910" w:h="16840"/>
          <w:pgMar w:header="0" w:footer="659" w:top="1540" w:bottom="1000" w:left="920" w:right="880"/>
        </w:sectPr>
      </w:pPr>
    </w:p>
    <w:p>
      <w:pPr>
        <w:pStyle w:val="BodyText"/>
        <w:spacing w:line="278" w:lineRule="auto" w:before="44"/>
        <w:ind w:left="2997" w:right="265"/>
        <w:jc w:val="both"/>
      </w:pPr>
      <w:r>
        <w:rPr>
          <w:spacing w:val="-4"/>
        </w:rPr>
        <w:t>自收到保险金给付申请书及有关证明和资料之日起 </w:t>
      </w:r>
      <w:r>
        <w:rPr>
          <w:spacing w:val="-2"/>
        </w:rPr>
        <w:t>60</w:t>
      </w:r>
      <w:r>
        <w:rPr>
          <w:spacing w:val="-7"/>
        </w:rPr>
        <w:t> 日内，本公司对给付</w:t>
      </w:r>
      <w:r>
        <w:rPr>
          <w:spacing w:val="-10"/>
        </w:rPr>
        <w:t>保险金的数额不能确定的，本公司应当按照根据已有证明和资料可以确定的</w:t>
      </w:r>
      <w:r>
        <w:rPr>
          <w:spacing w:val="-2"/>
        </w:rPr>
        <w:t>数额先予支付；最终确定给付保险金的数额后，本公司支付相应的差额。</w:t>
      </w:r>
    </w:p>
    <w:p>
      <w:pPr>
        <w:pStyle w:val="BodyText"/>
        <w:spacing w:before="4"/>
        <w:rPr>
          <w:sz w:val="24"/>
        </w:rPr>
      </w:pPr>
    </w:p>
    <w:p>
      <w:pPr>
        <w:pStyle w:val="ListParagraph"/>
        <w:numPr>
          <w:ilvl w:val="1"/>
          <w:numId w:val="4"/>
        </w:numPr>
        <w:tabs>
          <w:tab w:pos="1229" w:val="left" w:leader="none"/>
        </w:tabs>
        <w:spacing w:line="278" w:lineRule="auto" w:before="1" w:after="0"/>
        <w:ind w:left="2997" w:right="268" w:hanging="2730"/>
        <w:jc w:val="both"/>
        <w:rPr>
          <w:sz w:val="21"/>
        </w:rPr>
      </w:pPr>
      <w:r>
        <w:rPr>
          <w:b/>
          <w:sz w:val="21"/>
        </w:rPr>
        <w:t>诉讼时效</w:t>
      </w:r>
      <w:r>
        <w:rPr>
          <w:b/>
          <w:spacing w:val="803"/>
          <w:sz w:val="21"/>
        </w:rPr>
        <w:t> </w:t>
      </w:r>
      <w:r>
        <w:rPr>
          <w:spacing w:val="-1"/>
          <w:sz w:val="21"/>
        </w:rPr>
        <w:t>受益人向本公司请求给付保险金的诉讼时效期间为 </w:t>
      </w:r>
      <w:r>
        <w:rPr>
          <w:sz w:val="21"/>
        </w:rPr>
        <w:t>2</w:t>
      </w:r>
      <w:r>
        <w:rPr>
          <w:spacing w:val="-1"/>
          <w:sz w:val="21"/>
        </w:rPr>
        <w:t> 年，自其知道或应当</w:t>
      </w:r>
      <w:r>
        <w:rPr>
          <w:spacing w:val="-2"/>
          <w:sz w:val="21"/>
        </w:rPr>
        <w:t>知道保险事故发生之日起计算。</w:t>
      </w:r>
    </w:p>
    <w:p>
      <w:pPr>
        <w:pStyle w:val="BodyText"/>
        <w:spacing w:before="1"/>
        <w:rPr>
          <w:sz w:val="27"/>
        </w:rPr>
      </w:pPr>
    </w:p>
    <w:p>
      <w:pPr>
        <w:pStyle w:val="Heading2"/>
        <w:numPr>
          <w:ilvl w:val="0"/>
          <w:numId w:val="4"/>
        </w:numPr>
        <w:tabs>
          <w:tab w:pos="1228" w:val="left" w:leader="none"/>
          <w:tab w:pos="1229" w:val="left" w:leader="none"/>
        </w:tabs>
        <w:spacing w:line="240" w:lineRule="auto" w:before="0" w:after="0"/>
        <w:ind w:left="1228" w:right="0" w:hanging="962"/>
        <w:jc w:val="left"/>
      </w:pPr>
      <w:r>
        <w:rPr>
          <w:w w:val="95"/>
        </w:rPr>
        <w:t>保险费</w:t>
      </w:r>
      <w:r>
        <w:rPr>
          <w:w w:val="95"/>
        </w:rPr>
        <w:t>交</w:t>
      </w:r>
      <w:r>
        <w:rPr>
          <w:spacing w:val="-10"/>
          <w:w w:val="95"/>
        </w:rPr>
        <w:t>纳</w:t>
      </w:r>
    </w:p>
    <w:p>
      <w:pPr>
        <w:pStyle w:val="BodyText"/>
        <w:spacing w:before="6"/>
        <w:rPr>
          <w:b/>
          <w:sz w:val="14"/>
        </w:rPr>
      </w:pPr>
      <w:r>
        <w:rPr/>
        <w:drawing>
          <wp:anchor distT="0" distB="0" distL="0" distR="0" allowOverlap="1" layoutInCell="1" locked="0" behindDoc="0" simplePos="0" relativeHeight="17">
            <wp:simplePos x="0" y="0"/>
            <wp:positionH relativeFrom="page">
              <wp:posOffset>685800</wp:posOffset>
            </wp:positionH>
            <wp:positionV relativeFrom="paragraph">
              <wp:posOffset>133032</wp:posOffset>
            </wp:positionV>
            <wp:extent cx="6211442" cy="6096"/>
            <wp:effectExtent l="0" t="0" r="0" b="0"/>
            <wp:wrapTopAndBottom/>
            <wp:docPr id="31" name="image11.png"/>
            <wp:cNvGraphicFramePr>
              <a:graphicFrameLocks noChangeAspect="1"/>
            </wp:cNvGraphicFramePr>
            <a:graphic>
              <a:graphicData uri="http://schemas.openxmlformats.org/drawingml/2006/picture">
                <pic:pic>
                  <pic:nvPicPr>
                    <pic:cNvPr id="32" name="image11.png"/>
                    <pic:cNvPicPr/>
                  </pic:nvPicPr>
                  <pic:blipFill>
                    <a:blip r:embed="rId16" cstate="print"/>
                    <a:stretch>
                      <a:fillRect/>
                    </a:stretch>
                  </pic:blipFill>
                  <pic:spPr>
                    <a:xfrm>
                      <a:off x="0" y="0"/>
                      <a:ext cx="6211442" cy="6096"/>
                    </a:xfrm>
                    <a:prstGeom prst="rect">
                      <a:avLst/>
                    </a:prstGeom>
                  </pic:spPr>
                </pic:pic>
              </a:graphicData>
            </a:graphic>
          </wp:anchor>
        </w:drawing>
      </w:r>
    </w:p>
    <w:p>
      <w:pPr>
        <w:pStyle w:val="ListParagraph"/>
        <w:numPr>
          <w:ilvl w:val="1"/>
          <w:numId w:val="4"/>
        </w:numPr>
        <w:tabs>
          <w:tab w:pos="1229" w:val="left" w:leader="none"/>
        </w:tabs>
        <w:spacing w:line="278" w:lineRule="auto" w:before="178" w:after="0"/>
        <w:ind w:left="2997" w:right="266" w:hanging="2730"/>
        <w:jc w:val="both"/>
        <w:rPr>
          <w:sz w:val="21"/>
        </w:rPr>
      </w:pPr>
      <w:r>
        <w:rPr>
          <w:b/>
          <w:spacing w:val="46"/>
          <w:sz w:val="21"/>
        </w:rPr>
        <w:t>保险费的交纳 </w:t>
      </w:r>
      <w:r>
        <w:rPr>
          <w:spacing w:val="-2"/>
          <w:sz w:val="21"/>
        </w:rPr>
        <w:t>本合同的交费方式和交费期间由投保人和本公司约定，并在保单上载明。分</w:t>
      </w:r>
      <w:r>
        <w:rPr>
          <w:spacing w:val="-5"/>
          <w:sz w:val="21"/>
        </w:rPr>
        <w:t>期支付保险费的，在交纳首期保险费后，投保人应当在每个保险费的约定交</w:t>
      </w:r>
      <w:r>
        <w:rPr>
          <w:spacing w:val="-2"/>
          <w:sz w:val="21"/>
        </w:rPr>
        <w:t>纳日交纳其余各期保险费。</w:t>
      </w:r>
    </w:p>
    <w:p>
      <w:pPr>
        <w:pStyle w:val="BodyText"/>
        <w:spacing w:before="2"/>
        <w:rPr>
          <w:sz w:val="17"/>
        </w:rPr>
      </w:pPr>
    </w:p>
    <w:p>
      <w:pPr>
        <w:pStyle w:val="ListParagraph"/>
        <w:numPr>
          <w:ilvl w:val="1"/>
          <w:numId w:val="4"/>
        </w:numPr>
        <w:tabs>
          <w:tab w:pos="1228" w:val="left" w:leader="none"/>
          <w:tab w:pos="1229" w:val="left" w:leader="none"/>
          <w:tab w:pos="2997" w:val="left" w:leader="none"/>
        </w:tabs>
        <w:spacing w:line="228" w:lineRule="auto" w:before="81" w:after="0"/>
        <w:ind w:left="2997" w:right="266" w:hanging="2730"/>
        <w:jc w:val="left"/>
        <w:rPr>
          <w:sz w:val="21"/>
        </w:rPr>
      </w:pPr>
      <w:r>
        <w:rPr>
          <w:b/>
          <w:spacing w:val="-6"/>
          <w:position w:val="-1"/>
          <w:sz w:val="21"/>
        </w:rPr>
        <w:t>续</w:t>
      </w:r>
      <w:r>
        <w:rPr>
          <w:b/>
          <w:spacing w:val="-6"/>
          <w:position w:val="-1"/>
          <w:sz w:val="21"/>
        </w:rPr>
        <w:t>保</w:t>
      </w:r>
      <w:r>
        <w:rPr>
          <w:b/>
          <w:position w:val="-1"/>
          <w:sz w:val="21"/>
        </w:rPr>
        <w:tab/>
      </w:r>
      <w:r>
        <w:rPr>
          <w:spacing w:val="-4"/>
          <w:sz w:val="21"/>
        </w:rPr>
        <w:t>本</w:t>
      </w:r>
      <w:r>
        <w:rPr>
          <w:spacing w:val="-4"/>
          <w:sz w:val="21"/>
        </w:rPr>
        <w:t>合</w:t>
      </w:r>
      <w:r>
        <w:rPr>
          <w:spacing w:val="-4"/>
          <w:sz w:val="21"/>
        </w:rPr>
        <w:t>同为非保证续保合同，保险期间届满时，投保人</w:t>
      </w:r>
      <w:r>
        <w:rPr>
          <w:spacing w:val="-4"/>
          <w:sz w:val="21"/>
        </w:rPr>
        <w:t>可</w:t>
      </w:r>
      <w:r>
        <w:rPr>
          <w:spacing w:val="-4"/>
          <w:sz w:val="21"/>
        </w:rPr>
        <w:t>向</w:t>
      </w:r>
      <w:r>
        <w:rPr>
          <w:spacing w:val="-4"/>
          <w:sz w:val="21"/>
        </w:rPr>
        <w:t>本公司申请续保本</w:t>
      </w:r>
      <w:r>
        <w:rPr>
          <w:spacing w:val="-4"/>
          <w:sz w:val="21"/>
        </w:rPr>
        <w:t>合</w:t>
      </w:r>
      <w:r>
        <w:rPr>
          <w:spacing w:val="-4"/>
          <w:sz w:val="21"/>
        </w:rPr>
        <w:t>同</w:t>
      </w:r>
      <w:r>
        <w:rPr>
          <w:spacing w:val="-4"/>
          <w:sz w:val="21"/>
        </w:rPr>
        <w:t>：</w:t>
      </w:r>
    </w:p>
    <w:p>
      <w:pPr>
        <w:pStyle w:val="ListParagraph"/>
        <w:numPr>
          <w:ilvl w:val="0"/>
          <w:numId w:val="8"/>
        </w:numPr>
        <w:tabs>
          <w:tab w:pos="3527" w:val="left" w:leader="none"/>
        </w:tabs>
        <w:spacing w:line="244" w:lineRule="auto" w:before="160" w:after="0"/>
        <w:ind w:left="2997" w:right="268" w:firstLine="0"/>
        <w:jc w:val="left"/>
        <w:rPr>
          <w:sz w:val="21"/>
        </w:rPr>
      </w:pPr>
      <w:r>
        <w:rPr>
          <w:spacing w:val="-2"/>
          <w:sz w:val="21"/>
        </w:rPr>
        <w:t>如本保险仍然在售，在本合同保险期间届满后 </w:t>
      </w:r>
      <w:r>
        <w:rPr>
          <w:sz w:val="21"/>
        </w:rPr>
        <w:t>30</w:t>
      </w:r>
      <w:r>
        <w:rPr>
          <w:spacing w:val="-5"/>
          <w:sz w:val="21"/>
        </w:rPr>
        <w:t> 日内，本公司不会</w:t>
      </w:r>
      <w:r>
        <w:rPr>
          <w:spacing w:val="-2"/>
          <w:sz w:val="21"/>
        </w:rPr>
        <w:t>因被保险人的健康状况或历史理赔情况拒绝续保申请；</w:t>
      </w:r>
    </w:p>
    <w:p>
      <w:pPr>
        <w:pStyle w:val="ListParagraph"/>
        <w:numPr>
          <w:ilvl w:val="0"/>
          <w:numId w:val="8"/>
        </w:numPr>
        <w:tabs>
          <w:tab w:pos="3527" w:val="left" w:leader="none"/>
        </w:tabs>
        <w:spacing w:line="278" w:lineRule="auto" w:before="173" w:after="0"/>
        <w:ind w:left="2997" w:right="268" w:firstLine="0"/>
        <w:jc w:val="left"/>
        <w:rPr>
          <w:sz w:val="21"/>
        </w:rPr>
      </w:pPr>
      <w:r>
        <w:rPr>
          <w:spacing w:val="-2"/>
          <w:sz w:val="21"/>
        </w:rPr>
        <w:t>如本保险已停止销售，本公司不再接受投保申请，但会向投保人提供</w:t>
      </w:r>
      <w:r>
        <w:rPr>
          <w:spacing w:val="-2"/>
          <w:sz w:val="21"/>
        </w:rPr>
        <w:t>投保其他保险产品的合理建议。</w:t>
      </w:r>
    </w:p>
    <w:p>
      <w:pPr>
        <w:pStyle w:val="BodyText"/>
        <w:spacing w:before="2"/>
        <w:rPr>
          <w:sz w:val="27"/>
        </w:rPr>
      </w:pPr>
    </w:p>
    <w:p>
      <w:pPr>
        <w:pStyle w:val="Heading2"/>
        <w:numPr>
          <w:ilvl w:val="0"/>
          <w:numId w:val="4"/>
        </w:numPr>
        <w:tabs>
          <w:tab w:pos="1228" w:val="left" w:leader="none"/>
          <w:tab w:pos="1229" w:val="left" w:leader="none"/>
        </w:tabs>
        <w:spacing w:line="240" w:lineRule="auto" w:before="0" w:after="0"/>
        <w:ind w:left="1228" w:right="0" w:hanging="962"/>
        <w:jc w:val="left"/>
      </w:pPr>
      <w:r>
        <w:rPr>
          <w:spacing w:val="-3"/>
          <w:w w:val="95"/>
        </w:rPr>
        <w:t>合同解除</w:t>
      </w:r>
    </w:p>
    <w:p>
      <w:pPr>
        <w:pStyle w:val="BodyText"/>
        <w:spacing w:before="5"/>
        <w:rPr>
          <w:b/>
          <w:sz w:val="14"/>
        </w:rPr>
      </w:pPr>
      <w:r>
        <w:rPr/>
        <w:drawing>
          <wp:anchor distT="0" distB="0" distL="0" distR="0" allowOverlap="1" layoutInCell="1" locked="0" behindDoc="0" simplePos="0" relativeHeight="18">
            <wp:simplePos x="0" y="0"/>
            <wp:positionH relativeFrom="page">
              <wp:posOffset>685800</wp:posOffset>
            </wp:positionH>
            <wp:positionV relativeFrom="paragraph">
              <wp:posOffset>132893</wp:posOffset>
            </wp:positionV>
            <wp:extent cx="6211701" cy="6096"/>
            <wp:effectExtent l="0" t="0" r="0" b="0"/>
            <wp:wrapTopAndBottom/>
            <wp:docPr id="33" name="image12.png"/>
            <wp:cNvGraphicFramePr>
              <a:graphicFrameLocks noChangeAspect="1"/>
            </wp:cNvGraphicFramePr>
            <a:graphic>
              <a:graphicData uri="http://schemas.openxmlformats.org/drawingml/2006/picture">
                <pic:pic>
                  <pic:nvPicPr>
                    <pic:cNvPr id="34" name="image12.png"/>
                    <pic:cNvPicPr/>
                  </pic:nvPicPr>
                  <pic:blipFill>
                    <a:blip r:embed="rId17" cstate="print"/>
                    <a:stretch>
                      <a:fillRect/>
                    </a:stretch>
                  </pic:blipFill>
                  <pic:spPr>
                    <a:xfrm>
                      <a:off x="0" y="0"/>
                      <a:ext cx="6211701" cy="6096"/>
                    </a:xfrm>
                    <a:prstGeom prst="rect">
                      <a:avLst/>
                    </a:prstGeom>
                  </pic:spPr>
                </pic:pic>
              </a:graphicData>
            </a:graphic>
          </wp:anchor>
        </w:drawing>
      </w:r>
    </w:p>
    <w:p>
      <w:pPr>
        <w:pStyle w:val="BodyText"/>
        <w:spacing w:before="5"/>
        <w:rPr>
          <w:b/>
          <w:sz w:val="8"/>
        </w:rPr>
      </w:pPr>
    </w:p>
    <w:p>
      <w:pPr>
        <w:spacing w:after="0"/>
        <w:rPr>
          <w:sz w:val="8"/>
        </w:rPr>
        <w:sectPr>
          <w:pgSz w:w="11910" w:h="16840"/>
          <w:pgMar w:header="0" w:footer="659" w:top="1400" w:bottom="1000" w:left="920" w:right="880"/>
        </w:sectPr>
      </w:pPr>
    </w:p>
    <w:p>
      <w:pPr>
        <w:pStyle w:val="Heading3"/>
        <w:numPr>
          <w:ilvl w:val="1"/>
          <w:numId w:val="4"/>
        </w:numPr>
        <w:tabs>
          <w:tab w:pos="1228" w:val="left" w:leader="none"/>
          <w:tab w:pos="1229" w:val="left" w:leader="none"/>
        </w:tabs>
        <w:spacing w:line="278" w:lineRule="auto" w:before="71" w:after="0"/>
        <w:ind w:left="1228" w:right="0" w:hanging="961"/>
        <w:jc w:val="left"/>
      </w:pPr>
      <w:r>
        <w:rPr>
          <w:spacing w:val="8"/>
        </w:rPr>
        <w:t>解除合同的手续</w:t>
      </w:r>
      <w:r>
        <w:rPr>
          <w:spacing w:val="-4"/>
        </w:rPr>
        <w:t>及风险</w:t>
      </w:r>
    </w:p>
    <w:p>
      <w:pPr>
        <w:pStyle w:val="BodyText"/>
        <w:spacing w:before="71"/>
        <w:ind w:left="174"/>
      </w:pPr>
      <w:r>
        <w:rPr/>
        <w:br w:type="column"/>
      </w:r>
      <w:r>
        <w:rPr>
          <w:spacing w:val="-3"/>
        </w:rPr>
        <w:t>本合同成立后，投保人可申请解除合同。</w:t>
      </w:r>
    </w:p>
    <w:p>
      <w:pPr>
        <w:pStyle w:val="BodyText"/>
        <w:spacing w:before="7"/>
        <w:rPr>
          <w:sz w:val="15"/>
        </w:rPr>
      </w:pPr>
    </w:p>
    <w:p>
      <w:pPr>
        <w:pStyle w:val="BodyText"/>
        <w:ind w:left="174"/>
      </w:pPr>
      <w:r>
        <w:rPr>
          <w:spacing w:val="-3"/>
        </w:rPr>
        <w:t>投保人申请解除本合同时，应当向本公司送达：</w:t>
      </w:r>
    </w:p>
    <w:p>
      <w:pPr>
        <w:pStyle w:val="BodyText"/>
        <w:spacing w:before="7"/>
        <w:rPr>
          <w:sz w:val="15"/>
        </w:rPr>
      </w:pPr>
    </w:p>
    <w:p>
      <w:pPr>
        <w:pStyle w:val="ListParagraph"/>
        <w:numPr>
          <w:ilvl w:val="0"/>
          <w:numId w:val="9"/>
        </w:numPr>
        <w:tabs>
          <w:tab w:pos="705" w:val="left" w:leader="none"/>
        </w:tabs>
        <w:spacing w:line="240" w:lineRule="auto" w:before="0" w:after="0"/>
        <w:ind w:left="704" w:right="0" w:hanging="531"/>
        <w:jc w:val="left"/>
        <w:rPr>
          <w:sz w:val="21"/>
        </w:rPr>
      </w:pPr>
      <w:r>
        <w:rPr>
          <w:spacing w:val="-4"/>
          <w:sz w:val="21"/>
        </w:rPr>
        <w:t>解除合同申请书；</w:t>
      </w:r>
    </w:p>
    <w:p>
      <w:pPr>
        <w:pStyle w:val="BodyText"/>
        <w:spacing w:before="6"/>
        <w:rPr>
          <w:sz w:val="15"/>
        </w:rPr>
      </w:pPr>
    </w:p>
    <w:p>
      <w:pPr>
        <w:pStyle w:val="ListParagraph"/>
        <w:numPr>
          <w:ilvl w:val="0"/>
          <w:numId w:val="9"/>
        </w:numPr>
        <w:tabs>
          <w:tab w:pos="705" w:val="left" w:leader="none"/>
        </w:tabs>
        <w:spacing w:line="240" w:lineRule="auto" w:before="1" w:after="0"/>
        <w:ind w:left="704" w:right="0" w:hanging="531"/>
        <w:jc w:val="left"/>
        <w:rPr>
          <w:sz w:val="21"/>
        </w:rPr>
      </w:pPr>
      <w:r>
        <w:rPr>
          <w:spacing w:val="-4"/>
          <w:sz w:val="21"/>
        </w:rPr>
        <w:t>本合同；</w:t>
      </w:r>
    </w:p>
    <w:p>
      <w:pPr>
        <w:pStyle w:val="BodyText"/>
        <w:spacing w:before="6"/>
        <w:rPr>
          <w:sz w:val="15"/>
        </w:rPr>
      </w:pPr>
    </w:p>
    <w:p>
      <w:pPr>
        <w:pStyle w:val="ListParagraph"/>
        <w:numPr>
          <w:ilvl w:val="0"/>
          <w:numId w:val="9"/>
        </w:numPr>
        <w:tabs>
          <w:tab w:pos="705" w:val="left" w:leader="none"/>
        </w:tabs>
        <w:spacing w:line="240" w:lineRule="auto" w:before="0" w:after="0"/>
        <w:ind w:left="704" w:right="0" w:hanging="531"/>
        <w:jc w:val="left"/>
        <w:rPr>
          <w:sz w:val="21"/>
        </w:rPr>
      </w:pPr>
      <w:r>
        <w:rPr>
          <w:spacing w:val="-3"/>
          <w:sz w:val="21"/>
        </w:rPr>
        <w:t>投保人有效身份证件；</w:t>
      </w:r>
    </w:p>
    <w:p>
      <w:pPr>
        <w:pStyle w:val="BodyText"/>
        <w:spacing w:before="7"/>
        <w:rPr>
          <w:sz w:val="15"/>
        </w:rPr>
      </w:pPr>
    </w:p>
    <w:p>
      <w:pPr>
        <w:pStyle w:val="ListParagraph"/>
        <w:numPr>
          <w:ilvl w:val="0"/>
          <w:numId w:val="9"/>
        </w:numPr>
        <w:tabs>
          <w:tab w:pos="705" w:val="left" w:leader="none"/>
        </w:tabs>
        <w:spacing w:line="240" w:lineRule="auto" w:before="0" w:after="0"/>
        <w:ind w:left="704" w:right="0" w:hanging="531"/>
        <w:jc w:val="left"/>
        <w:rPr>
          <w:sz w:val="21"/>
        </w:rPr>
      </w:pPr>
      <w:r>
        <w:rPr>
          <w:spacing w:val="-3"/>
          <w:sz w:val="21"/>
        </w:rPr>
        <w:t>本公司要求的其他有关证明和资料。</w:t>
      </w:r>
    </w:p>
    <w:p>
      <w:pPr>
        <w:pStyle w:val="BodyText"/>
        <w:spacing w:before="7"/>
        <w:rPr>
          <w:sz w:val="15"/>
        </w:rPr>
      </w:pPr>
    </w:p>
    <w:p>
      <w:pPr>
        <w:pStyle w:val="BodyText"/>
        <w:spacing w:line="273" w:lineRule="auto"/>
        <w:ind w:left="174" w:right="266"/>
        <w:jc w:val="both"/>
      </w:pPr>
      <w:r>
        <w:rPr>
          <w:spacing w:val="-2"/>
        </w:rPr>
        <w:t>本合同的效力至本公司接到解除合同申请书之日的次日零时或解除合同申</w:t>
      </w:r>
      <w:r>
        <w:rPr>
          <w:spacing w:val="-4"/>
        </w:rPr>
        <w:t>请书上载明的合同终止时间（二者中以较晚者为准）终止。本公司自收到完</w:t>
      </w:r>
      <w:r>
        <w:rPr>
          <w:spacing w:val="-2"/>
        </w:rPr>
        <w:t>整的证明和资料之日起 </w:t>
      </w:r>
      <w:r>
        <w:rPr/>
        <w:t>30</w:t>
      </w:r>
      <w:r>
        <w:rPr>
          <w:spacing w:val="-5"/>
        </w:rPr>
        <w:t> 日内向投保人退还本合同的</w:t>
      </w:r>
      <w:r>
        <w:rPr>
          <w:b/>
          <w:color w:val="000000"/>
          <w:shd w:fill="E4E4E4" w:color="auto" w:val="clear"/>
        </w:rPr>
        <w:t>未满期净保险费</w:t>
      </w:r>
      <w:r>
        <w:rPr>
          <w:b/>
          <w:color w:val="000000"/>
          <w:position w:val="11"/>
          <w:sz w:val="11"/>
        </w:rPr>
        <w:t>47</w:t>
      </w:r>
      <w:r>
        <w:rPr>
          <w:color w:val="000000"/>
        </w:rPr>
        <w:t>。</w:t>
      </w:r>
    </w:p>
    <w:p>
      <w:pPr>
        <w:spacing w:after="0" w:line="273" w:lineRule="auto"/>
        <w:jc w:val="both"/>
        <w:sectPr>
          <w:type w:val="continuous"/>
          <w:pgSz w:w="11910" w:h="16840"/>
          <w:pgMar w:header="0" w:footer="659" w:top="480" w:bottom="840" w:left="920" w:right="880"/>
          <w:cols w:num="2" w:equalWidth="0">
            <w:col w:w="2783" w:space="40"/>
            <w:col w:w="7287"/>
          </w:cols>
        </w:sectPr>
      </w:pPr>
    </w:p>
    <w:p>
      <w:pPr>
        <w:pStyle w:val="BodyText"/>
        <w:spacing w:before="162"/>
        <w:ind w:left="2997"/>
      </w:pPr>
      <w:r>
        <w:rPr>
          <w:color w:val="000000"/>
          <w:spacing w:val="-8"/>
          <w:shd w:fill="E4E4E4" w:color="auto" w:val="clear"/>
        </w:rPr>
        <w:t>投保人在犹豫期后解除合同会遭受一定损失。本公司根据本合同已承担保险</w:t>
      </w:r>
    </w:p>
    <w:p>
      <w:pPr>
        <w:pStyle w:val="BodyText"/>
        <w:spacing w:before="1"/>
        <w:rPr>
          <w:sz w:val="27"/>
        </w:rPr>
      </w:pPr>
      <w:r>
        <w:rPr/>
        <w:drawing>
          <wp:anchor distT="0" distB="0" distL="0" distR="0" allowOverlap="1" layoutInCell="1" locked="0" behindDoc="0" simplePos="0" relativeHeight="19">
            <wp:simplePos x="0" y="0"/>
            <wp:positionH relativeFrom="page">
              <wp:posOffset>685800</wp:posOffset>
            </wp:positionH>
            <wp:positionV relativeFrom="paragraph">
              <wp:posOffset>235675</wp:posOffset>
            </wp:positionV>
            <wp:extent cx="1829282" cy="6095"/>
            <wp:effectExtent l="0" t="0" r="0" b="0"/>
            <wp:wrapTopAndBottom/>
            <wp:docPr id="35" name="image6.png"/>
            <wp:cNvGraphicFramePr>
              <a:graphicFrameLocks noChangeAspect="1"/>
            </wp:cNvGraphicFramePr>
            <a:graphic>
              <a:graphicData uri="http://schemas.openxmlformats.org/drawingml/2006/picture">
                <pic:pic>
                  <pic:nvPicPr>
                    <pic:cNvPr id="36" name="image6.png"/>
                    <pic:cNvPicPr/>
                  </pic:nvPicPr>
                  <pic:blipFill>
                    <a:blip r:embed="rId11" cstate="print"/>
                    <a:stretch>
                      <a:fillRect/>
                    </a:stretch>
                  </pic:blipFill>
                  <pic:spPr>
                    <a:xfrm>
                      <a:off x="0" y="0"/>
                      <a:ext cx="1829282" cy="6095"/>
                    </a:xfrm>
                    <a:prstGeom prst="rect">
                      <a:avLst/>
                    </a:prstGeom>
                  </pic:spPr>
                </pic:pic>
              </a:graphicData>
            </a:graphic>
          </wp:anchor>
        </w:drawing>
      </w:r>
    </w:p>
    <w:p>
      <w:pPr>
        <w:spacing w:line="242" w:lineRule="auto" w:before="91"/>
        <w:ind w:left="160" w:right="192" w:firstLine="0"/>
        <w:jc w:val="both"/>
        <w:rPr>
          <w:rFonts w:ascii="楷体" w:hAnsi="楷体" w:eastAsia="楷体"/>
          <w:sz w:val="18"/>
        </w:rPr>
      </w:pPr>
      <w:r>
        <w:rPr>
          <w:rFonts w:ascii="楷体" w:hAnsi="楷体" w:eastAsia="楷体"/>
          <w:spacing w:val="-2"/>
          <w:position w:val="9"/>
          <w:sz w:val="9"/>
        </w:rPr>
        <w:t>47</w:t>
      </w:r>
      <w:r>
        <w:rPr>
          <w:rFonts w:ascii="楷体" w:hAnsi="楷体" w:eastAsia="楷体"/>
          <w:spacing w:val="2"/>
          <w:position w:val="9"/>
          <w:sz w:val="9"/>
        </w:rPr>
        <w:t> </w:t>
      </w:r>
      <w:r>
        <w:rPr>
          <w:rFonts w:ascii="楷体" w:hAnsi="楷体" w:eastAsia="楷体" w:hint="eastAsia"/>
          <w:b/>
          <w:spacing w:val="-2"/>
          <w:sz w:val="18"/>
        </w:rPr>
        <w:t>未满</w:t>
      </w:r>
      <w:r>
        <w:rPr>
          <w:rFonts w:ascii="楷体" w:hAnsi="楷体" w:eastAsia="楷体" w:hint="eastAsia"/>
          <w:b/>
          <w:spacing w:val="-2"/>
          <w:sz w:val="18"/>
        </w:rPr>
        <w:t>期</w:t>
      </w:r>
      <w:r>
        <w:rPr>
          <w:rFonts w:ascii="楷体" w:hAnsi="楷体" w:eastAsia="楷体" w:hint="eastAsia"/>
          <w:b/>
          <w:spacing w:val="-2"/>
          <w:sz w:val="18"/>
        </w:rPr>
        <w:t>净</w:t>
      </w:r>
      <w:r>
        <w:rPr>
          <w:rFonts w:ascii="楷体" w:hAnsi="楷体" w:eastAsia="楷体" w:hint="eastAsia"/>
          <w:b/>
          <w:spacing w:val="-2"/>
          <w:sz w:val="18"/>
        </w:rPr>
        <w:t>保</w:t>
      </w:r>
      <w:r>
        <w:rPr>
          <w:rFonts w:ascii="楷体" w:hAnsi="楷体" w:eastAsia="楷体" w:hint="eastAsia"/>
          <w:b/>
          <w:spacing w:val="-2"/>
          <w:sz w:val="18"/>
        </w:rPr>
        <w:t>险</w:t>
      </w:r>
      <w:r>
        <w:rPr>
          <w:rFonts w:ascii="楷体" w:hAnsi="楷体" w:eastAsia="楷体" w:hint="eastAsia"/>
          <w:b/>
          <w:spacing w:val="-2"/>
          <w:sz w:val="18"/>
        </w:rPr>
        <w:t>费</w:t>
      </w:r>
      <w:r>
        <w:rPr>
          <w:rFonts w:ascii="楷体" w:hAnsi="楷体" w:eastAsia="楷体"/>
          <w:spacing w:val="-2"/>
          <w:sz w:val="18"/>
        </w:rPr>
        <w:t>：计算分两种情况：（1）</w:t>
      </w:r>
      <w:r>
        <w:rPr>
          <w:rFonts w:ascii="楷体" w:hAnsi="楷体" w:eastAsia="楷体"/>
          <w:spacing w:val="-3"/>
          <w:sz w:val="18"/>
        </w:rPr>
        <w:t>若保费为一次性支付的：未满期净保险费= </w:t>
      </w:r>
      <w:r>
        <w:rPr>
          <w:rFonts w:ascii="楷体" w:hAnsi="楷体" w:eastAsia="楷体"/>
          <w:spacing w:val="-2"/>
          <w:sz w:val="18"/>
        </w:rPr>
        <w:t>P×（1-N÷M）×（1-35%）。其中：P</w:t>
      </w:r>
      <w:r>
        <w:rPr>
          <w:rFonts w:ascii="楷体" w:hAnsi="楷体" w:eastAsia="楷体"/>
          <w:w w:val="95"/>
          <w:sz w:val="18"/>
        </w:rPr>
        <w:t>指</w:t>
      </w:r>
      <w:r>
        <w:rPr>
          <w:rFonts w:ascii="楷体" w:hAnsi="楷体" w:eastAsia="楷体"/>
          <w:w w:val="95"/>
          <w:sz w:val="18"/>
        </w:rPr>
        <w:t>为</w:t>
      </w:r>
      <w:r>
        <w:rPr>
          <w:rFonts w:ascii="楷体" w:hAnsi="楷体" w:eastAsia="楷体"/>
          <w:w w:val="95"/>
          <w:sz w:val="18"/>
        </w:rPr>
        <w:t>该</w:t>
      </w:r>
      <w:r>
        <w:rPr>
          <w:rFonts w:ascii="楷体" w:hAnsi="楷体" w:eastAsia="楷体"/>
          <w:w w:val="95"/>
          <w:sz w:val="18"/>
        </w:rPr>
        <w:t>被</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人</w:t>
      </w:r>
      <w:r>
        <w:rPr>
          <w:rFonts w:ascii="楷体" w:hAnsi="楷体" w:eastAsia="楷体"/>
          <w:w w:val="95"/>
          <w:sz w:val="18"/>
        </w:rPr>
        <w:t>一</w:t>
      </w:r>
      <w:r>
        <w:rPr>
          <w:rFonts w:ascii="楷体" w:hAnsi="楷体" w:eastAsia="楷体"/>
          <w:w w:val="95"/>
          <w:sz w:val="18"/>
        </w:rPr>
        <w:t>次</w:t>
      </w:r>
      <w:r>
        <w:rPr>
          <w:rFonts w:ascii="楷体" w:hAnsi="楷体" w:eastAsia="楷体"/>
          <w:w w:val="95"/>
          <w:sz w:val="18"/>
        </w:rPr>
        <w:t>性</w:t>
      </w:r>
      <w:r>
        <w:rPr>
          <w:rFonts w:ascii="楷体" w:hAnsi="楷体" w:eastAsia="楷体"/>
          <w:w w:val="95"/>
          <w:sz w:val="18"/>
        </w:rPr>
        <w:t>交</w:t>
      </w:r>
      <w:r>
        <w:rPr>
          <w:rFonts w:ascii="楷体" w:hAnsi="楷体" w:eastAsia="楷体"/>
          <w:w w:val="95"/>
          <w:sz w:val="18"/>
        </w:rPr>
        <w:t>纳</w:t>
      </w:r>
      <w:r>
        <w:rPr>
          <w:rFonts w:ascii="楷体" w:hAnsi="楷体" w:eastAsia="楷体"/>
          <w:w w:val="95"/>
          <w:sz w:val="18"/>
        </w:rPr>
        <w:t>的</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费</w:t>
      </w:r>
      <w:r>
        <w:rPr>
          <w:rFonts w:ascii="楷体" w:hAnsi="楷体" w:eastAsia="楷体"/>
          <w:w w:val="95"/>
          <w:sz w:val="18"/>
        </w:rPr>
        <w:t>，M</w:t>
      </w:r>
      <w:r>
        <w:rPr>
          <w:rFonts w:ascii="楷体" w:hAnsi="楷体" w:eastAsia="楷体"/>
          <w:spacing w:val="22"/>
          <w:sz w:val="18"/>
        </w:rPr>
        <w:t>  </w:t>
      </w:r>
      <w:r>
        <w:rPr>
          <w:rFonts w:ascii="楷体" w:hAnsi="楷体" w:eastAsia="楷体"/>
          <w:w w:val="95"/>
          <w:sz w:val="18"/>
        </w:rPr>
        <w:t>指</w:t>
      </w:r>
      <w:r>
        <w:rPr>
          <w:rFonts w:ascii="楷体" w:hAnsi="楷体" w:eastAsia="楷体"/>
          <w:w w:val="95"/>
          <w:sz w:val="18"/>
        </w:rPr>
        <w:t>该</w:t>
      </w:r>
      <w:r>
        <w:rPr>
          <w:rFonts w:ascii="楷体" w:hAnsi="楷体" w:eastAsia="楷体"/>
          <w:w w:val="95"/>
          <w:sz w:val="18"/>
        </w:rPr>
        <w:t>被</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人</w:t>
      </w:r>
      <w:r>
        <w:rPr>
          <w:rFonts w:ascii="楷体" w:hAnsi="楷体" w:eastAsia="楷体"/>
          <w:w w:val="95"/>
          <w:sz w:val="18"/>
        </w:rPr>
        <w:t>的</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期</w:t>
      </w:r>
      <w:r>
        <w:rPr>
          <w:rFonts w:ascii="楷体" w:hAnsi="楷体" w:eastAsia="楷体"/>
          <w:w w:val="95"/>
          <w:sz w:val="18"/>
        </w:rPr>
        <w:t>间</w:t>
      </w:r>
      <w:r>
        <w:rPr>
          <w:rFonts w:ascii="楷体" w:hAnsi="楷体" w:eastAsia="楷体"/>
          <w:w w:val="95"/>
          <w:sz w:val="18"/>
        </w:rPr>
        <w:t>所</w:t>
      </w:r>
      <w:r>
        <w:rPr>
          <w:rFonts w:ascii="楷体" w:hAnsi="楷体" w:eastAsia="楷体"/>
          <w:w w:val="95"/>
          <w:sz w:val="18"/>
        </w:rPr>
        <w:t>包</w:t>
      </w:r>
      <w:r>
        <w:rPr>
          <w:rFonts w:ascii="楷体" w:hAnsi="楷体" w:eastAsia="楷体"/>
          <w:w w:val="95"/>
          <w:sz w:val="18"/>
        </w:rPr>
        <w:t>含</w:t>
      </w:r>
      <w:r>
        <w:rPr>
          <w:rFonts w:ascii="楷体" w:hAnsi="楷体" w:eastAsia="楷体"/>
          <w:w w:val="95"/>
          <w:sz w:val="18"/>
        </w:rPr>
        <w:t>的</w:t>
      </w:r>
      <w:r>
        <w:rPr>
          <w:rFonts w:ascii="楷体" w:hAnsi="楷体" w:eastAsia="楷体"/>
          <w:w w:val="95"/>
          <w:sz w:val="18"/>
        </w:rPr>
        <w:t>日</w:t>
      </w:r>
      <w:r>
        <w:rPr>
          <w:rFonts w:ascii="楷体" w:hAnsi="楷体" w:eastAsia="楷体"/>
          <w:spacing w:val="-68"/>
          <w:w w:val="95"/>
          <w:sz w:val="18"/>
        </w:rPr>
        <w:t>数</w:t>
      </w:r>
      <w:r>
        <w:rPr>
          <w:rFonts w:ascii="楷体" w:hAnsi="楷体" w:eastAsia="楷体"/>
          <w:w w:val="95"/>
          <w:sz w:val="18"/>
        </w:rPr>
        <w:t>（</w:t>
      </w:r>
      <w:r>
        <w:rPr>
          <w:rFonts w:ascii="楷体" w:hAnsi="楷体" w:eastAsia="楷体"/>
          <w:w w:val="95"/>
          <w:sz w:val="18"/>
        </w:rPr>
        <w:t>计</w:t>
      </w:r>
      <w:r>
        <w:rPr>
          <w:rFonts w:ascii="楷体" w:hAnsi="楷体" w:eastAsia="楷体"/>
          <w:w w:val="95"/>
          <w:sz w:val="18"/>
        </w:rPr>
        <w:t>算</w:t>
      </w:r>
      <w:r>
        <w:rPr>
          <w:rFonts w:ascii="楷体" w:hAnsi="楷体" w:eastAsia="楷体"/>
          <w:w w:val="95"/>
          <w:sz w:val="18"/>
        </w:rPr>
        <w:t>日</w:t>
      </w:r>
      <w:r>
        <w:rPr>
          <w:rFonts w:ascii="楷体" w:hAnsi="楷体" w:eastAsia="楷体"/>
          <w:w w:val="95"/>
          <w:sz w:val="18"/>
        </w:rPr>
        <w:t>数</w:t>
      </w:r>
      <w:r>
        <w:rPr>
          <w:rFonts w:ascii="楷体" w:hAnsi="楷体" w:eastAsia="楷体"/>
          <w:w w:val="95"/>
          <w:sz w:val="18"/>
        </w:rPr>
        <w:t>时</w:t>
      </w:r>
      <w:r>
        <w:rPr>
          <w:rFonts w:ascii="楷体" w:hAnsi="楷体" w:eastAsia="楷体"/>
          <w:w w:val="95"/>
          <w:sz w:val="18"/>
        </w:rPr>
        <w:t>不</w:t>
      </w:r>
      <w:r>
        <w:rPr>
          <w:rFonts w:ascii="楷体" w:hAnsi="楷体" w:eastAsia="楷体"/>
          <w:w w:val="95"/>
          <w:sz w:val="18"/>
        </w:rPr>
        <w:t>足</w:t>
      </w:r>
      <w:r>
        <w:rPr>
          <w:rFonts w:ascii="楷体" w:hAnsi="楷体" w:eastAsia="楷体"/>
          <w:w w:val="95"/>
          <w:sz w:val="18"/>
        </w:rPr>
        <w:t>一</w:t>
      </w:r>
      <w:r>
        <w:rPr>
          <w:rFonts w:ascii="楷体" w:hAnsi="楷体" w:eastAsia="楷体"/>
          <w:w w:val="95"/>
          <w:sz w:val="18"/>
        </w:rPr>
        <w:t>日</w:t>
      </w:r>
      <w:r>
        <w:rPr>
          <w:rFonts w:ascii="楷体" w:hAnsi="楷体" w:eastAsia="楷体"/>
          <w:w w:val="95"/>
          <w:sz w:val="18"/>
        </w:rPr>
        <w:t>部</w:t>
      </w:r>
      <w:r>
        <w:rPr>
          <w:rFonts w:ascii="楷体" w:hAnsi="楷体" w:eastAsia="楷体"/>
          <w:w w:val="95"/>
          <w:sz w:val="18"/>
        </w:rPr>
        <w:t>分</w:t>
      </w:r>
      <w:r>
        <w:rPr>
          <w:rFonts w:ascii="楷体" w:hAnsi="楷体" w:eastAsia="楷体"/>
          <w:w w:val="95"/>
          <w:sz w:val="18"/>
        </w:rPr>
        <w:t>按</w:t>
      </w:r>
      <w:r>
        <w:rPr>
          <w:rFonts w:ascii="楷体" w:hAnsi="楷体" w:eastAsia="楷体"/>
          <w:w w:val="95"/>
          <w:sz w:val="18"/>
        </w:rPr>
        <w:t>一</w:t>
      </w:r>
      <w:r>
        <w:rPr>
          <w:rFonts w:ascii="楷体" w:hAnsi="楷体" w:eastAsia="楷体"/>
          <w:w w:val="95"/>
          <w:sz w:val="18"/>
        </w:rPr>
        <w:t>日</w:t>
      </w:r>
      <w:r>
        <w:rPr>
          <w:rFonts w:ascii="楷体" w:hAnsi="楷体" w:eastAsia="楷体"/>
          <w:w w:val="95"/>
          <w:sz w:val="18"/>
        </w:rPr>
        <w:t>计</w:t>
      </w:r>
      <w:r>
        <w:rPr>
          <w:rFonts w:ascii="楷体" w:hAnsi="楷体" w:eastAsia="楷体"/>
          <w:spacing w:val="-68"/>
          <w:w w:val="95"/>
          <w:sz w:val="18"/>
        </w:rPr>
        <w:t>，</w:t>
      </w:r>
      <w:r>
        <w:rPr>
          <w:rFonts w:ascii="楷体" w:hAnsi="楷体" w:eastAsia="楷体"/>
          <w:w w:val="95"/>
          <w:sz w:val="18"/>
        </w:rPr>
        <w:t>下</w:t>
      </w:r>
      <w:r>
        <w:rPr>
          <w:rFonts w:ascii="楷体" w:hAnsi="楷体" w:eastAsia="楷体"/>
          <w:w w:val="95"/>
          <w:sz w:val="18"/>
        </w:rPr>
        <w:t>同</w:t>
      </w:r>
      <w:r>
        <w:rPr>
          <w:rFonts w:ascii="楷体" w:hAnsi="楷体" w:eastAsia="楷体"/>
          <w:w w:val="95"/>
          <w:sz w:val="18"/>
        </w:rPr>
        <w:t>），</w:t>
      </w:r>
      <w:r>
        <w:rPr>
          <w:rFonts w:ascii="楷体" w:hAnsi="楷体" w:eastAsia="楷体"/>
          <w:spacing w:val="80"/>
          <w:sz w:val="18"/>
        </w:rPr>
        <w:t> </w:t>
      </w:r>
      <w:r>
        <w:rPr>
          <w:rFonts w:ascii="楷体" w:hAnsi="楷体" w:eastAsia="楷体"/>
          <w:spacing w:val="-2"/>
          <w:sz w:val="18"/>
        </w:rPr>
        <w:t>N 指从该被保险人的保险期间起始之日至本公司对该被保险人的保险责任提前终止之日实际经过的日数；（2）若保费为分期</w:t>
      </w:r>
      <w:r>
        <w:rPr>
          <w:rFonts w:ascii="楷体" w:hAnsi="楷体" w:eastAsia="楷体"/>
          <w:spacing w:val="-4"/>
          <w:sz w:val="18"/>
        </w:rPr>
        <w:t>支付的：未满期净保险费= </w:t>
      </w:r>
      <w:r>
        <w:rPr>
          <w:rFonts w:ascii="楷体" w:hAnsi="楷体" w:eastAsia="楷体"/>
          <w:spacing w:val="-2"/>
          <w:sz w:val="18"/>
        </w:rPr>
        <w:t>Pi×（1-Ni÷Mi）×（1-35%）。其中：Pi</w:t>
      </w:r>
      <w:r>
        <w:rPr>
          <w:rFonts w:ascii="楷体" w:hAnsi="楷体" w:eastAsia="楷体"/>
          <w:spacing w:val="-6"/>
          <w:sz w:val="18"/>
        </w:rPr>
        <w:t> 指为该被保险人交纳的最近一期保险费</w:t>
      </w:r>
      <w:r>
        <w:rPr>
          <w:rFonts w:ascii="楷体" w:hAnsi="楷体" w:eastAsia="楷体"/>
          <w:spacing w:val="-2"/>
          <w:sz w:val="18"/>
        </w:rPr>
        <w:t>（以下简称“当</w:t>
      </w:r>
      <w:r>
        <w:rPr>
          <w:rFonts w:ascii="楷体" w:hAnsi="楷体" w:eastAsia="楷体"/>
          <w:w w:val="95"/>
          <w:sz w:val="18"/>
        </w:rPr>
        <w:t>期</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费</w:t>
      </w:r>
      <w:r>
        <w:rPr>
          <w:rFonts w:ascii="楷体" w:hAnsi="楷体" w:eastAsia="楷体"/>
          <w:w w:val="95"/>
          <w:sz w:val="18"/>
        </w:rPr>
        <w:t>”），Mi</w:t>
      </w:r>
      <w:r>
        <w:rPr>
          <w:rFonts w:ascii="楷体" w:hAnsi="楷体" w:eastAsia="楷体"/>
          <w:sz w:val="18"/>
        </w:rPr>
        <w:t> </w:t>
      </w:r>
      <w:r>
        <w:rPr>
          <w:rFonts w:ascii="楷体" w:hAnsi="楷体" w:eastAsia="楷体"/>
          <w:w w:val="95"/>
          <w:sz w:val="18"/>
        </w:rPr>
        <w:t>指</w:t>
      </w:r>
      <w:r>
        <w:rPr>
          <w:rFonts w:ascii="楷体" w:hAnsi="楷体" w:eastAsia="楷体"/>
          <w:w w:val="95"/>
          <w:sz w:val="18"/>
        </w:rPr>
        <w:t>从</w:t>
      </w:r>
      <w:r>
        <w:rPr>
          <w:rFonts w:ascii="楷体" w:hAnsi="楷体" w:eastAsia="楷体"/>
          <w:w w:val="95"/>
          <w:sz w:val="18"/>
        </w:rPr>
        <w:t>当</w:t>
      </w:r>
      <w:r>
        <w:rPr>
          <w:rFonts w:ascii="楷体" w:hAnsi="楷体" w:eastAsia="楷体"/>
          <w:w w:val="95"/>
          <w:sz w:val="18"/>
        </w:rPr>
        <w:t>期</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费</w:t>
      </w:r>
      <w:r>
        <w:rPr>
          <w:rFonts w:ascii="楷体" w:hAnsi="楷体" w:eastAsia="楷体"/>
          <w:w w:val="95"/>
          <w:sz w:val="18"/>
        </w:rPr>
        <w:t>的</w:t>
      </w:r>
      <w:r>
        <w:rPr>
          <w:rFonts w:ascii="楷体" w:hAnsi="楷体" w:eastAsia="楷体"/>
          <w:w w:val="95"/>
          <w:sz w:val="18"/>
        </w:rPr>
        <w:t>约</w:t>
      </w:r>
      <w:r>
        <w:rPr>
          <w:rFonts w:ascii="楷体" w:hAnsi="楷体" w:eastAsia="楷体"/>
          <w:w w:val="95"/>
          <w:sz w:val="18"/>
        </w:rPr>
        <w:t>定</w:t>
      </w:r>
      <w:r>
        <w:rPr>
          <w:rFonts w:ascii="楷体" w:hAnsi="楷体" w:eastAsia="楷体"/>
          <w:w w:val="95"/>
          <w:sz w:val="18"/>
        </w:rPr>
        <w:t>交</w:t>
      </w:r>
      <w:r>
        <w:rPr>
          <w:rFonts w:ascii="楷体" w:hAnsi="楷体" w:eastAsia="楷体"/>
          <w:w w:val="95"/>
          <w:sz w:val="18"/>
        </w:rPr>
        <w:t>纳</w:t>
      </w:r>
      <w:r>
        <w:rPr>
          <w:rFonts w:ascii="楷体" w:hAnsi="楷体" w:eastAsia="楷体"/>
          <w:w w:val="95"/>
          <w:sz w:val="18"/>
        </w:rPr>
        <w:t>日</w:t>
      </w:r>
      <w:r>
        <w:rPr>
          <w:rFonts w:ascii="楷体" w:hAnsi="楷体" w:eastAsia="楷体"/>
          <w:w w:val="95"/>
          <w:sz w:val="18"/>
        </w:rPr>
        <w:t>至</w:t>
      </w:r>
      <w:r>
        <w:rPr>
          <w:rFonts w:ascii="楷体" w:hAnsi="楷体" w:eastAsia="楷体"/>
          <w:w w:val="95"/>
          <w:sz w:val="18"/>
        </w:rPr>
        <w:t>下</w:t>
      </w:r>
      <w:r>
        <w:rPr>
          <w:rFonts w:ascii="楷体" w:hAnsi="楷体" w:eastAsia="楷体"/>
          <w:w w:val="95"/>
          <w:sz w:val="18"/>
        </w:rPr>
        <w:t>一</w:t>
      </w:r>
      <w:r>
        <w:rPr>
          <w:rFonts w:ascii="楷体" w:hAnsi="楷体" w:eastAsia="楷体"/>
          <w:w w:val="95"/>
          <w:sz w:val="18"/>
        </w:rPr>
        <w:t>期</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费</w:t>
      </w:r>
      <w:r>
        <w:rPr>
          <w:rFonts w:ascii="楷体" w:hAnsi="楷体" w:eastAsia="楷体"/>
          <w:w w:val="95"/>
          <w:sz w:val="18"/>
        </w:rPr>
        <w:t>的</w:t>
      </w:r>
      <w:r>
        <w:rPr>
          <w:rFonts w:ascii="楷体" w:hAnsi="楷体" w:eastAsia="楷体"/>
          <w:w w:val="95"/>
          <w:sz w:val="18"/>
        </w:rPr>
        <w:t>约</w:t>
      </w:r>
      <w:r>
        <w:rPr>
          <w:rFonts w:ascii="楷体" w:hAnsi="楷体" w:eastAsia="楷体"/>
          <w:w w:val="95"/>
          <w:sz w:val="18"/>
        </w:rPr>
        <w:t>定</w:t>
      </w:r>
      <w:r>
        <w:rPr>
          <w:rFonts w:ascii="楷体" w:hAnsi="楷体" w:eastAsia="楷体"/>
          <w:w w:val="95"/>
          <w:sz w:val="18"/>
        </w:rPr>
        <w:t>交</w:t>
      </w:r>
      <w:r>
        <w:rPr>
          <w:rFonts w:ascii="楷体" w:hAnsi="楷体" w:eastAsia="楷体"/>
          <w:w w:val="95"/>
          <w:sz w:val="18"/>
        </w:rPr>
        <w:t>纳</w:t>
      </w:r>
      <w:r>
        <w:rPr>
          <w:rFonts w:ascii="楷体" w:hAnsi="楷体" w:eastAsia="楷体"/>
          <w:w w:val="95"/>
          <w:sz w:val="18"/>
        </w:rPr>
        <w:t>日</w:t>
      </w:r>
      <w:r>
        <w:rPr>
          <w:rFonts w:ascii="楷体" w:hAnsi="楷体" w:eastAsia="楷体"/>
          <w:w w:val="95"/>
          <w:sz w:val="18"/>
        </w:rPr>
        <w:t>之</w:t>
      </w:r>
      <w:r>
        <w:rPr>
          <w:rFonts w:ascii="楷体" w:hAnsi="楷体" w:eastAsia="楷体"/>
          <w:w w:val="95"/>
          <w:sz w:val="18"/>
        </w:rPr>
        <w:t>间</w:t>
      </w:r>
      <w:r>
        <w:rPr>
          <w:rFonts w:ascii="楷体" w:hAnsi="楷体" w:eastAsia="楷体"/>
          <w:w w:val="95"/>
          <w:sz w:val="18"/>
        </w:rPr>
        <w:t>所</w:t>
      </w:r>
      <w:r>
        <w:rPr>
          <w:rFonts w:ascii="楷体" w:hAnsi="楷体" w:eastAsia="楷体"/>
          <w:w w:val="95"/>
          <w:sz w:val="18"/>
        </w:rPr>
        <w:t>包</w:t>
      </w:r>
      <w:r>
        <w:rPr>
          <w:rFonts w:ascii="楷体" w:hAnsi="楷体" w:eastAsia="楷体"/>
          <w:w w:val="95"/>
          <w:sz w:val="18"/>
        </w:rPr>
        <w:t>含</w:t>
      </w:r>
      <w:r>
        <w:rPr>
          <w:rFonts w:ascii="楷体" w:hAnsi="楷体" w:eastAsia="楷体"/>
          <w:w w:val="95"/>
          <w:sz w:val="18"/>
        </w:rPr>
        <w:t>的</w:t>
      </w:r>
      <w:r>
        <w:rPr>
          <w:rFonts w:ascii="楷体" w:hAnsi="楷体" w:eastAsia="楷体"/>
          <w:w w:val="95"/>
          <w:sz w:val="18"/>
        </w:rPr>
        <w:t>日</w:t>
      </w:r>
      <w:r>
        <w:rPr>
          <w:rFonts w:ascii="楷体" w:hAnsi="楷体" w:eastAsia="楷体"/>
          <w:w w:val="95"/>
          <w:sz w:val="18"/>
        </w:rPr>
        <w:t>数</w:t>
      </w:r>
      <w:r>
        <w:rPr>
          <w:rFonts w:ascii="楷体" w:hAnsi="楷体" w:eastAsia="楷体"/>
          <w:w w:val="95"/>
          <w:sz w:val="18"/>
        </w:rPr>
        <w:t>，Ni</w:t>
      </w:r>
      <w:r>
        <w:rPr>
          <w:rFonts w:ascii="楷体" w:hAnsi="楷体" w:eastAsia="楷体"/>
          <w:sz w:val="18"/>
        </w:rPr>
        <w:t> </w:t>
      </w:r>
      <w:r>
        <w:rPr>
          <w:rFonts w:ascii="楷体" w:hAnsi="楷体" w:eastAsia="楷体"/>
          <w:w w:val="95"/>
          <w:sz w:val="18"/>
        </w:rPr>
        <w:t>指</w:t>
      </w:r>
      <w:r>
        <w:rPr>
          <w:rFonts w:ascii="楷体" w:hAnsi="楷体" w:eastAsia="楷体"/>
          <w:w w:val="95"/>
          <w:sz w:val="18"/>
        </w:rPr>
        <w:t>从</w:t>
      </w:r>
      <w:r>
        <w:rPr>
          <w:rFonts w:ascii="楷体" w:hAnsi="楷体" w:eastAsia="楷体"/>
          <w:w w:val="95"/>
          <w:sz w:val="18"/>
        </w:rPr>
        <w:t>当</w:t>
      </w:r>
      <w:r>
        <w:rPr>
          <w:rFonts w:ascii="楷体" w:hAnsi="楷体" w:eastAsia="楷体"/>
          <w:w w:val="95"/>
          <w:sz w:val="18"/>
        </w:rPr>
        <w:t>期</w:t>
      </w:r>
      <w:r>
        <w:rPr>
          <w:rFonts w:ascii="楷体" w:hAnsi="楷体" w:eastAsia="楷体"/>
          <w:w w:val="95"/>
          <w:sz w:val="18"/>
        </w:rPr>
        <w:t>保</w:t>
      </w:r>
      <w:r>
        <w:rPr>
          <w:rFonts w:ascii="楷体" w:hAnsi="楷体" w:eastAsia="楷体"/>
          <w:w w:val="95"/>
          <w:sz w:val="18"/>
        </w:rPr>
        <w:t>险</w:t>
      </w:r>
      <w:r>
        <w:rPr>
          <w:rFonts w:ascii="楷体" w:hAnsi="楷体" w:eastAsia="楷体"/>
          <w:w w:val="95"/>
          <w:sz w:val="18"/>
        </w:rPr>
        <w:t>费</w:t>
      </w:r>
      <w:r>
        <w:rPr>
          <w:rFonts w:ascii="楷体" w:hAnsi="楷体" w:eastAsia="楷体"/>
          <w:w w:val="95"/>
          <w:sz w:val="18"/>
        </w:rPr>
        <w:t>的</w:t>
      </w:r>
      <w:r>
        <w:rPr>
          <w:rFonts w:ascii="楷体" w:hAnsi="楷体" w:eastAsia="楷体"/>
          <w:w w:val="95"/>
          <w:sz w:val="18"/>
        </w:rPr>
        <w:t>约</w:t>
      </w:r>
      <w:r>
        <w:rPr>
          <w:rFonts w:ascii="楷体" w:hAnsi="楷体" w:eastAsia="楷体"/>
          <w:w w:val="95"/>
          <w:sz w:val="18"/>
        </w:rPr>
        <w:t>定</w:t>
      </w:r>
      <w:r>
        <w:rPr>
          <w:rFonts w:ascii="楷体" w:hAnsi="楷体" w:eastAsia="楷体"/>
          <w:w w:val="95"/>
          <w:sz w:val="18"/>
        </w:rPr>
        <w:t>交</w:t>
      </w:r>
      <w:r>
        <w:rPr>
          <w:rFonts w:ascii="楷体" w:hAnsi="楷体" w:eastAsia="楷体"/>
          <w:spacing w:val="-2"/>
          <w:sz w:val="18"/>
        </w:rPr>
        <w:t>纳日至本公司对该被保险人的保险责任提前终止之日实际经过的日数。若已发生保险金给付或处于宽限期，未满期净保险费</w:t>
      </w:r>
      <w:r>
        <w:rPr>
          <w:rFonts w:ascii="楷体" w:hAnsi="楷体" w:eastAsia="楷体"/>
          <w:spacing w:val="-4"/>
          <w:sz w:val="18"/>
        </w:rPr>
        <w:t>为零。</w:t>
      </w:r>
    </w:p>
    <w:p>
      <w:pPr>
        <w:spacing w:after="0" w:line="242" w:lineRule="auto"/>
        <w:jc w:val="both"/>
        <w:rPr>
          <w:rFonts w:ascii="楷体" w:hAnsi="楷体" w:eastAsia="楷体"/>
          <w:sz w:val="18"/>
        </w:rPr>
        <w:sectPr>
          <w:type w:val="continuous"/>
          <w:pgSz w:w="11910" w:h="16840"/>
          <w:pgMar w:header="0" w:footer="659" w:top="480" w:bottom="840" w:left="920" w:right="880"/>
        </w:sectPr>
      </w:pPr>
    </w:p>
    <w:p>
      <w:pPr>
        <w:pStyle w:val="BodyText"/>
        <w:spacing w:line="20" w:lineRule="exact"/>
        <w:ind w:left="160"/>
        <w:rPr>
          <w:rFonts w:ascii="楷体"/>
          <w:sz w:val="2"/>
        </w:rPr>
      </w:pPr>
      <w:r>
        <w:rPr>
          <w:rFonts w:ascii="楷体"/>
          <w:sz w:val="2"/>
        </w:rPr>
        <w:drawing>
          <wp:inline distT="0" distB="0" distL="0" distR="0">
            <wp:extent cx="6211442" cy="6096"/>
            <wp:effectExtent l="0" t="0" r="0" b="0"/>
            <wp:docPr id="37" name="image11.png"/>
            <wp:cNvGraphicFramePr>
              <a:graphicFrameLocks noChangeAspect="1"/>
            </wp:cNvGraphicFramePr>
            <a:graphic>
              <a:graphicData uri="http://schemas.openxmlformats.org/drawingml/2006/picture">
                <pic:pic>
                  <pic:nvPicPr>
                    <pic:cNvPr id="38" name="image11.png"/>
                    <pic:cNvPicPr/>
                  </pic:nvPicPr>
                  <pic:blipFill>
                    <a:blip r:embed="rId16" cstate="print"/>
                    <a:stretch>
                      <a:fillRect/>
                    </a:stretch>
                  </pic:blipFill>
                  <pic:spPr>
                    <a:xfrm>
                      <a:off x="0" y="0"/>
                      <a:ext cx="6211442" cy="6096"/>
                    </a:xfrm>
                    <a:prstGeom prst="rect">
                      <a:avLst/>
                    </a:prstGeom>
                  </pic:spPr>
                </pic:pic>
              </a:graphicData>
            </a:graphic>
          </wp:inline>
        </w:drawing>
      </w:r>
      <w:r>
        <w:rPr>
          <w:rFonts w:ascii="楷体"/>
          <w:sz w:val="2"/>
        </w:rPr>
      </w:r>
    </w:p>
    <w:p>
      <w:pPr>
        <w:pStyle w:val="BodyText"/>
        <w:spacing w:before="34"/>
        <w:ind w:left="2997"/>
      </w:pPr>
      <w:r>
        <w:rPr>
          <w:color w:val="000000"/>
          <w:spacing w:val="-3"/>
          <w:shd w:fill="E4E4E4" w:color="auto" w:val="clear"/>
        </w:rPr>
        <w:t>责任的，将不接受投保人解除合同。</w:t>
      </w:r>
    </w:p>
    <w:p>
      <w:pPr>
        <w:pStyle w:val="BodyText"/>
        <w:rPr>
          <w:sz w:val="20"/>
        </w:rPr>
      </w:pPr>
    </w:p>
    <w:p>
      <w:pPr>
        <w:pStyle w:val="BodyText"/>
        <w:spacing w:before="7"/>
        <w:rPr>
          <w:sz w:val="25"/>
        </w:rPr>
      </w:pPr>
    </w:p>
    <w:p>
      <w:pPr>
        <w:pStyle w:val="Heading1"/>
        <w:numPr>
          <w:ilvl w:val="0"/>
          <w:numId w:val="4"/>
        </w:numPr>
        <w:tabs>
          <w:tab w:pos="1228" w:val="left" w:leader="none"/>
          <w:tab w:pos="1229" w:val="left" w:leader="none"/>
        </w:tabs>
        <w:spacing w:line="240" w:lineRule="auto" w:before="41" w:after="0"/>
        <w:ind w:left="1228" w:right="0" w:hanging="962"/>
        <w:jc w:val="left"/>
      </w:pPr>
      <w:r>
        <w:rPr>
          <w:w w:val="95"/>
        </w:rPr>
        <w:t>其</w:t>
      </w:r>
      <w:r>
        <w:rPr>
          <w:w w:val="95"/>
        </w:rPr>
        <w:t>他</w:t>
      </w:r>
      <w:r>
        <w:rPr>
          <w:spacing w:val="-5"/>
          <w:w w:val="95"/>
        </w:rPr>
        <w:t>事项</w:t>
      </w:r>
    </w:p>
    <w:p>
      <w:pPr>
        <w:pStyle w:val="BodyText"/>
        <w:spacing w:before="12"/>
        <w:rPr>
          <w:b/>
          <w:sz w:val="14"/>
        </w:rPr>
      </w:pPr>
      <w:r>
        <w:rPr/>
        <w:drawing>
          <wp:anchor distT="0" distB="0" distL="0" distR="0" allowOverlap="1" layoutInCell="1" locked="0" behindDoc="0" simplePos="0" relativeHeight="20">
            <wp:simplePos x="0" y="0"/>
            <wp:positionH relativeFrom="page">
              <wp:posOffset>685800</wp:posOffset>
            </wp:positionH>
            <wp:positionV relativeFrom="paragraph">
              <wp:posOffset>136826</wp:posOffset>
            </wp:positionV>
            <wp:extent cx="6211313" cy="6096"/>
            <wp:effectExtent l="0" t="0" r="0" b="0"/>
            <wp:wrapTopAndBottom/>
            <wp:docPr id="39" name="image12.png"/>
            <wp:cNvGraphicFramePr>
              <a:graphicFrameLocks noChangeAspect="1"/>
            </wp:cNvGraphicFramePr>
            <a:graphic>
              <a:graphicData uri="http://schemas.openxmlformats.org/drawingml/2006/picture">
                <pic:pic>
                  <pic:nvPicPr>
                    <pic:cNvPr id="40" name="image12.png"/>
                    <pic:cNvPicPr/>
                  </pic:nvPicPr>
                  <pic:blipFill>
                    <a:blip r:embed="rId17" cstate="print"/>
                    <a:stretch>
                      <a:fillRect/>
                    </a:stretch>
                  </pic:blipFill>
                  <pic:spPr>
                    <a:xfrm>
                      <a:off x="0" y="0"/>
                      <a:ext cx="6211313" cy="6096"/>
                    </a:xfrm>
                    <a:prstGeom prst="rect">
                      <a:avLst/>
                    </a:prstGeom>
                  </pic:spPr>
                </pic:pic>
              </a:graphicData>
            </a:graphic>
          </wp:anchor>
        </w:drawing>
      </w:r>
    </w:p>
    <w:p>
      <w:pPr>
        <w:pStyle w:val="BodyText"/>
        <w:spacing w:before="4"/>
        <w:rPr>
          <w:b/>
          <w:sz w:val="8"/>
        </w:rPr>
      </w:pPr>
    </w:p>
    <w:p>
      <w:pPr>
        <w:spacing w:after="0"/>
        <w:rPr>
          <w:sz w:val="8"/>
        </w:rPr>
        <w:sectPr>
          <w:pgSz w:w="11910" w:h="16840"/>
          <w:pgMar w:header="0" w:footer="659" w:top="1400" w:bottom="1000" w:left="920" w:right="880"/>
        </w:sectPr>
      </w:pPr>
    </w:p>
    <w:p>
      <w:pPr>
        <w:pStyle w:val="Heading3"/>
        <w:numPr>
          <w:ilvl w:val="1"/>
          <w:numId w:val="4"/>
        </w:numPr>
        <w:tabs>
          <w:tab w:pos="1228" w:val="left" w:leader="none"/>
          <w:tab w:pos="1229" w:val="left" w:leader="none"/>
        </w:tabs>
        <w:spacing w:line="278" w:lineRule="auto" w:before="72" w:after="0"/>
        <w:ind w:left="1228" w:right="0" w:hanging="961"/>
        <w:jc w:val="left"/>
      </w:pPr>
      <w:r>
        <w:rPr>
          <w:spacing w:val="8"/>
        </w:rPr>
        <w:t>明确说明与如实</w:t>
      </w:r>
      <w:r>
        <w:rPr>
          <w:spacing w:val="-6"/>
        </w:rPr>
        <w:t>告知</w:t>
      </w:r>
    </w:p>
    <w:p>
      <w:pPr>
        <w:pStyle w:val="BodyText"/>
        <w:spacing w:line="278" w:lineRule="auto" w:before="72"/>
        <w:ind w:left="174" w:right="266"/>
        <w:jc w:val="both"/>
      </w:pPr>
      <w:r>
        <w:rPr/>
        <w:br w:type="column"/>
      </w:r>
      <w:r>
        <w:rPr>
          <w:spacing w:val="-9"/>
        </w:rPr>
        <w:t>订立本合同时，本公司会向投保人明确说明本合同的内容。对本合同中免除</w:t>
      </w:r>
      <w:r>
        <w:rPr>
          <w:spacing w:val="-8"/>
        </w:rPr>
        <w:t>本公司责任的条款，本公司在订立合同时会在投保单、保险单或其他保险凭</w:t>
      </w:r>
      <w:r>
        <w:rPr>
          <w:spacing w:val="-8"/>
        </w:rPr>
        <w:t>证上作出足以引起投保人注意的提示，并对该条款的内容以书面或口头形式</w:t>
      </w:r>
      <w:r>
        <w:rPr>
          <w:spacing w:val="-2"/>
        </w:rPr>
        <w:t>向投保人作出明确说明，未作提示或明确说明的，该条款不产生效力。</w:t>
      </w:r>
    </w:p>
    <w:p>
      <w:pPr>
        <w:pStyle w:val="BodyText"/>
        <w:spacing w:before="156"/>
        <w:ind w:left="174"/>
      </w:pPr>
      <w:r>
        <w:rPr>
          <w:spacing w:val="-3"/>
        </w:rPr>
        <w:t>本公司就投保人、被保险人的有关情况提出询问，投保人应当如实告知。</w:t>
      </w:r>
    </w:p>
    <w:p>
      <w:pPr>
        <w:spacing w:after="0"/>
        <w:sectPr>
          <w:type w:val="continuous"/>
          <w:pgSz w:w="11910" w:h="16840"/>
          <w:pgMar w:header="0" w:footer="659" w:top="480" w:bottom="840" w:left="920" w:right="880"/>
          <w:cols w:num="2" w:equalWidth="0">
            <w:col w:w="2783" w:space="40"/>
            <w:col w:w="7287"/>
          </w:cols>
        </w:sectPr>
      </w:pPr>
    </w:p>
    <w:p>
      <w:pPr>
        <w:pStyle w:val="BodyText"/>
        <w:spacing w:before="11"/>
        <w:rPr>
          <w:sz w:val="9"/>
        </w:rPr>
      </w:pPr>
    </w:p>
    <w:p>
      <w:pPr>
        <w:pStyle w:val="BodyText"/>
        <w:spacing w:line="278" w:lineRule="auto" w:before="72"/>
        <w:ind w:left="2997" w:right="266"/>
      </w:pPr>
      <w:r>
        <w:rPr>
          <w:color w:val="000000"/>
          <w:spacing w:val="-6"/>
          <w:shd w:fill="E4E4E4" w:color="auto" w:val="clear"/>
        </w:rPr>
        <w:t>投保人故意或因重大过失未履行前款规定的如实告知义务，足以影响本公司</w:t>
      </w:r>
      <w:r>
        <w:rPr>
          <w:color w:val="000000"/>
          <w:spacing w:val="80"/>
          <w:w w:val="150"/>
          <w:shd w:fill="E4E4E4" w:color="auto" w:val="clear"/>
        </w:rPr>
        <w:t>                                     </w:t>
      </w:r>
      <w:r>
        <w:rPr>
          <w:color w:val="000000"/>
          <w:spacing w:val="-2"/>
          <w:shd w:fill="E4E4E4" w:color="auto" w:val="clear"/>
        </w:rPr>
        <w:t>决定是否同意承保或提高保险费率的，本公司有权解除本合同。</w:t>
      </w:r>
    </w:p>
    <w:p>
      <w:pPr>
        <w:pStyle w:val="BodyText"/>
        <w:spacing w:line="278" w:lineRule="auto" w:before="157"/>
        <w:ind w:left="2997" w:right="265"/>
      </w:pPr>
      <w:r>
        <w:rPr>
          <w:color w:val="000000"/>
          <w:spacing w:val="-8"/>
          <w:shd w:fill="E4E4E4" w:color="auto" w:val="clear"/>
        </w:rPr>
        <w:t>投保人故意不履行如实告知义务的，本公司对于本合同解除前发生的保险事</w:t>
      </w:r>
      <w:r>
        <w:rPr>
          <w:color w:val="000000"/>
          <w:spacing w:val="80"/>
          <w:w w:val="150"/>
          <w:shd w:fill="E4E4E4" w:color="auto" w:val="clear"/>
        </w:rPr>
        <w:t>                                     </w:t>
      </w:r>
      <w:r>
        <w:rPr>
          <w:color w:val="000000"/>
          <w:spacing w:val="-2"/>
          <w:shd w:fill="E4E4E4" w:color="auto" w:val="clear"/>
        </w:rPr>
        <w:t>故，不承担给付保险金的责任，并不退还保险费。</w:t>
      </w:r>
    </w:p>
    <w:p>
      <w:pPr>
        <w:pStyle w:val="BodyText"/>
        <w:spacing w:line="278" w:lineRule="auto" w:before="155"/>
        <w:ind w:left="2997" w:right="172"/>
      </w:pPr>
      <w:r>
        <w:rPr>
          <w:color w:val="000000"/>
          <w:spacing w:val="-2"/>
          <w:shd w:fill="E4E4E4" w:color="auto" w:val="clear"/>
        </w:rPr>
        <w:t>投保人因重大过失未履行如实告知义务，对保险事故的发生有严重影响的，</w:t>
      </w:r>
      <w:r>
        <w:rPr>
          <w:color w:val="000000"/>
          <w:spacing w:val="80"/>
          <w:w w:val="150"/>
          <w:shd w:fill="E4E4E4" w:color="auto" w:val="clear"/>
        </w:rPr>
        <w:t>                                     </w:t>
      </w:r>
      <w:r>
        <w:rPr>
          <w:color w:val="000000"/>
          <w:spacing w:val="-4"/>
          <w:shd w:fill="E4E4E4" w:color="auto" w:val="clear"/>
        </w:rPr>
        <w:t>本公司对于本合同解除前发生的保险事故，不承担给付保险金的责任，但会</w:t>
      </w:r>
      <w:r>
        <w:rPr>
          <w:color w:val="000000"/>
          <w:spacing w:val="-2"/>
          <w:shd w:fill="E4E4E4" w:color="auto" w:val="clear"/>
        </w:rPr>
        <w:t>退还保险费。</w:t>
      </w:r>
    </w:p>
    <w:p>
      <w:pPr>
        <w:pStyle w:val="BodyText"/>
        <w:spacing w:line="278" w:lineRule="auto" w:before="156"/>
        <w:ind w:left="2997" w:right="266"/>
      </w:pPr>
      <w:r>
        <w:rPr>
          <w:spacing w:val="-6"/>
        </w:rPr>
        <w:t>本公司在本合同订立时已经知道投保人未如实告知的情况的，本公司不得解</w:t>
      </w:r>
      <w:r>
        <w:rPr>
          <w:spacing w:val="-2"/>
        </w:rPr>
        <w:t>除合同；发生保险事故的，本公司承担给付保险金的责任。</w:t>
      </w:r>
    </w:p>
    <w:p>
      <w:pPr>
        <w:pStyle w:val="BodyText"/>
        <w:spacing w:before="9"/>
        <w:rPr>
          <w:sz w:val="18"/>
        </w:rPr>
      </w:pPr>
    </w:p>
    <w:p>
      <w:pPr>
        <w:spacing w:after="0"/>
        <w:rPr>
          <w:sz w:val="18"/>
        </w:rPr>
        <w:sectPr>
          <w:type w:val="continuous"/>
          <w:pgSz w:w="11910" w:h="16840"/>
          <w:pgMar w:header="0" w:footer="659" w:top="480" w:bottom="840" w:left="920" w:right="880"/>
        </w:sectPr>
      </w:pPr>
    </w:p>
    <w:p>
      <w:pPr>
        <w:pStyle w:val="Heading3"/>
        <w:numPr>
          <w:ilvl w:val="1"/>
          <w:numId w:val="4"/>
        </w:numPr>
        <w:tabs>
          <w:tab w:pos="1228" w:val="left" w:leader="none"/>
          <w:tab w:pos="1229" w:val="left" w:leader="none"/>
        </w:tabs>
        <w:spacing w:line="278" w:lineRule="auto" w:before="72" w:after="0"/>
        <w:ind w:left="1228" w:right="0" w:hanging="961"/>
        <w:jc w:val="left"/>
      </w:pPr>
      <w:r>
        <w:rPr>
          <w:spacing w:val="8"/>
        </w:rPr>
        <w:t>本公司合同解除</w:t>
      </w:r>
      <w:r>
        <w:rPr>
          <w:spacing w:val="-4"/>
        </w:rPr>
        <w:t>权的限制</w:t>
      </w:r>
    </w:p>
    <w:p>
      <w:pPr>
        <w:pStyle w:val="BodyText"/>
        <w:spacing w:line="278" w:lineRule="auto" w:before="72"/>
        <w:ind w:left="174" w:right="268"/>
      </w:pPr>
      <w:r>
        <w:rPr/>
        <w:br w:type="column"/>
      </w:r>
      <w:r>
        <w:rPr/>
        <w:t>6.1</w:t>
      </w:r>
      <w:r>
        <w:rPr>
          <w:spacing w:val="-7"/>
        </w:rPr>
        <w:t> 款规定的合同解除权，自本公司知道有解除事由之日起，超过 </w:t>
      </w:r>
      <w:r>
        <w:rPr/>
        <w:t>30</w:t>
      </w:r>
      <w:r>
        <w:rPr>
          <w:spacing w:val="-11"/>
        </w:rPr>
        <w:t> 日不</w:t>
      </w:r>
      <w:r>
        <w:rPr>
          <w:spacing w:val="-2"/>
        </w:rPr>
        <w:t>行使而消灭。</w:t>
      </w:r>
    </w:p>
    <w:p>
      <w:pPr>
        <w:spacing w:after="0" w:line="278" w:lineRule="auto"/>
        <w:sectPr>
          <w:type w:val="continuous"/>
          <w:pgSz w:w="11910" w:h="16840"/>
          <w:pgMar w:header="0" w:footer="659" w:top="480" w:bottom="840" w:left="920" w:right="880"/>
          <w:cols w:num="2" w:equalWidth="0">
            <w:col w:w="2783" w:space="40"/>
            <w:col w:w="7287"/>
          </w:cols>
        </w:sectPr>
      </w:pPr>
    </w:p>
    <w:p>
      <w:pPr>
        <w:pStyle w:val="BodyText"/>
        <w:spacing w:before="10"/>
        <w:rPr>
          <w:sz w:val="18"/>
        </w:rPr>
      </w:pPr>
    </w:p>
    <w:p>
      <w:pPr>
        <w:pStyle w:val="ListParagraph"/>
        <w:numPr>
          <w:ilvl w:val="1"/>
          <w:numId w:val="10"/>
        </w:numPr>
        <w:tabs>
          <w:tab w:pos="1229" w:val="left" w:leader="none"/>
        </w:tabs>
        <w:spacing w:line="278" w:lineRule="auto" w:before="72" w:after="0"/>
        <w:ind w:left="2997" w:right="266" w:hanging="2730"/>
        <w:jc w:val="both"/>
        <w:rPr>
          <w:sz w:val="21"/>
        </w:rPr>
      </w:pPr>
      <w:r>
        <w:rPr>
          <w:b/>
          <w:sz w:val="21"/>
        </w:rPr>
        <w:t>年龄错误</w:t>
      </w:r>
      <w:r>
        <w:rPr>
          <w:b/>
          <w:spacing w:val="792"/>
          <w:sz w:val="21"/>
        </w:rPr>
        <w:t> </w:t>
      </w:r>
      <w:r>
        <w:rPr>
          <w:spacing w:val="-10"/>
          <w:sz w:val="21"/>
        </w:rPr>
        <w:t>投保人在申请投保时，应将与有效身份证件相符的被保险人的出生日期或周</w:t>
      </w:r>
      <w:r>
        <w:rPr>
          <w:spacing w:val="-2"/>
          <w:sz w:val="21"/>
        </w:rPr>
        <w:t>岁年龄在投保单或其他投保文件上填明，若发生错误按照下列方式办理：</w:t>
      </w:r>
    </w:p>
    <w:p>
      <w:pPr>
        <w:pStyle w:val="ListParagraph"/>
        <w:numPr>
          <w:ilvl w:val="2"/>
          <w:numId w:val="10"/>
        </w:numPr>
        <w:tabs>
          <w:tab w:pos="3527" w:val="left" w:leader="none"/>
        </w:tabs>
        <w:spacing w:line="278" w:lineRule="auto" w:before="155" w:after="0"/>
        <w:ind w:left="2997" w:right="266" w:firstLine="0"/>
        <w:jc w:val="both"/>
        <w:rPr>
          <w:sz w:val="21"/>
        </w:rPr>
      </w:pPr>
      <w:r>
        <w:rPr>
          <w:spacing w:val="-2"/>
          <w:sz w:val="21"/>
        </w:rPr>
        <w:t>投保人申报的被保险人年龄不真实，并且其真实年龄不符合本合同约</w:t>
      </w:r>
      <w:r>
        <w:rPr>
          <w:spacing w:val="-10"/>
          <w:sz w:val="21"/>
        </w:rPr>
        <w:t>定投保年龄限制的，本公司有权取消该被保险人的被保资格，并向投保人退</w:t>
      </w:r>
      <w:r>
        <w:rPr>
          <w:spacing w:val="-2"/>
          <w:sz w:val="21"/>
        </w:rPr>
        <w:t>还本合同的未满期净保险费。本公司行使被保险人的被保资格取消权适用 </w:t>
      </w:r>
      <w:r>
        <w:rPr>
          <w:sz w:val="21"/>
        </w:rPr>
        <w:t>“6.2</w:t>
      </w:r>
      <w:r>
        <w:rPr>
          <w:spacing w:val="-7"/>
          <w:sz w:val="21"/>
        </w:rPr>
        <w:t> 本公司合同解除权的限制”的规定。</w:t>
      </w:r>
    </w:p>
    <w:p>
      <w:pPr>
        <w:pStyle w:val="ListParagraph"/>
        <w:numPr>
          <w:ilvl w:val="2"/>
          <w:numId w:val="10"/>
        </w:numPr>
        <w:tabs>
          <w:tab w:pos="3527" w:val="left" w:leader="none"/>
        </w:tabs>
        <w:spacing w:line="278" w:lineRule="auto" w:before="156" w:after="0"/>
        <w:ind w:left="2997" w:right="265" w:firstLine="0"/>
        <w:jc w:val="both"/>
        <w:rPr>
          <w:sz w:val="21"/>
        </w:rPr>
      </w:pPr>
      <w:r>
        <w:rPr>
          <w:spacing w:val="-2"/>
          <w:sz w:val="21"/>
        </w:rPr>
        <w:t>投保人申报的被保险人年龄不真实，致使投保人实交保险费少于应交</w:t>
      </w:r>
      <w:r>
        <w:rPr>
          <w:spacing w:val="-9"/>
          <w:sz w:val="21"/>
        </w:rPr>
        <w:t>保险费的，本公司有权更正并要求投保人补交保险费，</w:t>
      </w:r>
      <w:r>
        <w:rPr>
          <w:color w:val="000000"/>
          <w:spacing w:val="-2"/>
          <w:sz w:val="21"/>
          <w:shd w:fill="E4E4E4" w:color="auto" w:val="clear"/>
        </w:rPr>
        <w:t>但若已经发生保险事</w:t>
      </w:r>
      <w:r>
        <w:rPr>
          <w:color w:val="000000"/>
          <w:spacing w:val="13125"/>
          <w:sz w:val="21"/>
          <w:shd w:fill="E4E4E4" w:color="auto" w:val="clear"/>
        </w:rPr>
        <w:t> </w:t>
      </w:r>
      <w:r>
        <w:rPr>
          <w:color w:val="000000"/>
          <w:spacing w:val="-1"/>
          <w:sz w:val="21"/>
          <w:shd w:fill="E4E4E4" w:color="auto" w:val="clear"/>
        </w:rPr>
        <w:t>故，本公司有权按实收保险费占应交保险费的比例给付第 </w:t>
      </w:r>
      <w:r>
        <w:rPr>
          <w:color w:val="000000"/>
          <w:sz w:val="21"/>
          <w:shd w:fill="E4E4E4" w:color="auto" w:val="clear"/>
        </w:rPr>
        <w:t>2</w:t>
      </w:r>
      <w:r>
        <w:rPr>
          <w:color w:val="000000"/>
          <w:spacing w:val="-3"/>
          <w:sz w:val="21"/>
          <w:shd w:fill="E4E4E4" w:color="auto" w:val="clear"/>
        </w:rPr>
        <w:t> 部分“提供的</w:t>
      </w:r>
      <w:r>
        <w:rPr>
          <w:color w:val="000000"/>
          <w:spacing w:val="-2"/>
          <w:sz w:val="21"/>
          <w:shd w:fill="E4E4E4" w:color="auto" w:val="clear"/>
        </w:rPr>
        <w:t>保障”约定的保险金。</w:t>
      </w:r>
    </w:p>
    <w:p>
      <w:pPr>
        <w:pStyle w:val="ListParagraph"/>
        <w:numPr>
          <w:ilvl w:val="2"/>
          <w:numId w:val="10"/>
        </w:numPr>
        <w:tabs>
          <w:tab w:pos="3527" w:val="left" w:leader="none"/>
        </w:tabs>
        <w:spacing w:line="278" w:lineRule="auto" w:before="156" w:after="0"/>
        <w:ind w:left="2997" w:right="268" w:firstLine="0"/>
        <w:jc w:val="left"/>
        <w:rPr>
          <w:sz w:val="21"/>
        </w:rPr>
      </w:pPr>
      <w:r>
        <w:rPr>
          <w:spacing w:val="-2"/>
          <w:sz w:val="21"/>
        </w:rPr>
        <w:t>投保人申报的被保险人年龄不真实，致使投保人实交保险费多于应交</w:t>
      </w:r>
      <w:r>
        <w:rPr>
          <w:spacing w:val="-2"/>
          <w:sz w:val="21"/>
        </w:rPr>
        <w:t>保险费的，本公司会将多收的保险费无息退还给投保人。</w:t>
      </w:r>
    </w:p>
    <w:p>
      <w:pPr>
        <w:pStyle w:val="BodyText"/>
        <w:spacing w:before="4"/>
        <w:rPr>
          <w:sz w:val="24"/>
        </w:rPr>
      </w:pPr>
    </w:p>
    <w:p>
      <w:pPr>
        <w:pStyle w:val="ListParagraph"/>
        <w:numPr>
          <w:ilvl w:val="1"/>
          <w:numId w:val="10"/>
        </w:numPr>
        <w:tabs>
          <w:tab w:pos="1229" w:val="left" w:leader="none"/>
        </w:tabs>
        <w:spacing w:line="278" w:lineRule="auto" w:before="0" w:after="0"/>
        <w:ind w:left="2997" w:right="265" w:hanging="2730"/>
        <w:jc w:val="both"/>
        <w:rPr>
          <w:sz w:val="21"/>
        </w:rPr>
      </w:pPr>
      <w:r>
        <w:rPr>
          <w:b/>
          <w:sz w:val="21"/>
        </w:rPr>
        <w:t>未还款项</w:t>
      </w:r>
      <w:r>
        <w:rPr>
          <w:b/>
          <w:spacing w:val="696"/>
          <w:sz w:val="21"/>
        </w:rPr>
        <w:t> </w:t>
      </w:r>
      <w:r>
        <w:rPr>
          <w:sz w:val="21"/>
        </w:rPr>
        <w:t>本公司在给付各项保险金、未满期净保险费或保险费等款项时，若投保人有</w:t>
      </w:r>
      <w:r>
        <w:rPr>
          <w:spacing w:val="-2"/>
          <w:sz w:val="21"/>
        </w:rPr>
        <w:t>欠交或未还清款项，本公司会在投保人偿清款项后给付。</w:t>
      </w:r>
    </w:p>
    <w:p>
      <w:pPr>
        <w:spacing w:after="0" w:line="278" w:lineRule="auto"/>
        <w:jc w:val="both"/>
        <w:rPr>
          <w:sz w:val="21"/>
        </w:rPr>
        <w:sectPr>
          <w:type w:val="continuous"/>
          <w:pgSz w:w="11910" w:h="16840"/>
          <w:pgMar w:header="0" w:footer="659" w:top="480" w:bottom="840" w:left="920" w:right="880"/>
        </w:sectPr>
      </w:pPr>
    </w:p>
    <w:p>
      <w:pPr>
        <w:pStyle w:val="ListParagraph"/>
        <w:numPr>
          <w:ilvl w:val="1"/>
          <w:numId w:val="10"/>
        </w:numPr>
        <w:tabs>
          <w:tab w:pos="1229" w:val="left" w:leader="none"/>
        </w:tabs>
        <w:spacing w:line="278" w:lineRule="auto" w:before="60" w:after="0"/>
        <w:ind w:left="2997" w:right="266" w:hanging="2730"/>
        <w:jc w:val="both"/>
        <w:rPr>
          <w:sz w:val="21"/>
        </w:rPr>
      </w:pPr>
      <w:r>
        <w:rPr>
          <w:b/>
          <w:spacing w:val="53"/>
          <w:sz w:val="21"/>
        </w:rPr>
        <w:t>合同内容变更 </w:t>
      </w:r>
      <w:r>
        <w:rPr>
          <w:spacing w:val="-9"/>
          <w:sz w:val="21"/>
        </w:rPr>
        <w:t>在本合同有效期内，经投保人与本公司协商一致，可以变更本合同的有关内</w:t>
      </w:r>
      <w:r>
        <w:rPr>
          <w:spacing w:val="-4"/>
          <w:sz w:val="21"/>
        </w:rPr>
        <w:t>容，并由本公司在保险单或其他保险凭证上批注或附贴批单，或由投保人与</w:t>
      </w:r>
      <w:r>
        <w:rPr>
          <w:spacing w:val="-2"/>
          <w:sz w:val="21"/>
        </w:rPr>
        <w:t>本公司订立书面的变更协议。</w:t>
      </w:r>
    </w:p>
    <w:p>
      <w:pPr>
        <w:pStyle w:val="BodyText"/>
        <w:spacing w:before="4"/>
        <w:rPr>
          <w:sz w:val="24"/>
        </w:rPr>
      </w:pPr>
    </w:p>
    <w:p>
      <w:pPr>
        <w:pStyle w:val="ListParagraph"/>
        <w:numPr>
          <w:ilvl w:val="1"/>
          <w:numId w:val="10"/>
        </w:numPr>
        <w:tabs>
          <w:tab w:pos="1229" w:val="left" w:leader="none"/>
        </w:tabs>
        <w:spacing w:line="278" w:lineRule="auto" w:before="1" w:after="0"/>
        <w:ind w:left="2997" w:right="266" w:hanging="2730"/>
        <w:jc w:val="both"/>
        <w:rPr>
          <w:sz w:val="21"/>
        </w:rPr>
      </w:pPr>
      <w:r>
        <w:rPr>
          <w:b/>
          <w:spacing w:val="46"/>
          <w:sz w:val="21"/>
        </w:rPr>
        <w:t>联系方式变更 </w:t>
      </w:r>
      <w:r>
        <w:rPr>
          <w:spacing w:val="-3"/>
          <w:sz w:val="21"/>
        </w:rPr>
        <w:t>为保障投保人的合法权益，投保人的住所、通讯地址或电话等联系方式变更</w:t>
      </w:r>
      <w:r>
        <w:rPr>
          <w:spacing w:val="-4"/>
          <w:sz w:val="21"/>
        </w:rPr>
        <w:t>时，请及时以书面形式或投保人与本公司约定的其他形式通知本公司。若投</w:t>
      </w:r>
      <w:r>
        <w:rPr>
          <w:spacing w:val="-12"/>
          <w:sz w:val="21"/>
        </w:rPr>
        <w:t>保人未通知本公司，本公司按本合同载明的最后住所或通讯地址所发送的有</w:t>
      </w:r>
      <w:r>
        <w:rPr>
          <w:spacing w:val="-2"/>
          <w:sz w:val="21"/>
        </w:rPr>
        <w:t>关通知，均视为已送达。</w:t>
      </w:r>
    </w:p>
    <w:p>
      <w:pPr>
        <w:pStyle w:val="BodyText"/>
        <w:spacing w:before="1"/>
        <w:rPr>
          <w:sz w:val="24"/>
        </w:rPr>
      </w:pPr>
    </w:p>
    <w:p>
      <w:pPr>
        <w:pStyle w:val="ListParagraph"/>
        <w:numPr>
          <w:ilvl w:val="1"/>
          <w:numId w:val="10"/>
        </w:numPr>
        <w:tabs>
          <w:tab w:pos="1229" w:val="left" w:leader="none"/>
        </w:tabs>
        <w:spacing w:line="266" w:lineRule="auto" w:before="0" w:after="0"/>
        <w:ind w:left="2997" w:right="266" w:hanging="2730"/>
        <w:jc w:val="both"/>
        <w:rPr>
          <w:sz w:val="21"/>
        </w:rPr>
      </w:pPr>
      <w:r>
        <w:rPr>
          <w:b/>
          <w:position w:val="1"/>
          <w:sz w:val="21"/>
        </w:rPr>
        <w:t>争议处理</w:t>
      </w:r>
      <w:r>
        <w:rPr>
          <w:b/>
          <w:spacing w:val="746"/>
          <w:position w:val="1"/>
          <w:sz w:val="21"/>
        </w:rPr>
        <w:t> </w:t>
      </w:r>
      <w:r>
        <w:rPr>
          <w:spacing w:val="-6"/>
          <w:sz w:val="21"/>
        </w:rPr>
        <w:t>本合同履行过程中，双方发生争议时，可以从下列两种方式中选择一种争议</w:t>
      </w:r>
      <w:r>
        <w:rPr>
          <w:spacing w:val="-4"/>
          <w:sz w:val="21"/>
        </w:rPr>
        <w:t>处理方式：</w:t>
      </w:r>
    </w:p>
    <w:p>
      <w:pPr>
        <w:pStyle w:val="ListParagraph"/>
        <w:numPr>
          <w:ilvl w:val="0"/>
          <w:numId w:val="11"/>
        </w:numPr>
        <w:tabs>
          <w:tab w:pos="3527" w:val="left" w:leader="none"/>
        </w:tabs>
        <w:spacing w:line="268" w:lineRule="auto" w:before="159" w:after="0"/>
        <w:ind w:left="2997" w:right="268" w:firstLine="0"/>
        <w:jc w:val="left"/>
        <w:rPr>
          <w:sz w:val="21"/>
        </w:rPr>
      </w:pPr>
      <w:r>
        <w:rPr>
          <w:spacing w:val="-2"/>
          <w:sz w:val="21"/>
        </w:rPr>
        <w:t>因履行本合同发生的争议，由双方协商解决，协商不成的，提交本合</w:t>
      </w:r>
      <w:r>
        <w:rPr>
          <w:spacing w:val="-2"/>
          <w:sz w:val="21"/>
        </w:rPr>
        <w:t>同约定的仲裁委员会仲裁；</w:t>
      </w:r>
    </w:p>
    <w:p>
      <w:pPr>
        <w:pStyle w:val="ListParagraph"/>
        <w:numPr>
          <w:ilvl w:val="0"/>
          <w:numId w:val="11"/>
        </w:numPr>
        <w:tabs>
          <w:tab w:pos="3527" w:val="left" w:leader="none"/>
        </w:tabs>
        <w:spacing w:line="266" w:lineRule="auto" w:before="153" w:after="0"/>
        <w:ind w:left="2997" w:right="268" w:firstLine="0"/>
        <w:jc w:val="left"/>
        <w:rPr>
          <w:sz w:val="21"/>
        </w:rPr>
      </w:pPr>
      <w:r>
        <w:rPr>
          <w:spacing w:val="-2"/>
          <w:sz w:val="21"/>
        </w:rPr>
        <w:t>因履行本合同发生的争议，由双方协商解决，协商不成的，依法向人</w:t>
      </w:r>
      <w:r>
        <w:rPr>
          <w:spacing w:val="-2"/>
          <w:sz w:val="21"/>
        </w:rPr>
        <w:t>民法院起诉。</w:t>
      </w:r>
    </w:p>
    <w:p>
      <w:pPr>
        <w:pStyle w:val="BodyText"/>
        <w:spacing w:line="266" w:lineRule="auto" w:before="159"/>
        <w:ind w:left="2997" w:right="264"/>
      </w:pPr>
      <w:r>
        <w:rPr>
          <w:spacing w:val="-2"/>
        </w:rPr>
        <w:t>与本合同有关的以及履行本合同产生的一切争议处理适用中华人民共和国</w:t>
      </w:r>
      <w:r>
        <w:rPr>
          <w:spacing w:val="-2"/>
        </w:rPr>
        <w:t>法律</w:t>
      </w:r>
      <w:r>
        <w:rPr>
          <w:color w:val="000000"/>
          <w:spacing w:val="-2"/>
          <w:shd w:fill="E4E4E4" w:color="auto" w:val="clear"/>
        </w:rPr>
        <w:t>（不包括港、澳、台地区法律</w:t>
      </w:r>
      <w:r>
        <w:rPr>
          <w:color w:val="000000"/>
          <w:spacing w:val="-109"/>
          <w:shd w:fill="E4E4E4" w:color="auto" w:val="clear"/>
        </w:rPr>
        <w:t>）</w:t>
      </w:r>
      <w:r>
        <w:rPr>
          <w:color w:val="000000"/>
          <w:spacing w:val="-2"/>
        </w:rPr>
        <w:t>。</w:t>
      </w:r>
    </w:p>
    <w:p>
      <w:pPr>
        <w:pStyle w:val="BodyText"/>
        <w:rPr>
          <w:sz w:val="20"/>
        </w:rPr>
      </w:pPr>
    </w:p>
    <w:p>
      <w:pPr>
        <w:pStyle w:val="BodyText"/>
        <w:rPr>
          <w:sz w:val="20"/>
        </w:rPr>
      </w:pPr>
    </w:p>
    <w:p>
      <w:pPr>
        <w:pStyle w:val="BodyText"/>
        <w:spacing w:before="8"/>
        <w:rPr>
          <w:sz w:val="19"/>
        </w:rPr>
      </w:pPr>
    </w:p>
    <w:p>
      <w:pPr>
        <w:pStyle w:val="Heading3"/>
        <w:ind w:left="0" w:right="664"/>
        <w:jc w:val="right"/>
      </w:pPr>
      <w:r>
        <w:rPr>
          <w:w w:val="95"/>
        </w:rPr>
        <w:t>[</w:t>
      </w:r>
      <w:r>
        <w:rPr>
          <w:w w:val="95"/>
        </w:rPr>
        <w:t>本</w:t>
      </w:r>
      <w:r>
        <w:rPr>
          <w:w w:val="95"/>
        </w:rPr>
        <w:t>页</w:t>
      </w:r>
      <w:r>
        <w:rPr>
          <w:w w:val="95"/>
        </w:rPr>
        <w:t>内</w:t>
      </w:r>
      <w:r>
        <w:rPr>
          <w:w w:val="95"/>
        </w:rPr>
        <w:t>容</w:t>
      </w:r>
      <w:r>
        <w:rPr>
          <w:w w:val="95"/>
        </w:rPr>
        <w:t>结</w:t>
      </w:r>
      <w:r>
        <w:rPr>
          <w:w w:val="95"/>
        </w:rPr>
        <w:t>束</w:t>
      </w:r>
      <w:r>
        <w:rPr>
          <w:spacing w:val="-10"/>
          <w:w w:val="95"/>
        </w:rPr>
        <w:t>]</w:t>
      </w:r>
    </w:p>
    <w:p>
      <w:pPr>
        <w:spacing w:after="0"/>
        <w:jc w:val="right"/>
        <w:sectPr>
          <w:pgSz w:w="11910" w:h="16840"/>
          <w:pgMar w:header="0" w:footer="659" w:top="1540" w:bottom="1000" w:left="920" w:right="880"/>
        </w:sectPr>
      </w:pPr>
    </w:p>
    <w:p>
      <w:pPr>
        <w:spacing w:before="44"/>
        <w:ind w:left="160" w:right="0" w:firstLine="0"/>
        <w:jc w:val="left"/>
        <w:rPr>
          <w:b/>
          <w:sz w:val="21"/>
        </w:rPr>
      </w:pPr>
      <w:r>
        <w:rPr>
          <w:b/>
          <w:spacing w:val="-3"/>
          <w:sz w:val="21"/>
        </w:rPr>
        <w:t>附表一：</w:t>
      </w:r>
    </w:p>
    <w:p>
      <w:pPr>
        <w:spacing w:line="240" w:lineRule="auto" w:before="10"/>
        <w:rPr>
          <w:b/>
          <w:sz w:val="27"/>
        </w:rPr>
      </w:pPr>
      <w:r>
        <w:rPr/>
        <w:br w:type="column"/>
      </w:r>
      <w:r>
        <w:rPr>
          <w:b/>
          <w:sz w:val="27"/>
        </w:rPr>
      </w:r>
    </w:p>
    <w:p>
      <w:pPr>
        <w:pStyle w:val="Heading3"/>
        <w:spacing w:before="1"/>
        <w:ind w:left="160"/>
      </w:pPr>
      <w:r>
        <w:rPr>
          <w:spacing w:val="-3"/>
        </w:rPr>
        <w:t>复星联合益生无忧医疗保险计划表</w:t>
      </w:r>
    </w:p>
    <w:p>
      <w:pPr>
        <w:spacing w:line="240" w:lineRule="auto" w:before="0"/>
        <w:rPr>
          <w:b/>
          <w:sz w:val="20"/>
        </w:rPr>
      </w:pPr>
      <w:r>
        <w:rPr/>
        <w:br w:type="column"/>
      </w:r>
      <w:r>
        <w:rPr>
          <w:b/>
          <w:sz w:val="20"/>
        </w:rPr>
      </w:r>
    </w:p>
    <w:p>
      <w:pPr>
        <w:pStyle w:val="BodyText"/>
        <w:rPr>
          <w:b/>
          <w:sz w:val="20"/>
        </w:rPr>
      </w:pPr>
    </w:p>
    <w:p>
      <w:pPr>
        <w:pStyle w:val="BodyText"/>
        <w:spacing w:before="156"/>
        <w:ind w:left="160"/>
      </w:pPr>
      <w:r>
        <w:rPr>
          <w:spacing w:val="-4"/>
        </w:rPr>
        <w:t>单位：人民币元</w:t>
      </w:r>
    </w:p>
    <w:p>
      <w:pPr>
        <w:spacing w:after="0"/>
        <w:sectPr>
          <w:pgSz w:w="11910" w:h="16840"/>
          <w:pgMar w:header="0" w:footer="659" w:top="1400" w:bottom="1000" w:left="920" w:right="880"/>
          <w:cols w:num="3" w:equalWidth="0">
            <w:col w:w="1045" w:space="2248"/>
            <w:col w:w="3364" w:space="1536"/>
            <w:col w:w="1917"/>
          </w:cols>
        </w:sectPr>
      </w:pPr>
    </w:p>
    <w:tbl>
      <w:tblPr>
        <w:tblW w:w="0" w:type="auto"/>
        <w:jc w:val="left"/>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6"/>
        <w:gridCol w:w="4112"/>
      </w:tblGrid>
      <w:tr>
        <w:trPr>
          <w:trHeight w:val="311" w:hRule="atLeast"/>
        </w:trPr>
        <w:tc>
          <w:tcPr>
            <w:tcW w:w="4676" w:type="dxa"/>
          </w:tcPr>
          <w:p>
            <w:pPr>
              <w:pStyle w:val="TableParagraph"/>
              <w:spacing w:before="22"/>
              <w:ind w:left="446" w:right="438"/>
              <w:jc w:val="center"/>
              <w:rPr>
                <w:b/>
                <w:sz w:val="21"/>
              </w:rPr>
            </w:pPr>
            <w:r>
              <w:rPr>
                <w:b/>
                <w:spacing w:val="-3"/>
                <w:sz w:val="21"/>
              </w:rPr>
              <w:t>保险责任</w:t>
            </w:r>
          </w:p>
        </w:tc>
        <w:tc>
          <w:tcPr>
            <w:tcW w:w="4112" w:type="dxa"/>
          </w:tcPr>
          <w:p>
            <w:pPr>
              <w:pStyle w:val="TableParagraph"/>
              <w:spacing w:before="22"/>
              <w:ind w:left="1029" w:right="1018"/>
              <w:jc w:val="center"/>
              <w:rPr>
                <w:b/>
                <w:sz w:val="21"/>
              </w:rPr>
            </w:pPr>
            <w:r>
              <w:rPr>
                <w:b/>
                <w:spacing w:val="-2"/>
                <w:sz w:val="21"/>
              </w:rPr>
              <w:t>保险金给付限额</w:t>
            </w:r>
          </w:p>
        </w:tc>
      </w:tr>
      <w:tr>
        <w:trPr>
          <w:trHeight w:val="311" w:hRule="atLeast"/>
        </w:trPr>
        <w:tc>
          <w:tcPr>
            <w:tcW w:w="4676" w:type="dxa"/>
          </w:tcPr>
          <w:p>
            <w:pPr>
              <w:pStyle w:val="TableParagraph"/>
              <w:spacing w:before="22"/>
              <w:ind w:left="441" w:right="438"/>
              <w:jc w:val="center"/>
              <w:rPr>
                <w:b/>
                <w:sz w:val="21"/>
              </w:rPr>
            </w:pPr>
            <w:r>
              <w:rPr>
                <w:b/>
                <w:spacing w:val="-3"/>
                <w:sz w:val="21"/>
              </w:rPr>
              <w:t>法定传染病住院医疗保险金</w:t>
            </w:r>
          </w:p>
        </w:tc>
        <w:tc>
          <w:tcPr>
            <w:tcW w:w="4112" w:type="dxa"/>
          </w:tcPr>
          <w:p>
            <w:pPr>
              <w:pStyle w:val="TableParagraph"/>
              <w:spacing w:before="22"/>
              <w:ind w:left="1027" w:right="1018"/>
              <w:jc w:val="center"/>
              <w:rPr>
                <w:sz w:val="21"/>
              </w:rPr>
            </w:pPr>
            <w:r>
              <w:rPr>
                <w:spacing w:val="-2"/>
                <w:sz w:val="21"/>
              </w:rPr>
              <w:t>100</w:t>
            </w:r>
            <w:r>
              <w:rPr>
                <w:spacing w:val="-20"/>
                <w:sz w:val="21"/>
              </w:rPr>
              <w:t> 万元</w:t>
            </w:r>
          </w:p>
        </w:tc>
      </w:tr>
      <w:tr>
        <w:trPr>
          <w:trHeight w:val="311" w:hRule="atLeast"/>
        </w:trPr>
        <w:tc>
          <w:tcPr>
            <w:tcW w:w="4676" w:type="dxa"/>
          </w:tcPr>
          <w:p>
            <w:pPr>
              <w:pStyle w:val="TableParagraph"/>
              <w:spacing w:before="22"/>
              <w:ind w:left="441" w:right="438"/>
              <w:jc w:val="center"/>
              <w:rPr>
                <w:b/>
                <w:sz w:val="21"/>
              </w:rPr>
            </w:pPr>
            <w:r>
              <w:rPr>
                <w:b/>
                <w:spacing w:val="-3"/>
                <w:sz w:val="21"/>
              </w:rPr>
              <w:t>法定传染病住院津贴保险金</w:t>
            </w:r>
          </w:p>
        </w:tc>
        <w:tc>
          <w:tcPr>
            <w:tcW w:w="4112" w:type="dxa"/>
          </w:tcPr>
          <w:p>
            <w:pPr>
              <w:pStyle w:val="TableParagraph"/>
              <w:spacing w:before="22"/>
              <w:ind w:left="1029" w:right="1018"/>
              <w:jc w:val="center"/>
              <w:rPr>
                <w:sz w:val="21"/>
              </w:rPr>
            </w:pPr>
            <w:r>
              <w:rPr>
                <w:spacing w:val="-2"/>
                <w:sz w:val="21"/>
              </w:rPr>
              <w:t>500</w:t>
            </w:r>
            <w:r>
              <w:rPr>
                <w:spacing w:val="-15"/>
                <w:sz w:val="21"/>
              </w:rPr>
              <w:t> 元/天，最高 </w:t>
            </w:r>
            <w:r>
              <w:rPr>
                <w:spacing w:val="-2"/>
                <w:sz w:val="21"/>
              </w:rPr>
              <w:t>90</w:t>
            </w:r>
            <w:r>
              <w:rPr>
                <w:spacing w:val="-30"/>
                <w:sz w:val="21"/>
              </w:rPr>
              <w:t> 天</w:t>
            </w:r>
          </w:p>
        </w:tc>
      </w:tr>
      <w:tr>
        <w:trPr>
          <w:trHeight w:val="626" w:hRule="atLeast"/>
        </w:trPr>
        <w:tc>
          <w:tcPr>
            <w:tcW w:w="4676" w:type="dxa"/>
          </w:tcPr>
          <w:p>
            <w:pPr>
              <w:pStyle w:val="TableParagraph"/>
              <w:spacing w:before="25"/>
              <w:ind w:left="441" w:right="438"/>
              <w:jc w:val="center"/>
              <w:rPr>
                <w:b/>
                <w:sz w:val="21"/>
              </w:rPr>
            </w:pPr>
            <w:r>
              <w:rPr>
                <w:b/>
                <w:spacing w:val="-3"/>
                <w:sz w:val="21"/>
              </w:rPr>
              <w:t>法定传染病隔离津贴保险金</w:t>
            </w:r>
          </w:p>
        </w:tc>
        <w:tc>
          <w:tcPr>
            <w:tcW w:w="4112" w:type="dxa"/>
          </w:tcPr>
          <w:p>
            <w:pPr>
              <w:pStyle w:val="TableParagraph"/>
              <w:spacing w:before="25"/>
              <w:ind w:left="1029" w:right="1018"/>
              <w:jc w:val="center"/>
              <w:rPr>
                <w:sz w:val="21"/>
              </w:rPr>
            </w:pPr>
            <w:r>
              <w:rPr>
                <w:spacing w:val="-2"/>
                <w:sz w:val="21"/>
              </w:rPr>
              <w:t>350</w:t>
            </w:r>
            <w:r>
              <w:rPr>
                <w:spacing w:val="-15"/>
                <w:sz w:val="21"/>
              </w:rPr>
              <w:t> 元/天，最高 </w:t>
            </w:r>
            <w:r>
              <w:rPr>
                <w:spacing w:val="-2"/>
                <w:sz w:val="21"/>
              </w:rPr>
              <w:t>30</w:t>
            </w:r>
            <w:r>
              <w:rPr>
                <w:spacing w:val="-30"/>
                <w:sz w:val="21"/>
              </w:rPr>
              <w:t> 天</w:t>
            </w:r>
          </w:p>
          <w:p>
            <w:pPr>
              <w:pStyle w:val="TableParagraph"/>
              <w:spacing w:before="43"/>
              <w:ind w:left="1027" w:right="1018"/>
              <w:jc w:val="center"/>
              <w:rPr>
                <w:sz w:val="21"/>
              </w:rPr>
            </w:pPr>
            <w:r>
              <w:rPr>
                <w:spacing w:val="-4"/>
                <w:sz w:val="21"/>
              </w:rPr>
              <w:t>给付份数最高三份</w:t>
            </w:r>
          </w:p>
        </w:tc>
      </w:tr>
      <w:tr>
        <w:trPr>
          <w:trHeight w:val="311" w:hRule="atLeast"/>
        </w:trPr>
        <w:tc>
          <w:tcPr>
            <w:tcW w:w="4676" w:type="dxa"/>
          </w:tcPr>
          <w:p>
            <w:pPr>
              <w:pStyle w:val="TableParagraph"/>
              <w:spacing w:before="22"/>
              <w:ind w:left="441" w:right="438"/>
              <w:jc w:val="center"/>
              <w:rPr>
                <w:b/>
                <w:sz w:val="21"/>
              </w:rPr>
            </w:pPr>
            <w:r>
              <w:rPr>
                <w:b/>
                <w:spacing w:val="-3"/>
                <w:sz w:val="21"/>
              </w:rPr>
              <w:t>法定传染病疫苗接种保险金</w:t>
            </w:r>
          </w:p>
        </w:tc>
        <w:tc>
          <w:tcPr>
            <w:tcW w:w="4112" w:type="dxa"/>
          </w:tcPr>
          <w:p>
            <w:pPr>
              <w:pStyle w:val="TableParagraph"/>
              <w:spacing w:before="22"/>
              <w:ind w:left="1029" w:right="1018"/>
              <w:jc w:val="center"/>
              <w:rPr>
                <w:sz w:val="21"/>
              </w:rPr>
            </w:pPr>
            <w:r>
              <w:rPr>
                <w:spacing w:val="-2"/>
                <w:sz w:val="21"/>
              </w:rPr>
              <w:t>500</w:t>
            </w:r>
            <w:r>
              <w:rPr>
                <w:spacing w:val="-16"/>
                <w:sz w:val="21"/>
              </w:rPr>
              <w:t> 元/次，最高 </w:t>
            </w:r>
            <w:r>
              <w:rPr>
                <w:spacing w:val="-2"/>
                <w:sz w:val="21"/>
              </w:rPr>
              <w:t>2</w:t>
            </w:r>
            <w:r>
              <w:rPr>
                <w:spacing w:val="-31"/>
                <w:sz w:val="21"/>
              </w:rPr>
              <w:t> 次</w:t>
            </w:r>
          </w:p>
        </w:tc>
      </w:tr>
      <w:tr>
        <w:trPr>
          <w:trHeight w:val="311" w:hRule="atLeast"/>
        </w:trPr>
        <w:tc>
          <w:tcPr>
            <w:tcW w:w="4676" w:type="dxa"/>
          </w:tcPr>
          <w:p>
            <w:pPr>
              <w:pStyle w:val="TableParagraph"/>
              <w:spacing w:before="22"/>
              <w:ind w:left="446" w:right="438"/>
              <w:jc w:val="center"/>
              <w:rPr>
                <w:b/>
                <w:sz w:val="21"/>
              </w:rPr>
            </w:pPr>
            <w:r>
              <w:rPr>
                <w:b/>
                <w:spacing w:val="-3"/>
                <w:sz w:val="21"/>
              </w:rPr>
              <w:t>法定传染病疫苗接种意外住院医疗保险金</w:t>
            </w:r>
          </w:p>
        </w:tc>
        <w:tc>
          <w:tcPr>
            <w:tcW w:w="4112" w:type="dxa"/>
          </w:tcPr>
          <w:p>
            <w:pPr>
              <w:pStyle w:val="TableParagraph"/>
              <w:spacing w:before="22"/>
              <w:ind w:left="1029" w:right="1018"/>
              <w:jc w:val="center"/>
              <w:rPr>
                <w:sz w:val="21"/>
              </w:rPr>
            </w:pPr>
            <w:r>
              <w:rPr>
                <w:sz w:val="21"/>
              </w:rPr>
              <w:t>5</w:t>
            </w:r>
            <w:r>
              <w:rPr>
                <w:spacing w:val="-22"/>
                <w:sz w:val="21"/>
              </w:rPr>
              <w:t> 万元</w:t>
            </w:r>
          </w:p>
        </w:tc>
      </w:tr>
    </w:tbl>
    <w:sectPr>
      <w:type w:val="continuous"/>
      <w:pgSz w:w="11910" w:h="16840"/>
      <w:pgMar w:header="0" w:footer="659" w:top="480" w:bottom="840" w:left="920" w:right="8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楷体">
    <w:altName w:val="楷体"/>
    <w:charset w:val="86"/>
    <w:family w:val="modern"/>
    <w:pitch w:val="fixed"/>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29.419983pt;margin-top:790.635986pt;width:16.1500pt;height:12pt;mso-position-horizontal-relative:page;mso-position-vertical-relative:page;z-index:-16260608"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
      <w:numFmt w:val="decimal"/>
      <w:lvlText w:val="（%1）"/>
      <w:lvlJc w:val="left"/>
      <w:pPr>
        <w:ind w:left="2997" w:hanging="53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10" w:hanging="530"/>
      </w:pPr>
      <w:rPr>
        <w:rFonts w:hint="default"/>
        <w:lang w:val="en-US" w:eastAsia="zh-CN" w:bidi="ar-SA"/>
      </w:rPr>
    </w:lvl>
    <w:lvl w:ilvl="2">
      <w:start w:val="0"/>
      <w:numFmt w:val="bullet"/>
      <w:lvlText w:val="•"/>
      <w:lvlJc w:val="left"/>
      <w:pPr>
        <w:ind w:left="4421" w:hanging="530"/>
      </w:pPr>
      <w:rPr>
        <w:rFonts w:hint="default"/>
        <w:lang w:val="en-US" w:eastAsia="zh-CN" w:bidi="ar-SA"/>
      </w:rPr>
    </w:lvl>
    <w:lvl w:ilvl="3">
      <w:start w:val="0"/>
      <w:numFmt w:val="bullet"/>
      <w:lvlText w:val="•"/>
      <w:lvlJc w:val="left"/>
      <w:pPr>
        <w:ind w:left="5131" w:hanging="530"/>
      </w:pPr>
      <w:rPr>
        <w:rFonts w:hint="default"/>
        <w:lang w:val="en-US" w:eastAsia="zh-CN" w:bidi="ar-SA"/>
      </w:rPr>
    </w:lvl>
    <w:lvl w:ilvl="4">
      <w:start w:val="0"/>
      <w:numFmt w:val="bullet"/>
      <w:lvlText w:val="•"/>
      <w:lvlJc w:val="left"/>
      <w:pPr>
        <w:ind w:left="5842" w:hanging="530"/>
      </w:pPr>
      <w:rPr>
        <w:rFonts w:hint="default"/>
        <w:lang w:val="en-US" w:eastAsia="zh-CN" w:bidi="ar-SA"/>
      </w:rPr>
    </w:lvl>
    <w:lvl w:ilvl="5">
      <w:start w:val="0"/>
      <w:numFmt w:val="bullet"/>
      <w:lvlText w:val="•"/>
      <w:lvlJc w:val="left"/>
      <w:pPr>
        <w:ind w:left="6553" w:hanging="530"/>
      </w:pPr>
      <w:rPr>
        <w:rFonts w:hint="default"/>
        <w:lang w:val="en-US" w:eastAsia="zh-CN" w:bidi="ar-SA"/>
      </w:rPr>
    </w:lvl>
    <w:lvl w:ilvl="6">
      <w:start w:val="0"/>
      <w:numFmt w:val="bullet"/>
      <w:lvlText w:val="•"/>
      <w:lvlJc w:val="left"/>
      <w:pPr>
        <w:ind w:left="7263" w:hanging="530"/>
      </w:pPr>
      <w:rPr>
        <w:rFonts w:hint="default"/>
        <w:lang w:val="en-US" w:eastAsia="zh-CN" w:bidi="ar-SA"/>
      </w:rPr>
    </w:lvl>
    <w:lvl w:ilvl="7">
      <w:start w:val="0"/>
      <w:numFmt w:val="bullet"/>
      <w:lvlText w:val="•"/>
      <w:lvlJc w:val="left"/>
      <w:pPr>
        <w:ind w:left="7974" w:hanging="530"/>
      </w:pPr>
      <w:rPr>
        <w:rFonts w:hint="default"/>
        <w:lang w:val="en-US" w:eastAsia="zh-CN" w:bidi="ar-SA"/>
      </w:rPr>
    </w:lvl>
    <w:lvl w:ilvl="8">
      <w:start w:val="0"/>
      <w:numFmt w:val="bullet"/>
      <w:lvlText w:val="•"/>
      <w:lvlJc w:val="left"/>
      <w:pPr>
        <w:ind w:left="8685" w:hanging="530"/>
      </w:pPr>
      <w:rPr>
        <w:rFonts w:hint="default"/>
        <w:lang w:val="en-US" w:eastAsia="zh-CN" w:bidi="ar-SA"/>
      </w:rPr>
    </w:lvl>
  </w:abstractNum>
  <w:abstractNum w:abstractNumId="9">
    <w:multiLevelType w:val="hybridMultilevel"/>
    <w:lvl w:ilvl="0">
      <w:start w:val="6"/>
      <w:numFmt w:val="decimal"/>
      <w:lvlText w:val="%1"/>
      <w:lvlJc w:val="left"/>
      <w:pPr>
        <w:ind w:left="2997" w:hanging="961"/>
        <w:jc w:val="left"/>
      </w:pPr>
      <w:rPr>
        <w:rFonts w:hint="default"/>
        <w:lang w:val="en-US" w:eastAsia="zh-CN" w:bidi="ar-SA"/>
      </w:rPr>
    </w:lvl>
    <w:lvl w:ilvl="1">
      <w:start w:val="3"/>
      <w:numFmt w:val="decimal"/>
      <w:lvlText w:val="%1.%2"/>
      <w:lvlJc w:val="left"/>
      <w:pPr>
        <w:ind w:left="2997" w:hanging="96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2997" w:hanging="530"/>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131" w:hanging="530"/>
      </w:pPr>
      <w:rPr>
        <w:rFonts w:hint="default"/>
        <w:lang w:val="en-US" w:eastAsia="zh-CN" w:bidi="ar-SA"/>
      </w:rPr>
    </w:lvl>
    <w:lvl w:ilvl="4">
      <w:start w:val="0"/>
      <w:numFmt w:val="bullet"/>
      <w:lvlText w:val="•"/>
      <w:lvlJc w:val="left"/>
      <w:pPr>
        <w:ind w:left="5842" w:hanging="530"/>
      </w:pPr>
      <w:rPr>
        <w:rFonts w:hint="default"/>
        <w:lang w:val="en-US" w:eastAsia="zh-CN" w:bidi="ar-SA"/>
      </w:rPr>
    </w:lvl>
    <w:lvl w:ilvl="5">
      <w:start w:val="0"/>
      <w:numFmt w:val="bullet"/>
      <w:lvlText w:val="•"/>
      <w:lvlJc w:val="left"/>
      <w:pPr>
        <w:ind w:left="6553" w:hanging="530"/>
      </w:pPr>
      <w:rPr>
        <w:rFonts w:hint="default"/>
        <w:lang w:val="en-US" w:eastAsia="zh-CN" w:bidi="ar-SA"/>
      </w:rPr>
    </w:lvl>
    <w:lvl w:ilvl="6">
      <w:start w:val="0"/>
      <w:numFmt w:val="bullet"/>
      <w:lvlText w:val="•"/>
      <w:lvlJc w:val="left"/>
      <w:pPr>
        <w:ind w:left="7263" w:hanging="530"/>
      </w:pPr>
      <w:rPr>
        <w:rFonts w:hint="default"/>
        <w:lang w:val="en-US" w:eastAsia="zh-CN" w:bidi="ar-SA"/>
      </w:rPr>
    </w:lvl>
    <w:lvl w:ilvl="7">
      <w:start w:val="0"/>
      <w:numFmt w:val="bullet"/>
      <w:lvlText w:val="•"/>
      <w:lvlJc w:val="left"/>
      <w:pPr>
        <w:ind w:left="7974" w:hanging="530"/>
      </w:pPr>
      <w:rPr>
        <w:rFonts w:hint="default"/>
        <w:lang w:val="en-US" w:eastAsia="zh-CN" w:bidi="ar-SA"/>
      </w:rPr>
    </w:lvl>
    <w:lvl w:ilvl="8">
      <w:start w:val="0"/>
      <w:numFmt w:val="bullet"/>
      <w:lvlText w:val="•"/>
      <w:lvlJc w:val="left"/>
      <w:pPr>
        <w:ind w:left="8685" w:hanging="530"/>
      </w:pPr>
      <w:rPr>
        <w:rFonts w:hint="default"/>
        <w:lang w:val="en-US" w:eastAsia="zh-CN" w:bidi="ar-SA"/>
      </w:rPr>
    </w:lvl>
  </w:abstractNum>
  <w:abstractNum w:abstractNumId="8">
    <w:multiLevelType w:val="hybridMultilevel"/>
    <w:lvl w:ilvl="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58" w:hanging="530"/>
      </w:pPr>
      <w:rPr>
        <w:rFonts w:hint="default"/>
        <w:lang w:val="en-US" w:eastAsia="zh-CN" w:bidi="ar-SA"/>
      </w:rPr>
    </w:lvl>
    <w:lvl w:ilvl="2">
      <w:start w:val="0"/>
      <w:numFmt w:val="bullet"/>
      <w:lvlText w:val="•"/>
      <w:lvlJc w:val="left"/>
      <w:pPr>
        <w:ind w:left="2016" w:hanging="530"/>
      </w:pPr>
      <w:rPr>
        <w:rFonts w:hint="default"/>
        <w:lang w:val="en-US" w:eastAsia="zh-CN" w:bidi="ar-SA"/>
      </w:rPr>
    </w:lvl>
    <w:lvl w:ilvl="3">
      <w:start w:val="0"/>
      <w:numFmt w:val="bullet"/>
      <w:lvlText w:val="•"/>
      <w:lvlJc w:val="left"/>
      <w:pPr>
        <w:ind w:left="2675" w:hanging="530"/>
      </w:pPr>
      <w:rPr>
        <w:rFonts w:hint="default"/>
        <w:lang w:val="en-US" w:eastAsia="zh-CN" w:bidi="ar-SA"/>
      </w:rPr>
    </w:lvl>
    <w:lvl w:ilvl="4">
      <w:start w:val="0"/>
      <w:numFmt w:val="bullet"/>
      <w:lvlText w:val="•"/>
      <w:lvlJc w:val="left"/>
      <w:pPr>
        <w:ind w:left="3333" w:hanging="530"/>
      </w:pPr>
      <w:rPr>
        <w:rFonts w:hint="default"/>
        <w:lang w:val="en-US" w:eastAsia="zh-CN" w:bidi="ar-SA"/>
      </w:rPr>
    </w:lvl>
    <w:lvl w:ilvl="5">
      <w:start w:val="0"/>
      <w:numFmt w:val="bullet"/>
      <w:lvlText w:val="•"/>
      <w:lvlJc w:val="left"/>
      <w:pPr>
        <w:ind w:left="3992" w:hanging="530"/>
      </w:pPr>
      <w:rPr>
        <w:rFonts w:hint="default"/>
        <w:lang w:val="en-US" w:eastAsia="zh-CN" w:bidi="ar-SA"/>
      </w:rPr>
    </w:lvl>
    <w:lvl w:ilvl="6">
      <w:start w:val="0"/>
      <w:numFmt w:val="bullet"/>
      <w:lvlText w:val="•"/>
      <w:lvlJc w:val="left"/>
      <w:pPr>
        <w:ind w:left="4650" w:hanging="530"/>
      </w:pPr>
      <w:rPr>
        <w:rFonts w:hint="default"/>
        <w:lang w:val="en-US" w:eastAsia="zh-CN" w:bidi="ar-SA"/>
      </w:rPr>
    </w:lvl>
    <w:lvl w:ilvl="7">
      <w:start w:val="0"/>
      <w:numFmt w:val="bullet"/>
      <w:lvlText w:val="•"/>
      <w:lvlJc w:val="left"/>
      <w:pPr>
        <w:ind w:left="5308" w:hanging="530"/>
      </w:pPr>
      <w:rPr>
        <w:rFonts w:hint="default"/>
        <w:lang w:val="en-US" w:eastAsia="zh-CN" w:bidi="ar-SA"/>
      </w:rPr>
    </w:lvl>
    <w:lvl w:ilvl="8">
      <w:start w:val="0"/>
      <w:numFmt w:val="bullet"/>
      <w:lvlText w:val="•"/>
      <w:lvlJc w:val="left"/>
      <w:pPr>
        <w:ind w:left="5967" w:hanging="530"/>
      </w:pPr>
      <w:rPr>
        <w:rFonts w:hint="default"/>
        <w:lang w:val="en-US" w:eastAsia="zh-CN" w:bidi="ar-SA"/>
      </w:rPr>
    </w:lvl>
  </w:abstractNum>
  <w:abstractNum w:abstractNumId="7">
    <w:multiLevelType w:val="hybridMultilevel"/>
    <w:lvl w:ilvl="0">
      <w:start w:val="1"/>
      <w:numFmt w:val="decimal"/>
      <w:lvlText w:val="（%1）"/>
      <w:lvlJc w:val="left"/>
      <w:pPr>
        <w:ind w:left="2997" w:hanging="530"/>
        <w:jc w:val="left"/>
      </w:pPr>
      <w:rPr>
        <w:rFonts w:hint="default" w:ascii="宋体" w:hAnsi="宋体" w:eastAsia="宋体" w:cs="宋体"/>
        <w:b w:val="0"/>
        <w:bCs w:val="0"/>
        <w:i w:val="0"/>
        <w:iCs w:val="0"/>
        <w:spacing w:val="-34"/>
        <w:w w:val="100"/>
        <w:sz w:val="19"/>
        <w:szCs w:val="19"/>
        <w:lang w:val="en-US" w:eastAsia="zh-CN" w:bidi="ar-SA"/>
      </w:rPr>
    </w:lvl>
    <w:lvl w:ilvl="1">
      <w:start w:val="0"/>
      <w:numFmt w:val="bullet"/>
      <w:lvlText w:val="•"/>
      <w:lvlJc w:val="left"/>
      <w:pPr>
        <w:ind w:left="3710" w:hanging="530"/>
      </w:pPr>
      <w:rPr>
        <w:rFonts w:hint="default"/>
        <w:lang w:val="en-US" w:eastAsia="zh-CN" w:bidi="ar-SA"/>
      </w:rPr>
    </w:lvl>
    <w:lvl w:ilvl="2">
      <w:start w:val="0"/>
      <w:numFmt w:val="bullet"/>
      <w:lvlText w:val="•"/>
      <w:lvlJc w:val="left"/>
      <w:pPr>
        <w:ind w:left="4421" w:hanging="530"/>
      </w:pPr>
      <w:rPr>
        <w:rFonts w:hint="default"/>
        <w:lang w:val="en-US" w:eastAsia="zh-CN" w:bidi="ar-SA"/>
      </w:rPr>
    </w:lvl>
    <w:lvl w:ilvl="3">
      <w:start w:val="0"/>
      <w:numFmt w:val="bullet"/>
      <w:lvlText w:val="•"/>
      <w:lvlJc w:val="left"/>
      <w:pPr>
        <w:ind w:left="5131" w:hanging="530"/>
      </w:pPr>
      <w:rPr>
        <w:rFonts w:hint="default"/>
        <w:lang w:val="en-US" w:eastAsia="zh-CN" w:bidi="ar-SA"/>
      </w:rPr>
    </w:lvl>
    <w:lvl w:ilvl="4">
      <w:start w:val="0"/>
      <w:numFmt w:val="bullet"/>
      <w:lvlText w:val="•"/>
      <w:lvlJc w:val="left"/>
      <w:pPr>
        <w:ind w:left="5842" w:hanging="530"/>
      </w:pPr>
      <w:rPr>
        <w:rFonts w:hint="default"/>
        <w:lang w:val="en-US" w:eastAsia="zh-CN" w:bidi="ar-SA"/>
      </w:rPr>
    </w:lvl>
    <w:lvl w:ilvl="5">
      <w:start w:val="0"/>
      <w:numFmt w:val="bullet"/>
      <w:lvlText w:val="•"/>
      <w:lvlJc w:val="left"/>
      <w:pPr>
        <w:ind w:left="6553" w:hanging="530"/>
      </w:pPr>
      <w:rPr>
        <w:rFonts w:hint="default"/>
        <w:lang w:val="en-US" w:eastAsia="zh-CN" w:bidi="ar-SA"/>
      </w:rPr>
    </w:lvl>
    <w:lvl w:ilvl="6">
      <w:start w:val="0"/>
      <w:numFmt w:val="bullet"/>
      <w:lvlText w:val="•"/>
      <w:lvlJc w:val="left"/>
      <w:pPr>
        <w:ind w:left="7263" w:hanging="530"/>
      </w:pPr>
      <w:rPr>
        <w:rFonts w:hint="default"/>
        <w:lang w:val="en-US" w:eastAsia="zh-CN" w:bidi="ar-SA"/>
      </w:rPr>
    </w:lvl>
    <w:lvl w:ilvl="7">
      <w:start w:val="0"/>
      <w:numFmt w:val="bullet"/>
      <w:lvlText w:val="•"/>
      <w:lvlJc w:val="left"/>
      <w:pPr>
        <w:ind w:left="7974" w:hanging="530"/>
      </w:pPr>
      <w:rPr>
        <w:rFonts w:hint="default"/>
        <w:lang w:val="en-US" w:eastAsia="zh-CN" w:bidi="ar-SA"/>
      </w:rPr>
    </w:lvl>
    <w:lvl w:ilvl="8">
      <w:start w:val="0"/>
      <w:numFmt w:val="bullet"/>
      <w:lvlText w:val="•"/>
      <w:lvlJc w:val="left"/>
      <w:pPr>
        <w:ind w:left="8685" w:hanging="530"/>
      </w:pPr>
      <w:rPr>
        <w:rFonts w:hint="default"/>
        <w:lang w:val="en-US" w:eastAsia="zh-CN" w:bidi="ar-SA"/>
      </w:rPr>
    </w:lvl>
  </w:abstractNum>
  <w:abstractNum w:abstractNumId="6">
    <w:multiLevelType w:val="hybridMultilevel"/>
    <w:lvl w:ilvl="0">
      <w:start w:val="2"/>
      <w:numFmt w:val="decimal"/>
      <w:lvlText w:val="%1"/>
      <w:lvlJc w:val="left"/>
      <w:pPr>
        <w:ind w:left="2997" w:hanging="749"/>
        <w:jc w:val="left"/>
      </w:pPr>
      <w:rPr>
        <w:rFonts w:hint="default"/>
        <w:lang w:val="en-US" w:eastAsia="zh-CN" w:bidi="ar-SA"/>
      </w:rPr>
    </w:lvl>
    <w:lvl w:ilvl="1">
      <w:start w:val="5"/>
      <w:numFmt w:val="decimal"/>
      <w:lvlText w:val="%1.%2"/>
      <w:lvlJc w:val="left"/>
      <w:pPr>
        <w:ind w:left="2997" w:hanging="749"/>
        <w:jc w:val="left"/>
      </w:pPr>
      <w:rPr>
        <w:rFonts w:hint="default"/>
        <w:lang w:val="en-US" w:eastAsia="zh-CN" w:bidi="ar-SA"/>
      </w:rPr>
    </w:lvl>
    <w:lvl w:ilvl="2">
      <w:start w:val="1"/>
      <w:numFmt w:val="decimal"/>
      <w:lvlText w:val="%1.%2.%3"/>
      <w:lvlJc w:val="left"/>
      <w:pPr>
        <w:ind w:left="2997" w:hanging="749"/>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717" w:hanging="721"/>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5848" w:hanging="721"/>
      </w:pPr>
      <w:rPr>
        <w:rFonts w:hint="default"/>
        <w:lang w:val="en-US" w:eastAsia="zh-CN" w:bidi="ar-SA"/>
      </w:rPr>
    </w:lvl>
    <w:lvl w:ilvl="5">
      <w:start w:val="0"/>
      <w:numFmt w:val="bullet"/>
      <w:lvlText w:val="•"/>
      <w:lvlJc w:val="left"/>
      <w:pPr>
        <w:ind w:left="6558" w:hanging="721"/>
      </w:pPr>
      <w:rPr>
        <w:rFonts w:hint="default"/>
        <w:lang w:val="en-US" w:eastAsia="zh-CN" w:bidi="ar-SA"/>
      </w:rPr>
    </w:lvl>
    <w:lvl w:ilvl="6">
      <w:start w:val="0"/>
      <w:numFmt w:val="bullet"/>
      <w:lvlText w:val="•"/>
      <w:lvlJc w:val="left"/>
      <w:pPr>
        <w:ind w:left="7268" w:hanging="721"/>
      </w:pPr>
      <w:rPr>
        <w:rFonts w:hint="default"/>
        <w:lang w:val="en-US" w:eastAsia="zh-CN" w:bidi="ar-SA"/>
      </w:rPr>
    </w:lvl>
    <w:lvl w:ilvl="7">
      <w:start w:val="0"/>
      <w:numFmt w:val="bullet"/>
      <w:lvlText w:val="•"/>
      <w:lvlJc w:val="left"/>
      <w:pPr>
        <w:ind w:left="7977" w:hanging="721"/>
      </w:pPr>
      <w:rPr>
        <w:rFonts w:hint="default"/>
        <w:lang w:val="en-US" w:eastAsia="zh-CN" w:bidi="ar-SA"/>
      </w:rPr>
    </w:lvl>
    <w:lvl w:ilvl="8">
      <w:start w:val="0"/>
      <w:numFmt w:val="bullet"/>
      <w:lvlText w:val="•"/>
      <w:lvlJc w:val="left"/>
      <w:pPr>
        <w:ind w:left="8687" w:hanging="721"/>
      </w:pPr>
      <w:rPr>
        <w:rFonts w:hint="default"/>
        <w:lang w:val="en-US" w:eastAsia="zh-CN" w:bidi="ar-SA"/>
      </w:rPr>
    </w:lvl>
  </w:abstractNum>
  <w:abstractNum w:abstractNumId="5">
    <w:multiLevelType w:val="hybridMultilevel"/>
    <w:lvl w:ilvl="0">
      <w:start w:val="2"/>
      <w:numFmt w:val="decimal"/>
      <w:lvlText w:val="%1"/>
      <w:lvlJc w:val="left"/>
      <w:pPr>
        <w:ind w:left="1228" w:hanging="961"/>
        <w:jc w:val="left"/>
      </w:pPr>
      <w:rPr>
        <w:rFonts w:hint="default"/>
        <w:lang w:val="en-US" w:eastAsia="zh-CN" w:bidi="ar-SA"/>
      </w:rPr>
    </w:lvl>
    <w:lvl w:ilvl="1">
      <w:start w:val="4"/>
      <w:numFmt w:val="decimal"/>
      <w:lvlText w:val="%1.%2"/>
      <w:lvlJc w:val="left"/>
      <w:pPr>
        <w:ind w:left="1228" w:hanging="96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717" w:hanging="72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511" w:hanging="721"/>
      </w:pPr>
      <w:rPr>
        <w:rFonts w:hint="default"/>
        <w:lang w:val="en-US" w:eastAsia="zh-CN" w:bidi="ar-SA"/>
      </w:rPr>
    </w:lvl>
    <w:lvl w:ilvl="4">
      <w:start w:val="0"/>
      <w:numFmt w:val="bullet"/>
      <w:lvlText w:val="•"/>
      <w:lvlJc w:val="left"/>
      <w:pPr>
        <w:ind w:left="3407" w:hanging="721"/>
      </w:pPr>
      <w:rPr>
        <w:rFonts w:hint="default"/>
        <w:lang w:val="en-US" w:eastAsia="zh-CN" w:bidi="ar-SA"/>
      </w:rPr>
    </w:lvl>
    <w:lvl w:ilvl="5">
      <w:start w:val="0"/>
      <w:numFmt w:val="bullet"/>
      <w:lvlText w:val="•"/>
      <w:lvlJc w:val="left"/>
      <w:pPr>
        <w:ind w:left="3303" w:hanging="721"/>
      </w:pPr>
      <w:rPr>
        <w:rFonts w:hint="default"/>
        <w:lang w:val="en-US" w:eastAsia="zh-CN" w:bidi="ar-SA"/>
      </w:rPr>
    </w:lvl>
    <w:lvl w:ilvl="6">
      <w:start w:val="0"/>
      <w:numFmt w:val="bullet"/>
      <w:lvlText w:val="•"/>
      <w:lvlJc w:val="left"/>
      <w:pPr>
        <w:ind w:left="3199" w:hanging="721"/>
      </w:pPr>
      <w:rPr>
        <w:rFonts w:hint="default"/>
        <w:lang w:val="en-US" w:eastAsia="zh-CN" w:bidi="ar-SA"/>
      </w:rPr>
    </w:lvl>
    <w:lvl w:ilvl="7">
      <w:start w:val="0"/>
      <w:numFmt w:val="bullet"/>
      <w:lvlText w:val="•"/>
      <w:lvlJc w:val="left"/>
      <w:pPr>
        <w:ind w:left="3094" w:hanging="721"/>
      </w:pPr>
      <w:rPr>
        <w:rFonts w:hint="default"/>
        <w:lang w:val="en-US" w:eastAsia="zh-CN" w:bidi="ar-SA"/>
      </w:rPr>
    </w:lvl>
    <w:lvl w:ilvl="8">
      <w:start w:val="0"/>
      <w:numFmt w:val="bullet"/>
      <w:lvlText w:val="•"/>
      <w:lvlJc w:val="left"/>
      <w:pPr>
        <w:ind w:left="2990" w:hanging="721"/>
      </w:pPr>
      <w:rPr>
        <w:rFonts w:hint="default"/>
        <w:lang w:val="en-US" w:eastAsia="zh-CN" w:bidi="ar-SA"/>
      </w:rPr>
    </w:lvl>
  </w:abstractNum>
  <w:abstractNum w:abstractNumId="4">
    <w:multiLevelType w:val="hybridMultilevel"/>
    <w:lvl w:ilvl="0">
      <w:start w:val="2"/>
      <w:numFmt w:val="decimal"/>
      <w:lvlText w:val="%1"/>
      <w:lvlJc w:val="left"/>
      <w:pPr>
        <w:ind w:left="1228" w:hanging="749"/>
        <w:jc w:val="left"/>
      </w:pPr>
      <w:rPr>
        <w:rFonts w:hint="default"/>
        <w:lang w:val="en-US" w:eastAsia="zh-CN" w:bidi="ar-SA"/>
      </w:rPr>
    </w:lvl>
    <w:lvl w:ilvl="1">
      <w:start w:val="3"/>
      <w:numFmt w:val="decimal"/>
      <w:lvlText w:val="%1.%2"/>
      <w:lvlJc w:val="left"/>
      <w:pPr>
        <w:ind w:left="1228" w:hanging="749"/>
        <w:jc w:val="left"/>
      </w:pPr>
      <w:rPr>
        <w:rFonts w:hint="default"/>
        <w:lang w:val="en-US" w:eastAsia="zh-CN" w:bidi="ar-SA"/>
      </w:rPr>
    </w:lvl>
    <w:lvl w:ilvl="2">
      <w:start w:val="4"/>
      <w:numFmt w:val="decimal"/>
      <w:lvlText w:val="%1.%2.%3"/>
      <w:lvlJc w:val="left"/>
      <w:pPr>
        <w:ind w:left="1228" w:hanging="749"/>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717" w:hanging="721"/>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3407" w:hanging="721"/>
      </w:pPr>
      <w:rPr>
        <w:rFonts w:hint="default"/>
        <w:lang w:val="en-US" w:eastAsia="zh-CN" w:bidi="ar-SA"/>
      </w:rPr>
    </w:lvl>
    <w:lvl w:ilvl="5">
      <w:start w:val="0"/>
      <w:numFmt w:val="bullet"/>
      <w:lvlText w:val="•"/>
      <w:lvlJc w:val="left"/>
      <w:pPr>
        <w:ind w:left="3303" w:hanging="721"/>
      </w:pPr>
      <w:rPr>
        <w:rFonts w:hint="default"/>
        <w:lang w:val="en-US" w:eastAsia="zh-CN" w:bidi="ar-SA"/>
      </w:rPr>
    </w:lvl>
    <w:lvl w:ilvl="6">
      <w:start w:val="0"/>
      <w:numFmt w:val="bullet"/>
      <w:lvlText w:val="•"/>
      <w:lvlJc w:val="left"/>
      <w:pPr>
        <w:ind w:left="3199" w:hanging="721"/>
      </w:pPr>
      <w:rPr>
        <w:rFonts w:hint="default"/>
        <w:lang w:val="en-US" w:eastAsia="zh-CN" w:bidi="ar-SA"/>
      </w:rPr>
    </w:lvl>
    <w:lvl w:ilvl="7">
      <w:start w:val="0"/>
      <w:numFmt w:val="bullet"/>
      <w:lvlText w:val="•"/>
      <w:lvlJc w:val="left"/>
      <w:pPr>
        <w:ind w:left="3094" w:hanging="721"/>
      </w:pPr>
      <w:rPr>
        <w:rFonts w:hint="default"/>
        <w:lang w:val="en-US" w:eastAsia="zh-CN" w:bidi="ar-SA"/>
      </w:rPr>
    </w:lvl>
    <w:lvl w:ilvl="8">
      <w:start w:val="0"/>
      <w:numFmt w:val="bullet"/>
      <w:lvlText w:val="•"/>
      <w:lvlJc w:val="left"/>
      <w:pPr>
        <w:ind w:left="2990" w:hanging="721"/>
      </w:pPr>
      <w:rPr>
        <w:rFonts w:hint="default"/>
        <w:lang w:val="en-US" w:eastAsia="zh-CN" w:bidi="ar-SA"/>
      </w:rPr>
    </w:lvl>
  </w:abstractNum>
  <w:abstractNum w:abstractNumId="3">
    <w:multiLevelType w:val="hybridMultilevel"/>
    <w:lvl w:ilvl="0">
      <w:start w:val="2"/>
      <w:numFmt w:val="decimal"/>
      <w:lvlText w:val="%1"/>
      <w:lvlJc w:val="left"/>
      <w:pPr>
        <w:ind w:left="1228" w:hanging="961"/>
        <w:jc w:val="left"/>
      </w:pPr>
      <w:rPr>
        <w:rFonts w:hint="default" w:ascii="宋体" w:hAnsi="宋体" w:eastAsia="宋体" w:cs="宋体"/>
        <w:b/>
        <w:bCs/>
        <w:i w:val="0"/>
        <w:iCs w:val="0"/>
        <w:w w:val="99"/>
        <w:position w:val="-5"/>
        <w:sz w:val="40"/>
        <w:szCs w:val="40"/>
        <w:lang w:val="en-US" w:eastAsia="zh-CN" w:bidi="ar-SA"/>
      </w:rPr>
    </w:lvl>
    <w:lvl w:ilvl="1">
      <w:start w:val="1"/>
      <w:numFmt w:val="decimal"/>
      <w:lvlText w:val="%1.%2"/>
      <w:lvlJc w:val="left"/>
      <w:pPr>
        <w:ind w:left="2997" w:hanging="96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717" w:hanging="72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602" w:hanging="721"/>
      </w:pPr>
      <w:rPr>
        <w:rFonts w:hint="default"/>
        <w:lang w:val="en-US" w:eastAsia="zh-CN" w:bidi="ar-SA"/>
      </w:rPr>
    </w:lvl>
    <w:lvl w:ilvl="4">
      <w:start w:val="0"/>
      <w:numFmt w:val="bullet"/>
      <w:lvlText w:val="•"/>
      <w:lvlJc w:val="left"/>
      <w:pPr>
        <w:ind w:left="3485" w:hanging="721"/>
      </w:pPr>
      <w:rPr>
        <w:rFonts w:hint="default"/>
        <w:lang w:val="en-US" w:eastAsia="zh-CN" w:bidi="ar-SA"/>
      </w:rPr>
    </w:lvl>
    <w:lvl w:ilvl="5">
      <w:start w:val="0"/>
      <w:numFmt w:val="bullet"/>
      <w:lvlText w:val="•"/>
      <w:lvlJc w:val="left"/>
      <w:pPr>
        <w:ind w:left="3368" w:hanging="721"/>
      </w:pPr>
      <w:rPr>
        <w:rFonts w:hint="default"/>
        <w:lang w:val="en-US" w:eastAsia="zh-CN" w:bidi="ar-SA"/>
      </w:rPr>
    </w:lvl>
    <w:lvl w:ilvl="6">
      <w:start w:val="0"/>
      <w:numFmt w:val="bullet"/>
      <w:lvlText w:val="•"/>
      <w:lvlJc w:val="left"/>
      <w:pPr>
        <w:ind w:left="3251" w:hanging="721"/>
      </w:pPr>
      <w:rPr>
        <w:rFonts w:hint="default"/>
        <w:lang w:val="en-US" w:eastAsia="zh-CN" w:bidi="ar-SA"/>
      </w:rPr>
    </w:lvl>
    <w:lvl w:ilvl="7">
      <w:start w:val="0"/>
      <w:numFmt w:val="bullet"/>
      <w:lvlText w:val="•"/>
      <w:lvlJc w:val="left"/>
      <w:pPr>
        <w:ind w:left="3134" w:hanging="721"/>
      </w:pPr>
      <w:rPr>
        <w:rFonts w:hint="default"/>
        <w:lang w:val="en-US" w:eastAsia="zh-CN" w:bidi="ar-SA"/>
      </w:rPr>
    </w:lvl>
    <w:lvl w:ilvl="8">
      <w:start w:val="0"/>
      <w:numFmt w:val="bullet"/>
      <w:lvlText w:val="•"/>
      <w:lvlJc w:val="left"/>
      <w:pPr>
        <w:ind w:left="3016" w:hanging="721"/>
      </w:pPr>
      <w:rPr>
        <w:rFonts w:hint="default"/>
        <w:lang w:val="en-US" w:eastAsia="zh-CN" w:bidi="ar-SA"/>
      </w:rPr>
    </w:lvl>
  </w:abstractNum>
  <w:abstractNum w:abstractNumId="2">
    <w:multiLevelType w:val="hybridMultilevel"/>
    <w:lvl w:ilvl="0">
      <w:start w:val="6"/>
      <w:numFmt w:val="decimal"/>
      <w:lvlText w:val="%1"/>
      <w:lvlJc w:val="left"/>
      <w:pPr>
        <w:ind w:left="1811" w:hanging="423"/>
        <w:jc w:val="left"/>
      </w:pPr>
      <w:rPr>
        <w:rFonts w:hint="default"/>
        <w:lang w:val="en-US" w:eastAsia="zh-CN" w:bidi="ar-SA"/>
      </w:rPr>
    </w:lvl>
    <w:lvl w:ilvl="1">
      <w:start w:val="6"/>
      <w:numFmt w:val="decimal"/>
      <w:lvlText w:val="%1.%2"/>
      <w:lvlJc w:val="left"/>
      <w:pPr>
        <w:ind w:left="181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600" w:hanging="423"/>
      </w:pPr>
      <w:rPr>
        <w:rFonts w:hint="default"/>
        <w:lang w:val="en-US" w:eastAsia="zh-CN" w:bidi="ar-SA"/>
      </w:rPr>
    </w:lvl>
    <w:lvl w:ilvl="3">
      <w:start w:val="0"/>
      <w:numFmt w:val="bullet"/>
      <w:lvlText w:val="•"/>
      <w:lvlJc w:val="left"/>
      <w:pPr>
        <w:ind w:left="2990" w:hanging="423"/>
      </w:pPr>
      <w:rPr>
        <w:rFonts w:hint="default"/>
        <w:lang w:val="en-US" w:eastAsia="zh-CN" w:bidi="ar-SA"/>
      </w:rPr>
    </w:lvl>
    <w:lvl w:ilvl="4">
      <w:start w:val="0"/>
      <w:numFmt w:val="bullet"/>
      <w:lvlText w:val="•"/>
      <w:lvlJc w:val="left"/>
      <w:pPr>
        <w:ind w:left="3380" w:hanging="423"/>
      </w:pPr>
      <w:rPr>
        <w:rFonts w:hint="default"/>
        <w:lang w:val="en-US" w:eastAsia="zh-CN" w:bidi="ar-SA"/>
      </w:rPr>
    </w:lvl>
    <w:lvl w:ilvl="5">
      <w:start w:val="0"/>
      <w:numFmt w:val="bullet"/>
      <w:lvlText w:val="•"/>
      <w:lvlJc w:val="left"/>
      <w:pPr>
        <w:ind w:left="3770" w:hanging="423"/>
      </w:pPr>
      <w:rPr>
        <w:rFonts w:hint="default"/>
        <w:lang w:val="en-US" w:eastAsia="zh-CN" w:bidi="ar-SA"/>
      </w:rPr>
    </w:lvl>
    <w:lvl w:ilvl="6">
      <w:start w:val="0"/>
      <w:numFmt w:val="bullet"/>
      <w:lvlText w:val="•"/>
      <w:lvlJc w:val="left"/>
      <w:pPr>
        <w:ind w:left="4160" w:hanging="423"/>
      </w:pPr>
      <w:rPr>
        <w:rFonts w:hint="default"/>
        <w:lang w:val="en-US" w:eastAsia="zh-CN" w:bidi="ar-SA"/>
      </w:rPr>
    </w:lvl>
    <w:lvl w:ilvl="7">
      <w:start w:val="0"/>
      <w:numFmt w:val="bullet"/>
      <w:lvlText w:val="•"/>
      <w:lvlJc w:val="left"/>
      <w:pPr>
        <w:ind w:left="4550" w:hanging="423"/>
      </w:pPr>
      <w:rPr>
        <w:rFonts w:hint="default"/>
        <w:lang w:val="en-US" w:eastAsia="zh-CN" w:bidi="ar-SA"/>
      </w:rPr>
    </w:lvl>
    <w:lvl w:ilvl="8">
      <w:start w:val="0"/>
      <w:numFmt w:val="bullet"/>
      <w:lvlText w:val="•"/>
      <w:lvlJc w:val="left"/>
      <w:pPr>
        <w:ind w:left="4940" w:hanging="423"/>
      </w:pPr>
      <w:rPr>
        <w:rFonts w:hint="default"/>
        <w:lang w:val="en-US" w:eastAsia="zh-CN" w:bidi="ar-SA"/>
      </w:rPr>
    </w:lvl>
  </w:abstractNum>
  <w:abstractNum w:abstractNumId="1">
    <w:multiLevelType w:val="hybridMultilevel"/>
    <w:lvl w:ilvl="0">
      <w:start w:val="6"/>
      <w:numFmt w:val="decimal"/>
      <w:lvlText w:val="%1."/>
      <w:lvlJc w:val="left"/>
      <w:pPr>
        <w:ind w:left="2018" w:hanging="213"/>
        <w:jc w:val="left"/>
      </w:pPr>
      <w:rPr>
        <w:rFonts w:hint="default" w:ascii="宋体" w:hAnsi="宋体" w:eastAsia="宋体" w:cs="宋体"/>
        <w:b/>
        <w:bCs/>
        <w:i w:val="0"/>
        <w:iCs w:val="0"/>
        <w:w w:val="99"/>
        <w:sz w:val="19"/>
        <w:szCs w:val="19"/>
        <w:lang w:val="en-US" w:eastAsia="zh-CN" w:bidi="ar-SA"/>
      </w:rPr>
    </w:lvl>
    <w:lvl w:ilvl="1">
      <w:start w:val="3"/>
      <w:numFmt w:val="decimal"/>
      <w:lvlText w:val="%2."/>
      <w:lvlJc w:val="left"/>
      <w:pPr>
        <w:ind w:left="2455" w:hanging="213"/>
        <w:jc w:val="left"/>
      </w:pPr>
      <w:rPr>
        <w:rFonts w:hint="default" w:ascii="宋体" w:hAnsi="宋体" w:eastAsia="宋体" w:cs="宋体"/>
        <w:b/>
        <w:bCs/>
        <w:i w:val="0"/>
        <w:iCs w:val="0"/>
        <w:w w:val="99"/>
        <w:sz w:val="19"/>
        <w:szCs w:val="19"/>
        <w:lang w:val="en-US" w:eastAsia="zh-CN" w:bidi="ar-SA"/>
      </w:rPr>
    </w:lvl>
    <w:lvl w:ilvl="2">
      <w:start w:val="1"/>
      <w:numFmt w:val="decimal"/>
      <w:lvlText w:val="%2.%3"/>
      <w:lvlJc w:val="left"/>
      <w:pPr>
        <w:ind w:left="2877"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2593" w:hanging="423"/>
      </w:pPr>
      <w:rPr>
        <w:rFonts w:hint="default"/>
        <w:lang w:val="en-US" w:eastAsia="zh-CN" w:bidi="ar-SA"/>
      </w:rPr>
    </w:lvl>
    <w:lvl w:ilvl="4">
      <w:start w:val="0"/>
      <w:numFmt w:val="bullet"/>
      <w:lvlText w:val="•"/>
      <w:lvlJc w:val="left"/>
      <w:pPr>
        <w:ind w:left="2307" w:hanging="423"/>
      </w:pPr>
      <w:rPr>
        <w:rFonts w:hint="default"/>
        <w:lang w:val="en-US" w:eastAsia="zh-CN" w:bidi="ar-SA"/>
      </w:rPr>
    </w:lvl>
    <w:lvl w:ilvl="5">
      <w:start w:val="0"/>
      <w:numFmt w:val="bullet"/>
      <w:lvlText w:val="•"/>
      <w:lvlJc w:val="left"/>
      <w:pPr>
        <w:ind w:left="2020" w:hanging="423"/>
      </w:pPr>
      <w:rPr>
        <w:rFonts w:hint="default"/>
        <w:lang w:val="en-US" w:eastAsia="zh-CN" w:bidi="ar-SA"/>
      </w:rPr>
    </w:lvl>
    <w:lvl w:ilvl="6">
      <w:start w:val="0"/>
      <w:numFmt w:val="bullet"/>
      <w:lvlText w:val="•"/>
      <w:lvlJc w:val="left"/>
      <w:pPr>
        <w:ind w:left="1734" w:hanging="423"/>
      </w:pPr>
      <w:rPr>
        <w:rFonts w:hint="default"/>
        <w:lang w:val="en-US" w:eastAsia="zh-CN" w:bidi="ar-SA"/>
      </w:rPr>
    </w:lvl>
    <w:lvl w:ilvl="7">
      <w:start w:val="0"/>
      <w:numFmt w:val="bullet"/>
      <w:lvlText w:val="•"/>
      <w:lvlJc w:val="left"/>
      <w:pPr>
        <w:ind w:left="1448" w:hanging="423"/>
      </w:pPr>
      <w:rPr>
        <w:rFonts w:hint="default"/>
        <w:lang w:val="en-US" w:eastAsia="zh-CN" w:bidi="ar-SA"/>
      </w:rPr>
    </w:lvl>
    <w:lvl w:ilvl="8">
      <w:start w:val="0"/>
      <w:numFmt w:val="bullet"/>
      <w:lvlText w:val="•"/>
      <w:lvlJc w:val="left"/>
      <w:pPr>
        <w:ind w:left="1161" w:hanging="423"/>
      </w:pPr>
      <w:rPr>
        <w:rFonts w:hint="default"/>
        <w:lang w:val="en-US" w:eastAsia="zh-CN" w:bidi="ar-SA"/>
      </w:rPr>
    </w:lvl>
  </w:abstractNum>
  <w:abstractNum w:abstractNumId="0">
    <w:multiLevelType w:val="hybridMultilevel"/>
    <w:lvl w:ilvl="0">
      <w:start w:val="0"/>
      <w:numFmt w:val="bullet"/>
      <w:lvlText w:val=""/>
      <w:lvlJc w:val="left"/>
      <w:pPr>
        <w:ind w:left="1106" w:hanging="420"/>
      </w:pPr>
      <w:rPr>
        <w:rFonts w:hint="default" w:ascii="Wingdings" w:hAnsi="Wingdings" w:eastAsia="Wingdings" w:cs="Wingdings"/>
        <w:b w:val="0"/>
        <w:bCs w:val="0"/>
        <w:i w:val="0"/>
        <w:iCs w:val="0"/>
        <w:w w:val="100"/>
        <w:sz w:val="21"/>
        <w:szCs w:val="21"/>
        <w:lang w:val="en-US" w:eastAsia="zh-CN" w:bidi="ar-SA"/>
      </w:rPr>
    </w:lvl>
    <w:lvl w:ilvl="1">
      <w:start w:val="2"/>
      <w:numFmt w:val="decimal"/>
      <w:lvlText w:val="%2."/>
      <w:lvlJc w:val="left"/>
      <w:pPr>
        <w:ind w:left="2455" w:hanging="213"/>
        <w:jc w:val="left"/>
      </w:pPr>
      <w:rPr>
        <w:rFonts w:hint="default" w:ascii="宋体" w:hAnsi="宋体" w:eastAsia="宋体" w:cs="宋体"/>
        <w:b/>
        <w:bCs/>
        <w:i w:val="0"/>
        <w:iCs w:val="0"/>
        <w:w w:val="99"/>
        <w:sz w:val="19"/>
        <w:szCs w:val="19"/>
        <w:lang w:val="en-US" w:eastAsia="zh-CN" w:bidi="ar-SA"/>
      </w:rPr>
    </w:lvl>
    <w:lvl w:ilvl="2">
      <w:start w:val="1"/>
      <w:numFmt w:val="decimal"/>
      <w:lvlText w:val="%2.%3"/>
      <w:lvlJc w:val="left"/>
      <w:pPr>
        <w:ind w:left="2877"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2984" w:hanging="423"/>
      </w:pPr>
      <w:rPr>
        <w:rFonts w:hint="default"/>
        <w:lang w:val="en-US" w:eastAsia="zh-CN" w:bidi="ar-SA"/>
      </w:rPr>
    </w:lvl>
    <w:lvl w:ilvl="4">
      <w:start w:val="0"/>
      <w:numFmt w:val="bullet"/>
      <w:lvlText w:val="•"/>
      <w:lvlJc w:val="left"/>
      <w:pPr>
        <w:ind w:left="3089" w:hanging="423"/>
      </w:pPr>
      <w:rPr>
        <w:rFonts w:hint="default"/>
        <w:lang w:val="en-US" w:eastAsia="zh-CN" w:bidi="ar-SA"/>
      </w:rPr>
    </w:lvl>
    <w:lvl w:ilvl="5">
      <w:start w:val="0"/>
      <w:numFmt w:val="bullet"/>
      <w:lvlText w:val="•"/>
      <w:lvlJc w:val="left"/>
      <w:pPr>
        <w:ind w:left="3194" w:hanging="423"/>
      </w:pPr>
      <w:rPr>
        <w:rFonts w:hint="default"/>
        <w:lang w:val="en-US" w:eastAsia="zh-CN" w:bidi="ar-SA"/>
      </w:rPr>
    </w:lvl>
    <w:lvl w:ilvl="6">
      <w:start w:val="0"/>
      <w:numFmt w:val="bullet"/>
      <w:lvlText w:val="•"/>
      <w:lvlJc w:val="left"/>
      <w:pPr>
        <w:ind w:left="3298" w:hanging="423"/>
      </w:pPr>
      <w:rPr>
        <w:rFonts w:hint="default"/>
        <w:lang w:val="en-US" w:eastAsia="zh-CN" w:bidi="ar-SA"/>
      </w:rPr>
    </w:lvl>
    <w:lvl w:ilvl="7">
      <w:start w:val="0"/>
      <w:numFmt w:val="bullet"/>
      <w:lvlText w:val="•"/>
      <w:lvlJc w:val="left"/>
      <w:pPr>
        <w:ind w:left="3403" w:hanging="423"/>
      </w:pPr>
      <w:rPr>
        <w:rFonts w:hint="default"/>
        <w:lang w:val="en-US" w:eastAsia="zh-CN" w:bidi="ar-SA"/>
      </w:rPr>
    </w:lvl>
    <w:lvl w:ilvl="8">
      <w:start w:val="0"/>
      <w:numFmt w:val="bullet"/>
      <w:lvlText w:val="•"/>
      <w:lvlJc w:val="left"/>
      <w:pPr>
        <w:ind w:left="3508" w:hanging="423"/>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1228" w:right="3119"/>
      <w:jc w:val="center"/>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ind w:left="1228" w:hanging="962"/>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1228"/>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3717" w:hanging="721"/>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2023-06-02T06:34:17Z</dcterms:created>
  <dcterms:modified xsi:type="dcterms:W3CDTF">2023-06-02T06:34:17Z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