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8" w:after="4"/>
        <w:ind w:left="0" w:right="713" w:firstLine="0"/>
        <w:jc w:val="right"/>
        <w:rPr>
          <w:sz w:val="18"/>
        </w:rPr>
      </w:pPr>
      <w:r>
        <w:rPr>
          <w:sz w:val="18"/>
        </w:rPr>
        <w:t>复星联合健康保险〔</w:t>
      </w:r>
      <w:r>
        <w:rPr>
          <w:rFonts w:ascii="Times New Roman" w:eastAsia="Times New Roman"/>
          <w:sz w:val="18"/>
        </w:rPr>
        <w:t>2021</w:t>
      </w:r>
      <w:r>
        <w:rPr>
          <w:spacing w:val="-8"/>
          <w:sz w:val="18"/>
        </w:rPr>
        <w:t xml:space="preserve">〕疾病保险 </w:t>
      </w:r>
      <w:r>
        <w:rPr>
          <w:rFonts w:ascii="Times New Roman" w:eastAsia="Times New Roman"/>
          <w:sz w:val="18"/>
        </w:rPr>
        <w:t>023</w:t>
      </w:r>
      <w:r>
        <w:rPr>
          <w:rFonts w:ascii="Times New Roman" w:eastAsia="Times New Roman"/>
          <w:spacing w:val="-1"/>
          <w:sz w:val="18"/>
        </w:rPr>
        <w:t xml:space="preserve"> </w:t>
      </w:r>
      <w:r>
        <w:rPr>
          <w:spacing w:val="-10"/>
          <w:sz w:val="18"/>
        </w:rPr>
        <w:t>号</w:t>
      </w:r>
    </w:p>
    <w:p>
      <w:pPr>
        <w:pStyle w:val="4"/>
        <w:ind w:left="8766"/>
        <w:rPr>
          <w:sz w:val="20"/>
        </w:rPr>
      </w:pPr>
      <w:r>
        <w:rPr>
          <w:sz w:val="20"/>
        </w:rPr>
        <w:drawing>
          <wp:inline distT="0" distB="0" distL="0" distR="0">
            <wp:extent cx="72453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4637" cy="723900"/>
                    </a:xfrm>
                    <a:prstGeom prst="rect">
                      <a:avLst/>
                    </a:prstGeom>
                  </pic:spPr>
                </pic:pic>
              </a:graphicData>
            </a:graphic>
          </wp:inline>
        </w:drawing>
      </w:r>
    </w:p>
    <w:p>
      <w:pPr>
        <w:spacing w:before="0"/>
        <w:ind w:left="0" w:right="716" w:firstLine="0"/>
        <w:jc w:val="right"/>
        <w:rPr>
          <w:sz w:val="18"/>
        </w:rPr>
      </w:pPr>
      <w:r>
        <w:rPr>
          <w:spacing w:val="-1"/>
          <w:sz w:val="18"/>
        </w:rPr>
        <w:t>请扫描以查询验证条款</w:t>
      </w:r>
    </w:p>
    <w:p>
      <w:pPr>
        <w:pStyle w:val="4"/>
        <w:rPr>
          <w:sz w:val="20"/>
        </w:rPr>
      </w:pPr>
    </w:p>
    <w:p>
      <w:pPr>
        <w:pStyle w:val="2"/>
        <w:spacing w:before="191"/>
        <w:ind w:left="2345" w:right="2762"/>
      </w:pPr>
      <w:bookmarkStart w:id="0" w:name="_GoBack"/>
      <w:r>
        <w:rPr>
          <w:w w:val="95"/>
        </w:rPr>
        <w:t>复星联合药神一号（2021版）疾病保险条</w:t>
      </w:r>
      <w:r>
        <w:rPr>
          <w:spacing w:val="-10"/>
          <w:w w:val="95"/>
        </w:rPr>
        <w:t>款</w:t>
      </w:r>
      <w:bookmarkEnd w:id="0"/>
    </w:p>
    <w:p>
      <w:pPr>
        <w:pStyle w:val="4"/>
        <w:spacing w:before="9"/>
        <w:rPr>
          <w:b/>
          <w:sz w:val="20"/>
        </w:rPr>
      </w:pPr>
    </w:p>
    <w:p>
      <w:pPr>
        <w:spacing w:before="0"/>
        <w:ind w:left="2276" w:right="2832" w:firstLine="0"/>
        <w:jc w:val="center"/>
        <w:rPr>
          <w:b/>
          <w:sz w:val="28"/>
        </w:rPr>
      </w:pPr>
      <w:r>
        <w:rPr>
          <w:b/>
          <w:w w:val="95"/>
          <w:sz w:val="28"/>
        </w:rPr>
        <w:t>阅读</w:t>
      </w:r>
      <w:r>
        <w:rPr>
          <w:b/>
          <w:spacing w:val="-5"/>
          <w:w w:val="95"/>
          <w:sz w:val="28"/>
        </w:rPr>
        <w:t>指引</w:t>
      </w:r>
    </w:p>
    <w:p>
      <w:pPr>
        <w:pStyle w:val="4"/>
        <w:spacing w:before="155"/>
        <w:ind w:left="582"/>
      </w:pPr>
      <w:r>
        <w:rPr>
          <w:spacing w:val="-2"/>
        </w:rPr>
        <w:t>本阅读指引助您理解复星联合健康保险股份有限公司（以下简称“本公司”）</w:t>
      </w:r>
      <w:r>
        <w:rPr>
          <w:spacing w:val="-3"/>
        </w:rPr>
        <w:t>《复星联合药神一号</w:t>
      </w:r>
    </w:p>
    <w:p>
      <w:pPr>
        <w:pStyle w:val="4"/>
        <w:spacing w:before="43"/>
        <w:ind w:left="160"/>
      </w:pPr>
      <w:r>
        <w:rPr>
          <w:spacing w:val="-2"/>
        </w:rPr>
        <w:t>（2021版）疾病保险条款》（以下简称“本保险条款</w:t>
      </w:r>
      <w:r>
        <w:rPr>
          <w:spacing w:val="-5"/>
        </w:rPr>
        <w:t>”）</w:t>
      </w:r>
    </w:p>
    <w:p>
      <w:pPr>
        <w:spacing w:before="59"/>
        <w:ind w:left="160" w:right="0" w:firstLine="0"/>
        <w:jc w:val="left"/>
        <w:rPr>
          <w:b/>
          <w:sz w:val="21"/>
        </w:rPr>
      </w:pPr>
      <w:r>
        <w:rPr>
          <w:rFonts w:ascii="Wingdings 2" w:hAnsi="Wingdings 2" w:eastAsia="Wingdings 2"/>
          <w:b/>
          <w:spacing w:val="-2"/>
          <w:position w:val="-11"/>
          <w:sz w:val="52"/>
        </w:rPr>
        <w:t></w:t>
      </w:r>
      <w:r>
        <w:rPr>
          <w:b/>
          <w:spacing w:val="-4"/>
          <w:sz w:val="21"/>
        </w:rPr>
        <w:t>拥有的重要权益</w:t>
      </w:r>
    </w:p>
    <w:p>
      <w:pPr>
        <w:pStyle w:val="8"/>
        <w:numPr>
          <w:ilvl w:val="0"/>
          <w:numId w:val="1"/>
        </w:numPr>
        <w:tabs>
          <w:tab w:val="left" w:pos="1105"/>
          <w:tab w:val="left" w:pos="1106"/>
          <w:tab w:val="right" w:leader="dot" w:pos="9617"/>
        </w:tabs>
        <w:spacing w:before="60" w:after="0" w:line="240" w:lineRule="auto"/>
        <w:ind w:left="1106" w:right="0" w:hanging="420"/>
        <w:jc w:val="left"/>
        <w:rPr>
          <w:sz w:val="21"/>
        </w:rPr>
      </w:pPr>
      <w:r>
        <w:rPr>
          <w:spacing w:val="-2"/>
          <w:sz w:val="21"/>
        </w:rPr>
        <w:t>被保险人享有的保险保</w:t>
      </w:r>
      <w:r>
        <w:rPr>
          <w:spacing w:val="-10"/>
          <w:sz w:val="21"/>
        </w:rPr>
        <w:t>障</w:t>
      </w:r>
      <w:r>
        <w:rPr>
          <w:rFonts w:ascii="Times New Roman" w:hAnsi="Times New Roman" w:eastAsia="Times New Roman"/>
          <w:sz w:val="21"/>
        </w:rPr>
        <w:tab/>
      </w:r>
      <w:r>
        <w:rPr>
          <w:spacing w:val="-5"/>
          <w:sz w:val="21"/>
        </w:rPr>
        <w:t>2.3</w:t>
      </w:r>
    </w:p>
    <w:p>
      <w:pPr>
        <w:pStyle w:val="8"/>
        <w:numPr>
          <w:ilvl w:val="0"/>
          <w:numId w:val="1"/>
        </w:numPr>
        <w:tabs>
          <w:tab w:val="left" w:pos="1105"/>
          <w:tab w:val="left" w:pos="1106"/>
          <w:tab w:val="right" w:leader="dot" w:pos="9615"/>
        </w:tabs>
        <w:spacing w:before="43" w:after="0" w:line="240" w:lineRule="auto"/>
        <w:ind w:left="1106" w:right="0" w:hanging="420"/>
        <w:jc w:val="left"/>
        <w:rPr>
          <w:sz w:val="21"/>
        </w:rPr>
      </w:pPr>
      <w:r>
        <w:rPr>
          <w:spacing w:val="-2"/>
          <w:sz w:val="21"/>
        </w:rPr>
        <w:t>投保人有解除合同的权</w:t>
      </w:r>
      <w:r>
        <w:rPr>
          <w:spacing w:val="-10"/>
          <w:sz w:val="21"/>
        </w:rPr>
        <w:t>利</w:t>
      </w:r>
      <w:r>
        <w:rPr>
          <w:rFonts w:ascii="Times New Roman" w:hAnsi="Times New Roman" w:eastAsia="Times New Roman"/>
          <w:sz w:val="21"/>
        </w:rPr>
        <w:tab/>
      </w:r>
      <w:r>
        <w:rPr>
          <w:spacing w:val="-5"/>
          <w:sz w:val="21"/>
        </w:rPr>
        <w:t>5.1</w:t>
      </w:r>
    </w:p>
    <w:p>
      <w:pPr>
        <w:spacing w:before="60"/>
        <w:ind w:left="160" w:right="0" w:firstLine="0"/>
        <w:jc w:val="left"/>
        <w:rPr>
          <w:b/>
          <w:sz w:val="21"/>
        </w:rPr>
      </w:pPr>
      <w:r>
        <w:rPr>
          <w:rFonts w:ascii="Wingdings 2" w:hAnsi="Wingdings 2" w:eastAsia="Wingdings 2"/>
          <w:b/>
          <w:spacing w:val="-2"/>
          <w:position w:val="-11"/>
          <w:sz w:val="52"/>
        </w:rPr>
        <w:t></w:t>
      </w:r>
      <w:r>
        <w:rPr>
          <w:b/>
          <w:spacing w:val="-3"/>
          <w:sz w:val="21"/>
        </w:rPr>
        <w:t>应当特别注意的事项</w:t>
      </w:r>
    </w:p>
    <w:p>
      <w:pPr>
        <w:pStyle w:val="8"/>
        <w:numPr>
          <w:ilvl w:val="0"/>
          <w:numId w:val="1"/>
        </w:numPr>
        <w:tabs>
          <w:tab w:val="left" w:pos="1105"/>
          <w:tab w:val="left" w:pos="1106"/>
          <w:tab w:val="right" w:leader="dot" w:pos="9617"/>
        </w:tabs>
        <w:spacing w:before="59" w:after="0" w:line="240" w:lineRule="auto"/>
        <w:ind w:left="1106" w:right="0" w:hanging="420"/>
        <w:jc w:val="left"/>
        <w:rPr>
          <w:sz w:val="21"/>
        </w:rPr>
      </w:pPr>
      <w:r>
        <w:rPr>
          <w:spacing w:val="-2"/>
          <w:sz w:val="21"/>
        </w:rPr>
        <w:t>在某些情况下，本公司不承担保险责任</w:t>
      </w:r>
      <w:r>
        <w:rPr>
          <w:spacing w:val="-10"/>
          <w:sz w:val="21"/>
        </w:rPr>
        <w:t>…</w:t>
      </w:r>
      <w:r>
        <w:rPr>
          <w:rFonts w:ascii="Times New Roman" w:hAnsi="Times New Roman" w:eastAsia="Times New Roman"/>
          <w:sz w:val="21"/>
        </w:rPr>
        <w:tab/>
      </w:r>
      <w:r>
        <w:rPr>
          <w:spacing w:val="-5"/>
          <w:sz w:val="21"/>
        </w:rPr>
        <w:t>2.4</w:t>
      </w:r>
    </w:p>
    <w:p>
      <w:pPr>
        <w:pStyle w:val="8"/>
        <w:numPr>
          <w:ilvl w:val="0"/>
          <w:numId w:val="1"/>
        </w:numPr>
        <w:tabs>
          <w:tab w:val="left" w:pos="1105"/>
          <w:tab w:val="left" w:pos="1106"/>
          <w:tab w:val="right" w:leader="dot" w:pos="9617"/>
        </w:tabs>
        <w:spacing w:before="43" w:after="0" w:line="240" w:lineRule="auto"/>
        <w:ind w:left="1106" w:right="0" w:hanging="420"/>
        <w:jc w:val="left"/>
        <w:rPr>
          <w:sz w:val="21"/>
        </w:rPr>
      </w:pPr>
      <w:r>
        <w:rPr>
          <w:spacing w:val="-2"/>
          <w:sz w:val="21"/>
        </w:rPr>
        <w:t>及时向本公司通知保险事故的责任</w:t>
      </w:r>
      <w:r>
        <w:rPr>
          <w:spacing w:val="-10"/>
          <w:sz w:val="21"/>
        </w:rPr>
        <w:t>…</w:t>
      </w:r>
      <w:r>
        <w:rPr>
          <w:rFonts w:ascii="Times New Roman" w:hAnsi="Times New Roman" w:eastAsia="Times New Roman"/>
          <w:sz w:val="21"/>
        </w:rPr>
        <w:tab/>
      </w:r>
      <w:r>
        <w:rPr>
          <w:spacing w:val="-5"/>
          <w:sz w:val="21"/>
        </w:rPr>
        <w:t>3.2</w:t>
      </w:r>
    </w:p>
    <w:p>
      <w:pPr>
        <w:pStyle w:val="8"/>
        <w:numPr>
          <w:ilvl w:val="0"/>
          <w:numId w:val="1"/>
        </w:numPr>
        <w:tabs>
          <w:tab w:val="left" w:pos="1105"/>
          <w:tab w:val="left" w:pos="1106"/>
          <w:tab w:val="right" w:leader="dot" w:pos="9617"/>
        </w:tabs>
        <w:spacing w:before="43" w:after="0" w:line="240" w:lineRule="auto"/>
        <w:ind w:left="1106" w:right="0" w:hanging="420"/>
        <w:jc w:val="left"/>
        <w:rPr>
          <w:sz w:val="21"/>
        </w:rPr>
      </w:pPr>
      <w:r>
        <w:rPr>
          <w:spacing w:val="-2"/>
          <w:sz w:val="21"/>
        </w:rPr>
        <w:t>应当按时交纳保险</w:t>
      </w:r>
      <w:r>
        <w:rPr>
          <w:spacing w:val="-10"/>
          <w:sz w:val="21"/>
        </w:rPr>
        <w:t>费</w:t>
      </w:r>
      <w:r>
        <w:rPr>
          <w:rFonts w:ascii="Times New Roman" w:hAnsi="Times New Roman" w:eastAsia="Times New Roman"/>
          <w:sz w:val="21"/>
        </w:rPr>
        <w:tab/>
      </w:r>
      <w:r>
        <w:rPr>
          <w:spacing w:val="-5"/>
          <w:sz w:val="21"/>
        </w:rPr>
        <w:t>4.1</w:t>
      </w:r>
    </w:p>
    <w:p>
      <w:pPr>
        <w:pStyle w:val="8"/>
        <w:numPr>
          <w:ilvl w:val="0"/>
          <w:numId w:val="1"/>
        </w:numPr>
        <w:tabs>
          <w:tab w:val="left" w:pos="1105"/>
          <w:tab w:val="left" w:pos="1106"/>
          <w:tab w:val="right" w:leader="dot" w:pos="9615"/>
        </w:tabs>
        <w:spacing w:before="43" w:after="0" w:line="240" w:lineRule="auto"/>
        <w:ind w:left="1106" w:right="0" w:hanging="420"/>
        <w:jc w:val="left"/>
        <w:rPr>
          <w:sz w:val="21"/>
        </w:rPr>
      </w:pPr>
      <w:r>
        <w:rPr>
          <w:spacing w:val="-2"/>
          <w:sz w:val="21"/>
        </w:rPr>
        <w:t>退保会给投保人造成一定的损失，请慎重决</w:t>
      </w:r>
      <w:r>
        <w:rPr>
          <w:spacing w:val="-10"/>
          <w:sz w:val="21"/>
        </w:rPr>
        <w:t>策</w:t>
      </w:r>
      <w:r>
        <w:rPr>
          <w:rFonts w:ascii="Times New Roman" w:hAnsi="Times New Roman" w:eastAsia="Times New Roman"/>
          <w:sz w:val="21"/>
        </w:rPr>
        <w:tab/>
      </w:r>
      <w:r>
        <w:rPr>
          <w:spacing w:val="-5"/>
          <w:sz w:val="21"/>
        </w:rPr>
        <w:t>5.1</w:t>
      </w:r>
    </w:p>
    <w:p>
      <w:pPr>
        <w:pStyle w:val="8"/>
        <w:numPr>
          <w:ilvl w:val="0"/>
          <w:numId w:val="1"/>
        </w:numPr>
        <w:tabs>
          <w:tab w:val="left" w:pos="1105"/>
          <w:tab w:val="left" w:pos="1106"/>
          <w:tab w:val="right" w:leader="dot" w:pos="9615"/>
        </w:tabs>
        <w:spacing w:before="43" w:after="0" w:line="240" w:lineRule="auto"/>
        <w:ind w:left="1106" w:right="0" w:hanging="420"/>
        <w:jc w:val="left"/>
        <w:rPr>
          <w:sz w:val="21"/>
        </w:rPr>
      </w:pPr>
      <w:r>
        <w:rPr>
          <w:spacing w:val="-2"/>
          <w:sz w:val="21"/>
        </w:rPr>
        <w:t>投保人有如实告知的义</w:t>
      </w:r>
      <w:r>
        <w:rPr>
          <w:spacing w:val="-10"/>
          <w:sz w:val="21"/>
        </w:rPr>
        <w:t>务</w:t>
      </w:r>
      <w:r>
        <w:rPr>
          <w:rFonts w:ascii="Times New Roman" w:hAnsi="Times New Roman" w:eastAsia="Times New Roman"/>
          <w:sz w:val="21"/>
        </w:rPr>
        <w:tab/>
      </w:r>
      <w:r>
        <w:rPr>
          <w:spacing w:val="-5"/>
          <w:sz w:val="21"/>
        </w:rPr>
        <w:t>6.1</w:t>
      </w:r>
    </w:p>
    <w:p>
      <w:pPr>
        <w:pStyle w:val="8"/>
        <w:numPr>
          <w:ilvl w:val="0"/>
          <w:numId w:val="1"/>
        </w:numPr>
        <w:tabs>
          <w:tab w:val="left" w:pos="1105"/>
          <w:tab w:val="left" w:pos="1106"/>
        </w:tabs>
        <w:spacing w:before="43" w:after="0" w:line="278" w:lineRule="auto"/>
        <w:ind w:left="1106" w:right="1321" w:hanging="420"/>
        <w:jc w:val="left"/>
        <w:rPr>
          <w:sz w:val="21"/>
        </w:rPr>
      </w:pPr>
      <w:r>
        <w:rPr>
          <w:spacing w:val="-2"/>
          <w:sz w:val="21"/>
        </w:rPr>
        <w:t>本公司对可能影响本合同保障的重要内容进行显著标识，请仔细阅读正文中背景突出显示</w:t>
      </w:r>
      <w:r>
        <w:rPr>
          <w:spacing w:val="-4"/>
          <w:sz w:val="21"/>
        </w:rPr>
        <w:t>的内容</w:t>
      </w:r>
    </w:p>
    <w:p>
      <w:pPr>
        <w:spacing w:before="0" w:line="452" w:lineRule="exact"/>
        <w:ind w:left="16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条款是保险合同的重要内容，为充分保障您的权益，请仔细阅读本保险条款</w:t>
      </w:r>
    </w:p>
    <w:p>
      <w:pPr>
        <w:spacing w:before="0" w:line="474" w:lineRule="exact"/>
        <w:ind w:left="160" w:right="0" w:firstLine="0"/>
        <w:jc w:val="left"/>
        <w:rPr>
          <w:b/>
          <w:sz w:val="21"/>
        </w:rPr>
      </w:pPr>
      <w:r>
        <w:rPr>
          <w:rFonts w:ascii="Wingdings 2" w:hAnsi="Wingdings 2" w:eastAsia="Wingdings 2"/>
          <w:b/>
          <w:spacing w:val="-2"/>
          <w:position w:val="-11"/>
          <w:sz w:val="52"/>
        </w:rPr>
        <w:t></w:t>
      </w:r>
      <w:r>
        <w:rPr>
          <w:b/>
          <w:spacing w:val="-4"/>
          <w:sz w:val="21"/>
        </w:rPr>
        <w:t>条款目录</w:t>
      </w:r>
    </w:p>
    <w:p>
      <w:pPr>
        <w:spacing w:after="0" w:line="474" w:lineRule="exact"/>
        <w:jc w:val="left"/>
        <w:rPr>
          <w:sz w:val="21"/>
        </w:rPr>
        <w:sectPr>
          <w:type w:val="continuous"/>
          <w:pgSz w:w="11910" w:h="16840"/>
          <w:pgMar w:top="480" w:right="360" w:bottom="280" w:left="920" w:header="720" w:footer="720" w:gutter="0"/>
          <w:cols w:space="720" w:num="1"/>
        </w:sectPr>
      </w:pPr>
    </w:p>
    <w:p>
      <w:pPr>
        <w:pStyle w:val="8"/>
        <w:numPr>
          <w:ilvl w:val="1"/>
          <w:numId w:val="1"/>
        </w:numPr>
        <w:tabs>
          <w:tab w:val="left" w:pos="2456"/>
        </w:tabs>
        <w:spacing w:before="170" w:after="0" w:line="265" w:lineRule="exact"/>
        <w:ind w:left="2455" w:right="0" w:hanging="213"/>
        <w:jc w:val="left"/>
        <w:rPr>
          <w:b/>
          <w:sz w:val="21"/>
        </w:rPr>
      </w:pPr>
      <w:r>
        <w:drawing>
          <wp:anchor distT="0" distB="0" distL="0" distR="0" simplePos="0" relativeHeight="251667456" behindDoc="1" locked="0" layoutInCell="1" allowOverlap="1">
            <wp:simplePos x="0" y="0"/>
            <wp:positionH relativeFrom="page">
              <wp:posOffset>1931035</wp:posOffset>
            </wp:positionH>
            <wp:positionV relativeFrom="paragraph">
              <wp:posOffset>102235</wp:posOffset>
            </wp:positionV>
            <wp:extent cx="4187190" cy="371284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4187443" cy="3712794"/>
                    </a:xfrm>
                    <a:prstGeom prst="rect">
                      <a:avLst/>
                    </a:prstGeom>
                  </pic:spPr>
                </pic:pic>
              </a:graphicData>
            </a:graphic>
          </wp:anchor>
        </w:drawing>
      </w:r>
      <w:r>
        <w:rPr>
          <w:b/>
          <w:spacing w:val="-3"/>
          <w:sz w:val="21"/>
        </w:rPr>
        <w:t>合同订立</w:t>
      </w:r>
    </w:p>
    <w:p>
      <w:pPr>
        <w:pStyle w:val="8"/>
        <w:numPr>
          <w:ilvl w:val="2"/>
          <w:numId w:val="1"/>
        </w:numPr>
        <w:tabs>
          <w:tab w:val="left" w:pos="2878"/>
        </w:tabs>
        <w:spacing w:before="0" w:after="0" w:line="260" w:lineRule="exact"/>
        <w:ind w:left="2877" w:right="0" w:hanging="424"/>
        <w:jc w:val="left"/>
        <w:rPr>
          <w:sz w:val="21"/>
        </w:rPr>
      </w:pPr>
      <w:r>
        <w:rPr>
          <w:spacing w:val="-4"/>
          <w:sz w:val="21"/>
        </w:rPr>
        <w:t>合同构成</w:t>
      </w:r>
    </w:p>
    <w:p>
      <w:pPr>
        <w:pStyle w:val="8"/>
        <w:numPr>
          <w:ilvl w:val="2"/>
          <w:numId w:val="1"/>
        </w:numPr>
        <w:tabs>
          <w:tab w:val="left" w:pos="2875"/>
        </w:tabs>
        <w:spacing w:before="0" w:after="0" w:line="259" w:lineRule="exact"/>
        <w:ind w:left="2874" w:right="0" w:hanging="421"/>
        <w:jc w:val="left"/>
        <w:rPr>
          <w:sz w:val="21"/>
        </w:rPr>
      </w:pPr>
      <w:r>
        <w:rPr>
          <w:spacing w:val="-4"/>
          <w:sz w:val="21"/>
        </w:rPr>
        <w:t>合同成立与生效</w:t>
      </w:r>
    </w:p>
    <w:p>
      <w:pPr>
        <w:pStyle w:val="8"/>
        <w:numPr>
          <w:ilvl w:val="2"/>
          <w:numId w:val="1"/>
        </w:numPr>
        <w:tabs>
          <w:tab w:val="left" w:pos="2878"/>
        </w:tabs>
        <w:spacing w:before="0" w:after="0" w:line="264" w:lineRule="exact"/>
        <w:ind w:left="2877" w:right="0" w:hanging="424"/>
        <w:jc w:val="left"/>
        <w:rPr>
          <w:sz w:val="21"/>
        </w:rPr>
      </w:pPr>
      <w:r>
        <w:rPr>
          <w:spacing w:val="-4"/>
          <w:sz w:val="21"/>
        </w:rPr>
        <w:t>投保范围</w:t>
      </w:r>
    </w:p>
    <w:p>
      <w:pPr>
        <w:pStyle w:val="4"/>
        <w:spacing w:before="8"/>
        <w:rPr>
          <w:sz w:val="19"/>
        </w:rPr>
      </w:pPr>
    </w:p>
    <w:p>
      <w:pPr>
        <w:pStyle w:val="8"/>
        <w:numPr>
          <w:ilvl w:val="1"/>
          <w:numId w:val="1"/>
        </w:numPr>
        <w:tabs>
          <w:tab w:val="left" w:pos="2456"/>
        </w:tabs>
        <w:spacing w:before="0" w:after="0" w:line="264" w:lineRule="exact"/>
        <w:ind w:left="2455" w:right="0" w:hanging="213"/>
        <w:jc w:val="left"/>
        <w:rPr>
          <w:b/>
          <w:sz w:val="21"/>
        </w:rPr>
      </w:pPr>
      <w:r>
        <w:rPr>
          <w:b/>
          <w:spacing w:val="-2"/>
          <w:sz w:val="21"/>
        </w:rPr>
        <w:t>提供的保障</w:t>
      </w:r>
    </w:p>
    <w:p>
      <w:pPr>
        <w:pStyle w:val="8"/>
        <w:numPr>
          <w:ilvl w:val="2"/>
          <w:numId w:val="1"/>
        </w:numPr>
        <w:tabs>
          <w:tab w:val="left" w:pos="2878"/>
        </w:tabs>
        <w:spacing w:before="0" w:after="0" w:line="260" w:lineRule="exact"/>
        <w:ind w:left="2877" w:right="0" w:hanging="424"/>
        <w:jc w:val="left"/>
        <w:rPr>
          <w:sz w:val="21"/>
        </w:rPr>
      </w:pPr>
      <w:r>
        <w:rPr>
          <w:spacing w:val="-4"/>
          <w:sz w:val="21"/>
        </w:rPr>
        <w:t>保险金额</w:t>
      </w:r>
    </w:p>
    <w:p>
      <w:pPr>
        <w:pStyle w:val="8"/>
        <w:numPr>
          <w:ilvl w:val="2"/>
          <w:numId w:val="1"/>
        </w:numPr>
        <w:tabs>
          <w:tab w:val="left" w:pos="2878"/>
        </w:tabs>
        <w:spacing w:before="0" w:after="0" w:line="260" w:lineRule="exact"/>
        <w:ind w:left="2877" w:right="0" w:hanging="424"/>
        <w:jc w:val="left"/>
        <w:rPr>
          <w:sz w:val="21"/>
        </w:rPr>
      </w:pPr>
      <w:r>
        <w:rPr>
          <w:spacing w:val="-4"/>
          <w:sz w:val="21"/>
        </w:rPr>
        <w:t>保险期间</w:t>
      </w:r>
    </w:p>
    <w:p>
      <w:pPr>
        <w:pStyle w:val="8"/>
        <w:numPr>
          <w:ilvl w:val="2"/>
          <w:numId w:val="1"/>
        </w:numPr>
        <w:tabs>
          <w:tab w:val="left" w:pos="2878"/>
        </w:tabs>
        <w:spacing w:before="0" w:after="0" w:line="259" w:lineRule="exact"/>
        <w:ind w:left="2877" w:right="0" w:hanging="424"/>
        <w:jc w:val="left"/>
        <w:rPr>
          <w:sz w:val="21"/>
        </w:rPr>
      </w:pPr>
      <w:r>
        <w:rPr>
          <w:spacing w:val="-4"/>
          <w:sz w:val="21"/>
        </w:rPr>
        <w:t>保险责任</w:t>
      </w:r>
    </w:p>
    <w:p>
      <w:pPr>
        <w:pStyle w:val="8"/>
        <w:numPr>
          <w:ilvl w:val="2"/>
          <w:numId w:val="1"/>
        </w:numPr>
        <w:tabs>
          <w:tab w:val="left" w:pos="2878"/>
        </w:tabs>
        <w:spacing w:before="0" w:after="0" w:line="264" w:lineRule="exact"/>
        <w:ind w:left="2877" w:right="0" w:hanging="424"/>
        <w:jc w:val="left"/>
        <w:rPr>
          <w:sz w:val="21"/>
        </w:rPr>
      </w:pPr>
      <w:r>
        <w:rPr>
          <w:spacing w:val="-4"/>
          <w:sz w:val="21"/>
        </w:rPr>
        <w:t>责任免除</w:t>
      </w:r>
    </w:p>
    <w:p>
      <w:pPr>
        <w:pStyle w:val="4"/>
        <w:spacing w:before="9"/>
        <w:rPr>
          <w:sz w:val="19"/>
        </w:rPr>
      </w:pPr>
    </w:p>
    <w:p>
      <w:pPr>
        <w:pStyle w:val="8"/>
        <w:numPr>
          <w:ilvl w:val="1"/>
          <w:numId w:val="1"/>
        </w:numPr>
        <w:tabs>
          <w:tab w:val="left" w:pos="2456"/>
        </w:tabs>
        <w:spacing w:before="0" w:after="0" w:line="264" w:lineRule="exact"/>
        <w:ind w:left="2455" w:right="0" w:hanging="213"/>
        <w:jc w:val="left"/>
        <w:rPr>
          <w:b/>
          <w:sz w:val="21"/>
        </w:rPr>
      </w:pPr>
      <w:r>
        <w:rPr>
          <w:b/>
          <w:spacing w:val="-2"/>
          <w:sz w:val="21"/>
        </w:rPr>
        <w:t>保险金申领</w:t>
      </w:r>
    </w:p>
    <w:p>
      <w:pPr>
        <w:pStyle w:val="8"/>
        <w:numPr>
          <w:ilvl w:val="2"/>
          <w:numId w:val="1"/>
        </w:numPr>
        <w:tabs>
          <w:tab w:val="left" w:pos="2878"/>
        </w:tabs>
        <w:spacing w:before="0" w:after="0" w:line="261" w:lineRule="exact"/>
        <w:ind w:left="2877" w:right="0" w:hanging="424"/>
        <w:jc w:val="left"/>
        <w:rPr>
          <w:sz w:val="21"/>
        </w:rPr>
      </w:pPr>
      <w:r>
        <w:rPr>
          <w:spacing w:val="-5"/>
          <w:sz w:val="21"/>
        </w:rPr>
        <w:t>受益人</w:t>
      </w:r>
    </w:p>
    <w:p>
      <w:pPr>
        <w:pStyle w:val="8"/>
        <w:numPr>
          <w:ilvl w:val="2"/>
          <w:numId w:val="1"/>
        </w:numPr>
        <w:tabs>
          <w:tab w:val="left" w:pos="2875"/>
        </w:tabs>
        <w:spacing w:before="0" w:after="0" w:line="261" w:lineRule="exact"/>
        <w:ind w:left="2874" w:right="0" w:hanging="421"/>
        <w:jc w:val="left"/>
        <w:rPr>
          <w:sz w:val="21"/>
        </w:rPr>
      </w:pPr>
      <w:r>
        <w:rPr>
          <w:spacing w:val="-4"/>
          <w:sz w:val="21"/>
        </w:rPr>
        <w:t>保险事故通知</w:t>
      </w:r>
    </w:p>
    <w:p>
      <w:pPr>
        <w:pStyle w:val="8"/>
        <w:numPr>
          <w:ilvl w:val="2"/>
          <w:numId w:val="1"/>
        </w:numPr>
        <w:tabs>
          <w:tab w:val="left" w:pos="2875"/>
        </w:tabs>
        <w:spacing w:before="0" w:after="0" w:line="259" w:lineRule="exact"/>
        <w:ind w:left="2874" w:right="0" w:hanging="421"/>
        <w:jc w:val="left"/>
        <w:rPr>
          <w:sz w:val="21"/>
        </w:rPr>
      </w:pPr>
      <w:r>
        <w:rPr>
          <w:spacing w:val="-4"/>
          <w:sz w:val="21"/>
        </w:rPr>
        <w:t>保险金申请</w:t>
      </w:r>
    </w:p>
    <w:p>
      <w:pPr>
        <w:pStyle w:val="8"/>
        <w:numPr>
          <w:ilvl w:val="2"/>
          <w:numId w:val="1"/>
        </w:numPr>
        <w:tabs>
          <w:tab w:val="left" w:pos="2875"/>
        </w:tabs>
        <w:spacing w:before="0" w:after="0" w:line="260" w:lineRule="exact"/>
        <w:ind w:left="2874" w:right="0" w:hanging="421"/>
        <w:jc w:val="left"/>
        <w:rPr>
          <w:sz w:val="21"/>
        </w:rPr>
      </w:pPr>
      <w:r>
        <w:rPr>
          <w:spacing w:val="-4"/>
          <w:sz w:val="21"/>
        </w:rPr>
        <w:t>代理申请及其他</w:t>
      </w:r>
    </w:p>
    <w:p>
      <w:pPr>
        <w:pStyle w:val="8"/>
        <w:numPr>
          <w:ilvl w:val="2"/>
          <w:numId w:val="1"/>
        </w:numPr>
        <w:tabs>
          <w:tab w:val="left" w:pos="2875"/>
        </w:tabs>
        <w:spacing w:before="0" w:after="0" w:line="260" w:lineRule="exact"/>
        <w:ind w:left="2874" w:right="0" w:hanging="421"/>
        <w:jc w:val="left"/>
        <w:rPr>
          <w:sz w:val="21"/>
        </w:rPr>
      </w:pPr>
      <w:r>
        <w:rPr>
          <w:spacing w:val="-4"/>
          <w:sz w:val="21"/>
        </w:rPr>
        <w:t>配合调查</w:t>
      </w:r>
    </w:p>
    <w:p>
      <w:pPr>
        <w:pStyle w:val="8"/>
        <w:numPr>
          <w:ilvl w:val="2"/>
          <w:numId w:val="1"/>
        </w:numPr>
        <w:tabs>
          <w:tab w:val="left" w:pos="2878"/>
        </w:tabs>
        <w:spacing w:before="0" w:after="0" w:line="259" w:lineRule="exact"/>
        <w:ind w:left="2877" w:right="0" w:hanging="424"/>
        <w:jc w:val="left"/>
        <w:rPr>
          <w:sz w:val="21"/>
        </w:rPr>
      </w:pPr>
      <w:r>
        <w:rPr>
          <w:spacing w:val="-4"/>
          <w:sz w:val="21"/>
        </w:rPr>
        <w:t>保险金的给付</w:t>
      </w:r>
    </w:p>
    <w:p>
      <w:pPr>
        <w:pStyle w:val="8"/>
        <w:numPr>
          <w:ilvl w:val="2"/>
          <w:numId w:val="1"/>
        </w:numPr>
        <w:tabs>
          <w:tab w:val="left" w:pos="2878"/>
        </w:tabs>
        <w:spacing w:before="0" w:after="0" w:line="264" w:lineRule="exact"/>
        <w:ind w:left="2877" w:right="0" w:hanging="424"/>
        <w:jc w:val="left"/>
        <w:rPr>
          <w:sz w:val="21"/>
        </w:rPr>
      </w:pPr>
      <w:r>
        <w:rPr>
          <w:spacing w:val="-4"/>
          <w:sz w:val="21"/>
        </w:rPr>
        <w:t>诉讼时效</w:t>
      </w:r>
    </w:p>
    <w:p>
      <w:pPr>
        <w:pStyle w:val="8"/>
        <w:numPr>
          <w:ilvl w:val="1"/>
          <w:numId w:val="1"/>
        </w:numPr>
        <w:tabs>
          <w:tab w:val="left" w:pos="1390"/>
        </w:tabs>
        <w:spacing w:before="170" w:after="0" w:line="265" w:lineRule="exact"/>
        <w:ind w:left="1389" w:right="0" w:hanging="213"/>
        <w:jc w:val="left"/>
        <w:rPr>
          <w:b/>
          <w:sz w:val="21"/>
        </w:rPr>
      </w:pPr>
      <w:r>
        <w:rPr>
          <w:b/>
          <w:sz w:val="21"/>
        </w:rPr>
        <w:br w:type="column"/>
      </w:r>
      <w:r>
        <w:rPr>
          <w:b/>
          <w:spacing w:val="-2"/>
          <w:sz w:val="21"/>
        </w:rPr>
        <w:t>保险费交纳</w:t>
      </w:r>
    </w:p>
    <w:p>
      <w:pPr>
        <w:pStyle w:val="8"/>
        <w:numPr>
          <w:ilvl w:val="2"/>
          <w:numId w:val="1"/>
        </w:numPr>
        <w:tabs>
          <w:tab w:val="left" w:pos="1812"/>
        </w:tabs>
        <w:spacing w:before="0" w:after="0" w:line="260" w:lineRule="exact"/>
        <w:ind w:left="1811" w:right="0" w:hanging="424"/>
        <w:jc w:val="left"/>
        <w:rPr>
          <w:sz w:val="21"/>
        </w:rPr>
      </w:pPr>
      <w:r>
        <w:rPr>
          <w:spacing w:val="-4"/>
          <w:sz w:val="21"/>
        </w:rPr>
        <w:t>保险费的交纳</w:t>
      </w:r>
    </w:p>
    <w:p>
      <w:pPr>
        <w:pStyle w:val="8"/>
        <w:numPr>
          <w:ilvl w:val="2"/>
          <w:numId w:val="1"/>
        </w:numPr>
        <w:tabs>
          <w:tab w:val="left" w:pos="1812"/>
        </w:tabs>
        <w:spacing w:before="0" w:after="0" w:line="264" w:lineRule="exact"/>
        <w:ind w:left="1811" w:right="0" w:hanging="424"/>
        <w:jc w:val="left"/>
        <w:rPr>
          <w:sz w:val="21"/>
        </w:rPr>
      </w:pPr>
      <w:r>
        <w:rPr>
          <w:spacing w:val="-4"/>
          <w:sz w:val="21"/>
        </w:rPr>
        <w:t>不保证续保</w:t>
      </w:r>
    </w:p>
    <w:p>
      <w:pPr>
        <w:pStyle w:val="4"/>
        <w:spacing w:before="8"/>
        <w:rPr>
          <w:sz w:val="19"/>
        </w:rPr>
      </w:pPr>
    </w:p>
    <w:p>
      <w:pPr>
        <w:pStyle w:val="8"/>
        <w:numPr>
          <w:ilvl w:val="1"/>
          <w:numId w:val="1"/>
        </w:numPr>
        <w:tabs>
          <w:tab w:val="left" w:pos="1390"/>
        </w:tabs>
        <w:spacing w:before="0" w:after="0" w:line="264" w:lineRule="exact"/>
        <w:ind w:left="1389" w:right="0" w:hanging="213"/>
        <w:jc w:val="left"/>
        <w:rPr>
          <w:b/>
          <w:sz w:val="21"/>
        </w:rPr>
      </w:pPr>
      <w:r>
        <w:rPr>
          <w:b/>
          <w:spacing w:val="-3"/>
          <w:sz w:val="21"/>
        </w:rPr>
        <w:t>合同解除</w:t>
      </w:r>
    </w:p>
    <w:p>
      <w:pPr>
        <w:pStyle w:val="8"/>
        <w:numPr>
          <w:ilvl w:val="2"/>
          <w:numId w:val="1"/>
        </w:numPr>
        <w:tabs>
          <w:tab w:val="left" w:pos="1812"/>
        </w:tabs>
        <w:spacing w:before="0" w:after="0" w:line="264" w:lineRule="exact"/>
        <w:ind w:left="1811" w:right="0" w:hanging="424"/>
        <w:jc w:val="left"/>
        <w:rPr>
          <w:sz w:val="21"/>
        </w:rPr>
      </w:pPr>
      <w:r>
        <w:rPr>
          <w:spacing w:val="-3"/>
          <w:sz w:val="21"/>
        </w:rPr>
        <w:t>解除合同的手续及风险</w:t>
      </w:r>
    </w:p>
    <w:p>
      <w:pPr>
        <w:pStyle w:val="4"/>
        <w:spacing w:before="9"/>
        <w:rPr>
          <w:sz w:val="19"/>
        </w:rPr>
      </w:pPr>
    </w:p>
    <w:p>
      <w:pPr>
        <w:pStyle w:val="8"/>
        <w:numPr>
          <w:ilvl w:val="1"/>
          <w:numId w:val="1"/>
        </w:numPr>
        <w:tabs>
          <w:tab w:val="left" w:pos="1390"/>
        </w:tabs>
        <w:spacing w:before="0" w:after="0" w:line="264" w:lineRule="exact"/>
        <w:ind w:left="1389" w:right="0" w:hanging="213"/>
        <w:jc w:val="left"/>
        <w:rPr>
          <w:b/>
          <w:sz w:val="21"/>
        </w:rPr>
      </w:pPr>
      <w:r>
        <w:rPr>
          <w:b/>
          <w:spacing w:val="-3"/>
          <w:sz w:val="21"/>
        </w:rPr>
        <w:t>其他事项</w:t>
      </w:r>
    </w:p>
    <w:p>
      <w:pPr>
        <w:pStyle w:val="8"/>
        <w:numPr>
          <w:ilvl w:val="2"/>
          <w:numId w:val="1"/>
        </w:numPr>
        <w:tabs>
          <w:tab w:val="left" w:pos="1812"/>
        </w:tabs>
        <w:spacing w:before="0" w:after="0" w:line="259" w:lineRule="exact"/>
        <w:ind w:left="1811" w:right="0" w:hanging="424"/>
        <w:jc w:val="left"/>
        <w:rPr>
          <w:sz w:val="21"/>
        </w:rPr>
      </w:pPr>
      <w:r>
        <w:rPr>
          <w:spacing w:val="-3"/>
          <w:sz w:val="21"/>
        </w:rPr>
        <w:t>明确说明与如实告知</w:t>
      </w:r>
    </w:p>
    <w:p>
      <w:pPr>
        <w:pStyle w:val="8"/>
        <w:numPr>
          <w:ilvl w:val="2"/>
          <w:numId w:val="1"/>
        </w:numPr>
        <w:tabs>
          <w:tab w:val="left" w:pos="1812"/>
        </w:tabs>
        <w:spacing w:before="0" w:after="0" w:line="260" w:lineRule="exact"/>
        <w:ind w:left="1811" w:right="0" w:hanging="424"/>
        <w:jc w:val="left"/>
        <w:rPr>
          <w:sz w:val="21"/>
        </w:rPr>
      </w:pPr>
      <w:r>
        <w:rPr>
          <w:spacing w:val="-3"/>
          <w:sz w:val="21"/>
        </w:rPr>
        <w:t>本公司合同解除权的限制</w:t>
      </w:r>
    </w:p>
    <w:p>
      <w:pPr>
        <w:pStyle w:val="8"/>
        <w:numPr>
          <w:ilvl w:val="2"/>
          <w:numId w:val="1"/>
        </w:numPr>
        <w:tabs>
          <w:tab w:val="left" w:pos="1812"/>
        </w:tabs>
        <w:spacing w:before="0" w:after="0" w:line="260" w:lineRule="exact"/>
        <w:ind w:left="1811" w:right="0" w:hanging="424"/>
        <w:jc w:val="left"/>
        <w:rPr>
          <w:sz w:val="21"/>
        </w:rPr>
      </w:pPr>
      <w:r>
        <w:rPr>
          <w:spacing w:val="-4"/>
          <w:sz w:val="21"/>
        </w:rPr>
        <w:t>年龄错误</w:t>
      </w:r>
    </w:p>
    <w:p>
      <w:pPr>
        <w:pStyle w:val="8"/>
        <w:numPr>
          <w:ilvl w:val="2"/>
          <w:numId w:val="1"/>
        </w:numPr>
        <w:tabs>
          <w:tab w:val="left" w:pos="1812"/>
        </w:tabs>
        <w:spacing w:before="0" w:after="0" w:line="259" w:lineRule="exact"/>
        <w:ind w:left="1811" w:right="0" w:hanging="424"/>
        <w:jc w:val="left"/>
        <w:rPr>
          <w:sz w:val="21"/>
        </w:rPr>
      </w:pPr>
      <w:r>
        <w:rPr>
          <w:spacing w:val="-4"/>
          <w:sz w:val="21"/>
        </w:rPr>
        <w:t>未还款项</w:t>
      </w:r>
    </w:p>
    <w:p>
      <w:pPr>
        <w:pStyle w:val="8"/>
        <w:numPr>
          <w:ilvl w:val="2"/>
          <w:numId w:val="1"/>
        </w:numPr>
        <w:tabs>
          <w:tab w:val="left" w:pos="1812"/>
        </w:tabs>
        <w:spacing w:before="0" w:after="0" w:line="261" w:lineRule="exact"/>
        <w:ind w:left="1811" w:right="0" w:hanging="424"/>
        <w:jc w:val="left"/>
        <w:rPr>
          <w:sz w:val="21"/>
        </w:rPr>
      </w:pPr>
      <w:r>
        <w:rPr>
          <w:spacing w:val="-4"/>
          <w:sz w:val="21"/>
        </w:rPr>
        <w:t>合同内容变更</w:t>
      </w:r>
    </w:p>
    <w:p>
      <w:pPr>
        <w:pStyle w:val="8"/>
        <w:numPr>
          <w:ilvl w:val="2"/>
          <w:numId w:val="1"/>
        </w:numPr>
        <w:tabs>
          <w:tab w:val="left" w:pos="1812"/>
        </w:tabs>
        <w:spacing w:before="0" w:after="0" w:line="261" w:lineRule="exact"/>
        <w:ind w:left="1811" w:right="0" w:hanging="424"/>
        <w:jc w:val="left"/>
        <w:rPr>
          <w:sz w:val="21"/>
        </w:rPr>
      </w:pPr>
      <w:r>
        <w:rPr>
          <w:spacing w:val="-4"/>
          <w:sz w:val="21"/>
        </w:rPr>
        <w:t>联系方式变更</w:t>
      </w:r>
    </w:p>
    <w:p>
      <w:pPr>
        <w:pStyle w:val="8"/>
        <w:numPr>
          <w:ilvl w:val="2"/>
          <w:numId w:val="1"/>
        </w:numPr>
        <w:tabs>
          <w:tab w:val="left" w:pos="1812"/>
        </w:tabs>
        <w:spacing w:before="0" w:after="0" w:line="264" w:lineRule="exact"/>
        <w:ind w:left="1811" w:right="0" w:hanging="424"/>
        <w:jc w:val="left"/>
        <w:rPr>
          <w:sz w:val="21"/>
        </w:rPr>
      </w:pPr>
      <w:r>
        <w:rPr>
          <w:spacing w:val="-4"/>
          <w:sz w:val="21"/>
        </w:rPr>
        <w:t>争议处理</w:t>
      </w:r>
    </w:p>
    <w:p>
      <w:pPr>
        <w:pStyle w:val="4"/>
        <w:spacing w:before="3"/>
        <w:rPr>
          <w:sz w:val="20"/>
        </w:rPr>
      </w:pPr>
    </w:p>
    <w:p>
      <w:pPr>
        <w:spacing w:before="1" w:line="230" w:lineRule="auto"/>
        <w:ind w:left="1914" w:right="2113" w:hanging="738"/>
        <w:jc w:val="left"/>
        <w:rPr>
          <w:sz w:val="21"/>
        </w:rPr>
      </w:pPr>
      <w:r>
        <w:rPr>
          <w:b/>
          <w:spacing w:val="-7"/>
          <w:sz w:val="21"/>
        </w:rPr>
        <w:t xml:space="preserve">附表一 </w:t>
      </w:r>
      <w:r>
        <w:rPr>
          <w:sz w:val="21"/>
        </w:rPr>
        <w:t>特定恶性肿瘤-重度疾病</w:t>
      </w:r>
      <w:r>
        <w:rPr>
          <w:spacing w:val="-6"/>
          <w:sz w:val="21"/>
        </w:rPr>
        <w:t>定义</w:t>
      </w:r>
    </w:p>
    <w:p>
      <w:pPr>
        <w:spacing w:before="0" w:line="262" w:lineRule="exact"/>
        <w:ind w:left="1177" w:right="0" w:firstLine="0"/>
        <w:jc w:val="left"/>
        <w:rPr>
          <w:sz w:val="21"/>
        </w:rPr>
      </w:pPr>
      <w:r>
        <w:rPr>
          <w:b/>
          <w:spacing w:val="-4"/>
          <w:sz w:val="21"/>
        </w:rPr>
        <w:t xml:space="preserve">附表二 </w:t>
      </w:r>
      <w:r>
        <w:rPr>
          <w:sz w:val="21"/>
        </w:rPr>
        <w:t>甲状腺癌的TNM</w:t>
      </w:r>
      <w:r>
        <w:rPr>
          <w:spacing w:val="-3"/>
          <w:sz w:val="21"/>
        </w:rPr>
        <w:t>分期标准</w:t>
      </w:r>
    </w:p>
    <w:p>
      <w:pPr>
        <w:spacing w:after="0" w:line="262" w:lineRule="exact"/>
        <w:jc w:val="left"/>
        <w:rPr>
          <w:sz w:val="21"/>
        </w:rPr>
        <w:sectPr>
          <w:type w:val="continuous"/>
          <w:pgSz w:w="11910" w:h="16840"/>
          <w:pgMar w:top="480" w:right="360" w:bottom="280" w:left="920" w:header="720" w:footer="720" w:gutter="0"/>
          <w:cols w:equalWidth="0" w:num="2">
            <w:col w:w="4347" w:space="40"/>
            <w:col w:w="6243"/>
          </w:cols>
        </w:sectPr>
      </w:pPr>
    </w:p>
    <w:p>
      <w:pPr>
        <w:pStyle w:val="2"/>
        <w:spacing w:before="130"/>
      </w:pPr>
      <w:r>
        <w:rPr>
          <w:w w:val="95"/>
        </w:rPr>
        <w:t>复星联合药神一号（2021</w:t>
      </w:r>
      <w:r>
        <w:rPr>
          <w:spacing w:val="65"/>
          <w:w w:val="150"/>
        </w:rPr>
        <w:t xml:space="preserve"> </w:t>
      </w:r>
      <w:r>
        <w:rPr>
          <w:w w:val="95"/>
        </w:rPr>
        <w:t>版）疾病保险条</w:t>
      </w:r>
      <w:r>
        <w:rPr>
          <w:spacing w:val="-10"/>
          <w:w w:val="95"/>
        </w:rPr>
        <w:t>款</w:t>
      </w:r>
    </w:p>
    <w:p>
      <w:pPr>
        <w:pStyle w:val="4"/>
        <w:spacing w:before="7"/>
        <w:rPr>
          <w:b/>
          <w:sz w:val="22"/>
        </w:rPr>
      </w:pPr>
    </w:p>
    <w:p>
      <w:pPr>
        <w:spacing w:before="0" w:line="230" w:lineRule="auto"/>
        <w:ind w:left="160" w:right="711" w:firstLine="422"/>
        <w:jc w:val="left"/>
        <w:rPr>
          <w:i/>
          <w:sz w:val="22"/>
        </w:rPr>
      </w:pPr>
      <w:r>
        <w:rPr>
          <w:i/>
          <w:spacing w:val="-2"/>
          <w:w w:val="95"/>
          <w:sz w:val="22"/>
        </w:rPr>
        <w:t>（本公司在每页底部对一</w:t>
      </w:r>
      <w:r>
        <w:rPr>
          <w:i/>
          <w:spacing w:val="-9"/>
          <w:w w:val="95"/>
          <w:sz w:val="22"/>
        </w:rPr>
        <w:t>些专业名词做了释义，这些释义为本保险条款</w:t>
      </w:r>
      <w:r>
        <w:rPr>
          <w:i/>
          <w:spacing w:val="-2"/>
          <w:w w:val="95"/>
          <w:sz w:val="22"/>
        </w:rPr>
        <w:t>的重</w:t>
      </w:r>
      <w:r>
        <w:rPr>
          <w:i/>
          <w:spacing w:val="-10"/>
          <w:w w:val="95"/>
          <w:sz w:val="22"/>
        </w:rPr>
        <w:t>要组成部分。同一专业名</w:t>
      </w:r>
      <w:r>
        <w:rPr>
          <w:i/>
          <w:spacing w:val="-2"/>
          <w:w w:val="95"/>
          <w:sz w:val="22"/>
        </w:rPr>
        <w:t>词在保险条款中出现多次的，本公司仅在该专业名词第一次出现的地方做了释义</w:t>
      </w:r>
      <w:r>
        <w:rPr>
          <w:i/>
          <w:spacing w:val="-13"/>
          <w:w w:val="95"/>
          <w:sz w:val="22"/>
        </w:rPr>
        <w:t>，该释义适用于全文。</w:t>
      </w:r>
      <w:r>
        <w:rPr>
          <w:i/>
          <w:spacing w:val="-2"/>
          <w:w w:val="95"/>
          <w:sz w:val="22"/>
        </w:rPr>
        <w:t>）</w:t>
      </w:r>
    </w:p>
    <w:p>
      <w:pPr>
        <w:pStyle w:val="4"/>
        <w:spacing w:before="10"/>
        <w:rPr>
          <w:i/>
          <w:sz w:val="30"/>
        </w:rPr>
      </w:pPr>
    </w:p>
    <w:p>
      <w:pPr>
        <w:pStyle w:val="3"/>
        <w:numPr>
          <w:ilvl w:val="0"/>
          <w:numId w:val="2"/>
        </w:numPr>
        <w:tabs>
          <w:tab w:val="left" w:pos="1228"/>
          <w:tab w:val="left" w:pos="1229"/>
        </w:tabs>
        <w:spacing w:before="0" w:after="0" w:line="240" w:lineRule="auto"/>
        <w:ind w:left="1228" w:right="0" w:hanging="962"/>
        <w:jc w:val="left"/>
        <w:rPr>
          <w:sz w:val="36"/>
        </w:rPr>
      </w:pPr>
      <w:r>
        <w:rPr>
          <w:spacing w:val="-3"/>
          <w:w w:val="95"/>
        </w:rPr>
        <w:t>合同订立</w:t>
      </w:r>
    </w:p>
    <w:p>
      <w:pPr>
        <w:pStyle w:val="4"/>
        <w:spacing w:before="11"/>
        <w:rPr>
          <w:b/>
          <w:sz w:val="16"/>
        </w:rPr>
      </w:pPr>
      <w:r>
        <w:drawing>
          <wp:anchor distT="0" distB="0" distL="0" distR="0" simplePos="0" relativeHeight="251659264" behindDoc="0" locked="0" layoutInCell="1" allowOverlap="1">
            <wp:simplePos x="0" y="0"/>
            <wp:positionH relativeFrom="page">
              <wp:posOffset>685800</wp:posOffset>
            </wp:positionH>
            <wp:positionV relativeFrom="paragraph">
              <wp:posOffset>152400</wp:posOffset>
            </wp:positionV>
            <wp:extent cx="625983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259904" cy="12287"/>
                    </a:xfrm>
                    <a:prstGeom prst="rect">
                      <a:avLst/>
                    </a:prstGeom>
                  </pic:spPr>
                </pic:pic>
              </a:graphicData>
            </a:graphic>
          </wp:anchor>
        </w:drawing>
      </w:r>
    </w:p>
    <w:p>
      <w:pPr>
        <w:pStyle w:val="8"/>
        <w:numPr>
          <w:ilvl w:val="1"/>
          <w:numId w:val="2"/>
        </w:numPr>
        <w:tabs>
          <w:tab w:val="left" w:pos="1228"/>
          <w:tab w:val="left" w:pos="1229"/>
          <w:tab w:val="left" w:pos="2997"/>
        </w:tabs>
        <w:spacing w:before="178" w:after="0" w:line="278" w:lineRule="auto"/>
        <w:ind w:left="2997" w:right="682" w:hanging="2730"/>
        <w:jc w:val="left"/>
        <w:rPr>
          <w:sz w:val="21"/>
        </w:rPr>
      </w:pPr>
      <w:r>
        <w:rPr>
          <w:b/>
          <w:spacing w:val="-4"/>
          <w:sz w:val="21"/>
        </w:rPr>
        <w:t>合同构成</w:t>
      </w:r>
      <w:r>
        <w:rPr>
          <w:b/>
          <w:sz w:val="21"/>
        </w:rPr>
        <w:tab/>
      </w:r>
      <w:r>
        <w:rPr>
          <w:spacing w:val="-2"/>
          <w:sz w:val="21"/>
        </w:rPr>
        <w:t>本保险条款</w:t>
      </w:r>
      <w:r>
        <w:rPr>
          <w:spacing w:val="-68"/>
          <w:sz w:val="21"/>
        </w:rPr>
        <w:t>、</w:t>
      </w:r>
      <w:r>
        <w:rPr>
          <w:spacing w:val="-2"/>
          <w:sz w:val="21"/>
        </w:rPr>
        <w:t>投保单或其他投保文件</w:t>
      </w:r>
      <w:r>
        <w:rPr>
          <w:spacing w:val="-70"/>
          <w:sz w:val="21"/>
        </w:rPr>
        <w:t>、</w:t>
      </w:r>
      <w:r>
        <w:rPr>
          <w:spacing w:val="-2"/>
          <w:sz w:val="21"/>
        </w:rPr>
        <w:t>保险利益表</w:t>
      </w:r>
      <w:r>
        <w:rPr>
          <w:spacing w:val="-68"/>
          <w:sz w:val="21"/>
        </w:rPr>
        <w:t>、</w:t>
      </w:r>
      <w:r>
        <w:rPr>
          <w:spacing w:val="-2"/>
          <w:sz w:val="21"/>
        </w:rPr>
        <w:t>保险单或其他保险凭证、附贴批单和其他约定书，均为投保人与本公司订立的《复星联合药神一号</w:t>
      </w:r>
    </w:p>
    <w:p>
      <w:pPr>
        <w:pStyle w:val="4"/>
        <w:spacing w:line="278" w:lineRule="auto"/>
        <w:ind w:left="2997" w:right="785"/>
      </w:pPr>
      <w:r>
        <w:rPr>
          <w:spacing w:val="-4"/>
        </w:rPr>
        <w:t>（2021</w:t>
      </w:r>
      <w:r>
        <w:rPr>
          <w:spacing w:val="-24"/>
        </w:rPr>
        <w:t xml:space="preserve"> 版</w:t>
      </w:r>
      <w:r>
        <w:rPr>
          <w:spacing w:val="-4"/>
        </w:rPr>
        <w:t>）疾病保险合同</w:t>
      </w:r>
      <w:r>
        <w:rPr>
          <w:spacing w:val="-137"/>
        </w:rPr>
        <w:t>》</w:t>
      </w:r>
      <w:r>
        <w:rPr>
          <w:spacing w:val="-4"/>
        </w:rPr>
        <w:t>（</w:t>
      </w:r>
      <w:r>
        <w:rPr>
          <w:spacing w:val="-12"/>
        </w:rPr>
        <w:t>以下简称“本合同”</w:t>
      </w:r>
      <w:r>
        <w:rPr>
          <w:spacing w:val="-69"/>
        </w:rPr>
        <w:t>）</w:t>
      </w:r>
      <w:r>
        <w:rPr>
          <w:spacing w:val="-4"/>
        </w:rPr>
        <w:t>的构成部分。凡涉及本合</w:t>
      </w:r>
      <w:r>
        <w:rPr>
          <w:spacing w:val="-2"/>
        </w:rPr>
        <w:t>同的约定，均应当采用书面形式。</w:t>
      </w:r>
    </w:p>
    <w:p>
      <w:pPr>
        <w:pStyle w:val="4"/>
        <w:spacing w:before="10"/>
        <w:rPr>
          <w:sz w:val="18"/>
        </w:rPr>
      </w:pPr>
    </w:p>
    <w:p>
      <w:pPr>
        <w:pStyle w:val="8"/>
        <w:numPr>
          <w:ilvl w:val="1"/>
          <w:numId w:val="2"/>
        </w:numPr>
        <w:tabs>
          <w:tab w:val="left" w:pos="1228"/>
          <w:tab w:val="left" w:pos="1229"/>
          <w:tab w:val="left" w:pos="2997"/>
        </w:tabs>
        <w:spacing w:before="72" w:after="0" w:line="240" w:lineRule="auto"/>
        <w:ind w:left="1228" w:right="0" w:hanging="962"/>
        <w:jc w:val="left"/>
        <w:rPr>
          <w:sz w:val="21"/>
        </w:rPr>
      </w:pPr>
      <w:r>
        <w:rPr>
          <w:b/>
          <w:sz w:val="21"/>
        </w:rPr>
        <w:t>合同成立与生</w:t>
      </w:r>
      <w:r>
        <w:rPr>
          <w:b/>
          <w:spacing w:val="-10"/>
          <w:sz w:val="21"/>
        </w:rPr>
        <w:t>效</w:t>
      </w:r>
      <w:r>
        <w:rPr>
          <w:b/>
          <w:sz w:val="21"/>
        </w:rPr>
        <w:tab/>
      </w:r>
      <w:r>
        <w:rPr>
          <w:spacing w:val="-2"/>
          <w:sz w:val="21"/>
        </w:rPr>
        <w:t>投保人提出投保申请、本公司同意承保，本合同成立</w:t>
      </w:r>
      <w:r>
        <w:rPr>
          <w:spacing w:val="-10"/>
          <w:sz w:val="21"/>
        </w:rPr>
        <w:t>。</w:t>
      </w:r>
    </w:p>
    <w:p>
      <w:pPr>
        <w:pStyle w:val="4"/>
        <w:spacing w:before="9"/>
        <w:rPr>
          <w:sz w:val="14"/>
        </w:rPr>
      </w:pPr>
    </w:p>
    <w:p>
      <w:pPr>
        <w:pStyle w:val="4"/>
        <w:spacing w:line="278" w:lineRule="auto"/>
        <w:ind w:left="2997" w:right="785"/>
      </w:pPr>
      <w:r>
        <w:rPr>
          <w:spacing w:val="-2"/>
        </w:rPr>
        <w:t>合同生效日期在本合同中载明。保单年度、保险费的</w:t>
      </w:r>
      <w:r>
        <w:rPr>
          <w:b/>
          <w:spacing w:val="-2"/>
        </w:rPr>
        <w:t>约定交纳日</w:t>
      </w:r>
      <w:r>
        <w:rPr>
          <w:spacing w:val="-2"/>
          <w:position w:val="11"/>
          <w:sz w:val="11"/>
        </w:rPr>
        <w:t>1</w:t>
      </w:r>
      <w:r>
        <w:rPr>
          <w:spacing w:val="-2"/>
        </w:rPr>
        <w:t>均以该日</w:t>
      </w:r>
      <w:r>
        <w:rPr>
          <w:spacing w:val="-4"/>
        </w:rPr>
        <w:t>期计算。</w:t>
      </w:r>
    </w:p>
    <w:p>
      <w:pPr>
        <w:pStyle w:val="4"/>
        <w:spacing w:before="5"/>
        <w:rPr>
          <w:sz w:val="24"/>
        </w:rPr>
      </w:pPr>
    </w:p>
    <w:p>
      <w:pPr>
        <w:pStyle w:val="8"/>
        <w:numPr>
          <w:ilvl w:val="1"/>
          <w:numId w:val="2"/>
        </w:numPr>
        <w:tabs>
          <w:tab w:val="left" w:pos="1228"/>
          <w:tab w:val="left" w:pos="1229"/>
          <w:tab w:val="left" w:pos="2997"/>
        </w:tabs>
        <w:spacing w:before="0" w:after="0" w:line="268" w:lineRule="auto"/>
        <w:ind w:left="2997" w:right="692" w:hanging="2730"/>
        <w:jc w:val="left"/>
        <w:rPr>
          <w:sz w:val="21"/>
        </w:rPr>
      </w:pPr>
      <w:r>
        <w:rPr>
          <w:b/>
          <w:spacing w:val="-4"/>
          <w:sz w:val="21"/>
        </w:rPr>
        <w:t>投保范围</w:t>
      </w:r>
      <w:r>
        <w:rPr>
          <w:b/>
          <w:sz w:val="21"/>
        </w:rPr>
        <w:tab/>
      </w:r>
      <w:r>
        <w:rPr>
          <w:spacing w:val="-2"/>
          <w:sz w:val="21"/>
        </w:rPr>
        <w:t>符合本公司承保条件者均可向本公司投保本保险，成为本合同的被保险人。投保年龄按</w:t>
      </w:r>
      <w:r>
        <w:rPr>
          <w:b/>
          <w:spacing w:val="-2"/>
          <w:sz w:val="21"/>
        </w:rPr>
        <w:t>周岁</w:t>
      </w:r>
      <w:r>
        <w:rPr>
          <w:spacing w:val="-2"/>
          <w:position w:val="11"/>
          <w:sz w:val="11"/>
        </w:rPr>
        <w:t>2</w:t>
      </w:r>
      <w:r>
        <w:rPr>
          <w:spacing w:val="-2"/>
          <w:sz w:val="21"/>
        </w:rPr>
        <w:t>计算。</w:t>
      </w:r>
    </w:p>
    <w:p>
      <w:pPr>
        <w:pStyle w:val="4"/>
        <w:rPr>
          <w:sz w:val="28"/>
        </w:rPr>
      </w:pPr>
    </w:p>
    <w:p>
      <w:pPr>
        <w:pStyle w:val="3"/>
        <w:numPr>
          <w:ilvl w:val="0"/>
          <w:numId w:val="2"/>
        </w:numPr>
        <w:tabs>
          <w:tab w:val="left" w:pos="1228"/>
          <w:tab w:val="left" w:pos="1229"/>
        </w:tabs>
        <w:spacing w:before="0" w:after="0" w:line="240" w:lineRule="auto"/>
        <w:ind w:left="1228" w:right="0" w:hanging="962"/>
        <w:jc w:val="left"/>
        <w:rPr>
          <w:sz w:val="40"/>
        </w:rPr>
      </w:pPr>
      <w:r>
        <w:rPr>
          <w:w w:val="95"/>
        </w:rPr>
        <w:t>提供的保</w:t>
      </w:r>
      <w:r>
        <w:rPr>
          <w:spacing w:val="-10"/>
          <w:w w:val="95"/>
        </w:rPr>
        <w:t>障</w:t>
      </w:r>
    </w:p>
    <w:p>
      <w:pPr>
        <w:pStyle w:val="4"/>
        <w:spacing w:before="5"/>
        <w:rPr>
          <w:b/>
          <w:sz w:val="14"/>
        </w:rPr>
      </w:pPr>
      <w:r>
        <w:drawing>
          <wp:anchor distT="0" distB="0" distL="0" distR="0" simplePos="0" relativeHeight="251659264" behindDoc="0" locked="0" layoutInCell="1" allowOverlap="1">
            <wp:simplePos x="0" y="0"/>
            <wp:positionH relativeFrom="page">
              <wp:posOffset>685800</wp:posOffset>
            </wp:positionH>
            <wp:positionV relativeFrom="paragraph">
              <wp:posOffset>132715</wp:posOffset>
            </wp:positionV>
            <wp:extent cx="6259830" cy="12065"/>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8" cstate="print"/>
                    <a:stretch>
                      <a:fillRect/>
                    </a:stretch>
                  </pic:blipFill>
                  <pic:spPr>
                    <a:xfrm>
                      <a:off x="0" y="0"/>
                      <a:ext cx="6260035" cy="12287"/>
                    </a:xfrm>
                    <a:prstGeom prst="rect">
                      <a:avLst/>
                    </a:prstGeom>
                  </pic:spPr>
                </pic:pic>
              </a:graphicData>
            </a:graphic>
          </wp:anchor>
        </w:drawing>
      </w:r>
    </w:p>
    <w:p>
      <w:pPr>
        <w:pStyle w:val="8"/>
        <w:numPr>
          <w:ilvl w:val="1"/>
          <w:numId w:val="2"/>
        </w:numPr>
        <w:tabs>
          <w:tab w:val="left" w:pos="1228"/>
          <w:tab w:val="left" w:pos="1229"/>
          <w:tab w:val="left" w:pos="2997"/>
        </w:tabs>
        <w:spacing w:before="181" w:after="0" w:line="278" w:lineRule="auto"/>
        <w:ind w:left="2997" w:right="785" w:hanging="2730"/>
        <w:jc w:val="left"/>
        <w:rPr>
          <w:sz w:val="21"/>
        </w:rPr>
      </w:pPr>
      <w:r>
        <w:rPr>
          <w:b/>
          <w:spacing w:val="-2"/>
          <w:sz w:val="21"/>
        </w:rPr>
        <w:t>基本保险金额</w:t>
      </w:r>
      <w:r>
        <w:rPr>
          <w:b/>
          <w:sz w:val="21"/>
        </w:rPr>
        <w:tab/>
      </w:r>
      <w:r>
        <w:rPr>
          <w:color w:val="000000"/>
          <w:spacing w:val="-2"/>
          <w:sz w:val="21"/>
          <w:shd w:val="clear" w:color="auto" w:fill="E4E4E4"/>
        </w:rPr>
        <w:t>被保险人各项保险责任对应的基本保险金额</w:t>
      </w:r>
      <w:r>
        <w:rPr>
          <w:color w:val="000000"/>
          <w:spacing w:val="-51"/>
          <w:sz w:val="21"/>
          <w:shd w:val="clear" w:color="auto" w:fill="E4E4E4"/>
        </w:rPr>
        <w:t>，</w:t>
      </w:r>
      <w:r>
        <w:rPr>
          <w:color w:val="000000"/>
          <w:spacing w:val="-2"/>
          <w:sz w:val="21"/>
          <w:shd w:val="clear" w:color="auto" w:fill="E4E4E4"/>
        </w:rPr>
        <w:t>均由投保人与本公司约定，并于本合同中载明。</w:t>
      </w:r>
    </w:p>
    <w:p>
      <w:pPr>
        <w:pStyle w:val="4"/>
        <w:spacing w:before="10"/>
        <w:rPr>
          <w:sz w:val="18"/>
        </w:rPr>
      </w:pPr>
    </w:p>
    <w:p>
      <w:pPr>
        <w:pStyle w:val="8"/>
        <w:numPr>
          <w:ilvl w:val="1"/>
          <w:numId w:val="2"/>
        </w:numPr>
        <w:tabs>
          <w:tab w:val="left" w:pos="1228"/>
          <w:tab w:val="left" w:pos="1229"/>
          <w:tab w:val="left" w:pos="2997"/>
        </w:tabs>
        <w:spacing w:before="71" w:after="0" w:line="278" w:lineRule="auto"/>
        <w:ind w:left="2997" w:right="785" w:hanging="2730"/>
        <w:jc w:val="left"/>
        <w:rPr>
          <w:sz w:val="21"/>
        </w:rPr>
      </w:pPr>
      <w:r>
        <w:rPr>
          <w:b/>
          <w:spacing w:val="-4"/>
          <w:sz w:val="21"/>
        </w:rPr>
        <w:t>保险期间</w:t>
      </w:r>
      <w:r>
        <w:rPr>
          <w:b/>
          <w:sz w:val="21"/>
        </w:rPr>
        <w:tab/>
      </w:r>
      <w:r>
        <w:rPr>
          <w:spacing w:val="-2"/>
          <w:sz w:val="21"/>
        </w:rPr>
        <w:t>本合同的保险期间为一年</w:t>
      </w:r>
      <w:r>
        <w:rPr>
          <w:spacing w:val="-96"/>
          <w:sz w:val="21"/>
        </w:rPr>
        <w:t>。</w:t>
      </w:r>
      <w:r>
        <w:rPr>
          <w:spacing w:val="-2"/>
          <w:sz w:val="21"/>
        </w:rPr>
        <w:t>自本合同生效之日零时起至约定的终止日的二十四时止，具体由投保人与本公司约定并在本合同中载明。</w:t>
      </w:r>
    </w:p>
    <w:p>
      <w:pPr>
        <w:pStyle w:val="4"/>
        <w:spacing w:before="4"/>
        <w:rPr>
          <w:sz w:val="24"/>
        </w:rPr>
      </w:pPr>
    </w:p>
    <w:p>
      <w:pPr>
        <w:pStyle w:val="8"/>
        <w:numPr>
          <w:ilvl w:val="1"/>
          <w:numId w:val="2"/>
        </w:numPr>
        <w:tabs>
          <w:tab w:val="left" w:pos="1228"/>
          <w:tab w:val="left" w:pos="1229"/>
          <w:tab w:val="left" w:pos="2997"/>
        </w:tabs>
        <w:spacing w:before="1" w:after="0" w:line="278" w:lineRule="auto"/>
        <w:ind w:left="2997" w:right="787" w:hanging="2730"/>
        <w:jc w:val="left"/>
        <w:rPr>
          <w:sz w:val="21"/>
        </w:rPr>
      </w:pPr>
      <w:r>
        <w:rPr>
          <w:b/>
          <w:spacing w:val="-4"/>
          <w:sz w:val="21"/>
        </w:rPr>
        <w:t>保险责任</w:t>
      </w:r>
      <w:r>
        <w:rPr>
          <w:b/>
          <w:sz w:val="21"/>
        </w:rPr>
        <w:tab/>
      </w:r>
      <w:r>
        <w:rPr>
          <w:spacing w:val="-2"/>
          <w:sz w:val="21"/>
        </w:rPr>
        <w:t>必选责任为特药医疗费用保险金，可选责任为特定恶性肿瘤-重度疾病保险金，在本合同保险期间内，</w:t>
      </w:r>
      <w:r>
        <w:rPr>
          <w:color w:val="000000"/>
          <w:spacing w:val="-2"/>
          <w:sz w:val="21"/>
          <w:shd w:val="clear" w:color="auto" w:fill="D9D9D9"/>
        </w:rPr>
        <w:t>所选保险责任一经确定将无法变更</w:t>
      </w:r>
      <w:r>
        <w:rPr>
          <w:color w:val="000000"/>
          <w:spacing w:val="-2"/>
          <w:sz w:val="21"/>
        </w:rPr>
        <w:t>。</w:t>
      </w:r>
    </w:p>
    <w:p>
      <w:pPr>
        <w:pStyle w:val="8"/>
        <w:numPr>
          <w:ilvl w:val="2"/>
          <w:numId w:val="2"/>
        </w:numPr>
        <w:tabs>
          <w:tab w:val="left" w:pos="1228"/>
          <w:tab w:val="left" w:pos="1229"/>
        </w:tabs>
        <w:spacing w:before="155" w:after="0" w:line="240" w:lineRule="auto"/>
        <w:ind w:left="1228" w:right="0" w:hanging="962"/>
        <w:jc w:val="left"/>
        <w:rPr>
          <w:b/>
          <w:sz w:val="21"/>
        </w:rPr>
      </w:pPr>
      <w:r>
        <w:rPr>
          <w:b/>
          <w:spacing w:val="-3"/>
          <w:sz w:val="21"/>
        </w:rPr>
        <w:t>必选责任</w:t>
      </w:r>
    </w:p>
    <w:p>
      <w:pPr>
        <w:pStyle w:val="4"/>
        <w:spacing w:before="12"/>
        <w:rPr>
          <w:b/>
          <w:sz w:val="9"/>
        </w:rPr>
      </w:pPr>
    </w:p>
    <w:p>
      <w:pPr>
        <w:spacing w:after="0"/>
        <w:rPr>
          <w:sz w:val="9"/>
        </w:rPr>
        <w:sectPr>
          <w:pgSz w:w="11910" w:h="16840"/>
          <w:pgMar w:top="1580" w:right="360" w:bottom="280" w:left="920" w:header="720" w:footer="720" w:gutter="0"/>
          <w:cols w:space="720" w:num="1"/>
        </w:sectPr>
      </w:pPr>
    </w:p>
    <w:p>
      <w:pPr>
        <w:pStyle w:val="8"/>
        <w:numPr>
          <w:ilvl w:val="3"/>
          <w:numId w:val="2"/>
        </w:numPr>
        <w:tabs>
          <w:tab w:val="left" w:pos="1229"/>
        </w:tabs>
        <w:spacing w:before="72" w:after="0" w:line="278" w:lineRule="auto"/>
        <w:ind w:left="1228" w:right="0" w:hanging="961"/>
        <w:jc w:val="left"/>
        <w:rPr>
          <w:b/>
          <w:sz w:val="21"/>
        </w:rPr>
      </w:pPr>
      <w:r>
        <w:rPr>
          <w:b/>
          <w:spacing w:val="8"/>
          <w:sz w:val="21"/>
        </w:rPr>
        <w:t>特药医疗费用保</w:t>
      </w:r>
      <w:r>
        <w:rPr>
          <w:b/>
          <w:spacing w:val="-6"/>
          <w:sz w:val="21"/>
        </w:rPr>
        <w:t>险金</w:t>
      </w:r>
    </w:p>
    <w:p>
      <w:pPr>
        <w:pStyle w:val="4"/>
        <w:spacing w:before="72"/>
        <w:ind w:left="174"/>
      </w:pPr>
      <w:r>
        <w:br w:type="column"/>
      </w:r>
      <w:r>
        <w:rPr>
          <w:spacing w:val="-4"/>
        </w:rPr>
        <w:t xml:space="preserve">本合同的特药医疗费用保险责任基本保险金额为人民币 </w:t>
      </w:r>
      <w:r>
        <w:rPr>
          <w:spacing w:val="-2"/>
        </w:rPr>
        <w:t>100</w:t>
      </w:r>
      <w:r>
        <w:rPr>
          <w:spacing w:val="-14"/>
        </w:rPr>
        <w:t xml:space="preserve"> 万元。</w:t>
      </w:r>
    </w:p>
    <w:p>
      <w:pPr>
        <w:pStyle w:val="4"/>
        <w:spacing w:before="9"/>
        <w:rPr>
          <w:sz w:val="14"/>
        </w:rPr>
      </w:pPr>
    </w:p>
    <w:p>
      <w:pPr>
        <w:spacing w:before="1"/>
        <w:ind w:left="174" w:right="0" w:firstLine="0"/>
        <w:jc w:val="left"/>
        <w:rPr>
          <w:b/>
          <w:sz w:val="21"/>
        </w:rPr>
      </w:pPr>
      <w:r>
        <w:rPr>
          <w:w w:val="95"/>
          <w:sz w:val="21"/>
        </w:rPr>
        <w:t>在本合同保险期间内，被保险人在</w:t>
      </w:r>
      <w:r>
        <w:rPr>
          <w:b/>
          <w:w w:val="95"/>
          <w:sz w:val="21"/>
        </w:rPr>
        <w:t>等待期</w:t>
      </w:r>
      <w:r>
        <w:rPr>
          <w:b/>
          <w:w w:val="95"/>
          <w:position w:val="11"/>
          <w:sz w:val="11"/>
        </w:rPr>
        <w:t>3</w:t>
      </w:r>
      <w:r>
        <w:rPr>
          <w:w w:val="95"/>
          <w:sz w:val="21"/>
        </w:rPr>
        <w:t>后在</w:t>
      </w:r>
      <w:r>
        <w:rPr>
          <w:b/>
          <w:spacing w:val="-1"/>
          <w:w w:val="95"/>
          <w:sz w:val="21"/>
        </w:rPr>
        <w:t>本公司指定或认可的医疗机</w:t>
      </w:r>
    </w:p>
    <w:p>
      <w:pPr>
        <w:spacing w:after="0"/>
        <w:jc w:val="left"/>
        <w:rPr>
          <w:sz w:val="21"/>
        </w:rPr>
        <w:sectPr>
          <w:type w:val="continuous"/>
          <w:pgSz w:w="11910" w:h="16840"/>
          <w:pgMar w:top="480" w:right="360" w:bottom="280" w:left="920" w:header="720" w:footer="720" w:gutter="0"/>
          <w:cols w:equalWidth="0" w:num="2">
            <w:col w:w="2783" w:space="40"/>
            <w:col w:w="7807"/>
          </w:cols>
        </w:sectPr>
      </w:pPr>
    </w:p>
    <w:p>
      <w:pPr>
        <w:pStyle w:val="4"/>
        <w:rPr>
          <w:b/>
          <w:sz w:val="20"/>
        </w:rPr>
      </w:pPr>
    </w:p>
    <w:p>
      <w:pPr>
        <w:pStyle w:val="4"/>
        <w:rPr>
          <w:b/>
          <w:sz w:val="20"/>
        </w:rPr>
      </w:pPr>
    </w:p>
    <w:p>
      <w:pPr>
        <w:pStyle w:val="4"/>
        <w:rPr>
          <w:b/>
          <w:sz w:val="20"/>
        </w:rPr>
      </w:pPr>
    </w:p>
    <w:p>
      <w:pPr>
        <w:pStyle w:val="4"/>
        <w:spacing w:before="10"/>
        <w:rPr>
          <w:b/>
          <w:sz w:val="15"/>
        </w:rPr>
      </w:pPr>
    </w:p>
    <w:p>
      <w:pPr>
        <w:pStyle w:val="4"/>
        <w:spacing w:line="20" w:lineRule="exact"/>
        <w:ind w:left="160"/>
        <w:rPr>
          <w:sz w:val="2"/>
        </w:rPr>
      </w:pPr>
      <w:r>
        <w:rPr>
          <w:sz w:val="2"/>
        </w:rPr>
        <w:drawing>
          <wp:inline distT="0" distB="0" distL="0" distR="0">
            <wp:extent cx="1829435" cy="5715"/>
            <wp:effectExtent l="0" t="0" r="0" b="0"/>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9" cstate="print"/>
                    <a:stretch>
                      <a:fillRect/>
                    </a:stretch>
                  </pic:blipFill>
                  <pic:spPr>
                    <a:xfrm>
                      <a:off x="0" y="0"/>
                      <a:ext cx="1829511" cy="6095"/>
                    </a:xfrm>
                    <a:prstGeom prst="rect">
                      <a:avLst/>
                    </a:prstGeom>
                  </pic:spPr>
                </pic:pic>
              </a:graphicData>
            </a:graphic>
          </wp:inline>
        </w:drawing>
      </w:r>
    </w:p>
    <w:p>
      <w:pPr>
        <w:spacing w:before="80"/>
        <w:ind w:left="160" w:right="0" w:firstLine="0"/>
        <w:jc w:val="left"/>
        <w:rPr>
          <w:rFonts w:ascii="楷体" w:eastAsia="楷体"/>
          <w:sz w:val="18"/>
        </w:rPr>
      </w:pPr>
      <w:r>
        <w:rPr>
          <w:rFonts w:ascii="楷体" w:eastAsia="楷体"/>
          <w:w w:val="95"/>
          <w:position w:val="9"/>
          <w:sz w:val="9"/>
        </w:rPr>
        <w:t>1</w:t>
      </w:r>
      <w:r>
        <w:rPr>
          <w:rFonts w:hint="eastAsia" w:ascii="楷体" w:eastAsia="楷体"/>
          <w:b/>
          <w:w w:val="95"/>
          <w:sz w:val="18"/>
        </w:rPr>
        <w:t>约定交纳日</w:t>
      </w:r>
      <w:r>
        <w:rPr>
          <w:rFonts w:ascii="楷体" w:eastAsia="楷体"/>
          <w:w w:val="95"/>
          <w:sz w:val="18"/>
        </w:rPr>
        <w:t>：指本合同生效日在每月、每季或每半年（根据交费方式确定）的对应日。当月无对应的同一日，则以该月最</w:t>
      </w:r>
      <w:r>
        <w:rPr>
          <w:rFonts w:ascii="楷体" w:eastAsia="楷体"/>
          <w:spacing w:val="-10"/>
          <w:w w:val="95"/>
          <w:sz w:val="18"/>
        </w:rPr>
        <w:t>后</w:t>
      </w:r>
    </w:p>
    <w:p>
      <w:pPr>
        <w:spacing w:before="5"/>
        <w:ind w:left="160" w:right="0" w:firstLine="0"/>
        <w:jc w:val="left"/>
        <w:rPr>
          <w:rFonts w:ascii="楷体" w:eastAsia="楷体"/>
          <w:sz w:val="18"/>
        </w:rPr>
      </w:pPr>
      <w:r>
        <w:rPr>
          <w:rFonts w:ascii="楷体" w:eastAsia="楷体"/>
          <w:spacing w:val="-2"/>
          <w:sz w:val="18"/>
        </w:rPr>
        <w:t>一日为对应日。</w:t>
      </w:r>
    </w:p>
    <w:p>
      <w:pPr>
        <w:spacing w:before="2"/>
        <w:ind w:left="160" w:right="0" w:firstLine="0"/>
        <w:jc w:val="left"/>
        <w:rPr>
          <w:rFonts w:ascii="楷体" w:eastAsia="楷体"/>
          <w:sz w:val="18"/>
        </w:rPr>
      </w:pPr>
      <w:r>
        <w:rPr>
          <w:rFonts w:ascii="楷体" w:eastAsia="楷体"/>
          <w:w w:val="95"/>
          <w:position w:val="9"/>
          <w:sz w:val="9"/>
        </w:rPr>
        <w:t>2</w:t>
      </w:r>
      <w:r>
        <w:rPr>
          <w:rFonts w:hint="eastAsia" w:ascii="楷体" w:eastAsia="楷体"/>
          <w:b/>
          <w:w w:val="95"/>
          <w:sz w:val="18"/>
        </w:rPr>
        <w:t>周岁</w:t>
      </w:r>
      <w:r>
        <w:rPr>
          <w:rFonts w:ascii="楷体" w:eastAsia="楷体"/>
          <w:w w:val="95"/>
          <w:sz w:val="18"/>
        </w:rPr>
        <w:t>：指按有效身份证件中记载的出生日期计算的实足年龄，自出生之日起为零周岁，每经过一年增加一岁，不足一年的</w:t>
      </w:r>
      <w:r>
        <w:rPr>
          <w:rFonts w:ascii="楷体" w:eastAsia="楷体"/>
          <w:spacing w:val="-10"/>
          <w:w w:val="95"/>
          <w:sz w:val="18"/>
        </w:rPr>
        <w:t>不</w:t>
      </w:r>
    </w:p>
    <w:p>
      <w:pPr>
        <w:spacing w:before="2"/>
        <w:ind w:left="160" w:right="0" w:firstLine="0"/>
        <w:jc w:val="left"/>
        <w:rPr>
          <w:rFonts w:ascii="楷体" w:eastAsia="楷体"/>
          <w:sz w:val="18"/>
        </w:rPr>
      </w:pPr>
      <w:r>
        <w:rPr>
          <w:rFonts w:ascii="楷体" w:eastAsia="楷体"/>
          <w:spacing w:val="-5"/>
          <w:sz w:val="18"/>
        </w:rPr>
        <w:t>计。</w:t>
      </w:r>
    </w:p>
    <w:p>
      <w:pPr>
        <w:spacing w:before="3" w:line="244" w:lineRule="auto"/>
        <w:ind w:left="160" w:right="713" w:firstLine="0"/>
        <w:jc w:val="left"/>
        <w:rPr>
          <w:rFonts w:ascii="楷体" w:eastAsia="楷体"/>
          <w:sz w:val="18"/>
        </w:rPr>
      </w:pPr>
      <w:r>
        <w:rPr>
          <w:b/>
          <w:spacing w:val="-2"/>
          <w:position w:val="9"/>
          <w:sz w:val="9"/>
        </w:rPr>
        <w:t>3</w:t>
      </w:r>
      <w:r>
        <w:rPr>
          <w:rFonts w:hint="eastAsia" w:ascii="楷体" w:eastAsia="楷体"/>
          <w:b/>
          <w:spacing w:val="-2"/>
          <w:sz w:val="18"/>
        </w:rPr>
        <w:t>等待期：</w:t>
      </w:r>
      <w:r>
        <w:rPr>
          <w:rFonts w:ascii="楷体" w:eastAsia="楷体"/>
          <w:spacing w:val="-3"/>
          <w:sz w:val="18"/>
        </w:rPr>
        <w:t xml:space="preserve">是指本合同生效后本公司不承担保险责任的一段时间，本合同生效日起 </w:t>
      </w:r>
      <w:r>
        <w:rPr>
          <w:rFonts w:ascii="楷体" w:eastAsia="楷体"/>
          <w:spacing w:val="-2"/>
          <w:sz w:val="18"/>
        </w:rPr>
        <w:t>90</w:t>
      </w:r>
      <w:r>
        <w:rPr>
          <w:rFonts w:ascii="楷体" w:eastAsia="楷体"/>
          <w:spacing w:val="-12"/>
          <w:sz w:val="18"/>
        </w:rPr>
        <w:t xml:space="preserve"> 天内</w:t>
      </w:r>
      <w:r>
        <w:rPr>
          <w:rFonts w:ascii="楷体" w:eastAsia="楷体"/>
          <w:spacing w:val="-2"/>
          <w:sz w:val="18"/>
        </w:rPr>
        <w:t>（</w:t>
      </w:r>
      <w:r>
        <w:rPr>
          <w:rFonts w:ascii="楷体" w:eastAsia="楷体"/>
          <w:spacing w:val="-12"/>
          <w:sz w:val="18"/>
        </w:rPr>
        <w:t xml:space="preserve">含第 </w:t>
      </w:r>
      <w:r>
        <w:rPr>
          <w:rFonts w:ascii="楷体" w:eastAsia="楷体"/>
          <w:spacing w:val="-2"/>
          <w:sz w:val="18"/>
        </w:rPr>
        <w:t>90</w:t>
      </w:r>
      <w:r>
        <w:rPr>
          <w:rFonts w:ascii="楷体" w:eastAsia="楷体"/>
          <w:spacing w:val="-16"/>
          <w:sz w:val="18"/>
        </w:rPr>
        <w:t xml:space="preserve"> 天</w:t>
      </w:r>
      <w:r>
        <w:rPr>
          <w:rFonts w:ascii="楷体" w:eastAsia="楷体"/>
          <w:spacing w:val="-2"/>
          <w:sz w:val="18"/>
        </w:rPr>
        <w:t>）为等待期。保险期间届满时，投保人需要重新向本公司申请投保本产品，并经本公司同意，获得新的保险合同，新的保险合同无等待期。</w:t>
      </w:r>
    </w:p>
    <w:p>
      <w:pPr>
        <w:spacing w:after="0" w:line="244" w:lineRule="auto"/>
        <w:jc w:val="left"/>
        <w:rPr>
          <w:rFonts w:ascii="楷体" w:eastAsia="楷体"/>
          <w:sz w:val="18"/>
        </w:rPr>
        <w:sectPr>
          <w:type w:val="continuous"/>
          <w:pgSz w:w="11910" w:h="16840"/>
          <w:pgMar w:top="480" w:right="360" w:bottom="280" w:left="920" w:header="720" w:footer="720" w:gutter="0"/>
          <w:cols w:space="720" w:num="1"/>
        </w:sectPr>
      </w:pPr>
    </w:p>
    <w:p>
      <w:pPr>
        <w:spacing w:before="74" w:after="40"/>
        <w:ind w:left="2997" w:right="0" w:firstLine="0"/>
        <w:jc w:val="left"/>
        <w:rPr>
          <w:b/>
          <w:sz w:val="21"/>
        </w:rPr>
      </w:pPr>
      <w:r>
        <w:rPr>
          <w:b/>
          <w:w w:val="95"/>
          <w:sz w:val="21"/>
        </w:rPr>
        <w:t>构</w:t>
      </w:r>
      <w:r>
        <w:rPr>
          <w:b/>
          <w:w w:val="95"/>
          <w:position w:val="11"/>
          <w:sz w:val="11"/>
        </w:rPr>
        <w:t>4</w:t>
      </w:r>
      <w:r>
        <w:rPr>
          <w:w w:val="95"/>
          <w:sz w:val="21"/>
        </w:rPr>
        <w:t>由</w:t>
      </w:r>
      <w:r>
        <w:rPr>
          <w:b/>
          <w:w w:val="95"/>
          <w:sz w:val="21"/>
        </w:rPr>
        <w:t>专科医生</w:t>
      </w:r>
      <w:r>
        <w:rPr>
          <w:b/>
          <w:w w:val="95"/>
          <w:position w:val="11"/>
          <w:sz w:val="11"/>
        </w:rPr>
        <w:t>5</w:t>
      </w:r>
      <w:r>
        <w:rPr>
          <w:b/>
          <w:w w:val="95"/>
          <w:sz w:val="21"/>
        </w:rPr>
        <w:t>确诊初次发生</w:t>
      </w:r>
      <w:r>
        <w:rPr>
          <w:b/>
          <w:w w:val="95"/>
          <w:position w:val="11"/>
          <w:sz w:val="11"/>
        </w:rPr>
        <w:t>6</w:t>
      </w:r>
      <w:r>
        <w:rPr>
          <w:w w:val="95"/>
          <w:sz w:val="21"/>
        </w:rPr>
        <w:t>本合同列明的一种或多种</w:t>
      </w:r>
      <w:r>
        <w:rPr>
          <w:b/>
          <w:w w:val="95"/>
          <w:sz w:val="21"/>
        </w:rPr>
        <w:t>特定恶性肿瘤-重</w:t>
      </w:r>
      <w:r>
        <w:rPr>
          <w:b/>
          <w:spacing w:val="-10"/>
          <w:w w:val="95"/>
          <w:sz w:val="21"/>
        </w:rPr>
        <w:t>度</w:t>
      </w:r>
    </w:p>
    <w:tbl>
      <w:tblPr>
        <w:tblStyle w:val="5"/>
        <w:tblW w:w="0" w:type="auto"/>
        <w:tblInd w:w="30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64"/>
        <w:gridCol w:w="13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rPr>
        <w:tc>
          <w:tcPr>
            <w:tcW w:w="6837" w:type="dxa"/>
            <w:gridSpan w:val="2"/>
            <w:tcBorders>
              <w:bottom w:val="single" w:color="FFFFFF" w:sz="18" w:space="0"/>
            </w:tcBorders>
            <w:shd w:val="clear" w:color="auto" w:fill="E4E4E4"/>
          </w:tcPr>
          <w:p>
            <w:pPr>
              <w:pStyle w:val="9"/>
              <w:spacing w:before="0" w:line="250" w:lineRule="exact"/>
              <w:ind w:left="0" w:right="-15"/>
              <w:jc w:val="left"/>
              <w:rPr>
                <w:sz w:val="21"/>
              </w:rPr>
            </w:pPr>
            <w:r>
              <w:rPr>
                <w:b/>
                <w:w w:val="95"/>
                <w:position w:val="11"/>
                <w:sz w:val="11"/>
              </w:rPr>
              <w:t>7</w:t>
            </w:r>
            <w:r>
              <w:rPr>
                <w:w w:val="95"/>
                <w:sz w:val="21"/>
              </w:rPr>
              <w:t>，对于治疗该特定恶性肿瘤-重度发生的且同时满足以下条件的</w:t>
            </w:r>
            <w:r>
              <w:rPr>
                <w:spacing w:val="-3"/>
                <w:w w:val="95"/>
                <w:sz w:val="21"/>
              </w:rPr>
              <w:t>药品费用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7" w:hRule="atLeast"/>
        </w:trPr>
        <w:tc>
          <w:tcPr>
            <w:tcW w:w="6837" w:type="dxa"/>
            <w:gridSpan w:val="2"/>
            <w:tcBorders>
              <w:top w:val="single" w:color="FFFFFF" w:sz="18" w:space="0"/>
              <w:bottom w:val="single" w:color="FFFFFF" w:sz="18" w:space="0"/>
            </w:tcBorders>
            <w:shd w:val="clear" w:color="auto" w:fill="E4E4E4"/>
          </w:tcPr>
          <w:p>
            <w:pPr>
              <w:pStyle w:val="9"/>
              <w:spacing w:before="0" w:line="247" w:lineRule="exact"/>
              <w:ind w:left="0" w:right="-15"/>
              <w:jc w:val="left"/>
              <w:rPr>
                <w:sz w:val="21"/>
              </w:rPr>
            </w:pPr>
            <w:r>
              <w:rPr>
                <w:spacing w:val="-4"/>
                <w:sz w:val="21"/>
              </w:rPr>
              <w:t>（</w:t>
            </w:r>
            <w:r>
              <w:rPr>
                <w:spacing w:val="-10"/>
                <w:sz w:val="21"/>
              </w:rPr>
              <w:t>以下简称“满足条件的药品费用”</w:t>
            </w:r>
            <w:r>
              <w:rPr>
                <w:spacing w:val="-83"/>
                <w:sz w:val="21"/>
              </w:rPr>
              <w:t>）</w:t>
            </w:r>
            <w:r>
              <w:rPr>
                <w:spacing w:val="-17"/>
                <w:sz w:val="21"/>
              </w:rPr>
              <w:t xml:space="preserve">，本公司根据本合同第 </w:t>
            </w:r>
            <w:r>
              <w:rPr>
                <w:spacing w:val="-4"/>
                <w:sz w:val="21"/>
              </w:rPr>
              <w:t>2.3.1.2</w:t>
            </w:r>
            <w:r>
              <w:rPr>
                <w:spacing w:val="-15"/>
                <w:sz w:val="21"/>
              </w:rPr>
              <w:t xml:space="preserve"> 条“特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837" w:type="dxa"/>
            <w:gridSpan w:val="2"/>
            <w:tcBorders>
              <w:top w:val="single" w:color="FFFFFF" w:sz="18" w:space="0"/>
              <w:bottom w:val="single" w:color="FFFFFF" w:sz="18" w:space="0"/>
            </w:tcBorders>
            <w:shd w:val="clear" w:color="auto" w:fill="E4E4E4"/>
          </w:tcPr>
          <w:p>
            <w:pPr>
              <w:pStyle w:val="9"/>
              <w:spacing w:before="0" w:line="247" w:lineRule="exact"/>
              <w:ind w:left="0" w:right="-15"/>
              <w:jc w:val="left"/>
              <w:rPr>
                <w:sz w:val="21"/>
              </w:rPr>
            </w:pPr>
            <w:r>
              <w:rPr>
                <w:spacing w:val="-7"/>
                <w:sz w:val="21"/>
              </w:rPr>
              <w:t>药医疗费用计算方法”的约定，给付特药医疗费用保险金，特药医疗费用保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37" w:type="dxa"/>
            <w:gridSpan w:val="2"/>
            <w:tcBorders>
              <w:top w:val="single" w:color="FFFFFF" w:sz="18" w:space="0"/>
              <w:bottom w:val="single" w:color="FFFFFF" w:sz="18" w:space="0"/>
            </w:tcBorders>
            <w:shd w:val="clear" w:color="auto" w:fill="E4E4E4"/>
          </w:tcPr>
          <w:p>
            <w:pPr>
              <w:pStyle w:val="9"/>
              <w:spacing w:before="0" w:line="247" w:lineRule="exact"/>
              <w:ind w:left="0" w:right="-15"/>
              <w:jc w:val="left"/>
              <w:rPr>
                <w:sz w:val="21"/>
              </w:rPr>
            </w:pPr>
            <w:r>
              <w:rPr>
                <w:spacing w:val="-1"/>
                <w:sz w:val="21"/>
              </w:rPr>
              <w:t>险金累计以本合同载明的该被保险人的特药医疗费用保险责任基本保险金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5464" w:type="dxa"/>
            <w:tcBorders>
              <w:top w:val="single" w:color="FFFFFF" w:sz="18" w:space="0"/>
            </w:tcBorders>
            <w:shd w:val="clear" w:color="auto" w:fill="E4E4E4"/>
          </w:tcPr>
          <w:p>
            <w:pPr>
              <w:pStyle w:val="9"/>
              <w:spacing w:before="0" w:line="250" w:lineRule="exact"/>
              <w:ind w:left="0" w:right="-15"/>
              <w:jc w:val="left"/>
              <w:rPr>
                <w:sz w:val="21"/>
              </w:rPr>
            </w:pPr>
            <w:r>
              <w:rPr>
                <w:spacing w:val="-3"/>
                <w:sz w:val="21"/>
              </w:rPr>
              <w:t>额为上限，当达到该基本保险金额时，本项保险责任终止。</w:t>
            </w:r>
          </w:p>
        </w:tc>
        <w:tc>
          <w:tcPr>
            <w:tcW w:w="1373" w:type="dxa"/>
            <w:tcBorders>
              <w:top w:val="single" w:color="FFFFFF" w:sz="18" w:space="0"/>
            </w:tcBorders>
          </w:tcPr>
          <w:p>
            <w:pPr>
              <w:pStyle w:val="9"/>
              <w:spacing w:before="0" w:line="240" w:lineRule="auto"/>
              <w:ind w:left="0"/>
              <w:jc w:val="left"/>
              <w:rPr>
                <w:rFonts w:ascii="Times New Roman"/>
                <w:sz w:val="18"/>
              </w:rPr>
            </w:pPr>
          </w:p>
        </w:tc>
      </w:tr>
    </w:tbl>
    <w:p>
      <w:pPr>
        <w:pStyle w:val="4"/>
        <w:spacing w:before="7"/>
        <w:rPr>
          <w:b/>
          <w:sz w:val="15"/>
        </w:rPr>
      </w:pPr>
    </w:p>
    <w:p>
      <w:pPr>
        <w:pStyle w:val="4"/>
        <w:ind w:left="2997"/>
      </w:pPr>
      <w:r>
        <w:rPr>
          <w:color w:val="000000"/>
          <w:spacing w:val="-3"/>
          <w:shd w:val="clear" w:color="auto" w:fill="E4E4E4"/>
        </w:rPr>
        <w:t>满足条件的药品费用须同时满足以下要求：</w:t>
      </w:r>
    </w:p>
    <w:p>
      <w:pPr>
        <w:pStyle w:val="4"/>
        <w:spacing w:before="12"/>
        <w:rPr>
          <w:sz w:val="9"/>
        </w:rPr>
      </w:pPr>
    </w:p>
    <w:p>
      <w:pPr>
        <w:pStyle w:val="4"/>
        <w:spacing w:before="72"/>
        <w:ind w:left="2997"/>
      </w:pPr>
      <w:r>
        <w:drawing>
          <wp:anchor distT="0" distB="0" distL="0" distR="0" simplePos="0" relativeHeight="251660288" behindDoc="0" locked="0" layoutInCell="1" allowOverlap="1">
            <wp:simplePos x="0" y="0"/>
            <wp:positionH relativeFrom="page">
              <wp:posOffset>2944495</wp:posOffset>
            </wp:positionH>
            <wp:positionV relativeFrom="paragraph">
              <wp:posOffset>241300</wp:posOffset>
            </wp:positionV>
            <wp:extent cx="3773805" cy="17399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r:embed="rId10" cstate="print"/>
                    <a:stretch>
                      <a:fillRect/>
                    </a:stretch>
                  </pic:blipFill>
                  <pic:spPr>
                    <a:xfrm>
                      <a:off x="0" y="0"/>
                      <a:ext cx="3774058" cy="173735"/>
                    </a:xfrm>
                    <a:prstGeom prst="rect">
                      <a:avLst/>
                    </a:prstGeom>
                  </pic:spPr>
                </pic:pic>
              </a:graphicData>
            </a:graphic>
          </wp:anchor>
        </w:drawing>
      </w:r>
      <w:r>
        <w:pict>
          <v:shape id="docshape1" o:spid="_x0000_s1026" o:spt="202" type="#_x0000_t202" style="position:absolute;left:0pt;margin-left:231.85pt;margin-top:19pt;height:13.7pt;width:297.2pt;mso-position-horizontal-relative:page;z-index:251661312;mso-width-relative:page;mso-height-relative:page;" filled="f" stroked="f" coordsize="21600,21600">
            <v:path/>
            <v:fill on="f" focussize="0,0"/>
            <v:stroke on="f" joinstyle="miter"/>
            <v:imagedata o:title=""/>
            <o:lock v:ext="edit"/>
            <v:textbox inset="0mm,0mm,0mm,0mm">
              <w:txbxContent>
                <w:p>
                  <w:pPr>
                    <w:pStyle w:val="4"/>
                    <w:spacing w:line="273" w:lineRule="exact"/>
                    <w:ind w:right="-15"/>
                  </w:pPr>
                  <w:r>
                    <w:rPr>
                      <w:w w:val="95"/>
                    </w:rPr>
                    <w:t>医疗机构专科医生开具的、被保险人当前治疗</w:t>
                  </w:r>
                  <w:r>
                    <w:rPr>
                      <w:b/>
                      <w:w w:val="95"/>
                    </w:rPr>
                    <w:t>医学必需</w:t>
                  </w:r>
                  <w:r>
                    <w:rPr>
                      <w:b/>
                      <w:w w:val="95"/>
                      <w:position w:val="11"/>
                      <w:sz w:val="11"/>
                    </w:rPr>
                    <w:t>8</w:t>
                  </w:r>
                  <w:r>
                    <w:rPr>
                      <w:w w:val="95"/>
                    </w:rPr>
                    <w:t>的药品</w:t>
                  </w:r>
                  <w:r>
                    <w:rPr>
                      <w:spacing w:val="-10"/>
                      <w:w w:val="95"/>
                    </w:rPr>
                    <w:t>；</w:t>
                  </w:r>
                </w:p>
              </w:txbxContent>
            </v:textbox>
          </v:shape>
        </w:pict>
      </w:r>
      <w:r>
        <w:pict>
          <v:shape id="docshape2" o:spid="_x0000_s1027" o:spt="202" type="#_x0000_t202" style="position:absolute;left:0pt;margin-left:231.85pt;margin-top:3.4pt;height:13.7pt;width:305.85pt;mso-position-horizontal-relative:page;z-index:251661312;mso-width-relative:page;mso-height-relative:page;" fillcolor="#E4E4E4" filled="t" stroked="f" coordsize="21600,21600">
            <v:path/>
            <v:fill on="t" focussize="0,0"/>
            <v:stroke on="f" joinstyle="miter"/>
            <v:imagedata o:title=""/>
            <o:lock v:ext="edit"/>
            <v:textbox inset="0mm,0mm,0mm,0mm">
              <w:txbxContent>
                <w:p>
                  <w:pPr>
                    <w:pStyle w:val="4"/>
                    <w:spacing w:before="3"/>
                    <w:rPr>
                      <w:color w:val="000000"/>
                    </w:rPr>
                  </w:pPr>
                  <w:r>
                    <w:rPr>
                      <w:color w:val="000000"/>
                      <w:spacing w:val="-1"/>
                    </w:rPr>
                    <w:t>用于治疗特定恶性肿瘤-重度的药品处方是由本公司指定或认可的</w:t>
                  </w:r>
                </w:p>
              </w:txbxContent>
            </v:textbox>
          </v:shape>
        </w:pict>
      </w:r>
      <w:r>
        <w:rPr>
          <w:spacing w:val="-5"/>
        </w:rPr>
        <w:t>（1）</w:t>
      </w:r>
    </w:p>
    <w:p>
      <w:pPr>
        <w:pStyle w:val="4"/>
        <w:rPr>
          <w:sz w:val="20"/>
        </w:rPr>
      </w:pPr>
    </w:p>
    <w:p>
      <w:pPr>
        <w:pStyle w:val="4"/>
        <w:spacing w:before="3"/>
        <w:rPr>
          <w:sz w:val="14"/>
        </w:rPr>
      </w:pPr>
    </w:p>
    <w:p>
      <w:pPr>
        <w:pStyle w:val="8"/>
        <w:numPr>
          <w:ilvl w:val="4"/>
          <w:numId w:val="2"/>
        </w:numPr>
        <w:tabs>
          <w:tab w:val="left" w:pos="3718"/>
        </w:tabs>
        <w:spacing w:before="72" w:after="0" w:line="240" w:lineRule="auto"/>
        <w:ind w:left="3717" w:right="0" w:hanging="721"/>
        <w:jc w:val="left"/>
        <w:rPr>
          <w:sz w:val="21"/>
        </w:rPr>
      </w:pPr>
      <w:r>
        <w:rPr>
          <w:color w:val="000000"/>
          <w:spacing w:val="-6"/>
          <w:sz w:val="21"/>
          <w:shd w:val="clear" w:color="auto" w:fill="E4E4E4"/>
        </w:rPr>
        <w:t xml:space="preserve">每次的处方剂量不超过 </w:t>
      </w:r>
      <w:r>
        <w:rPr>
          <w:color w:val="000000"/>
          <w:spacing w:val="-2"/>
          <w:sz w:val="21"/>
          <w:shd w:val="clear" w:color="auto" w:fill="E4E4E4"/>
        </w:rPr>
        <w:t>1</w:t>
      </w:r>
      <w:r>
        <w:rPr>
          <w:color w:val="000000"/>
          <w:spacing w:val="-14"/>
          <w:sz w:val="21"/>
          <w:shd w:val="clear" w:color="auto" w:fill="E4E4E4"/>
        </w:rPr>
        <w:t xml:space="preserve"> 个月，且开具时间须在本合同保险期间内；</w:t>
      </w:r>
    </w:p>
    <w:p>
      <w:pPr>
        <w:pStyle w:val="4"/>
        <w:spacing w:before="9"/>
        <w:rPr>
          <w:sz w:val="14"/>
        </w:rPr>
      </w:pPr>
    </w:p>
    <w:p>
      <w:pPr>
        <w:pStyle w:val="8"/>
        <w:numPr>
          <w:ilvl w:val="4"/>
          <w:numId w:val="2"/>
        </w:numPr>
        <w:tabs>
          <w:tab w:val="left" w:pos="3718"/>
        </w:tabs>
        <w:spacing w:before="1" w:after="0" w:line="278" w:lineRule="auto"/>
        <w:ind w:left="3717" w:right="780" w:hanging="721"/>
        <w:jc w:val="left"/>
        <w:rPr>
          <w:sz w:val="21"/>
        </w:rPr>
      </w:pPr>
      <w:r>
        <w:rPr>
          <w:color w:val="000000"/>
          <w:spacing w:val="4"/>
          <w:w w:val="100"/>
          <w:sz w:val="21"/>
          <w:shd w:val="clear" w:color="auto" w:fill="E4E4E4"/>
        </w:rPr>
        <w:t>上述药品处方中所列明的药品属于</w:t>
      </w:r>
      <w:r>
        <w:rPr>
          <w:b/>
          <w:color w:val="000000"/>
          <w:spacing w:val="4"/>
          <w:w w:val="100"/>
          <w:sz w:val="21"/>
          <w:shd w:val="clear" w:color="auto" w:fill="E4E4E4"/>
        </w:rPr>
        <w:t>本公司指定的药品清单</w:t>
      </w:r>
      <w:r>
        <w:rPr>
          <w:b/>
          <w:color w:val="000000"/>
          <w:w w:val="99"/>
          <w:position w:val="11"/>
          <w:sz w:val="11"/>
        </w:rPr>
        <w:t>9</w:t>
      </w:r>
      <w:r>
        <w:rPr>
          <w:b/>
          <w:color w:val="000000"/>
          <w:spacing w:val="-46"/>
          <w:position w:val="11"/>
          <w:sz w:val="11"/>
        </w:rPr>
        <w:t xml:space="preserve"> </w:t>
      </w:r>
      <w:r>
        <w:rPr>
          <w:color w:val="000000"/>
          <w:spacing w:val="4"/>
          <w:w w:val="100"/>
          <w:sz w:val="21"/>
          <w:shd w:val="clear" w:color="auto" w:fill="E4E4E4"/>
        </w:rPr>
        <w:t>中的药</w:t>
      </w:r>
      <w:r>
        <w:rPr>
          <w:color w:val="000000"/>
          <w:w w:val="100"/>
          <w:sz w:val="21"/>
          <w:shd w:val="clear" w:color="auto" w:fill="E4E4E4"/>
        </w:rPr>
        <w:t>品；</w:t>
      </w:r>
    </w:p>
    <w:p>
      <w:pPr>
        <w:pStyle w:val="8"/>
        <w:numPr>
          <w:ilvl w:val="4"/>
          <w:numId w:val="2"/>
        </w:numPr>
        <w:tabs>
          <w:tab w:val="left" w:pos="3718"/>
        </w:tabs>
        <w:spacing w:before="156" w:after="0" w:line="268" w:lineRule="auto"/>
        <w:ind w:left="3717" w:right="786" w:hanging="721"/>
        <w:jc w:val="left"/>
        <w:rPr>
          <w:sz w:val="21"/>
        </w:rPr>
      </w:pPr>
      <w:r>
        <w:rPr>
          <w:color w:val="000000"/>
          <w:spacing w:val="-2"/>
          <w:sz w:val="21"/>
          <w:shd w:val="clear" w:color="auto" w:fill="E4E4E4"/>
        </w:rPr>
        <w:t>上述药品处方中所列明的药品是在本公司指定或认可的医疗机构或</w:t>
      </w:r>
      <w:r>
        <w:rPr>
          <w:color w:val="000000"/>
          <w:spacing w:val="11760"/>
          <w:sz w:val="21"/>
          <w:shd w:val="clear" w:color="auto" w:fill="E4E4E4"/>
        </w:rPr>
        <w:t xml:space="preserve"> </w:t>
      </w:r>
      <w:r>
        <w:rPr>
          <w:b/>
          <w:color w:val="000000"/>
          <w:spacing w:val="-2"/>
          <w:sz w:val="21"/>
          <w:shd w:val="clear" w:color="auto" w:fill="E4E4E4"/>
        </w:rPr>
        <w:t>本公司认可的药店</w:t>
      </w:r>
      <w:r>
        <w:rPr>
          <w:b/>
          <w:color w:val="000000"/>
          <w:spacing w:val="-2"/>
          <w:position w:val="11"/>
          <w:sz w:val="11"/>
        </w:rPr>
        <w:t>10</w:t>
      </w:r>
      <w:r>
        <w:rPr>
          <w:color w:val="000000"/>
          <w:spacing w:val="-2"/>
          <w:sz w:val="21"/>
          <w:shd w:val="clear" w:color="auto" w:fill="E4E4E4"/>
        </w:rPr>
        <w:t>购买的药品；</w:t>
      </w:r>
    </w:p>
    <w:p>
      <w:pPr>
        <w:pStyle w:val="8"/>
        <w:numPr>
          <w:ilvl w:val="4"/>
          <w:numId w:val="2"/>
        </w:numPr>
        <w:tabs>
          <w:tab w:val="left" w:pos="3718"/>
        </w:tabs>
        <w:spacing w:before="167" w:after="0" w:line="240" w:lineRule="auto"/>
        <w:ind w:left="3717" w:right="0" w:hanging="721"/>
        <w:jc w:val="left"/>
        <w:rPr>
          <w:sz w:val="21"/>
        </w:rPr>
      </w:pPr>
      <w:r>
        <w:rPr>
          <w:color w:val="000000"/>
          <w:spacing w:val="-3"/>
          <w:sz w:val="21"/>
          <w:shd w:val="clear" w:color="auto" w:fill="E4E4E4"/>
        </w:rPr>
        <w:t>在本公司认可的药店购买的药品须经本公司处方审核。</w:t>
      </w:r>
    </w:p>
    <w:p>
      <w:pPr>
        <w:pStyle w:val="4"/>
        <w:spacing w:before="12"/>
        <w:rPr>
          <w:sz w:val="9"/>
        </w:rPr>
      </w:pPr>
    </w:p>
    <w:p>
      <w:pPr>
        <w:pStyle w:val="4"/>
        <w:spacing w:before="72" w:line="278" w:lineRule="auto"/>
        <w:ind w:left="2997" w:right="795"/>
      </w:pPr>
      <w:r>
        <w:rPr>
          <w:color w:val="000000"/>
          <w:spacing w:val="-2"/>
          <w:shd w:val="clear" w:color="auto" w:fill="E4E4E4"/>
        </w:rPr>
        <w:t>除上述在本公司指定或认可的医疗机构或本公司认可的药店发生的特药医</w:t>
      </w:r>
      <w:r>
        <w:rPr>
          <w:color w:val="000000"/>
          <w:spacing w:val="80"/>
          <w:w w:val="150"/>
          <w:shd w:val="clear" w:color="auto" w:fill="E4E4E4"/>
        </w:rPr>
        <w:t xml:space="preserve">                                     </w:t>
      </w:r>
      <w:r>
        <w:rPr>
          <w:color w:val="000000"/>
          <w:spacing w:val="-2"/>
          <w:shd w:val="clear" w:color="auto" w:fill="E4E4E4"/>
        </w:rPr>
        <w:t>疗费用以外的其他医疗费用，本公司不承担给付保险金的责任。</w:t>
      </w:r>
    </w:p>
    <w:p>
      <w:pPr>
        <w:pStyle w:val="4"/>
        <w:rPr>
          <w:sz w:val="10"/>
        </w:rPr>
      </w:pPr>
      <w:r>
        <w:drawing>
          <wp:anchor distT="0" distB="0" distL="0" distR="0" simplePos="0" relativeHeight="251668480" behindDoc="1" locked="0" layoutInCell="1" allowOverlap="1">
            <wp:simplePos x="0" y="0"/>
            <wp:positionH relativeFrom="page">
              <wp:posOffset>2487295</wp:posOffset>
            </wp:positionH>
            <wp:positionV relativeFrom="paragraph">
              <wp:posOffset>492760</wp:posOffset>
            </wp:positionV>
            <wp:extent cx="4003040" cy="17399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a:picLocks noChangeAspect="1"/>
                    </pic:cNvPicPr>
                  </pic:nvPicPr>
                  <pic:blipFill>
                    <a:blip r:embed="rId11" cstate="print"/>
                    <a:stretch>
                      <a:fillRect/>
                    </a:stretch>
                  </pic:blipFill>
                  <pic:spPr>
                    <a:xfrm>
                      <a:off x="0" y="0"/>
                      <a:ext cx="4002913" cy="173736"/>
                    </a:xfrm>
                    <a:prstGeom prst="rect">
                      <a:avLst/>
                    </a:prstGeom>
                  </pic:spPr>
                </pic:pic>
              </a:graphicData>
            </a:graphic>
          </wp:anchor>
        </w:drawing>
      </w:r>
      <w:r>
        <w:pict>
          <v:shape id="docshape3" o:spid="_x0000_s1028" o:spt="202" type="#_x0000_t202" style="position:absolute;left:0pt;margin-left:195.85pt;margin-top:38.8pt;height:13.7pt;width:315.2pt;mso-position-horizontal-relative:page;z-index:-251648000;mso-width-relative:page;mso-height-relative:page;" filled="f" stroked="f" coordsize="21600,21600">
            <v:path/>
            <v:fill on="f" focussize="0,0"/>
            <v:stroke on="f" joinstyle="miter"/>
            <v:imagedata o:title=""/>
            <o:lock v:ext="edit"/>
            <v:textbox inset="0mm,0mm,0mm,0mm">
              <w:txbxContent>
                <w:p>
                  <w:pPr>
                    <w:pStyle w:val="4"/>
                    <w:spacing w:before="3"/>
                    <w:ind w:right="-15"/>
                  </w:pPr>
                  <w:r>
                    <w:rPr>
                      <w:spacing w:val="-3"/>
                    </w:rPr>
                    <w:t>承担给付保险金的责任，并无息返还所交保险费，同时本合同终止。</w:t>
                  </w:r>
                </w:p>
              </w:txbxContent>
            </v:textbox>
          </v:shape>
        </w:pict>
      </w:r>
      <w:r>
        <w:pict>
          <v:shape id="docshape4" o:spid="_x0000_s1029" o:spt="202" type="#_x0000_t202" style="position:absolute;left:0pt;margin-left:195.85pt;margin-top:23.2pt;height:13.7pt;width:341.85pt;mso-position-horizontal-relative:page;z-index:-251646976;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诊初次发生本合同列明的无论一种或者多种特定恶性肿瘤-重度，本公司不</w:t>
                  </w:r>
                </w:p>
              </w:txbxContent>
            </v:textbox>
          </v:shape>
        </w:pict>
      </w:r>
      <w:r>
        <w:pict>
          <v:shape id="docshape5" o:spid="_x0000_s1030" o:spt="202" type="#_x0000_t202" style="position:absolute;left:0pt;margin-left:195.85pt;margin-top:7.6pt;height:13.7pt;width:341.85pt;mso-position-horizontal-relative:page;mso-wrap-distance-bottom:0pt;mso-wrap-distance-top:0pt;z-index:-251640832;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10"/>
                    </w:rPr>
                    <w:t>被保险人在本合同等待期内，在本公司指定或认可的医疗机构由专科医生确</w:t>
                  </w:r>
                </w:p>
              </w:txbxContent>
            </v:textbox>
            <w10:wrap type="topAndBottom"/>
          </v:shape>
        </w:pict>
      </w:r>
    </w:p>
    <w:p>
      <w:pPr>
        <w:pStyle w:val="4"/>
        <w:rPr>
          <w:sz w:val="20"/>
        </w:rPr>
      </w:pPr>
    </w:p>
    <w:p>
      <w:pPr>
        <w:pStyle w:val="4"/>
        <w:rPr>
          <w:sz w:val="20"/>
        </w:rPr>
      </w:pPr>
    </w:p>
    <w:p>
      <w:pPr>
        <w:pStyle w:val="4"/>
        <w:rPr>
          <w:sz w:val="20"/>
        </w:rPr>
      </w:pPr>
    </w:p>
    <w:p>
      <w:pPr>
        <w:pStyle w:val="4"/>
        <w:spacing w:before="9"/>
        <w:rPr>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159385</wp:posOffset>
            </wp:positionV>
            <wp:extent cx="1829435" cy="6350"/>
            <wp:effectExtent l="0" t="0" r="0" b="0"/>
            <wp:wrapTopAndBottom/>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4.png"/>
                    <pic:cNvPicPr>
                      <a:picLocks noChangeAspect="1"/>
                    </pic:cNvPicPr>
                  </pic:nvPicPr>
                  <pic:blipFill>
                    <a:blip r:embed="rId9" cstate="print"/>
                    <a:stretch>
                      <a:fillRect/>
                    </a:stretch>
                  </pic:blipFill>
                  <pic:spPr>
                    <a:xfrm>
                      <a:off x="0" y="0"/>
                      <a:ext cx="1829396" cy="6096"/>
                    </a:xfrm>
                    <a:prstGeom prst="rect">
                      <a:avLst/>
                    </a:prstGeom>
                  </pic:spPr>
                </pic:pic>
              </a:graphicData>
            </a:graphic>
          </wp:anchor>
        </w:drawing>
      </w:r>
    </w:p>
    <w:p>
      <w:pPr>
        <w:spacing w:before="91"/>
        <w:ind w:left="160" w:right="0" w:firstLine="0"/>
        <w:jc w:val="left"/>
        <w:rPr>
          <w:rFonts w:ascii="楷体" w:eastAsia="楷体"/>
          <w:sz w:val="18"/>
        </w:rPr>
      </w:pPr>
      <w:r>
        <w:rPr>
          <w:w w:val="95"/>
          <w:position w:val="9"/>
          <w:sz w:val="9"/>
        </w:rPr>
        <w:t>4</w:t>
      </w:r>
      <w:r>
        <w:rPr>
          <w:rFonts w:hint="eastAsia" w:ascii="楷体" w:eastAsia="楷体"/>
          <w:b/>
          <w:w w:val="95"/>
          <w:sz w:val="18"/>
        </w:rPr>
        <w:t>本公司指定或认可的医疗机构：</w:t>
      </w:r>
      <w:r>
        <w:rPr>
          <w:rFonts w:ascii="楷体" w:eastAsia="楷体"/>
          <w:w w:val="95"/>
          <w:sz w:val="18"/>
        </w:rPr>
        <w:t>包括本公司指定医疗机构，以及符合下列所有条件的机构</w:t>
      </w:r>
      <w:r>
        <w:rPr>
          <w:rFonts w:ascii="楷体" w:eastAsia="楷体"/>
          <w:spacing w:val="-10"/>
          <w:w w:val="95"/>
          <w:sz w:val="18"/>
        </w:rPr>
        <w:t>：</w:t>
      </w:r>
    </w:p>
    <w:p>
      <w:pPr>
        <w:pStyle w:val="8"/>
        <w:numPr>
          <w:ilvl w:val="0"/>
          <w:numId w:val="3"/>
        </w:numPr>
        <w:tabs>
          <w:tab w:val="left" w:pos="613"/>
        </w:tabs>
        <w:spacing w:before="2" w:after="0" w:line="242" w:lineRule="auto"/>
        <w:ind w:left="160" w:right="714" w:firstLine="0"/>
        <w:jc w:val="left"/>
        <w:rPr>
          <w:rFonts w:ascii="楷体" w:eastAsia="楷体"/>
          <w:sz w:val="18"/>
        </w:rPr>
      </w:pPr>
      <w:r>
        <w:rPr>
          <w:rFonts w:ascii="楷体" w:eastAsia="楷体"/>
          <w:spacing w:val="-2"/>
          <w:sz w:val="18"/>
        </w:rPr>
        <w:t>位于境内，拥有合法经营执照，当地基本医疗保险管理机构最新公布的二级以上（含二级）的定点医院，或其它合同双方约定的医院；</w:t>
      </w:r>
    </w:p>
    <w:p>
      <w:pPr>
        <w:pStyle w:val="8"/>
        <w:numPr>
          <w:ilvl w:val="0"/>
          <w:numId w:val="3"/>
        </w:numPr>
        <w:tabs>
          <w:tab w:val="left" w:pos="613"/>
        </w:tabs>
        <w:spacing w:before="2" w:after="0" w:line="240" w:lineRule="auto"/>
        <w:ind w:left="612" w:right="0" w:hanging="453"/>
        <w:jc w:val="left"/>
        <w:rPr>
          <w:rFonts w:ascii="楷体" w:eastAsia="楷体"/>
          <w:sz w:val="18"/>
        </w:rPr>
      </w:pPr>
      <w:r>
        <w:rPr>
          <w:rFonts w:ascii="楷体" w:eastAsia="楷体"/>
          <w:spacing w:val="-1"/>
          <w:sz w:val="18"/>
        </w:rPr>
        <w:t>设立的主要目的为向受伤者和患病者提供留院治疗和护理服务；</w:t>
      </w:r>
    </w:p>
    <w:p>
      <w:pPr>
        <w:pStyle w:val="8"/>
        <w:numPr>
          <w:ilvl w:val="0"/>
          <w:numId w:val="3"/>
        </w:numPr>
        <w:tabs>
          <w:tab w:val="left" w:pos="613"/>
        </w:tabs>
        <w:spacing w:before="2" w:after="0" w:line="240" w:lineRule="auto"/>
        <w:ind w:left="612" w:right="0" w:hanging="453"/>
        <w:jc w:val="left"/>
        <w:rPr>
          <w:rFonts w:ascii="楷体" w:eastAsia="楷体"/>
          <w:sz w:val="18"/>
        </w:rPr>
      </w:pPr>
      <w:r>
        <w:rPr>
          <w:rFonts w:ascii="楷体" w:eastAsia="楷体"/>
          <w:spacing w:val="-1"/>
          <w:sz w:val="18"/>
        </w:rPr>
        <w:t>有合格的医生和护士提供全日二十四小时的医疗和护理服务；</w:t>
      </w:r>
    </w:p>
    <w:p>
      <w:pPr>
        <w:pStyle w:val="8"/>
        <w:numPr>
          <w:ilvl w:val="0"/>
          <w:numId w:val="3"/>
        </w:numPr>
        <w:tabs>
          <w:tab w:val="left" w:pos="613"/>
        </w:tabs>
        <w:spacing w:before="3" w:after="0" w:line="240" w:lineRule="auto"/>
        <w:ind w:left="612" w:right="0" w:hanging="453"/>
        <w:jc w:val="left"/>
        <w:rPr>
          <w:rFonts w:ascii="楷体" w:eastAsia="楷体"/>
          <w:sz w:val="18"/>
        </w:rPr>
      </w:pPr>
      <w:r>
        <w:rPr>
          <w:rFonts w:ascii="楷体" w:eastAsia="楷体"/>
          <w:spacing w:val="-1"/>
          <w:sz w:val="18"/>
        </w:rPr>
        <w:t>非主要作为康复医院、诊所、护理、疗养、戒酒、戒毒或类似的医疗机构。</w:t>
      </w:r>
    </w:p>
    <w:p>
      <w:pPr>
        <w:spacing w:before="2"/>
        <w:ind w:left="160" w:right="0" w:firstLine="0"/>
        <w:jc w:val="left"/>
        <w:rPr>
          <w:rFonts w:ascii="楷体" w:eastAsia="楷体"/>
          <w:sz w:val="18"/>
        </w:rPr>
      </w:pPr>
      <w:r>
        <w:rPr>
          <w:rFonts w:ascii="楷体" w:eastAsia="楷体"/>
          <w:w w:val="95"/>
          <w:position w:val="9"/>
          <w:sz w:val="9"/>
        </w:rPr>
        <w:t>5</w:t>
      </w:r>
      <w:r>
        <w:rPr>
          <w:rFonts w:hint="eastAsia" w:ascii="楷体" w:eastAsia="楷体"/>
          <w:b/>
          <w:w w:val="95"/>
          <w:sz w:val="18"/>
        </w:rPr>
        <w:t>专科医生：</w:t>
      </w:r>
      <w:r>
        <w:rPr>
          <w:rFonts w:ascii="楷体" w:eastAsia="楷体"/>
          <w:w w:val="95"/>
          <w:sz w:val="18"/>
        </w:rPr>
        <w:t>专科医生应当同时满足以下四项资格条件</w:t>
      </w:r>
      <w:r>
        <w:rPr>
          <w:rFonts w:ascii="楷体" w:eastAsia="楷体"/>
          <w:spacing w:val="-79"/>
          <w:w w:val="95"/>
          <w:sz w:val="18"/>
        </w:rPr>
        <w:t>：</w:t>
      </w:r>
      <w:r>
        <w:rPr>
          <w:rFonts w:ascii="楷体" w:eastAsia="楷体"/>
          <w:spacing w:val="32"/>
          <w:w w:val="95"/>
          <w:sz w:val="18"/>
        </w:rPr>
        <w:t>（</w:t>
      </w:r>
      <w:r>
        <w:rPr>
          <w:rFonts w:ascii="楷体" w:eastAsia="楷体"/>
          <w:spacing w:val="33"/>
          <w:w w:val="95"/>
          <w:sz w:val="18"/>
        </w:rPr>
        <w:t>1</w:t>
      </w:r>
      <w:r>
        <w:rPr>
          <w:rFonts w:ascii="楷体" w:eastAsia="楷体"/>
          <w:spacing w:val="12"/>
          <w:w w:val="95"/>
          <w:sz w:val="18"/>
        </w:rPr>
        <w:t>）</w:t>
      </w:r>
      <w:r>
        <w:rPr>
          <w:rFonts w:ascii="楷体" w:eastAsia="楷体"/>
          <w:w w:val="95"/>
          <w:sz w:val="18"/>
        </w:rPr>
        <w:t>具有有效的中华人民共和国《医师资格证书</w:t>
      </w:r>
      <w:r>
        <w:rPr>
          <w:rFonts w:ascii="楷体" w:eastAsia="楷体"/>
          <w:spacing w:val="-86"/>
          <w:w w:val="95"/>
          <w:sz w:val="18"/>
        </w:rPr>
        <w:t>》；</w:t>
      </w:r>
      <w:r>
        <w:rPr>
          <w:rFonts w:ascii="楷体" w:eastAsia="楷体"/>
          <w:spacing w:val="33"/>
          <w:w w:val="95"/>
          <w:sz w:val="18"/>
        </w:rPr>
        <w:t>（2</w:t>
      </w:r>
      <w:r>
        <w:rPr>
          <w:rFonts w:ascii="楷体" w:eastAsia="楷体"/>
          <w:spacing w:val="12"/>
          <w:w w:val="95"/>
          <w:sz w:val="18"/>
        </w:rPr>
        <w:t>）</w:t>
      </w:r>
      <w:r>
        <w:rPr>
          <w:rFonts w:ascii="楷体" w:eastAsia="楷体"/>
          <w:w w:val="95"/>
          <w:sz w:val="18"/>
        </w:rPr>
        <w:t>具有有效的</w:t>
      </w:r>
      <w:r>
        <w:rPr>
          <w:rFonts w:ascii="楷体" w:eastAsia="楷体"/>
          <w:spacing w:val="-10"/>
          <w:w w:val="95"/>
          <w:sz w:val="18"/>
        </w:rPr>
        <w:t>中</w:t>
      </w:r>
    </w:p>
    <w:p>
      <w:pPr>
        <w:spacing w:before="4" w:line="242" w:lineRule="auto"/>
        <w:ind w:left="160" w:right="716" w:firstLine="0"/>
        <w:jc w:val="left"/>
        <w:rPr>
          <w:rFonts w:ascii="楷体" w:eastAsia="楷体"/>
          <w:sz w:val="18"/>
        </w:rPr>
      </w:pPr>
      <w:r>
        <w:rPr>
          <w:rFonts w:ascii="楷体" w:eastAsia="楷体"/>
          <w:spacing w:val="-14"/>
          <w:sz w:val="18"/>
        </w:rPr>
        <w:t>华人民共和国《医师执业证书》，并按期到相关部门登记注册；</w:t>
      </w:r>
      <w:r>
        <w:rPr>
          <w:rFonts w:ascii="楷体" w:eastAsia="楷体"/>
          <w:spacing w:val="26"/>
          <w:sz w:val="18"/>
        </w:rPr>
        <w:t>（</w:t>
      </w:r>
      <w:r>
        <w:rPr>
          <w:rFonts w:ascii="楷体" w:eastAsia="楷体"/>
          <w:spacing w:val="27"/>
          <w:sz w:val="18"/>
        </w:rPr>
        <w:t>3</w:t>
      </w:r>
      <w:r>
        <w:rPr>
          <w:rFonts w:ascii="楷体" w:eastAsia="楷体"/>
          <w:spacing w:val="9"/>
          <w:sz w:val="18"/>
        </w:rPr>
        <w:t>）</w:t>
      </w:r>
      <w:r>
        <w:rPr>
          <w:rFonts w:ascii="楷体" w:eastAsia="楷体"/>
          <w:spacing w:val="-4"/>
          <w:sz w:val="18"/>
        </w:rPr>
        <w:t>具有有效的中华人民共和国主治医师或主治医师以上职称</w:t>
      </w:r>
      <w:r>
        <w:rPr>
          <w:rFonts w:ascii="楷体" w:eastAsia="楷体"/>
          <w:spacing w:val="-11"/>
          <w:sz w:val="18"/>
        </w:rPr>
        <w:t>的《医师职称证书》；</w:t>
      </w:r>
      <w:r>
        <w:rPr>
          <w:rFonts w:ascii="楷体" w:eastAsia="楷体"/>
          <w:spacing w:val="-2"/>
          <w:sz w:val="18"/>
        </w:rPr>
        <w:t>（4）在国家《医院分级管理标准》二级或二级以上医院的相应科室从事临床工作三年以上。</w:t>
      </w:r>
    </w:p>
    <w:p>
      <w:pPr>
        <w:spacing w:before="0" w:line="230" w:lineRule="exact"/>
        <w:ind w:left="160" w:right="0" w:firstLine="0"/>
        <w:jc w:val="left"/>
        <w:rPr>
          <w:rFonts w:ascii="楷体" w:eastAsia="楷体"/>
          <w:sz w:val="18"/>
        </w:rPr>
      </w:pPr>
      <w:r>
        <w:rPr>
          <w:w w:val="95"/>
          <w:position w:val="9"/>
          <w:sz w:val="9"/>
        </w:rPr>
        <w:t>6</w:t>
      </w:r>
      <w:r>
        <w:rPr>
          <w:rFonts w:hint="eastAsia" w:ascii="楷体" w:eastAsia="楷体"/>
          <w:b/>
          <w:w w:val="95"/>
          <w:sz w:val="18"/>
        </w:rPr>
        <w:t>确诊初次发生：</w:t>
      </w:r>
      <w:r>
        <w:rPr>
          <w:rFonts w:ascii="楷体" w:eastAsia="楷体"/>
          <w:w w:val="95"/>
          <w:sz w:val="18"/>
        </w:rPr>
        <w:t>指被保险人自出生之日起第一次经医院诊断符合本合同所列的特定恶性肿瘤-重度疾病定义，</w:t>
      </w:r>
      <w:r>
        <w:rPr>
          <w:rFonts w:ascii="楷体" w:eastAsia="楷体"/>
          <w:color w:val="000000"/>
          <w:w w:val="95"/>
          <w:sz w:val="18"/>
          <w:shd w:val="clear" w:color="auto" w:fill="E4E4E4"/>
        </w:rPr>
        <w:t>而不是指自</w:t>
      </w:r>
      <w:r>
        <w:rPr>
          <w:rFonts w:ascii="楷体" w:eastAsia="楷体"/>
          <w:color w:val="000000"/>
          <w:spacing w:val="-10"/>
          <w:w w:val="95"/>
          <w:sz w:val="18"/>
          <w:shd w:val="clear" w:color="auto" w:fill="E4E4E4"/>
        </w:rPr>
        <w:t>本</w:t>
      </w:r>
    </w:p>
    <w:p>
      <w:pPr>
        <w:spacing w:before="2"/>
        <w:ind w:left="160" w:right="0" w:firstLine="0"/>
        <w:jc w:val="left"/>
        <w:rPr>
          <w:rFonts w:ascii="楷体" w:eastAsia="楷体"/>
          <w:sz w:val="18"/>
        </w:rPr>
      </w:pPr>
      <w:r>
        <w:rPr>
          <w:rFonts w:ascii="楷体" w:eastAsia="楷体"/>
          <w:color w:val="000000"/>
          <w:spacing w:val="-1"/>
          <w:sz w:val="18"/>
          <w:shd w:val="clear" w:color="auto" w:fill="E4E4E4"/>
        </w:rPr>
        <w:t>合同生效之后第一次经医院诊断符合本合同所列的特定恶性肿瘤-重度疾病定义。</w:t>
      </w:r>
    </w:p>
    <w:p>
      <w:pPr>
        <w:spacing w:before="5"/>
        <w:ind w:left="160" w:right="0" w:firstLine="0"/>
        <w:jc w:val="left"/>
        <w:rPr>
          <w:rFonts w:ascii="楷体" w:eastAsia="楷体"/>
          <w:sz w:val="18"/>
        </w:rPr>
      </w:pPr>
      <w:r>
        <w:rPr>
          <w:w w:val="95"/>
          <w:position w:val="9"/>
          <w:sz w:val="9"/>
        </w:rPr>
        <w:t>7</w:t>
      </w:r>
      <w:r>
        <w:rPr>
          <w:rFonts w:hint="eastAsia" w:ascii="楷体" w:eastAsia="楷体"/>
          <w:b/>
          <w:w w:val="95"/>
          <w:sz w:val="18"/>
        </w:rPr>
        <w:t>特定恶性肿瘤-重度：</w:t>
      </w:r>
      <w:r>
        <w:rPr>
          <w:rFonts w:ascii="楷体" w:eastAsia="楷体"/>
          <w:w w:val="95"/>
          <w:sz w:val="18"/>
        </w:rPr>
        <w:t>指符合本合同附表一所定义的疾病</w:t>
      </w:r>
      <w:r>
        <w:rPr>
          <w:rFonts w:ascii="楷体" w:eastAsia="楷体"/>
          <w:spacing w:val="-10"/>
          <w:w w:val="95"/>
          <w:sz w:val="18"/>
        </w:rPr>
        <w:t>。</w:t>
      </w:r>
    </w:p>
    <w:p>
      <w:pPr>
        <w:spacing w:before="2"/>
        <w:ind w:left="160" w:right="0" w:firstLine="0"/>
        <w:jc w:val="left"/>
        <w:rPr>
          <w:rFonts w:ascii="楷体" w:eastAsia="楷体"/>
          <w:sz w:val="18"/>
        </w:rPr>
      </w:pPr>
      <w:r>
        <w:rPr>
          <w:w w:val="95"/>
          <w:position w:val="9"/>
          <w:sz w:val="9"/>
        </w:rPr>
        <w:t>8</w:t>
      </w:r>
      <w:r>
        <w:rPr>
          <w:rFonts w:hint="eastAsia" w:ascii="楷体" w:eastAsia="楷体"/>
          <w:b/>
          <w:w w:val="95"/>
          <w:sz w:val="18"/>
        </w:rPr>
        <w:t>医学必需：</w:t>
      </w:r>
      <w:r>
        <w:rPr>
          <w:rFonts w:ascii="楷体" w:eastAsia="楷体"/>
          <w:w w:val="95"/>
          <w:sz w:val="18"/>
        </w:rPr>
        <w:t>指医疗费用符合下列所有条件：（1）治疗疾病所必需的项目；（2）不超过安全、足量治疗原则的项目；（3）由</w:t>
      </w:r>
      <w:r>
        <w:rPr>
          <w:rFonts w:ascii="楷体" w:eastAsia="楷体"/>
          <w:spacing w:val="-10"/>
          <w:w w:val="95"/>
          <w:sz w:val="18"/>
        </w:rPr>
        <w:t>医</w:t>
      </w:r>
    </w:p>
    <w:p>
      <w:pPr>
        <w:spacing w:before="3"/>
        <w:ind w:left="160" w:right="0" w:firstLine="0"/>
        <w:jc w:val="left"/>
        <w:rPr>
          <w:rFonts w:ascii="楷体" w:eastAsia="楷体"/>
          <w:sz w:val="18"/>
        </w:rPr>
      </w:pPr>
      <w:r>
        <w:rPr>
          <w:rFonts w:ascii="楷体" w:eastAsia="楷体"/>
          <w:spacing w:val="-4"/>
          <w:sz w:val="18"/>
        </w:rPr>
        <w:t>生开具的处方药；（4）非试验性的、非研究性的项目；（5）</w:t>
      </w:r>
      <w:r>
        <w:rPr>
          <w:rFonts w:ascii="楷体" w:eastAsia="楷体"/>
          <w:spacing w:val="-5"/>
          <w:sz w:val="18"/>
        </w:rPr>
        <w:t>与接受治疗当地普遍接受的医疗专业实践标准一致的项目。</w:t>
      </w:r>
    </w:p>
    <w:p>
      <w:pPr>
        <w:spacing w:before="2"/>
        <w:ind w:left="160" w:right="0" w:firstLine="0"/>
        <w:jc w:val="left"/>
        <w:rPr>
          <w:rFonts w:ascii="楷体" w:eastAsia="楷体"/>
          <w:sz w:val="18"/>
        </w:rPr>
      </w:pPr>
      <w:r>
        <w:rPr>
          <w:w w:val="95"/>
          <w:position w:val="9"/>
          <w:sz w:val="9"/>
        </w:rPr>
        <w:t>9</w:t>
      </w:r>
      <w:r>
        <w:rPr>
          <w:rFonts w:hint="eastAsia" w:ascii="楷体" w:eastAsia="楷体"/>
          <w:b/>
          <w:w w:val="95"/>
          <w:sz w:val="18"/>
        </w:rPr>
        <w:t>本公司指定的药品清单：</w:t>
      </w:r>
      <w:r>
        <w:rPr>
          <w:rFonts w:ascii="楷体" w:eastAsia="楷体"/>
          <w:w w:val="95"/>
          <w:sz w:val="18"/>
        </w:rPr>
        <w:t>以本公司最新公布信息为准。本公司保留对药品清单进行变更的权利，将根据医疗水平的发展对</w:t>
      </w:r>
      <w:r>
        <w:rPr>
          <w:rFonts w:ascii="楷体" w:eastAsia="楷体"/>
          <w:spacing w:val="-10"/>
          <w:w w:val="95"/>
          <w:sz w:val="18"/>
        </w:rPr>
        <w:t>药</w:t>
      </w:r>
    </w:p>
    <w:p>
      <w:pPr>
        <w:spacing w:before="5"/>
        <w:ind w:left="160" w:right="0" w:firstLine="0"/>
        <w:jc w:val="left"/>
        <w:rPr>
          <w:rFonts w:ascii="楷体" w:eastAsia="楷体"/>
          <w:sz w:val="18"/>
        </w:rPr>
      </w:pPr>
      <w:r>
        <w:rPr>
          <w:rFonts w:ascii="楷体" w:eastAsia="楷体"/>
          <w:spacing w:val="-2"/>
          <w:sz w:val="18"/>
        </w:rPr>
        <w:t>品清单进行更新。</w:t>
      </w:r>
    </w:p>
    <w:p>
      <w:pPr>
        <w:spacing w:before="2" w:line="242" w:lineRule="auto"/>
        <w:ind w:left="160" w:right="718" w:firstLine="0"/>
        <w:jc w:val="left"/>
        <w:rPr>
          <w:rFonts w:ascii="楷体" w:eastAsia="楷体"/>
          <w:sz w:val="18"/>
        </w:rPr>
      </w:pPr>
      <w:r>
        <w:rPr>
          <w:rFonts w:ascii="楷体" w:eastAsia="楷体"/>
          <w:spacing w:val="-2"/>
          <w:sz w:val="18"/>
        </w:rPr>
        <w:t>药品清单中的药品分类以药品处方开具时《国家基本医疗保险、工伤保险和生育保险药品目录》的有效版本为准；药品的适应症以国家食品药品监督管理总局批准的药品说明书为准。</w:t>
      </w:r>
    </w:p>
    <w:p>
      <w:pPr>
        <w:spacing w:before="2"/>
        <w:ind w:left="160" w:right="0" w:firstLine="0"/>
        <w:jc w:val="left"/>
        <w:rPr>
          <w:rFonts w:ascii="楷体" w:eastAsia="楷体"/>
          <w:sz w:val="18"/>
        </w:rPr>
      </w:pPr>
      <w:r>
        <w:rPr>
          <w:w w:val="95"/>
          <w:position w:val="9"/>
          <w:sz w:val="9"/>
        </w:rPr>
        <w:t>10</w:t>
      </w:r>
      <w:r>
        <w:rPr>
          <w:rFonts w:hint="eastAsia" w:ascii="楷体" w:eastAsia="楷体"/>
          <w:b/>
          <w:w w:val="95"/>
          <w:sz w:val="18"/>
        </w:rPr>
        <w:t>本公司认可的药店：</w:t>
      </w:r>
      <w:r>
        <w:rPr>
          <w:rFonts w:ascii="楷体" w:eastAsia="楷体"/>
          <w:w w:val="95"/>
          <w:sz w:val="18"/>
        </w:rPr>
        <w:t>本公司认可的药店同时满足以下条件</w:t>
      </w:r>
      <w:r>
        <w:rPr>
          <w:rFonts w:ascii="楷体" w:eastAsia="楷体"/>
          <w:spacing w:val="-10"/>
          <w:w w:val="95"/>
          <w:sz w:val="18"/>
        </w:rPr>
        <w:t>：</w:t>
      </w:r>
    </w:p>
    <w:p>
      <w:pPr>
        <w:pStyle w:val="8"/>
        <w:numPr>
          <w:ilvl w:val="0"/>
          <w:numId w:val="4"/>
        </w:numPr>
        <w:tabs>
          <w:tab w:val="left" w:pos="703"/>
        </w:tabs>
        <w:spacing w:before="2" w:after="0" w:line="240" w:lineRule="auto"/>
        <w:ind w:left="702" w:right="0" w:hanging="543"/>
        <w:jc w:val="left"/>
        <w:rPr>
          <w:rFonts w:ascii="楷体" w:eastAsia="楷体"/>
          <w:sz w:val="18"/>
        </w:rPr>
      </w:pPr>
      <w:r>
        <w:rPr>
          <w:rFonts w:ascii="楷体" w:eastAsia="楷体"/>
          <w:sz w:val="18"/>
        </w:rPr>
        <w:t>取得国家药品经营许可证、GSP</w:t>
      </w:r>
      <w:r>
        <w:rPr>
          <w:rFonts w:ascii="楷体" w:eastAsia="楷体"/>
          <w:spacing w:val="-4"/>
          <w:sz w:val="18"/>
        </w:rPr>
        <w:t xml:space="preserve"> 认证；</w:t>
      </w:r>
    </w:p>
    <w:p>
      <w:pPr>
        <w:pStyle w:val="8"/>
        <w:numPr>
          <w:ilvl w:val="0"/>
          <w:numId w:val="4"/>
        </w:numPr>
        <w:tabs>
          <w:tab w:val="left" w:pos="703"/>
        </w:tabs>
        <w:spacing w:before="2" w:after="0" w:line="240" w:lineRule="auto"/>
        <w:ind w:left="702" w:right="0" w:hanging="543"/>
        <w:jc w:val="left"/>
        <w:rPr>
          <w:rFonts w:ascii="楷体" w:eastAsia="楷体"/>
          <w:sz w:val="18"/>
        </w:rPr>
      </w:pPr>
      <w:r>
        <w:rPr>
          <w:rFonts w:ascii="楷体" w:eastAsia="楷体"/>
          <w:spacing w:val="-3"/>
          <w:sz w:val="18"/>
        </w:rPr>
        <w:t>具有完善的冷链药品送达能力；</w:t>
      </w:r>
    </w:p>
    <w:p>
      <w:pPr>
        <w:pStyle w:val="8"/>
        <w:numPr>
          <w:ilvl w:val="0"/>
          <w:numId w:val="4"/>
        </w:numPr>
        <w:tabs>
          <w:tab w:val="left" w:pos="703"/>
        </w:tabs>
        <w:spacing w:before="3" w:after="0" w:line="240" w:lineRule="auto"/>
        <w:ind w:left="702" w:right="0" w:hanging="543"/>
        <w:jc w:val="left"/>
        <w:rPr>
          <w:rFonts w:ascii="楷体" w:eastAsia="楷体"/>
          <w:sz w:val="18"/>
        </w:rPr>
      </w:pPr>
      <w:r>
        <w:rPr>
          <w:rFonts w:ascii="楷体" w:eastAsia="楷体"/>
          <w:spacing w:val="-3"/>
          <w:sz w:val="18"/>
        </w:rPr>
        <w:t>提供专业的药品资讯、患者教育、追踪随访；</w:t>
      </w:r>
    </w:p>
    <w:p>
      <w:pPr>
        <w:pStyle w:val="8"/>
        <w:numPr>
          <w:ilvl w:val="0"/>
          <w:numId w:val="4"/>
        </w:numPr>
        <w:tabs>
          <w:tab w:val="left" w:pos="703"/>
        </w:tabs>
        <w:spacing w:before="4" w:after="0" w:line="240" w:lineRule="auto"/>
        <w:ind w:left="702" w:right="0" w:hanging="543"/>
        <w:jc w:val="left"/>
        <w:rPr>
          <w:rFonts w:ascii="楷体" w:eastAsia="楷体"/>
          <w:sz w:val="18"/>
        </w:rPr>
      </w:pPr>
      <w:r>
        <w:rPr>
          <w:rFonts w:ascii="楷体" w:eastAsia="楷体"/>
          <w:spacing w:val="-3"/>
          <w:sz w:val="18"/>
        </w:rPr>
        <w:t>该药店内具有医师、执业药师等专业人员提供服务。</w:t>
      </w:r>
    </w:p>
    <w:p>
      <w:pPr>
        <w:spacing w:after="0" w:line="240" w:lineRule="auto"/>
        <w:jc w:val="left"/>
        <w:rPr>
          <w:rFonts w:ascii="楷体" w:eastAsia="楷体"/>
          <w:sz w:val="18"/>
        </w:rPr>
        <w:sectPr>
          <w:pgSz w:w="11910" w:h="16840"/>
          <w:pgMar w:top="1360" w:right="360" w:bottom="280" w:left="920" w:header="720" w:footer="720" w:gutter="0"/>
          <w:cols w:space="720" w:num="1"/>
        </w:sectPr>
      </w:pPr>
    </w:p>
    <w:p>
      <w:pPr>
        <w:pStyle w:val="8"/>
        <w:numPr>
          <w:ilvl w:val="3"/>
          <w:numId w:val="2"/>
        </w:numPr>
        <w:tabs>
          <w:tab w:val="left" w:pos="1229"/>
        </w:tabs>
        <w:spacing w:before="104" w:after="0" w:line="278" w:lineRule="auto"/>
        <w:ind w:left="1228" w:right="0" w:hanging="961"/>
        <w:jc w:val="left"/>
        <w:rPr>
          <w:b/>
          <w:sz w:val="21"/>
        </w:rPr>
      </w:pPr>
      <w:r>
        <w:rPr>
          <w:b/>
          <w:spacing w:val="8"/>
          <w:sz w:val="21"/>
        </w:rPr>
        <w:t>特药医疗费用计</w:t>
      </w:r>
      <w:r>
        <w:rPr>
          <w:b/>
          <w:spacing w:val="-4"/>
          <w:sz w:val="21"/>
        </w:rPr>
        <w:t>算方法</w:t>
      </w:r>
    </w:p>
    <w:p>
      <w:pPr>
        <w:spacing w:before="79" w:line="232" w:lineRule="auto"/>
        <w:ind w:left="174" w:right="785" w:firstLine="0"/>
        <w:jc w:val="left"/>
        <w:rPr>
          <w:sz w:val="21"/>
        </w:rPr>
      </w:pPr>
      <w:r>
        <w:br w:type="column"/>
      </w:r>
      <w:r>
        <w:rPr>
          <w:spacing w:val="4"/>
          <w:w w:val="100"/>
          <w:sz w:val="21"/>
        </w:rPr>
        <w:t>特药医疗费用保险金给付包括</w:t>
      </w:r>
      <w:r>
        <w:rPr>
          <w:b/>
          <w:spacing w:val="4"/>
          <w:w w:val="100"/>
          <w:sz w:val="21"/>
        </w:rPr>
        <w:t>特定目录外药品费用</w:t>
      </w:r>
      <w:r>
        <w:rPr>
          <w:rFonts w:hint="eastAsia" w:ascii="楷体" w:eastAsia="楷体"/>
          <w:b/>
          <w:spacing w:val="2"/>
          <w:w w:val="99"/>
          <w:position w:val="11"/>
          <w:sz w:val="11"/>
        </w:rPr>
        <w:t>1</w:t>
      </w:r>
      <w:r>
        <w:rPr>
          <w:rFonts w:hint="eastAsia" w:ascii="楷体" w:eastAsia="楷体"/>
          <w:b/>
          <w:spacing w:val="9"/>
          <w:w w:val="99"/>
          <w:position w:val="11"/>
          <w:sz w:val="11"/>
        </w:rPr>
        <w:t>1</w:t>
      </w:r>
      <w:r>
        <w:rPr>
          <w:spacing w:val="4"/>
          <w:w w:val="100"/>
          <w:sz w:val="21"/>
        </w:rPr>
        <w:t>保险金给付及</w:t>
      </w:r>
      <w:r>
        <w:rPr>
          <w:b/>
          <w:spacing w:val="3"/>
          <w:w w:val="100"/>
          <w:sz w:val="21"/>
        </w:rPr>
        <w:t>特定目</w:t>
      </w:r>
      <w:r>
        <w:rPr>
          <w:b/>
          <w:spacing w:val="2"/>
          <w:w w:val="100"/>
          <w:sz w:val="21"/>
        </w:rPr>
        <w:t>录内药品费用</w:t>
      </w:r>
      <w:r>
        <w:rPr>
          <w:rFonts w:hint="eastAsia" w:ascii="楷体" w:eastAsia="楷体"/>
          <w:b/>
          <w:spacing w:val="2"/>
          <w:w w:val="99"/>
          <w:position w:val="11"/>
          <w:sz w:val="11"/>
        </w:rPr>
        <w:t>12</w:t>
      </w:r>
      <w:r>
        <w:rPr>
          <w:spacing w:val="-2"/>
          <w:w w:val="100"/>
          <w:sz w:val="21"/>
        </w:rPr>
        <w:t>保险金给付。</w:t>
      </w:r>
    </w:p>
    <w:p>
      <w:pPr>
        <w:pStyle w:val="4"/>
        <w:spacing w:before="163"/>
        <w:ind w:left="174"/>
      </w:pPr>
      <w:r>
        <w:rPr>
          <w:color w:val="000000"/>
          <w:spacing w:val="-3"/>
          <w:shd w:val="clear" w:color="auto" w:fill="E4E4E4"/>
        </w:rPr>
        <w:t>一、特定目录外药品费用保险金的计算方法</w:t>
      </w:r>
    </w:p>
    <w:p>
      <w:pPr>
        <w:spacing w:after="0"/>
        <w:sectPr>
          <w:pgSz w:w="11910" w:h="16840"/>
          <w:pgMar w:top="1340" w:right="360" w:bottom="280" w:left="920" w:header="720" w:footer="720" w:gutter="0"/>
          <w:cols w:equalWidth="0" w:num="2">
            <w:col w:w="2783" w:space="40"/>
            <w:col w:w="7807"/>
          </w:cols>
        </w:sectPr>
      </w:pPr>
    </w:p>
    <w:p>
      <w:pPr>
        <w:pStyle w:val="4"/>
        <w:spacing w:before="158" w:line="244" w:lineRule="auto"/>
        <w:ind w:left="2997" w:right="788"/>
      </w:pPr>
      <w:r>
        <w:rPr>
          <w:color w:val="000000"/>
          <w:spacing w:val="-2"/>
          <w:shd w:val="clear" w:color="auto" w:fill="E4E4E4"/>
        </w:rPr>
        <w:t>特定目录外药品费用保险金给付金额</w:t>
      </w:r>
      <w:r>
        <w:rPr>
          <w:rFonts w:ascii="楷体" w:hAnsi="楷体" w:eastAsia="楷体"/>
          <w:color w:val="000000"/>
          <w:spacing w:val="-2"/>
          <w:shd w:val="clear" w:color="auto" w:fill="E4E4E4"/>
        </w:rPr>
        <w:t>=</w:t>
      </w:r>
      <w:r>
        <w:rPr>
          <w:color w:val="000000"/>
          <w:spacing w:val="-2"/>
          <w:shd w:val="clear" w:color="auto" w:fill="E4E4E4"/>
        </w:rPr>
        <w:t>（每次发生的特定目录外药品费用－</w:t>
      </w:r>
      <w:r>
        <w:rPr>
          <w:color w:val="000000"/>
          <w:spacing w:val="80"/>
          <w:w w:val="150"/>
          <w:shd w:val="clear" w:color="auto" w:fill="E4E4E4"/>
        </w:rPr>
        <w:t xml:space="preserve">                                     </w:t>
      </w:r>
      <w:r>
        <w:rPr>
          <w:color w:val="000000"/>
          <w:spacing w:val="-2"/>
          <w:shd w:val="clear" w:color="auto" w:fill="E4E4E4"/>
        </w:rPr>
        <w:t>每次从其他途径已获得的特定目录外药品费用补偿）×100%</w:t>
      </w:r>
    </w:p>
    <w:p>
      <w:pPr>
        <w:pStyle w:val="4"/>
        <w:spacing w:before="5"/>
        <w:rPr>
          <w:sz w:val="11"/>
        </w:rPr>
      </w:pPr>
      <w:r>
        <w:drawing>
          <wp:anchor distT="0" distB="0" distL="0" distR="0" simplePos="0" relativeHeight="251670528" behindDoc="1" locked="0" layoutInCell="1" allowOverlap="1">
            <wp:simplePos x="0" y="0"/>
            <wp:positionH relativeFrom="page">
              <wp:posOffset>2487295</wp:posOffset>
            </wp:positionH>
            <wp:positionV relativeFrom="paragraph">
              <wp:posOffset>504190</wp:posOffset>
            </wp:positionV>
            <wp:extent cx="4137025" cy="17399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a:picLocks noChangeAspect="1"/>
                    </pic:cNvPicPr>
                  </pic:nvPicPr>
                  <pic:blipFill>
                    <a:blip r:embed="rId12" cstate="print"/>
                    <a:stretch>
                      <a:fillRect/>
                    </a:stretch>
                  </pic:blipFill>
                  <pic:spPr>
                    <a:xfrm>
                      <a:off x="0" y="0"/>
                      <a:ext cx="4137025" cy="173735"/>
                    </a:xfrm>
                    <a:prstGeom prst="rect">
                      <a:avLst/>
                    </a:prstGeom>
                  </pic:spPr>
                </pic:pic>
              </a:graphicData>
            </a:graphic>
          </wp:anchor>
        </w:drawing>
      </w:r>
      <w:r>
        <w:pict>
          <v:shape id="docshape6" o:spid="_x0000_s1031" o:spt="202" type="#_x0000_t202" style="position:absolute;left:0pt;margin-left:195.85pt;margin-top:39.7pt;height:13.7pt;width:325.75pt;mso-position-horizontal-relative:page;z-index:-251645952;mso-width-relative:page;mso-height-relative:page;" filled="f" stroked="f" coordsize="21600,21600">
            <v:path/>
            <v:fill on="f" focussize="0,0"/>
            <v:stroke on="f" joinstyle="miter"/>
            <v:imagedata o:title=""/>
            <o:lock v:ext="edit"/>
            <v:textbox inset="0mm,0mm,0mm,0mm">
              <w:txbxContent>
                <w:p>
                  <w:pPr>
                    <w:pStyle w:val="4"/>
                    <w:spacing w:before="3"/>
                    <w:ind w:right="-15"/>
                  </w:pPr>
                  <w:r>
                    <w:rPr>
                      <w:spacing w:val="-3"/>
                    </w:rPr>
                    <w:t>机构、第三方责任人等其他途径实际获得的特定目录外药品费用补偿。</w:t>
                  </w:r>
                </w:p>
              </w:txbxContent>
            </v:textbox>
          </v:shape>
        </w:pict>
      </w:r>
      <w:r>
        <w:pict>
          <v:shape id="docshape7" o:spid="_x0000_s1032" o:spt="202" type="#_x0000_t202" style="position:absolute;left:0pt;margin-left:195.85pt;margin-top:24.1pt;height:13.7pt;width:341.85pt;mso-position-horizontal-relative:page;z-index:-251644928;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7"/>
                    </w:rPr>
                    <w:t>品费用，已从公费医疗、互助保险、除本保险外的其他商业保险、公益慈善</w:t>
                  </w:r>
                </w:p>
              </w:txbxContent>
            </v:textbox>
          </v:shape>
        </w:pict>
      </w:r>
      <w:r>
        <w:pict>
          <v:shape id="docshape8" o:spid="_x0000_s1033" o:spt="202" type="#_x0000_t202" style="position:absolute;left:0pt;margin-left:195.85pt;margin-top:8.5pt;height:13.7pt;width:341.85pt;mso-position-horizontal-relative:page;mso-wrap-distance-bottom:0pt;mso-wrap-distance-top:0pt;z-index:-251639808;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8"/>
                    </w:rPr>
                    <w:t>从其他途径已获得的特定目录外药品费用补偿，包含因发生该特定目录外药</w:t>
                  </w:r>
                </w:p>
              </w:txbxContent>
            </v:textbox>
            <w10:wrap type="topAndBottom"/>
          </v:shape>
        </w:pict>
      </w:r>
    </w:p>
    <w:p>
      <w:pPr>
        <w:pStyle w:val="4"/>
        <w:spacing w:before="2"/>
        <w:rPr>
          <w:sz w:val="8"/>
        </w:rPr>
      </w:pPr>
    </w:p>
    <w:p>
      <w:pPr>
        <w:pStyle w:val="4"/>
        <w:spacing w:before="72"/>
        <w:ind w:left="2997"/>
      </w:pPr>
      <w:r>
        <w:rPr>
          <w:color w:val="000000"/>
          <w:spacing w:val="-3"/>
          <w:shd w:val="clear" w:color="auto" w:fill="E4E4E4"/>
        </w:rPr>
        <w:t>二、特定目录内药品费用保险金的计算方法</w:t>
      </w:r>
    </w:p>
    <w:p>
      <w:pPr>
        <w:pStyle w:val="4"/>
        <w:spacing w:before="7"/>
        <w:rPr>
          <w:sz w:val="10"/>
        </w:rPr>
      </w:pPr>
      <w:r>
        <w:pict>
          <v:shape id="docshape9" o:spid="_x0000_s1034" o:spt="202" type="#_x0000_t202" style="position:absolute;left:0pt;margin-left:195.85pt;margin-top:7.95pt;height:27.25pt;width:341.85pt;mso-position-horizontal-relative:page;mso-wrap-distance-bottom:0pt;mso-wrap-distance-top:0pt;z-index:-251639808;mso-width-relative:page;mso-height-relative:page;" fillcolor="#E4E4E4" filled="t" stroked="f" coordsize="21600,21600">
            <v:path/>
            <v:fill on="t" focussize="0,0"/>
            <v:stroke on="f" joinstyle="miter"/>
            <v:imagedata o:title=""/>
            <o:lock v:ext="edit"/>
            <v:textbox inset="0mm,0mm,0mm,0mm">
              <w:txbxContent>
                <w:p>
                  <w:pPr>
                    <w:pStyle w:val="4"/>
                    <w:spacing w:before="1" w:line="242" w:lineRule="auto"/>
                    <w:ind w:right="-15"/>
                    <w:rPr>
                      <w:color w:val="000000"/>
                    </w:rPr>
                  </w:pPr>
                  <w:r>
                    <w:rPr>
                      <w:color w:val="000000"/>
                      <w:spacing w:val="-2"/>
                    </w:rPr>
                    <w:t>特定目录内药品费用保险金给付金额</w:t>
                  </w:r>
                  <w:r>
                    <w:rPr>
                      <w:rFonts w:ascii="楷体" w:hAnsi="楷体" w:eastAsia="楷体"/>
                      <w:color w:val="000000"/>
                      <w:spacing w:val="-2"/>
                    </w:rPr>
                    <w:t>=</w:t>
                  </w:r>
                  <w:r>
                    <w:rPr>
                      <w:color w:val="000000"/>
                      <w:spacing w:val="-2"/>
                    </w:rPr>
                    <w:t>（每次发生的特定目录内药品费用－</w:t>
                  </w:r>
                  <w:r>
                    <w:rPr>
                      <w:color w:val="000000"/>
                      <w:spacing w:val="-6"/>
                    </w:rPr>
                    <w:t>每次从其他途径已获得的特定目录内药品费用补偿）</w:t>
                  </w:r>
                  <w:r>
                    <w:rPr>
                      <w:color w:val="000000"/>
                      <w:spacing w:val="-7"/>
                    </w:rPr>
                    <w:t>×每次发生的特定目录</w:t>
                  </w:r>
                </w:p>
              </w:txbxContent>
            </v:textbox>
            <w10:wrap type="topAndBottom"/>
          </v:shape>
        </w:pict>
      </w:r>
    </w:p>
    <w:p>
      <w:pPr>
        <w:pStyle w:val="4"/>
        <w:spacing w:before="2"/>
        <w:ind w:left="2997"/>
      </w:pPr>
      <w:r>
        <w:rPr>
          <w:color w:val="000000"/>
          <w:spacing w:val="-3"/>
          <w:shd w:val="clear" w:color="auto" w:fill="E4E4E4"/>
        </w:rPr>
        <w:t>内药品费用对应的给付比例</w:t>
      </w:r>
    </w:p>
    <w:p>
      <w:pPr>
        <w:pStyle w:val="4"/>
        <w:spacing w:before="158"/>
        <w:ind w:left="2997"/>
      </w:pPr>
      <w:r>
        <w:rPr>
          <w:spacing w:val="-3"/>
        </w:rPr>
        <w:t>其中每次发生的特定目录内药品费用对应的给付比例按照以下方式确定：</w:t>
      </w:r>
    </w:p>
    <w:p>
      <w:pPr>
        <w:pStyle w:val="4"/>
        <w:spacing w:before="5"/>
        <w:rPr>
          <w:sz w:val="12"/>
        </w:rPr>
      </w:pPr>
    </w:p>
    <w:tbl>
      <w:tblPr>
        <w:tblStyle w:val="5"/>
        <w:tblW w:w="0" w:type="auto"/>
        <w:tblInd w:w="30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5"/>
        <w:gridCol w:w="14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5385" w:type="dxa"/>
            <w:tcBorders>
              <w:left w:val="single" w:color="000000" w:sz="6" w:space="0"/>
            </w:tcBorders>
          </w:tcPr>
          <w:p>
            <w:pPr>
              <w:pStyle w:val="9"/>
              <w:spacing w:before="159" w:line="240" w:lineRule="auto"/>
              <w:ind w:left="2254" w:right="2248"/>
              <w:rPr>
                <w:b/>
                <w:sz w:val="22"/>
              </w:rPr>
            </w:pPr>
            <w:r>
              <w:rPr>
                <w:b/>
                <w:w w:val="95"/>
                <w:sz w:val="22"/>
              </w:rPr>
              <w:t>给付条</w:t>
            </w:r>
            <w:r>
              <w:rPr>
                <w:b/>
                <w:spacing w:val="-10"/>
                <w:w w:val="95"/>
                <w:sz w:val="22"/>
              </w:rPr>
              <w:t>件</w:t>
            </w:r>
          </w:p>
        </w:tc>
        <w:tc>
          <w:tcPr>
            <w:tcW w:w="1443" w:type="dxa"/>
          </w:tcPr>
          <w:p>
            <w:pPr>
              <w:pStyle w:val="9"/>
              <w:spacing w:before="159" w:line="240" w:lineRule="auto"/>
              <w:ind w:left="287" w:right="276"/>
              <w:rPr>
                <w:b/>
                <w:sz w:val="22"/>
              </w:rPr>
            </w:pPr>
            <w:r>
              <w:rPr>
                <w:b/>
                <w:w w:val="95"/>
                <w:sz w:val="22"/>
              </w:rPr>
              <w:t>给付比</w:t>
            </w:r>
            <w:r>
              <w:rPr>
                <w:b/>
                <w:spacing w:val="-10"/>
                <w:w w:val="95"/>
                <w:sz w:val="22"/>
              </w:rPr>
              <w:t>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5385" w:type="dxa"/>
            <w:tcBorders>
              <w:left w:val="single" w:color="000000" w:sz="6" w:space="0"/>
            </w:tcBorders>
          </w:tcPr>
          <w:p>
            <w:pPr>
              <w:pStyle w:val="9"/>
              <w:spacing w:before="159" w:line="242" w:lineRule="auto"/>
              <w:ind w:left="105" w:right="92"/>
              <w:jc w:val="both"/>
              <w:rPr>
                <w:sz w:val="22"/>
              </w:rPr>
            </w:pPr>
            <w:r>
              <w:rPr>
                <w:spacing w:val="-2"/>
                <w:sz w:val="22"/>
              </w:rPr>
              <w:t>如果被保险人已从</w:t>
            </w:r>
            <w:r>
              <w:rPr>
                <w:b/>
                <w:spacing w:val="-2"/>
                <w:sz w:val="22"/>
              </w:rPr>
              <w:t>基本医疗保险</w:t>
            </w:r>
            <w:r>
              <w:rPr>
                <w:b/>
                <w:spacing w:val="-2"/>
                <w:position w:val="11"/>
                <w:sz w:val="11"/>
              </w:rPr>
              <w:t>13</w:t>
            </w:r>
            <w:r>
              <w:rPr>
                <w:spacing w:val="-2"/>
                <w:sz w:val="22"/>
              </w:rPr>
              <w:t>、公费医疗、互助保</w:t>
            </w:r>
            <w:r>
              <w:rPr>
                <w:spacing w:val="-6"/>
                <w:sz w:val="22"/>
              </w:rPr>
              <w:t>险、除本保险外的其他商业保险、公益慈善机构、第三</w:t>
            </w:r>
            <w:r>
              <w:rPr>
                <w:spacing w:val="-2"/>
                <w:sz w:val="22"/>
              </w:rPr>
              <w:t>方责任人等获得特定目录内药品费用补偿</w:t>
            </w:r>
          </w:p>
        </w:tc>
        <w:tc>
          <w:tcPr>
            <w:tcW w:w="1443" w:type="dxa"/>
          </w:tcPr>
          <w:p>
            <w:pPr>
              <w:pStyle w:val="9"/>
              <w:spacing w:before="0" w:line="240" w:lineRule="auto"/>
              <w:ind w:left="0"/>
              <w:jc w:val="left"/>
              <w:rPr>
                <w:sz w:val="22"/>
              </w:rPr>
            </w:pPr>
          </w:p>
          <w:p>
            <w:pPr>
              <w:pStyle w:val="9"/>
              <w:spacing w:before="162" w:line="240" w:lineRule="auto"/>
              <w:ind w:left="287" w:right="276"/>
              <w:rPr>
                <w:sz w:val="22"/>
              </w:rPr>
            </w:pPr>
            <w:r>
              <w:rPr>
                <w:spacing w:val="-4"/>
                <w:sz w:val="22"/>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5385" w:type="dxa"/>
            <w:tcBorders>
              <w:left w:val="single" w:color="000000" w:sz="6" w:space="0"/>
            </w:tcBorders>
          </w:tcPr>
          <w:p>
            <w:pPr>
              <w:pStyle w:val="9"/>
              <w:spacing w:before="159" w:line="242" w:lineRule="auto"/>
              <w:ind w:left="105" w:right="92"/>
              <w:jc w:val="both"/>
              <w:rPr>
                <w:sz w:val="22"/>
              </w:rPr>
            </w:pPr>
            <w:r>
              <w:rPr>
                <w:spacing w:val="-2"/>
                <w:sz w:val="22"/>
              </w:rPr>
              <w:t>如果被保险人未从基本医疗保险、公费医疗、互助保</w:t>
            </w:r>
            <w:r>
              <w:rPr>
                <w:spacing w:val="-6"/>
                <w:sz w:val="22"/>
              </w:rPr>
              <w:t>险、除本保险外的其他商业保险、公益慈善机构、第三</w:t>
            </w:r>
            <w:r>
              <w:rPr>
                <w:color w:val="000000"/>
                <w:spacing w:val="-2"/>
                <w:sz w:val="22"/>
                <w:shd w:val="clear" w:color="auto" w:fill="E4E4E4"/>
              </w:rPr>
              <w:t>方责任人等获得特定目录内药品费用补偿</w:t>
            </w:r>
          </w:p>
        </w:tc>
        <w:tc>
          <w:tcPr>
            <w:tcW w:w="1443" w:type="dxa"/>
          </w:tcPr>
          <w:p>
            <w:pPr>
              <w:pStyle w:val="9"/>
              <w:spacing w:before="0" w:line="240" w:lineRule="auto"/>
              <w:ind w:left="0"/>
              <w:jc w:val="left"/>
              <w:rPr>
                <w:sz w:val="22"/>
              </w:rPr>
            </w:pPr>
          </w:p>
          <w:p>
            <w:pPr>
              <w:pStyle w:val="9"/>
              <w:spacing w:before="162" w:line="240" w:lineRule="auto"/>
              <w:ind w:left="287" w:right="276"/>
              <w:rPr>
                <w:sz w:val="22"/>
              </w:rPr>
            </w:pPr>
            <w:r>
              <w:rPr>
                <w:spacing w:val="-5"/>
                <w:sz w:val="22"/>
              </w:rPr>
              <w:t>60%</w:t>
            </w:r>
          </w:p>
        </w:tc>
      </w:tr>
    </w:tbl>
    <w:p>
      <w:pPr>
        <w:pStyle w:val="4"/>
        <w:spacing w:before="24" w:line="278" w:lineRule="auto"/>
        <w:ind w:left="2997" w:right="785"/>
        <w:jc w:val="both"/>
      </w:pPr>
      <w:r>
        <w:drawing>
          <wp:anchor distT="0" distB="0" distL="0" distR="0" simplePos="0" relativeHeight="251672576" behindDoc="1" locked="0" layoutInCell="1" allowOverlap="1">
            <wp:simplePos x="0" y="0"/>
            <wp:positionH relativeFrom="page">
              <wp:posOffset>2559050</wp:posOffset>
            </wp:positionH>
            <wp:positionV relativeFrom="paragraph">
              <wp:posOffset>-648335</wp:posOffset>
            </wp:positionV>
            <wp:extent cx="3274695" cy="361950"/>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a:picLocks noChangeAspect="1"/>
                    </pic:cNvPicPr>
                  </pic:nvPicPr>
                  <pic:blipFill>
                    <a:blip r:embed="rId13" cstate="print"/>
                    <a:stretch>
                      <a:fillRect/>
                    </a:stretch>
                  </pic:blipFill>
                  <pic:spPr>
                    <a:xfrm>
                      <a:off x="0" y="0"/>
                      <a:ext cx="3274532" cy="361950"/>
                    </a:xfrm>
                    <a:prstGeom prst="rect">
                      <a:avLst/>
                    </a:prstGeom>
                  </pic:spPr>
                </pic:pic>
              </a:graphicData>
            </a:graphic>
          </wp:anchor>
        </w:drawing>
      </w:r>
      <w:r>
        <w:rPr>
          <w:color w:val="000000"/>
          <w:spacing w:val="-7"/>
          <w:shd w:val="clear" w:color="auto" w:fill="E4E4E4"/>
        </w:rPr>
        <w:t>从其他途径已获得的特定目录内药品费用补偿，包含因发生该特定目录内药</w:t>
      </w:r>
      <w:r>
        <w:rPr>
          <w:color w:val="000000"/>
          <w:spacing w:val="40"/>
          <w:shd w:val="clear" w:color="auto" w:fill="E4E4E4"/>
        </w:rPr>
        <w:t xml:space="preserve"> </w:t>
      </w:r>
      <w:r>
        <w:rPr>
          <w:color w:val="000000"/>
          <w:spacing w:val="-4"/>
          <w:shd w:val="clear" w:color="auto" w:fill="E4E4E4"/>
        </w:rPr>
        <w:t>品费用，已从基本医疗保险、公费医疗、互助保险、除本保险外的其他商业</w:t>
      </w:r>
      <w:r>
        <w:rPr>
          <w:color w:val="000000"/>
          <w:spacing w:val="-13"/>
          <w:shd w:val="clear" w:color="auto" w:fill="E4E4E4"/>
        </w:rPr>
        <w:t>保险、公益慈善机构、第三方责任人等其他途径实际获得的特定目录内药品</w:t>
      </w:r>
      <w:r>
        <w:rPr>
          <w:color w:val="000000"/>
          <w:spacing w:val="-9"/>
          <w:shd w:val="clear" w:color="auto" w:fill="E4E4E4"/>
        </w:rPr>
        <w:t>费用补偿。基本医疗保险个人账户支出部分视为个人支付，不属于已获得的</w:t>
      </w:r>
      <w:r>
        <w:rPr>
          <w:color w:val="000000"/>
          <w:spacing w:val="-2"/>
          <w:shd w:val="clear" w:color="auto" w:fill="E4E4E4"/>
        </w:rPr>
        <w:t>医疗费用补偿。</w:t>
      </w:r>
    </w:p>
    <w:p>
      <w:pPr>
        <w:pStyle w:val="8"/>
        <w:numPr>
          <w:ilvl w:val="2"/>
          <w:numId w:val="2"/>
        </w:numPr>
        <w:tabs>
          <w:tab w:val="left" w:pos="1228"/>
          <w:tab w:val="left" w:pos="1229"/>
        </w:tabs>
        <w:spacing w:before="155" w:after="0" w:line="240" w:lineRule="auto"/>
        <w:ind w:left="1228" w:right="0" w:hanging="962"/>
        <w:jc w:val="left"/>
        <w:rPr>
          <w:b/>
          <w:sz w:val="21"/>
        </w:rPr>
      </w:pPr>
      <w:r>
        <w:rPr>
          <w:b/>
          <w:spacing w:val="-3"/>
          <w:sz w:val="21"/>
        </w:rPr>
        <w:t>可选责任</w:t>
      </w:r>
    </w:p>
    <w:p>
      <w:pPr>
        <w:pStyle w:val="4"/>
        <w:spacing w:before="12"/>
        <w:rPr>
          <w:b/>
          <w:sz w:val="9"/>
        </w:rPr>
      </w:pPr>
    </w:p>
    <w:p>
      <w:pPr>
        <w:spacing w:after="0"/>
        <w:rPr>
          <w:sz w:val="9"/>
        </w:rPr>
        <w:sectPr>
          <w:type w:val="continuous"/>
          <w:pgSz w:w="11910" w:h="16840"/>
          <w:pgMar w:top="480" w:right="360" w:bottom="280" w:left="920" w:header="720" w:footer="720" w:gutter="0"/>
          <w:cols w:space="720" w:num="1"/>
        </w:sectPr>
      </w:pPr>
    </w:p>
    <w:p>
      <w:pPr>
        <w:pStyle w:val="8"/>
        <w:numPr>
          <w:ilvl w:val="3"/>
          <w:numId w:val="2"/>
        </w:numPr>
        <w:tabs>
          <w:tab w:val="left" w:pos="961"/>
        </w:tabs>
        <w:spacing w:before="72" w:after="0" w:line="240" w:lineRule="auto"/>
        <w:ind w:left="960" w:right="0" w:hanging="961"/>
        <w:jc w:val="right"/>
        <w:rPr>
          <w:b/>
          <w:sz w:val="21"/>
        </w:rPr>
      </w:pPr>
      <w:r>
        <w:rPr>
          <w:b/>
          <w:spacing w:val="23"/>
          <w:sz w:val="21"/>
        </w:rPr>
        <w:t>特定恶性肿瘤-</w:t>
      </w:r>
    </w:p>
    <w:p>
      <w:pPr>
        <w:spacing w:before="42"/>
        <w:ind w:left="0" w:right="74" w:firstLine="0"/>
        <w:jc w:val="right"/>
        <w:rPr>
          <w:b/>
          <w:sz w:val="21"/>
        </w:rPr>
      </w:pPr>
      <w:r>
        <w:rPr>
          <w:b/>
          <w:spacing w:val="-2"/>
          <w:sz w:val="21"/>
        </w:rPr>
        <w:t>重度疾病保险金</w:t>
      </w:r>
    </w:p>
    <w:p>
      <w:pPr>
        <w:pStyle w:val="4"/>
        <w:spacing w:before="72" w:line="278" w:lineRule="auto"/>
        <w:ind w:left="173" w:right="788"/>
      </w:pPr>
      <w:r>
        <w:br w:type="column"/>
      </w:r>
      <w:r>
        <w:rPr>
          <w:spacing w:val="-2"/>
        </w:rPr>
        <w:t>本合同的特定恶性肿瘤-重度疾病保险责任基本保险金额由投保人与本公司约定，并于本合同中载明。</w:t>
      </w:r>
    </w:p>
    <w:p>
      <w:pPr>
        <w:pStyle w:val="4"/>
        <w:spacing w:before="155" w:line="278" w:lineRule="auto"/>
        <w:ind w:left="173" w:right="785"/>
        <w:jc w:val="both"/>
      </w:pPr>
      <w:r>
        <w:rPr>
          <w:spacing w:val="-12"/>
        </w:rPr>
        <w:t>在本合同保险期间内，被保险人在等待期后在本公司指定或认可的医疗机构</w:t>
      </w:r>
      <w:r>
        <w:rPr>
          <w:spacing w:val="-2"/>
        </w:rPr>
        <w:t>由专科医生确诊初次发生本合同列明的一种或多种特定恶性肿瘤-重度，本公司按本合同载明的特定恶性肿瘤-重度疾病保险责任的基本保险金额给付特定恶性肿瘤-重度疾病保险金，本项保险责任终止。</w:t>
      </w:r>
    </w:p>
    <w:p>
      <w:pPr>
        <w:spacing w:after="0" w:line="278" w:lineRule="auto"/>
        <w:jc w:val="both"/>
        <w:sectPr>
          <w:type w:val="continuous"/>
          <w:pgSz w:w="11910" w:h="16840"/>
          <w:pgMar w:top="480" w:right="360" w:bottom="280" w:left="920" w:header="720" w:footer="720" w:gutter="0"/>
          <w:cols w:equalWidth="0" w:num="2">
            <w:col w:w="2784" w:space="40"/>
            <w:col w:w="7806"/>
          </w:cols>
        </w:sectPr>
      </w:pPr>
    </w:p>
    <w:p>
      <w:pPr>
        <w:pStyle w:val="4"/>
        <w:spacing w:before="156"/>
        <w:ind w:left="2997"/>
      </w:pPr>
      <w:r>
        <w:rPr>
          <w:color w:val="000000"/>
          <w:spacing w:val="-10"/>
          <w:shd w:val="clear" w:color="auto" w:fill="D9D9D9"/>
        </w:rPr>
        <w:t>被保险人在本合同等待期内，在本公司指定或认可的医疗机构由专科医生确</w:t>
      </w:r>
    </w:p>
    <w:p>
      <w:pPr>
        <w:pStyle w:val="4"/>
        <w:rPr>
          <w:sz w:val="22"/>
        </w:rPr>
      </w:pPr>
      <w:r>
        <w:drawing>
          <wp:anchor distT="0" distB="0" distL="0" distR="0" simplePos="0" relativeHeight="251659264" behindDoc="0" locked="0" layoutInCell="1" allowOverlap="1">
            <wp:simplePos x="0" y="0"/>
            <wp:positionH relativeFrom="page">
              <wp:posOffset>685800</wp:posOffset>
            </wp:positionH>
            <wp:positionV relativeFrom="paragraph">
              <wp:posOffset>194310</wp:posOffset>
            </wp:positionV>
            <wp:extent cx="1829435" cy="6350"/>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a:picLocks noChangeAspect="1"/>
                    </pic:cNvPicPr>
                  </pic:nvPicPr>
                  <pic:blipFill>
                    <a:blip r:embed="rId14" cstate="print"/>
                    <a:stretch>
                      <a:fillRect/>
                    </a:stretch>
                  </pic:blipFill>
                  <pic:spPr>
                    <a:xfrm>
                      <a:off x="0" y="0"/>
                      <a:ext cx="1829511" cy="6095"/>
                    </a:xfrm>
                    <a:prstGeom prst="rect">
                      <a:avLst/>
                    </a:prstGeom>
                  </pic:spPr>
                </pic:pic>
              </a:graphicData>
            </a:graphic>
          </wp:anchor>
        </w:drawing>
      </w:r>
    </w:p>
    <w:p>
      <w:pPr>
        <w:spacing w:before="91"/>
        <w:ind w:left="160" w:right="0" w:firstLine="0"/>
        <w:jc w:val="left"/>
        <w:rPr>
          <w:rFonts w:ascii="楷体" w:eastAsia="楷体"/>
          <w:sz w:val="18"/>
        </w:rPr>
      </w:pPr>
      <w:r>
        <w:rPr>
          <w:rFonts w:ascii="楷体" w:eastAsia="楷体"/>
          <w:w w:val="95"/>
          <w:position w:val="9"/>
          <w:sz w:val="9"/>
        </w:rPr>
        <w:t>11</w:t>
      </w:r>
      <w:r>
        <w:rPr>
          <w:rFonts w:hint="eastAsia" w:ascii="楷体" w:eastAsia="楷体"/>
          <w:b/>
          <w:w w:val="95"/>
          <w:sz w:val="18"/>
        </w:rPr>
        <w:t>特定目录外药品费用：</w:t>
      </w:r>
      <w:r>
        <w:rPr>
          <w:rFonts w:ascii="楷体" w:eastAsia="楷体"/>
          <w:w w:val="95"/>
          <w:sz w:val="18"/>
        </w:rPr>
        <w:t>满足条件的药品费用中未被纳入《国家基本医疗保险、工伤保险和生育保险药品目录</w:t>
      </w:r>
      <w:r>
        <w:rPr>
          <w:rFonts w:ascii="楷体" w:eastAsia="楷体"/>
          <w:spacing w:val="-89"/>
          <w:w w:val="95"/>
          <w:sz w:val="18"/>
        </w:rPr>
        <w:t>》</w:t>
      </w:r>
      <w:r>
        <w:rPr>
          <w:rFonts w:ascii="楷体" w:eastAsia="楷体"/>
          <w:w w:val="95"/>
          <w:sz w:val="18"/>
        </w:rPr>
        <w:t>（以药品处</w:t>
      </w:r>
      <w:r>
        <w:rPr>
          <w:rFonts w:ascii="楷体" w:eastAsia="楷体"/>
          <w:spacing w:val="-10"/>
          <w:w w:val="95"/>
          <w:sz w:val="18"/>
        </w:rPr>
        <w:t>方</w:t>
      </w:r>
    </w:p>
    <w:p>
      <w:pPr>
        <w:spacing w:before="2"/>
        <w:ind w:left="160" w:right="0" w:firstLine="0"/>
        <w:jc w:val="left"/>
        <w:rPr>
          <w:rFonts w:ascii="楷体" w:eastAsia="楷体"/>
          <w:sz w:val="18"/>
        </w:rPr>
      </w:pPr>
      <w:r>
        <w:rPr>
          <w:rFonts w:ascii="楷体" w:eastAsia="楷体"/>
          <w:sz w:val="18"/>
        </w:rPr>
        <w:t>开具时的有效版本为准）</w:t>
      </w:r>
      <w:r>
        <w:rPr>
          <w:rFonts w:ascii="楷体" w:eastAsia="楷体"/>
          <w:spacing w:val="-1"/>
          <w:sz w:val="18"/>
        </w:rPr>
        <w:t>的药品所发生的费用。</w:t>
      </w:r>
    </w:p>
    <w:p>
      <w:pPr>
        <w:spacing w:before="2"/>
        <w:ind w:left="160" w:right="0" w:firstLine="0"/>
        <w:jc w:val="left"/>
        <w:rPr>
          <w:rFonts w:ascii="楷体" w:eastAsia="楷体"/>
          <w:sz w:val="18"/>
        </w:rPr>
      </w:pPr>
      <w:r>
        <w:rPr>
          <w:rFonts w:ascii="楷体" w:eastAsia="楷体"/>
          <w:w w:val="95"/>
          <w:position w:val="9"/>
          <w:sz w:val="9"/>
        </w:rPr>
        <w:t>12</w:t>
      </w:r>
      <w:r>
        <w:rPr>
          <w:rFonts w:hint="eastAsia" w:ascii="楷体" w:eastAsia="楷体"/>
          <w:b/>
          <w:w w:val="95"/>
          <w:sz w:val="18"/>
        </w:rPr>
        <w:t>特定目录内药品费用：</w:t>
      </w:r>
      <w:r>
        <w:rPr>
          <w:rFonts w:ascii="楷体" w:eastAsia="楷体"/>
          <w:w w:val="95"/>
          <w:sz w:val="18"/>
        </w:rPr>
        <w:t>满足条件的药品费用中被纳入《国家基本医疗保险、工伤保险和生育保险药品目录</w:t>
      </w:r>
      <w:r>
        <w:rPr>
          <w:rFonts w:ascii="楷体" w:eastAsia="楷体"/>
          <w:spacing w:val="-89"/>
          <w:w w:val="95"/>
          <w:sz w:val="18"/>
        </w:rPr>
        <w:t>》</w:t>
      </w:r>
      <w:r>
        <w:rPr>
          <w:rFonts w:ascii="楷体" w:eastAsia="楷体"/>
          <w:w w:val="95"/>
          <w:sz w:val="18"/>
        </w:rPr>
        <w:t>（以药品处方</w:t>
      </w:r>
      <w:r>
        <w:rPr>
          <w:rFonts w:ascii="楷体" w:eastAsia="楷体"/>
          <w:spacing w:val="-10"/>
          <w:w w:val="95"/>
          <w:sz w:val="18"/>
        </w:rPr>
        <w:t>开</w:t>
      </w:r>
    </w:p>
    <w:p>
      <w:pPr>
        <w:spacing w:before="2"/>
        <w:ind w:left="160" w:right="0" w:firstLine="0"/>
        <w:jc w:val="left"/>
        <w:rPr>
          <w:rFonts w:ascii="楷体" w:eastAsia="楷体"/>
          <w:sz w:val="18"/>
        </w:rPr>
      </w:pPr>
      <w:r>
        <w:rPr>
          <w:rFonts w:ascii="楷体" w:eastAsia="楷体"/>
          <w:sz w:val="18"/>
        </w:rPr>
        <w:t>具时的有效版本为准）</w:t>
      </w:r>
      <w:r>
        <w:rPr>
          <w:rFonts w:ascii="楷体" w:eastAsia="楷体"/>
          <w:spacing w:val="-1"/>
          <w:sz w:val="18"/>
        </w:rPr>
        <w:t>的药品所发生的费用。</w:t>
      </w:r>
    </w:p>
    <w:p>
      <w:pPr>
        <w:spacing w:before="5"/>
        <w:ind w:left="160" w:right="0" w:firstLine="0"/>
        <w:jc w:val="left"/>
        <w:rPr>
          <w:rFonts w:ascii="楷体" w:eastAsia="楷体"/>
          <w:sz w:val="18"/>
        </w:rPr>
      </w:pPr>
      <w:r>
        <w:rPr>
          <w:rFonts w:ascii="楷体" w:eastAsia="楷体"/>
          <w:w w:val="95"/>
          <w:position w:val="9"/>
          <w:sz w:val="9"/>
        </w:rPr>
        <w:t>13</w:t>
      </w:r>
      <w:r>
        <w:rPr>
          <w:rFonts w:hint="eastAsia" w:ascii="楷体" w:eastAsia="楷体"/>
          <w:b/>
          <w:w w:val="95"/>
          <w:sz w:val="18"/>
        </w:rPr>
        <w:t>基本医疗保险：</w:t>
      </w:r>
      <w:r>
        <w:rPr>
          <w:rFonts w:ascii="楷体" w:eastAsia="楷体"/>
          <w:w w:val="95"/>
          <w:sz w:val="18"/>
        </w:rPr>
        <w:t>基本医疗保险包括城镇职工基本医疗保险、城镇居民基本医疗保险、新型农村合作医疗</w:t>
      </w:r>
      <w:r>
        <w:rPr>
          <w:rFonts w:ascii="楷体" w:eastAsia="楷体"/>
          <w:spacing w:val="-10"/>
          <w:w w:val="95"/>
          <w:sz w:val="18"/>
        </w:rPr>
        <w:t>。</w:t>
      </w:r>
    </w:p>
    <w:p>
      <w:pPr>
        <w:spacing w:after="0"/>
        <w:jc w:val="left"/>
        <w:rPr>
          <w:rFonts w:ascii="楷体" w:eastAsia="楷体"/>
          <w:sz w:val="18"/>
        </w:rPr>
        <w:sectPr>
          <w:type w:val="continuous"/>
          <w:pgSz w:w="11910" w:h="16840"/>
          <w:pgMar w:top="480" w:right="360" w:bottom="280" w:left="920" w:header="720" w:footer="720" w:gutter="0"/>
          <w:cols w:space="720" w:num="1"/>
        </w:sectPr>
      </w:pPr>
    </w:p>
    <w:p>
      <w:pPr>
        <w:pStyle w:val="4"/>
        <w:spacing w:before="11"/>
        <w:rPr>
          <w:rFonts w:ascii="楷体"/>
          <w:sz w:val="9"/>
        </w:rPr>
      </w:pPr>
    </w:p>
    <w:p>
      <w:pPr>
        <w:pStyle w:val="4"/>
        <w:spacing w:before="71" w:line="278" w:lineRule="auto"/>
        <w:ind w:left="2997" w:right="682"/>
      </w:pPr>
      <w:r>
        <w:drawing>
          <wp:anchor distT="0" distB="0" distL="0" distR="0" simplePos="0" relativeHeight="251673600" behindDoc="1" locked="0" layoutInCell="1" allowOverlap="1">
            <wp:simplePos x="0" y="0"/>
            <wp:positionH relativeFrom="page">
              <wp:posOffset>2487295</wp:posOffset>
            </wp:positionH>
            <wp:positionV relativeFrom="paragraph">
              <wp:posOffset>-254000</wp:posOffset>
            </wp:positionV>
            <wp:extent cx="4003040" cy="173990"/>
            <wp:effectExtent l="0" t="0" r="0" b="0"/>
            <wp:wrapNone/>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png"/>
                    <pic:cNvPicPr>
                      <a:picLocks noChangeAspect="1"/>
                    </pic:cNvPicPr>
                  </pic:nvPicPr>
                  <pic:blipFill>
                    <a:blip r:embed="rId11" cstate="print"/>
                    <a:stretch>
                      <a:fillRect/>
                    </a:stretch>
                  </pic:blipFill>
                  <pic:spPr>
                    <a:xfrm>
                      <a:off x="0" y="0"/>
                      <a:ext cx="4002913" cy="173735"/>
                    </a:xfrm>
                    <a:prstGeom prst="rect">
                      <a:avLst/>
                    </a:prstGeom>
                  </pic:spPr>
                </pic:pic>
              </a:graphicData>
            </a:graphic>
          </wp:anchor>
        </w:drawing>
      </w:r>
      <w:r>
        <w:pict>
          <v:shape id="docshape10" o:spid="_x0000_s1035" o:spt="202" type="#_x0000_t202" style="position:absolute;left:0pt;margin-left:195.85pt;margin-top:-20pt;height:13.7pt;width:315.2pt;mso-position-horizontal-relative:page;z-index:-251642880;mso-width-relative:page;mso-height-relative:page;" filled="f" stroked="f" coordsize="21600,21600">
            <v:path/>
            <v:fill on="f" focussize="0,0"/>
            <v:stroke on="f" joinstyle="miter"/>
            <v:imagedata o:title=""/>
            <o:lock v:ext="edit"/>
            <v:textbox inset="0mm,0mm,0mm,0mm">
              <w:txbxContent>
                <w:p>
                  <w:pPr>
                    <w:pStyle w:val="4"/>
                    <w:spacing w:before="3"/>
                    <w:ind w:right="-15"/>
                  </w:pPr>
                  <w:r>
                    <w:rPr>
                      <w:spacing w:val="-3"/>
                    </w:rPr>
                    <w:t>承担给付保险金的责任，并无息返还所交保险费，同时本合同终止。</w:t>
                  </w:r>
                </w:p>
              </w:txbxContent>
            </v:textbox>
          </v:shape>
        </w:pict>
      </w:r>
      <w:r>
        <w:pict>
          <v:shape id="docshape11" o:spid="_x0000_s1036" o:spt="202" type="#_x0000_t202" style="position:absolute;left:0pt;margin-left:195.85pt;margin-top:-35.6pt;height:13.7pt;width:341.85pt;mso-position-horizontal-relative:page;z-index:-251641856;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诊初次发生本合同列明的无论一种或者多种特定恶性肿瘤-重度，本公司不</w:t>
                  </w:r>
                </w:p>
              </w:txbxContent>
            </v:textbox>
          </v:shape>
        </w:pict>
      </w:r>
      <w:r>
        <w:rPr>
          <w:color w:val="000000"/>
          <w:spacing w:val="-7"/>
          <w:shd w:val="clear" w:color="auto" w:fill="D9D9D9"/>
        </w:rPr>
        <w:t>特定恶性肿瘤-重度疾病保险金给付仅限一次，若本公司已承担过此项责任，</w:t>
      </w:r>
      <w:r>
        <w:rPr>
          <w:color w:val="000000"/>
          <w:spacing w:val="80"/>
          <w:w w:val="150"/>
          <w:shd w:val="clear" w:color="auto" w:fill="D9D9D9"/>
        </w:rPr>
        <w:t xml:space="preserve">                                     </w:t>
      </w:r>
      <w:r>
        <w:rPr>
          <w:color w:val="000000"/>
          <w:spacing w:val="-7"/>
          <w:shd w:val="clear" w:color="auto" w:fill="D9D9D9"/>
        </w:rPr>
        <w:t>在经本公司审核同意的非首次投保的保险期间内，本公司不再接受承担本项</w:t>
      </w:r>
      <w:r>
        <w:rPr>
          <w:color w:val="000000"/>
          <w:spacing w:val="-2"/>
          <w:shd w:val="clear" w:color="auto" w:fill="D9D9D9"/>
        </w:rPr>
        <w:t>责任的重新投保申请，本公司也不承担本项保险责任。</w:t>
      </w:r>
    </w:p>
    <w:p>
      <w:pPr>
        <w:pStyle w:val="4"/>
        <w:spacing w:before="10"/>
        <w:rPr>
          <w:sz w:val="18"/>
        </w:rPr>
      </w:pPr>
    </w:p>
    <w:p>
      <w:pPr>
        <w:pStyle w:val="8"/>
        <w:numPr>
          <w:ilvl w:val="1"/>
          <w:numId w:val="2"/>
        </w:numPr>
        <w:tabs>
          <w:tab w:val="left" w:pos="1228"/>
          <w:tab w:val="left" w:pos="1229"/>
        </w:tabs>
        <w:spacing w:before="71" w:after="0" w:line="240" w:lineRule="auto"/>
        <w:ind w:left="1228" w:right="0" w:hanging="962"/>
        <w:jc w:val="left"/>
        <w:rPr>
          <w:b/>
          <w:sz w:val="21"/>
        </w:rPr>
      </w:pPr>
      <w:r>
        <w:rPr>
          <w:b/>
          <w:spacing w:val="-3"/>
          <w:sz w:val="21"/>
        </w:rPr>
        <w:t>责任免除</w:t>
      </w:r>
    </w:p>
    <w:p>
      <w:pPr>
        <w:pStyle w:val="4"/>
        <w:spacing w:before="9"/>
        <w:rPr>
          <w:b/>
          <w:sz w:val="27"/>
        </w:rPr>
      </w:pPr>
    </w:p>
    <w:p>
      <w:pPr>
        <w:pStyle w:val="8"/>
        <w:numPr>
          <w:ilvl w:val="2"/>
          <w:numId w:val="2"/>
        </w:numPr>
        <w:tabs>
          <w:tab w:val="left" w:pos="1229"/>
        </w:tabs>
        <w:spacing w:before="0" w:after="0" w:line="278" w:lineRule="auto"/>
        <w:ind w:left="2997" w:right="785" w:hanging="2730"/>
        <w:jc w:val="both"/>
        <w:rPr>
          <w:sz w:val="21"/>
        </w:rPr>
      </w:pPr>
      <w:r>
        <w:rPr>
          <w:b/>
          <w:spacing w:val="39"/>
          <w:sz w:val="21"/>
        </w:rPr>
        <w:t xml:space="preserve">一般责任免除 </w:t>
      </w:r>
      <w:r>
        <w:rPr>
          <w:color w:val="000000"/>
          <w:sz w:val="21"/>
          <w:shd w:val="clear" w:color="auto" w:fill="E4E4E4"/>
        </w:rPr>
        <w:t>因下列第（1）至（8）项情形之一直接或间接导致被保险人发生特定恶性肿</w:t>
      </w:r>
      <w:r>
        <w:rPr>
          <w:color w:val="000000"/>
          <w:spacing w:val="40"/>
          <w:sz w:val="21"/>
          <w:shd w:val="clear" w:color="auto" w:fill="E4E4E4"/>
        </w:rPr>
        <w:t xml:space="preserve"> </w:t>
      </w:r>
      <w:r>
        <w:rPr>
          <w:color w:val="000000"/>
          <w:spacing w:val="-6"/>
          <w:sz w:val="21"/>
          <w:shd w:val="clear" w:color="auto" w:fill="E4E4E4"/>
        </w:rPr>
        <w:t>瘤-重度或发生特定恶性肿瘤-重度需要治疗产生特药医疗费用的，本公司不</w:t>
      </w:r>
      <w:r>
        <w:rPr>
          <w:color w:val="000000"/>
          <w:spacing w:val="-2"/>
          <w:sz w:val="21"/>
          <w:shd w:val="clear" w:color="auto" w:fill="E4E4E4"/>
        </w:rPr>
        <w:t>承担给付任何保险金的责任：</w:t>
      </w:r>
      <w:r>
        <w:rPr>
          <w:color w:val="000000"/>
          <w:spacing w:val="40"/>
          <w:sz w:val="21"/>
          <w:shd w:val="clear" w:color="auto" w:fill="E4E4E4"/>
        </w:rPr>
        <w:t xml:space="preserve"> </w:t>
      </w:r>
    </w:p>
    <w:p>
      <w:pPr>
        <w:pStyle w:val="8"/>
        <w:numPr>
          <w:ilvl w:val="0"/>
          <w:numId w:val="5"/>
        </w:numPr>
        <w:tabs>
          <w:tab w:val="left" w:pos="3718"/>
        </w:tabs>
        <w:spacing w:before="156" w:after="0" w:line="240" w:lineRule="auto"/>
        <w:ind w:left="3717" w:right="0" w:hanging="3636"/>
        <w:jc w:val="left"/>
        <w:rPr>
          <w:sz w:val="21"/>
        </w:rPr>
      </w:pPr>
      <w:r>
        <w:rPr>
          <w:color w:val="000000"/>
          <w:spacing w:val="-3"/>
          <w:sz w:val="21"/>
          <w:shd w:val="clear" w:color="auto" w:fill="E4E4E4"/>
        </w:rPr>
        <w:t>投保人对被保险人的故意杀害或故意伤害；</w:t>
      </w:r>
    </w:p>
    <w:p>
      <w:pPr>
        <w:pStyle w:val="4"/>
        <w:rPr>
          <w:sz w:val="10"/>
        </w:rPr>
      </w:pPr>
    </w:p>
    <w:p>
      <w:pPr>
        <w:pStyle w:val="8"/>
        <w:numPr>
          <w:ilvl w:val="0"/>
          <w:numId w:val="5"/>
        </w:numPr>
        <w:tabs>
          <w:tab w:val="left" w:pos="3718"/>
        </w:tabs>
        <w:spacing w:before="71" w:after="0" w:line="278" w:lineRule="auto"/>
        <w:ind w:left="3717" w:right="786" w:hanging="721"/>
        <w:jc w:val="left"/>
        <w:rPr>
          <w:sz w:val="21"/>
        </w:rPr>
      </w:pPr>
      <w:r>
        <w:rPr>
          <w:color w:val="000000"/>
          <w:spacing w:val="-2"/>
          <w:sz w:val="21"/>
          <w:shd w:val="clear" w:color="auto" w:fill="E4E4E4"/>
        </w:rPr>
        <w:t>被保险人故意犯罪、抗拒依法采取的刑事强制措施被政府依法拘禁</w:t>
      </w:r>
      <w:r>
        <w:rPr>
          <w:color w:val="000000"/>
          <w:spacing w:val="11760"/>
          <w:sz w:val="21"/>
          <w:shd w:val="clear" w:color="auto" w:fill="E4E4E4"/>
        </w:rPr>
        <w:t xml:space="preserve"> </w:t>
      </w:r>
      <w:r>
        <w:rPr>
          <w:color w:val="000000"/>
          <w:spacing w:val="-2"/>
          <w:sz w:val="21"/>
          <w:shd w:val="clear" w:color="auto" w:fill="E4E4E4"/>
        </w:rPr>
        <w:t>或入狱期间；</w:t>
      </w:r>
    </w:p>
    <w:p>
      <w:pPr>
        <w:pStyle w:val="8"/>
        <w:numPr>
          <w:ilvl w:val="0"/>
          <w:numId w:val="5"/>
        </w:numPr>
        <w:tabs>
          <w:tab w:val="left" w:pos="3718"/>
        </w:tabs>
        <w:spacing w:before="156" w:after="0" w:line="278" w:lineRule="auto"/>
        <w:ind w:left="3717" w:right="786" w:hanging="721"/>
        <w:jc w:val="left"/>
        <w:rPr>
          <w:sz w:val="21"/>
        </w:rPr>
      </w:pPr>
      <w:r>
        <w:rPr>
          <w:color w:val="000000"/>
          <w:spacing w:val="-2"/>
          <w:sz w:val="21"/>
          <w:shd w:val="clear" w:color="auto" w:fill="E4E4E4"/>
        </w:rPr>
        <w:t>被保险人故意自伤或因被保险人挑衅或故意行为而导致的打斗、被</w:t>
      </w:r>
      <w:r>
        <w:rPr>
          <w:color w:val="000000"/>
          <w:spacing w:val="11760"/>
          <w:sz w:val="21"/>
          <w:shd w:val="clear" w:color="auto" w:fill="E4E4E4"/>
        </w:rPr>
        <w:t xml:space="preserve"> </w:t>
      </w:r>
      <w:r>
        <w:rPr>
          <w:color w:val="000000"/>
          <w:spacing w:val="-2"/>
          <w:sz w:val="21"/>
          <w:shd w:val="clear" w:color="auto" w:fill="E4E4E4"/>
        </w:rPr>
        <w:t>袭击、被谋杀；</w:t>
      </w:r>
    </w:p>
    <w:p>
      <w:pPr>
        <w:pStyle w:val="8"/>
        <w:numPr>
          <w:ilvl w:val="0"/>
          <w:numId w:val="5"/>
        </w:numPr>
        <w:tabs>
          <w:tab w:val="left" w:pos="3718"/>
        </w:tabs>
        <w:spacing w:before="146" w:after="0" w:line="268" w:lineRule="auto"/>
        <w:ind w:left="3717" w:right="788" w:hanging="721"/>
        <w:jc w:val="left"/>
        <w:rPr>
          <w:sz w:val="21"/>
        </w:rPr>
      </w:pPr>
      <w:r>
        <w:rPr>
          <w:color w:val="000000"/>
          <w:spacing w:val="-2"/>
          <w:sz w:val="21"/>
          <w:shd w:val="clear" w:color="auto" w:fill="E4E4E4"/>
        </w:rPr>
        <w:t>被保险人</w:t>
      </w:r>
      <w:r>
        <w:rPr>
          <w:b/>
          <w:color w:val="000000"/>
          <w:spacing w:val="-2"/>
          <w:sz w:val="21"/>
          <w:shd w:val="clear" w:color="auto" w:fill="E4E4E4"/>
        </w:rPr>
        <w:t>酒后驾驶</w:t>
      </w:r>
      <w:r>
        <w:rPr>
          <w:color w:val="000000"/>
          <w:spacing w:val="-2"/>
          <w:position w:val="11"/>
          <w:sz w:val="11"/>
        </w:rPr>
        <w:t>14</w:t>
      </w:r>
      <w:r>
        <w:rPr>
          <w:color w:val="000000"/>
          <w:spacing w:val="-2"/>
          <w:sz w:val="21"/>
          <w:shd w:val="clear" w:color="auto" w:fill="E4E4E4"/>
        </w:rPr>
        <w:t>、</w:t>
      </w:r>
      <w:r>
        <w:rPr>
          <w:b/>
          <w:color w:val="000000"/>
          <w:spacing w:val="-2"/>
          <w:sz w:val="21"/>
          <w:shd w:val="clear" w:color="auto" w:fill="E4E4E4"/>
        </w:rPr>
        <w:t>无合法有效驾驶证驾驶</w:t>
      </w:r>
      <w:r>
        <w:rPr>
          <w:color w:val="000000"/>
          <w:spacing w:val="-2"/>
          <w:position w:val="11"/>
          <w:sz w:val="11"/>
        </w:rPr>
        <w:t>15</w:t>
      </w:r>
      <w:r>
        <w:rPr>
          <w:color w:val="000000"/>
          <w:spacing w:val="-2"/>
          <w:sz w:val="21"/>
          <w:shd w:val="clear" w:color="auto" w:fill="E4E4E4"/>
        </w:rPr>
        <w:t>，或驾驶</w:t>
      </w:r>
      <w:r>
        <w:rPr>
          <w:b/>
          <w:color w:val="000000"/>
          <w:spacing w:val="-2"/>
          <w:sz w:val="21"/>
          <w:shd w:val="clear" w:color="auto" w:fill="E4E4E4"/>
        </w:rPr>
        <w:t>无有效行驶证</w:t>
      </w:r>
      <w:r>
        <w:rPr>
          <w:color w:val="000000"/>
          <w:spacing w:val="-2"/>
          <w:position w:val="11"/>
          <w:sz w:val="11"/>
        </w:rPr>
        <w:t>16</w:t>
      </w:r>
      <w:r>
        <w:rPr>
          <w:color w:val="000000"/>
          <w:spacing w:val="-2"/>
          <w:sz w:val="21"/>
          <w:shd w:val="clear" w:color="auto" w:fill="E4E4E4"/>
        </w:rPr>
        <w:t>的</w:t>
      </w:r>
      <w:r>
        <w:rPr>
          <w:b/>
          <w:color w:val="000000"/>
          <w:spacing w:val="-2"/>
          <w:sz w:val="21"/>
          <w:shd w:val="clear" w:color="auto" w:fill="E4E4E4"/>
        </w:rPr>
        <w:t>机动车</w:t>
      </w:r>
      <w:r>
        <w:rPr>
          <w:color w:val="000000"/>
          <w:spacing w:val="-2"/>
          <w:position w:val="11"/>
          <w:sz w:val="11"/>
        </w:rPr>
        <w:t>17</w:t>
      </w:r>
      <w:r>
        <w:rPr>
          <w:color w:val="000000"/>
          <w:spacing w:val="-2"/>
          <w:sz w:val="21"/>
          <w:shd w:val="clear" w:color="auto" w:fill="E4E4E4"/>
        </w:rPr>
        <w:t>；</w:t>
      </w:r>
    </w:p>
    <w:p>
      <w:pPr>
        <w:pStyle w:val="4"/>
        <w:spacing w:before="10"/>
        <w:rPr>
          <w:sz w:val="17"/>
        </w:rPr>
      </w:pPr>
    </w:p>
    <w:p>
      <w:pPr>
        <w:pStyle w:val="8"/>
        <w:numPr>
          <w:ilvl w:val="0"/>
          <w:numId w:val="5"/>
        </w:numPr>
        <w:tabs>
          <w:tab w:val="left" w:pos="3718"/>
        </w:tabs>
        <w:spacing w:before="86" w:after="0" w:line="278" w:lineRule="auto"/>
        <w:ind w:left="3717" w:right="699" w:hanging="721"/>
        <w:jc w:val="left"/>
        <w:rPr>
          <w:sz w:val="21"/>
        </w:rPr>
      </w:pPr>
      <w:r>
        <w:rPr>
          <w:color w:val="000000"/>
          <w:spacing w:val="-2"/>
          <w:sz w:val="21"/>
          <w:shd w:val="clear" w:color="auto" w:fill="E4E4E4"/>
        </w:rPr>
        <w:t>被保险人服用、吸食或注射</w:t>
      </w:r>
      <w:r>
        <w:rPr>
          <w:b/>
          <w:color w:val="000000"/>
          <w:spacing w:val="-2"/>
          <w:sz w:val="21"/>
          <w:shd w:val="clear" w:color="auto" w:fill="E4E4E4"/>
        </w:rPr>
        <w:t>毒品</w:t>
      </w:r>
      <w:r>
        <w:rPr>
          <w:color w:val="000000"/>
          <w:spacing w:val="-2"/>
          <w:position w:val="11"/>
          <w:sz w:val="11"/>
        </w:rPr>
        <w:t>18</w:t>
      </w:r>
      <w:r>
        <w:rPr>
          <w:color w:val="000000"/>
          <w:spacing w:val="-2"/>
          <w:sz w:val="21"/>
          <w:shd w:val="clear" w:color="auto" w:fill="E4E4E4"/>
        </w:rPr>
        <w:t>，或未遵医嘱，擅自服用、涂用、注射药物；</w:t>
      </w:r>
    </w:p>
    <w:p>
      <w:pPr>
        <w:pStyle w:val="8"/>
        <w:numPr>
          <w:ilvl w:val="0"/>
          <w:numId w:val="5"/>
        </w:numPr>
        <w:tabs>
          <w:tab w:val="left" w:pos="3718"/>
        </w:tabs>
        <w:spacing w:before="145" w:after="0" w:line="268" w:lineRule="auto"/>
        <w:ind w:left="3717" w:right="788" w:hanging="721"/>
        <w:jc w:val="left"/>
        <w:rPr>
          <w:sz w:val="21"/>
        </w:rPr>
      </w:pPr>
      <w:r>
        <w:rPr>
          <w:color w:val="000000"/>
          <w:spacing w:val="-2"/>
          <w:sz w:val="21"/>
          <w:shd w:val="clear" w:color="auto" w:fill="E4E4E4"/>
        </w:rPr>
        <w:t>被保险人</w:t>
      </w:r>
      <w:r>
        <w:rPr>
          <w:b/>
          <w:color w:val="000000"/>
          <w:spacing w:val="-2"/>
          <w:sz w:val="21"/>
          <w:shd w:val="clear" w:color="auto" w:fill="E4E4E4"/>
        </w:rPr>
        <w:t>先天性疾病</w:t>
      </w:r>
      <w:r>
        <w:rPr>
          <w:color w:val="000000"/>
          <w:spacing w:val="-2"/>
          <w:position w:val="11"/>
          <w:sz w:val="11"/>
        </w:rPr>
        <w:t>19</w:t>
      </w:r>
      <w:r>
        <w:rPr>
          <w:color w:val="000000"/>
          <w:spacing w:val="-2"/>
          <w:sz w:val="21"/>
          <w:shd w:val="clear" w:color="auto" w:fill="E4E4E4"/>
        </w:rPr>
        <w:t>、</w:t>
      </w:r>
      <w:r>
        <w:rPr>
          <w:b/>
          <w:color w:val="000000"/>
          <w:spacing w:val="-2"/>
          <w:sz w:val="21"/>
          <w:shd w:val="clear" w:color="auto" w:fill="E4E4E4"/>
        </w:rPr>
        <w:t>遗传性疾病</w:t>
      </w:r>
      <w:r>
        <w:rPr>
          <w:color w:val="000000"/>
          <w:spacing w:val="-2"/>
          <w:position w:val="11"/>
          <w:sz w:val="11"/>
        </w:rPr>
        <w:t>20</w:t>
      </w:r>
      <w:r>
        <w:rPr>
          <w:color w:val="000000"/>
          <w:spacing w:val="-2"/>
          <w:sz w:val="21"/>
          <w:shd w:val="clear" w:color="auto" w:fill="E4E4E4"/>
        </w:rPr>
        <w:t>、</w:t>
      </w:r>
      <w:r>
        <w:rPr>
          <w:b/>
          <w:color w:val="000000"/>
          <w:spacing w:val="-2"/>
          <w:sz w:val="21"/>
          <w:shd w:val="clear" w:color="auto" w:fill="E4E4E4"/>
        </w:rPr>
        <w:t>先天性畸形、变形或染色体</w:t>
      </w:r>
      <w:r>
        <w:rPr>
          <w:b/>
          <w:color w:val="000000"/>
          <w:spacing w:val="11746"/>
          <w:sz w:val="21"/>
          <w:shd w:val="clear" w:color="auto" w:fill="E4E4E4"/>
        </w:rPr>
        <w:t xml:space="preserve"> </w:t>
      </w:r>
      <w:r>
        <w:rPr>
          <w:b/>
          <w:color w:val="000000"/>
          <w:spacing w:val="-2"/>
          <w:sz w:val="21"/>
          <w:shd w:val="clear" w:color="auto" w:fill="E4E4E4"/>
        </w:rPr>
        <w:t>异常</w:t>
      </w:r>
      <w:r>
        <w:rPr>
          <w:color w:val="000000"/>
          <w:spacing w:val="-2"/>
          <w:position w:val="11"/>
          <w:sz w:val="11"/>
        </w:rPr>
        <w:t>21</w:t>
      </w:r>
      <w:r>
        <w:rPr>
          <w:color w:val="000000"/>
          <w:spacing w:val="-2"/>
          <w:sz w:val="21"/>
          <w:shd w:val="clear" w:color="auto" w:fill="E4E4E4"/>
        </w:rPr>
        <w:t>；</w:t>
      </w:r>
    </w:p>
    <w:p>
      <w:pPr>
        <w:pStyle w:val="8"/>
        <w:numPr>
          <w:ilvl w:val="0"/>
          <w:numId w:val="5"/>
        </w:numPr>
        <w:tabs>
          <w:tab w:val="left" w:pos="3718"/>
        </w:tabs>
        <w:spacing w:before="158" w:after="0" w:line="240" w:lineRule="auto"/>
        <w:ind w:left="3717" w:right="217" w:hanging="3718"/>
        <w:jc w:val="left"/>
        <w:rPr>
          <w:sz w:val="21"/>
        </w:rPr>
      </w:pPr>
      <w:r>
        <w:rPr>
          <w:color w:val="000000"/>
          <w:spacing w:val="-2"/>
          <w:sz w:val="21"/>
          <w:shd w:val="clear" w:color="auto" w:fill="E4E4E4"/>
        </w:rPr>
        <w:t>被保险人</w:t>
      </w:r>
      <w:r>
        <w:rPr>
          <w:b/>
          <w:color w:val="000000"/>
          <w:spacing w:val="-2"/>
          <w:sz w:val="21"/>
          <w:shd w:val="clear" w:color="auto" w:fill="E4E4E4"/>
        </w:rPr>
        <w:t>感染艾滋病病毒或患艾滋病</w:t>
      </w:r>
      <w:r>
        <w:rPr>
          <w:color w:val="000000"/>
          <w:spacing w:val="-5"/>
          <w:position w:val="11"/>
          <w:sz w:val="11"/>
        </w:rPr>
        <w:t>22</w:t>
      </w:r>
      <w:r>
        <w:rPr>
          <w:color w:val="000000"/>
          <w:spacing w:val="-5"/>
          <w:sz w:val="21"/>
          <w:shd w:val="clear" w:color="auto" w:fill="E4E4E4"/>
        </w:rPr>
        <w:t>；</w:t>
      </w:r>
    </w:p>
    <w:p>
      <w:pPr>
        <w:pStyle w:val="4"/>
        <w:spacing w:before="12"/>
        <w:rPr>
          <w:sz w:val="28"/>
        </w:rPr>
      </w:pPr>
      <w:r>
        <w:drawing>
          <wp:anchor distT="0" distB="0" distL="0" distR="0" simplePos="0" relativeHeight="251659264" behindDoc="0" locked="0" layoutInCell="1" allowOverlap="1">
            <wp:simplePos x="0" y="0"/>
            <wp:positionH relativeFrom="page">
              <wp:posOffset>685800</wp:posOffset>
            </wp:positionH>
            <wp:positionV relativeFrom="paragraph">
              <wp:posOffset>250190</wp:posOffset>
            </wp:positionV>
            <wp:extent cx="1829435" cy="6350"/>
            <wp:effectExtent l="0" t="0" r="0" b="0"/>
            <wp:wrapTopAndBottom/>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png"/>
                    <pic:cNvPicPr>
                      <a:picLocks noChangeAspect="1"/>
                    </pic:cNvPicPr>
                  </pic:nvPicPr>
                  <pic:blipFill>
                    <a:blip r:embed="rId9" cstate="print"/>
                    <a:stretch>
                      <a:fillRect/>
                    </a:stretch>
                  </pic:blipFill>
                  <pic:spPr>
                    <a:xfrm>
                      <a:off x="0" y="0"/>
                      <a:ext cx="1829282" cy="6096"/>
                    </a:xfrm>
                    <a:prstGeom prst="rect">
                      <a:avLst/>
                    </a:prstGeom>
                  </pic:spPr>
                </pic:pic>
              </a:graphicData>
            </a:graphic>
          </wp:anchor>
        </w:drawing>
      </w:r>
    </w:p>
    <w:p>
      <w:pPr>
        <w:spacing w:before="91"/>
        <w:ind w:left="160" w:right="0" w:firstLine="0"/>
        <w:jc w:val="left"/>
        <w:rPr>
          <w:rFonts w:ascii="楷体" w:eastAsia="楷体"/>
          <w:sz w:val="18"/>
        </w:rPr>
      </w:pPr>
      <w:r>
        <w:rPr>
          <w:rFonts w:ascii="楷体" w:eastAsia="楷体"/>
          <w:w w:val="95"/>
          <w:position w:val="9"/>
          <w:sz w:val="9"/>
        </w:rPr>
        <w:t>14</w:t>
      </w:r>
      <w:r>
        <w:rPr>
          <w:rFonts w:hint="eastAsia" w:ascii="楷体" w:eastAsia="楷体"/>
          <w:b/>
          <w:w w:val="95"/>
          <w:sz w:val="18"/>
        </w:rPr>
        <w:t>酒后驾驶</w:t>
      </w:r>
      <w:r>
        <w:rPr>
          <w:rFonts w:ascii="楷体" w:eastAsia="楷体"/>
          <w:w w:val="95"/>
          <w:sz w:val="18"/>
        </w:rPr>
        <w:t>：指经检测或鉴定，发生事故时车辆驾驶人员每百毫升血液中的酒精含量达到或超过一定的标准，公安机关交通</w:t>
      </w:r>
      <w:r>
        <w:rPr>
          <w:rFonts w:ascii="楷体" w:eastAsia="楷体"/>
          <w:spacing w:val="-10"/>
          <w:w w:val="95"/>
          <w:sz w:val="18"/>
        </w:rPr>
        <w:t>管</w:t>
      </w:r>
    </w:p>
    <w:p>
      <w:pPr>
        <w:spacing w:before="4"/>
        <w:ind w:left="160"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3"/>
        <w:ind w:left="160" w:right="0" w:firstLine="0"/>
        <w:jc w:val="left"/>
        <w:rPr>
          <w:rFonts w:ascii="楷体" w:eastAsia="楷体"/>
          <w:sz w:val="18"/>
        </w:rPr>
      </w:pPr>
      <w:r>
        <w:rPr>
          <w:rFonts w:ascii="楷体" w:eastAsia="楷体"/>
          <w:w w:val="95"/>
          <w:position w:val="9"/>
          <w:sz w:val="9"/>
        </w:rPr>
        <w:t>15</w:t>
      </w:r>
      <w:r>
        <w:rPr>
          <w:rFonts w:hint="eastAsia" w:ascii="楷体" w:eastAsia="楷体"/>
          <w:b/>
          <w:w w:val="95"/>
          <w:sz w:val="18"/>
        </w:rPr>
        <w:t>无合法有效驾驶证驾驶</w:t>
      </w:r>
      <w:r>
        <w:rPr>
          <w:rFonts w:ascii="楷体" w:eastAsia="楷体"/>
          <w:w w:val="95"/>
          <w:sz w:val="18"/>
        </w:rPr>
        <w:t>：指下列任何驾驶情形：（1）没有取得驾驶资格；（2）驾驶与驾驶证准驾车型不相符合的车辆</w:t>
      </w:r>
      <w:r>
        <w:rPr>
          <w:rFonts w:ascii="楷体" w:eastAsia="楷体"/>
          <w:spacing w:val="-4"/>
          <w:w w:val="95"/>
          <w:sz w:val="18"/>
        </w:rPr>
        <w:t>；（3）</w:t>
      </w:r>
    </w:p>
    <w:p>
      <w:pPr>
        <w:spacing w:before="2" w:line="242" w:lineRule="auto"/>
        <w:ind w:left="160" w:right="714" w:firstLine="0"/>
        <w:jc w:val="left"/>
        <w:rPr>
          <w:rFonts w:ascii="楷体" w:eastAsia="楷体"/>
          <w:sz w:val="18"/>
        </w:rPr>
      </w:pPr>
      <w:r>
        <w:rPr>
          <w:rFonts w:ascii="楷体" w:eastAsia="楷体"/>
          <w:spacing w:val="-2"/>
          <w:sz w:val="18"/>
        </w:rPr>
        <w:t>持审验不合格的驾驶证驾驶；（4）在驾驶证有效期内未按照中华人民共和国法律、行政法规的规定，定期对机动车驾驶证实</w:t>
      </w:r>
      <w:r>
        <w:rPr>
          <w:rFonts w:ascii="楷体" w:eastAsia="楷体"/>
          <w:spacing w:val="-22"/>
          <w:sz w:val="18"/>
        </w:rPr>
        <w:t>施审验的；</w:t>
      </w:r>
      <w:r>
        <w:rPr>
          <w:rFonts w:ascii="楷体" w:eastAsia="楷体"/>
          <w:spacing w:val="27"/>
          <w:sz w:val="18"/>
        </w:rPr>
        <w:t>（</w:t>
      </w:r>
      <w:r>
        <w:rPr>
          <w:rFonts w:ascii="楷体" w:eastAsia="楷体"/>
          <w:spacing w:val="28"/>
          <w:sz w:val="18"/>
        </w:rPr>
        <w:t>5</w:t>
      </w:r>
      <w:r>
        <w:rPr>
          <w:rFonts w:ascii="楷体" w:eastAsia="楷体"/>
          <w:spacing w:val="5"/>
          <w:sz w:val="18"/>
        </w:rPr>
        <w:t>）</w:t>
      </w:r>
      <w:r>
        <w:rPr>
          <w:rFonts w:ascii="楷体" w:eastAsia="楷体"/>
          <w:spacing w:val="-9"/>
          <w:sz w:val="18"/>
        </w:rPr>
        <w:t>持学习驾驶证学习驾车时，无教练员随车指导，或不按指定时间、路线学习驾车；</w:t>
      </w:r>
      <w:r>
        <w:rPr>
          <w:rFonts w:ascii="楷体" w:eastAsia="楷体"/>
          <w:spacing w:val="28"/>
          <w:sz w:val="18"/>
        </w:rPr>
        <w:t>（6</w:t>
      </w:r>
      <w:r>
        <w:rPr>
          <w:rFonts w:ascii="楷体" w:eastAsia="楷体"/>
          <w:spacing w:val="5"/>
          <w:sz w:val="18"/>
        </w:rPr>
        <w:t>）</w:t>
      </w:r>
      <w:r>
        <w:rPr>
          <w:rFonts w:ascii="楷体" w:eastAsia="楷体"/>
          <w:spacing w:val="-7"/>
          <w:sz w:val="18"/>
        </w:rPr>
        <w:t>驾驶证已过有效期的。</w:t>
      </w:r>
    </w:p>
    <w:p>
      <w:pPr>
        <w:spacing w:before="2"/>
        <w:ind w:left="160" w:right="0" w:firstLine="0"/>
        <w:jc w:val="left"/>
        <w:rPr>
          <w:rFonts w:ascii="楷体" w:eastAsia="楷体"/>
          <w:sz w:val="18"/>
        </w:rPr>
      </w:pPr>
      <w:r>
        <w:rPr>
          <w:rFonts w:ascii="楷体" w:eastAsia="楷体"/>
          <w:w w:val="95"/>
          <w:position w:val="9"/>
          <w:sz w:val="9"/>
        </w:rPr>
        <w:t>16</w:t>
      </w:r>
      <w:r>
        <w:rPr>
          <w:rFonts w:hint="eastAsia" w:ascii="楷体" w:eastAsia="楷体"/>
          <w:b/>
          <w:w w:val="95"/>
          <w:sz w:val="18"/>
        </w:rPr>
        <w:t>无有效行驶证</w:t>
      </w:r>
      <w:r>
        <w:rPr>
          <w:rFonts w:ascii="楷体" w:eastAsia="楷体"/>
          <w:w w:val="95"/>
          <w:sz w:val="18"/>
        </w:rPr>
        <w:t>：指下列任何</w:t>
      </w:r>
      <w:r>
        <w:rPr>
          <w:rFonts w:ascii="楷体" w:eastAsia="楷体"/>
          <w:spacing w:val="-25"/>
          <w:w w:val="95"/>
          <w:sz w:val="18"/>
        </w:rPr>
        <w:t>情形：</w:t>
      </w:r>
      <w:r>
        <w:rPr>
          <w:rFonts w:ascii="楷体" w:eastAsia="楷体"/>
          <w:spacing w:val="27"/>
          <w:w w:val="95"/>
          <w:sz w:val="18"/>
        </w:rPr>
        <w:t>（</w:t>
      </w:r>
      <w:r>
        <w:rPr>
          <w:rFonts w:ascii="楷体" w:eastAsia="楷体"/>
          <w:spacing w:val="28"/>
          <w:w w:val="95"/>
          <w:sz w:val="18"/>
        </w:rPr>
        <w:t>1</w:t>
      </w:r>
      <w:r>
        <w:rPr>
          <w:rFonts w:ascii="楷体" w:eastAsia="楷体"/>
          <w:spacing w:val="17"/>
          <w:w w:val="95"/>
          <w:sz w:val="18"/>
        </w:rPr>
        <w:t>）</w:t>
      </w:r>
      <w:r>
        <w:rPr>
          <w:rFonts w:ascii="楷体" w:eastAsia="楷体"/>
          <w:w w:val="95"/>
          <w:sz w:val="18"/>
        </w:rPr>
        <w:t>未取得行驶证</w:t>
      </w:r>
      <w:r>
        <w:rPr>
          <w:rFonts w:ascii="楷体" w:eastAsia="楷体"/>
          <w:spacing w:val="-74"/>
          <w:w w:val="95"/>
          <w:sz w:val="18"/>
        </w:rPr>
        <w:t>；</w:t>
      </w:r>
      <w:r>
        <w:rPr>
          <w:rFonts w:ascii="楷体" w:eastAsia="楷体"/>
          <w:spacing w:val="26"/>
          <w:w w:val="95"/>
          <w:sz w:val="18"/>
        </w:rPr>
        <w:t>（</w:t>
      </w:r>
      <w:r>
        <w:rPr>
          <w:rFonts w:ascii="楷体" w:eastAsia="楷体"/>
          <w:spacing w:val="28"/>
          <w:w w:val="95"/>
          <w:sz w:val="18"/>
        </w:rPr>
        <w:t>2</w:t>
      </w:r>
      <w:r>
        <w:rPr>
          <w:rFonts w:ascii="楷体" w:eastAsia="楷体"/>
          <w:spacing w:val="17"/>
          <w:w w:val="95"/>
          <w:sz w:val="18"/>
        </w:rPr>
        <w:t>）</w:t>
      </w:r>
      <w:r>
        <w:rPr>
          <w:rFonts w:ascii="楷体" w:eastAsia="楷体"/>
          <w:w w:val="95"/>
          <w:sz w:val="18"/>
        </w:rPr>
        <w:t>机动车被依法注销登记的</w:t>
      </w:r>
      <w:r>
        <w:rPr>
          <w:rFonts w:ascii="楷体" w:eastAsia="楷体"/>
          <w:spacing w:val="-74"/>
          <w:w w:val="95"/>
          <w:sz w:val="18"/>
        </w:rPr>
        <w:t>；</w:t>
      </w:r>
      <w:r>
        <w:rPr>
          <w:rFonts w:ascii="楷体" w:eastAsia="楷体"/>
          <w:spacing w:val="27"/>
          <w:w w:val="95"/>
          <w:sz w:val="18"/>
        </w:rPr>
        <w:t>（</w:t>
      </w:r>
      <w:r>
        <w:rPr>
          <w:rFonts w:ascii="楷体" w:eastAsia="楷体"/>
          <w:spacing w:val="28"/>
          <w:w w:val="95"/>
          <w:sz w:val="18"/>
        </w:rPr>
        <w:t>3</w:t>
      </w:r>
      <w:r>
        <w:rPr>
          <w:rFonts w:ascii="楷体" w:eastAsia="楷体"/>
          <w:spacing w:val="17"/>
          <w:w w:val="95"/>
          <w:sz w:val="18"/>
        </w:rPr>
        <w:t>）</w:t>
      </w:r>
      <w:r>
        <w:rPr>
          <w:rFonts w:ascii="楷体" w:eastAsia="楷体"/>
          <w:w w:val="95"/>
          <w:sz w:val="18"/>
        </w:rPr>
        <w:t>未依法按时进行或通过机动车</w:t>
      </w:r>
      <w:r>
        <w:rPr>
          <w:rFonts w:ascii="楷体" w:eastAsia="楷体"/>
          <w:spacing w:val="-10"/>
          <w:w w:val="95"/>
          <w:sz w:val="18"/>
        </w:rPr>
        <w:t>安</w:t>
      </w:r>
    </w:p>
    <w:p>
      <w:pPr>
        <w:spacing w:before="2"/>
        <w:ind w:left="160" w:right="0" w:firstLine="0"/>
        <w:jc w:val="left"/>
        <w:rPr>
          <w:rFonts w:ascii="楷体" w:eastAsia="楷体"/>
          <w:sz w:val="18"/>
        </w:rPr>
      </w:pPr>
      <w:r>
        <w:rPr>
          <w:rFonts w:ascii="楷体" w:eastAsia="楷体"/>
          <w:spacing w:val="-2"/>
          <w:sz w:val="18"/>
        </w:rPr>
        <w:t>全技术检验。</w:t>
      </w:r>
    </w:p>
    <w:p>
      <w:pPr>
        <w:spacing w:before="2"/>
        <w:ind w:left="160" w:right="0" w:firstLine="0"/>
        <w:jc w:val="left"/>
        <w:rPr>
          <w:rFonts w:ascii="楷体" w:eastAsia="楷体"/>
          <w:sz w:val="18"/>
        </w:rPr>
      </w:pPr>
      <w:r>
        <w:rPr>
          <w:rFonts w:ascii="楷体" w:eastAsia="楷体"/>
          <w:w w:val="95"/>
          <w:position w:val="9"/>
          <w:sz w:val="9"/>
        </w:rPr>
        <w:t>17</w:t>
      </w:r>
      <w:r>
        <w:rPr>
          <w:rFonts w:hint="eastAsia" w:ascii="楷体" w:eastAsia="楷体"/>
          <w:b/>
          <w:w w:val="95"/>
          <w:sz w:val="18"/>
        </w:rPr>
        <w:t>机动车</w:t>
      </w:r>
      <w:r>
        <w:rPr>
          <w:rFonts w:ascii="楷体" w:eastAsia="楷体"/>
          <w:w w:val="95"/>
          <w:sz w:val="18"/>
        </w:rPr>
        <w:t>：指以动力装置驱动或者牵引，上道路行驶的供人员乘用或者用于运送物品以及进行工程专项作业的轮式车辆</w:t>
      </w:r>
      <w:r>
        <w:rPr>
          <w:rFonts w:ascii="楷体" w:eastAsia="楷体"/>
          <w:spacing w:val="-10"/>
          <w:w w:val="95"/>
          <w:sz w:val="18"/>
        </w:rPr>
        <w:t>。</w:t>
      </w:r>
    </w:p>
    <w:p>
      <w:pPr>
        <w:spacing w:before="2"/>
        <w:ind w:left="160" w:right="0" w:firstLine="0"/>
        <w:jc w:val="left"/>
        <w:rPr>
          <w:rFonts w:ascii="楷体" w:eastAsia="楷体"/>
          <w:sz w:val="18"/>
        </w:rPr>
      </w:pPr>
      <w:r>
        <w:rPr>
          <w:rFonts w:ascii="楷体" w:eastAsia="楷体"/>
          <w:w w:val="95"/>
          <w:position w:val="9"/>
          <w:sz w:val="9"/>
        </w:rPr>
        <w:t>18</w:t>
      </w:r>
      <w:r>
        <w:rPr>
          <w:rFonts w:hint="eastAsia" w:ascii="楷体" w:eastAsia="楷体"/>
          <w:b/>
          <w:w w:val="95"/>
          <w:sz w:val="18"/>
        </w:rPr>
        <w:t>毒品</w:t>
      </w:r>
      <w:r>
        <w:rPr>
          <w:rFonts w:ascii="楷体" w:eastAsia="楷体"/>
          <w:w w:val="95"/>
          <w:sz w:val="18"/>
        </w:rPr>
        <w:t>：指中华人民共和国刑法规定的鸦片、海洛因、甲基苯丙胺（冰毒</w:t>
      </w:r>
      <w:r>
        <w:rPr>
          <w:rFonts w:ascii="楷体" w:eastAsia="楷体"/>
          <w:spacing w:val="-89"/>
          <w:w w:val="95"/>
          <w:sz w:val="18"/>
        </w:rPr>
        <w:t>）</w:t>
      </w:r>
      <w:r>
        <w:rPr>
          <w:rFonts w:ascii="楷体" w:eastAsia="楷体"/>
          <w:w w:val="95"/>
          <w:sz w:val="18"/>
        </w:rPr>
        <w:t>、吗啡、大麻、可卡因以及国家规定管制的其他</w:t>
      </w:r>
      <w:r>
        <w:rPr>
          <w:rFonts w:ascii="楷体" w:eastAsia="楷体"/>
          <w:spacing w:val="-10"/>
          <w:w w:val="95"/>
          <w:sz w:val="18"/>
        </w:rPr>
        <w:t>能</w:t>
      </w:r>
    </w:p>
    <w:p>
      <w:pPr>
        <w:spacing w:before="5"/>
        <w:ind w:left="16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2"/>
        <w:ind w:left="160" w:right="0" w:firstLine="0"/>
        <w:jc w:val="left"/>
        <w:rPr>
          <w:rFonts w:ascii="楷体" w:eastAsia="楷体"/>
          <w:sz w:val="18"/>
        </w:rPr>
      </w:pPr>
      <w:r>
        <w:rPr>
          <w:rFonts w:ascii="楷体" w:eastAsia="楷体"/>
          <w:w w:val="95"/>
          <w:position w:val="9"/>
          <w:sz w:val="9"/>
        </w:rPr>
        <w:t>19</w:t>
      </w:r>
      <w:r>
        <w:rPr>
          <w:rFonts w:hint="eastAsia" w:ascii="楷体" w:eastAsia="楷体"/>
          <w:b/>
          <w:w w:val="95"/>
          <w:sz w:val="18"/>
        </w:rPr>
        <w:t>先天性疾病：</w:t>
      </w:r>
      <w:r>
        <w:rPr>
          <w:rFonts w:ascii="楷体" w:eastAsia="楷体"/>
          <w:w w:val="95"/>
          <w:sz w:val="18"/>
        </w:rPr>
        <w:t>指被保险人一出生时就具有的疾病（症状或体征</w:t>
      </w:r>
      <w:r>
        <w:rPr>
          <w:rFonts w:ascii="楷体" w:eastAsia="楷体"/>
          <w:spacing w:val="-89"/>
          <w:w w:val="95"/>
          <w:sz w:val="18"/>
        </w:rPr>
        <w:t>）</w:t>
      </w:r>
      <w:r>
        <w:rPr>
          <w:rFonts w:ascii="楷体" w:eastAsia="楷体"/>
          <w:w w:val="95"/>
          <w:sz w:val="18"/>
        </w:rPr>
        <w:t>。这些疾病是指因人的遗传物质（包括染色体以及位于</w:t>
      </w:r>
      <w:r>
        <w:rPr>
          <w:rFonts w:ascii="楷体" w:eastAsia="楷体"/>
          <w:spacing w:val="-5"/>
          <w:w w:val="95"/>
          <w:sz w:val="18"/>
        </w:rPr>
        <w:t>其中</w:t>
      </w:r>
    </w:p>
    <w:p>
      <w:pPr>
        <w:spacing w:before="3" w:line="242" w:lineRule="auto"/>
        <w:ind w:left="160" w:right="715" w:firstLine="0"/>
        <w:jc w:val="both"/>
        <w:rPr>
          <w:rFonts w:ascii="楷体" w:eastAsia="楷体"/>
          <w:sz w:val="18"/>
        </w:rPr>
      </w:pPr>
      <w:r>
        <w:rPr>
          <w:rFonts w:ascii="楷体" w:eastAsia="楷体"/>
          <w:spacing w:val="-2"/>
          <w:sz w:val="18"/>
        </w:rPr>
        <w:t>的基因）发生了对人体有害的改变而引起的，或因母亲怀孕期间受到内外环境中某些物理、化学和生物等因素的作用，使胎儿局部体细胞发育异常，导致婴儿出生时有关器官、系统在结构或功能上呈现异常。以世界卫生组织颁布的《疾病和有关健康问题的国际统计分类（ICD-10）》为准。</w:t>
      </w:r>
    </w:p>
    <w:p>
      <w:pPr>
        <w:spacing w:before="2" w:line="242" w:lineRule="auto"/>
        <w:ind w:left="160" w:right="719" w:firstLine="0"/>
        <w:jc w:val="both"/>
        <w:rPr>
          <w:rFonts w:ascii="楷体" w:eastAsia="楷体"/>
          <w:sz w:val="18"/>
        </w:rPr>
      </w:pPr>
      <w:r>
        <w:rPr>
          <w:rFonts w:ascii="楷体" w:eastAsia="楷体"/>
          <w:position w:val="9"/>
          <w:sz w:val="9"/>
        </w:rPr>
        <w:t>20</w:t>
      </w:r>
      <w:r>
        <w:rPr>
          <w:rFonts w:hint="eastAsia" w:ascii="楷体" w:eastAsia="楷体"/>
          <w:b/>
          <w:sz w:val="18"/>
        </w:rPr>
        <w:t>遗传性疾病</w:t>
      </w:r>
      <w:r>
        <w:rPr>
          <w:rFonts w:hint="eastAsia" w:ascii="楷体" w:eastAsia="楷体"/>
          <w:b/>
          <w:spacing w:val="-8"/>
          <w:sz w:val="18"/>
        </w:rPr>
        <w:t xml:space="preserve">： </w:t>
      </w:r>
      <w:r>
        <w:rPr>
          <w:rFonts w:ascii="楷体" w:eastAsia="楷体"/>
          <w:sz w:val="18"/>
        </w:rPr>
        <w:t>指生殖细胞或受精卵的遗传物质（染色体和基因）发生突变或畸变所引起的疾病，通常具有由亲代传至后代</w:t>
      </w:r>
      <w:r>
        <w:rPr>
          <w:rFonts w:ascii="楷体" w:eastAsia="楷体"/>
          <w:spacing w:val="-2"/>
          <w:sz w:val="18"/>
        </w:rPr>
        <w:t>的垂直传递的特征。</w:t>
      </w:r>
    </w:p>
    <w:p>
      <w:pPr>
        <w:spacing w:before="2" w:line="242" w:lineRule="auto"/>
        <w:ind w:left="160" w:right="714" w:firstLine="0"/>
        <w:jc w:val="both"/>
        <w:rPr>
          <w:rFonts w:ascii="楷体" w:eastAsia="楷体"/>
          <w:sz w:val="18"/>
        </w:rPr>
      </w:pPr>
      <w:r>
        <w:rPr>
          <w:rFonts w:ascii="楷体" w:eastAsia="楷体"/>
          <w:position w:val="9"/>
          <w:sz w:val="9"/>
        </w:rPr>
        <w:t>21</w:t>
      </w:r>
      <w:r>
        <w:rPr>
          <w:rFonts w:hint="eastAsia" w:ascii="楷体" w:eastAsia="楷体"/>
          <w:b/>
          <w:sz w:val="18"/>
        </w:rPr>
        <w:t>先天性畸形、变</w:t>
      </w:r>
      <w:r>
        <w:rPr>
          <w:rFonts w:hint="eastAsia" w:ascii="楷体" w:eastAsia="楷体"/>
          <w:b/>
          <w:spacing w:val="-2"/>
          <w:sz w:val="18"/>
        </w:rPr>
        <w:t xml:space="preserve">形或染色体异常： </w:t>
      </w:r>
      <w:r>
        <w:rPr>
          <w:rFonts w:ascii="楷体" w:eastAsia="楷体"/>
          <w:sz w:val="18"/>
        </w:rPr>
        <w:t>指被保险人出生时就具有的畸形、变形或染色体异常。先天性畸形、变形和染色体异常</w:t>
      </w:r>
      <w:r>
        <w:rPr>
          <w:rFonts w:ascii="楷体" w:eastAsia="楷体"/>
          <w:spacing w:val="-6"/>
          <w:sz w:val="18"/>
        </w:rPr>
        <w:t>依照世界卫生组织《疾病和有关健康问题的国际统计分类》</w:t>
      </w:r>
      <w:r>
        <w:rPr>
          <w:rFonts w:ascii="楷体" w:eastAsia="楷体"/>
          <w:spacing w:val="-2"/>
          <w:sz w:val="18"/>
        </w:rPr>
        <w:t>（ICD-10）确定。</w:t>
      </w:r>
    </w:p>
    <w:p>
      <w:pPr>
        <w:spacing w:before="0" w:line="242" w:lineRule="auto"/>
        <w:ind w:left="160" w:right="714" w:firstLine="0"/>
        <w:jc w:val="both"/>
        <w:rPr>
          <w:rFonts w:ascii="楷体" w:eastAsia="楷体"/>
          <w:sz w:val="18"/>
        </w:rPr>
      </w:pPr>
      <w:r>
        <w:rPr>
          <w:rFonts w:ascii="楷体" w:eastAsia="楷体"/>
          <w:w w:val="101"/>
          <w:position w:val="9"/>
          <w:sz w:val="9"/>
        </w:rPr>
        <w:t>22</w:t>
      </w:r>
      <w:r>
        <w:rPr>
          <w:rFonts w:hint="eastAsia" w:ascii="楷体" w:eastAsia="楷体"/>
          <w:b/>
          <w:w w:val="99"/>
          <w:sz w:val="18"/>
        </w:rPr>
        <w:t>感染艾滋病病毒或患艾滋病：</w:t>
      </w:r>
      <w:r>
        <w:rPr>
          <w:rFonts w:hint="eastAsia" w:ascii="楷体" w:eastAsia="楷体"/>
          <w:b/>
          <w:spacing w:val="-1"/>
          <w:sz w:val="18"/>
        </w:rPr>
        <w:t xml:space="preserve"> </w:t>
      </w:r>
      <w:r>
        <w:rPr>
          <w:rFonts w:ascii="楷体" w:eastAsia="楷体"/>
          <w:sz w:val="18"/>
        </w:rPr>
        <w:t xml:space="preserve">艾滋病毒指人类免疫缺陷病毒，英文缩写为 </w:t>
      </w:r>
      <w:r>
        <w:rPr>
          <w:rFonts w:ascii="楷体" w:eastAsia="楷体"/>
          <w:spacing w:val="1"/>
          <w:sz w:val="18"/>
        </w:rPr>
        <w:t>HIV</w:t>
      </w:r>
      <w:r>
        <w:rPr>
          <w:rFonts w:ascii="楷体" w:eastAsia="楷体"/>
          <w:spacing w:val="-1"/>
          <w:sz w:val="18"/>
        </w:rPr>
        <w:t>。艾滋病指人类免疫缺陷病毒引起的获得性</w:t>
      </w:r>
      <w:r>
        <w:rPr>
          <w:rFonts w:ascii="楷体" w:eastAsia="楷体"/>
          <w:spacing w:val="-10"/>
          <w:sz w:val="18"/>
        </w:rPr>
        <w:t xml:space="preserve">人类免疫缺陷综合征，英文缩写为 </w:t>
      </w:r>
      <w:r>
        <w:rPr>
          <w:rFonts w:ascii="楷体" w:eastAsia="楷体"/>
          <w:spacing w:val="1"/>
          <w:sz w:val="18"/>
        </w:rPr>
        <w:t>A</w:t>
      </w:r>
      <w:r>
        <w:rPr>
          <w:rFonts w:ascii="楷体" w:eastAsia="楷体"/>
          <w:spacing w:val="-2"/>
          <w:sz w:val="18"/>
        </w:rPr>
        <w:t>I</w:t>
      </w:r>
      <w:r>
        <w:rPr>
          <w:rFonts w:ascii="楷体" w:eastAsia="楷体"/>
          <w:spacing w:val="1"/>
          <w:sz w:val="18"/>
        </w:rPr>
        <w:t>D</w:t>
      </w:r>
      <w:r>
        <w:rPr>
          <w:rFonts w:ascii="楷体" w:eastAsia="楷体"/>
          <w:spacing w:val="2"/>
          <w:sz w:val="18"/>
        </w:rPr>
        <w:t>S</w:t>
      </w:r>
      <w:r>
        <w:rPr>
          <w:rFonts w:ascii="楷体" w:eastAsia="楷体"/>
          <w:spacing w:val="-13"/>
          <w:sz w:val="18"/>
        </w:rPr>
        <w:t>。在人体血液或其他样本中检测到艾滋病毒或其抗体呈阳性，没有出现临床症状征的，</w:t>
      </w:r>
      <w:r>
        <w:rPr>
          <w:rFonts w:ascii="楷体" w:eastAsia="楷体"/>
          <w:spacing w:val="-11"/>
          <w:sz w:val="18"/>
        </w:rPr>
        <w:t>为感染艾滋病病毒； 如果同时出现了明显临床症状或体征的，为患艾滋病。</w:t>
      </w:r>
    </w:p>
    <w:p>
      <w:pPr>
        <w:spacing w:after="0" w:line="242" w:lineRule="auto"/>
        <w:jc w:val="both"/>
        <w:rPr>
          <w:rFonts w:ascii="楷体" w:eastAsia="楷体"/>
          <w:sz w:val="18"/>
        </w:rPr>
        <w:sectPr>
          <w:pgSz w:w="11910" w:h="16840"/>
          <w:pgMar w:top="1440" w:right="360" w:bottom="280" w:left="920" w:header="720" w:footer="720" w:gutter="0"/>
          <w:cols w:space="720" w:num="1"/>
        </w:sectPr>
      </w:pPr>
    </w:p>
    <w:p>
      <w:pPr>
        <w:pStyle w:val="8"/>
        <w:numPr>
          <w:ilvl w:val="0"/>
          <w:numId w:val="5"/>
        </w:numPr>
        <w:tabs>
          <w:tab w:val="left" w:pos="3527"/>
        </w:tabs>
        <w:spacing w:before="84" w:after="0" w:line="240" w:lineRule="auto"/>
        <w:ind w:left="3526" w:right="4101" w:hanging="3527"/>
        <w:jc w:val="left"/>
        <w:rPr>
          <w:sz w:val="21"/>
        </w:rPr>
      </w:pPr>
      <w:r>
        <w:pict>
          <v:shape id="docshape12" o:spid="_x0000_s1037" o:spt="202" type="#_x0000_t202" style="position:absolute;left:0pt;margin-left:231.85pt;margin-top:4pt;height:13.7pt;width:305.85pt;mso-position-horizontal-relative:page;z-index:251665408;mso-width-relative:page;mso-height-relative:page;" fillcolor="#E4E4E4" filled="t" stroked="f" coordsize="21600,21600">
            <v:path/>
            <v:fill on="t" focussize="0,0"/>
            <v:stroke on="f" joinstyle="miter"/>
            <v:imagedata o:title=""/>
            <o:lock v:ext="edit"/>
            <v:textbox inset="0mm,0mm,0mm,0mm">
              <w:txbxContent>
                <w:p>
                  <w:pPr>
                    <w:spacing w:before="0" w:line="273" w:lineRule="exact"/>
                    <w:ind w:left="0" w:right="-15" w:firstLine="0"/>
                    <w:jc w:val="left"/>
                    <w:rPr>
                      <w:color w:val="000000"/>
                      <w:sz w:val="21"/>
                    </w:rPr>
                  </w:pPr>
                  <w:r>
                    <w:rPr>
                      <w:b/>
                      <w:color w:val="000000"/>
                      <w:spacing w:val="-2"/>
                      <w:sz w:val="21"/>
                    </w:rPr>
                    <w:t>战争</w:t>
                  </w:r>
                  <w:r>
                    <w:rPr>
                      <w:color w:val="000000"/>
                      <w:spacing w:val="-2"/>
                      <w:position w:val="11"/>
                      <w:sz w:val="11"/>
                    </w:rPr>
                    <w:t>23</w:t>
                  </w:r>
                  <w:r>
                    <w:rPr>
                      <w:color w:val="000000"/>
                      <w:spacing w:val="-2"/>
                      <w:sz w:val="21"/>
                    </w:rPr>
                    <w:t>、</w:t>
                  </w:r>
                  <w:r>
                    <w:rPr>
                      <w:b/>
                      <w:color w:val="000000"/>
                      <w:spacing w:val="-2"/>
                      <w:sz w:val="21"/>
                    </w:rPr>
                    <w:t>军事冲突</w:t>
                  </w:r>
                  <w:r>
                    <w:rPr>
                      <w:color w:val="000000"/>
                      <w:spacing w:val="-2"/>
                      <w:position w:val="11"/>
                      <w:sz w:val="11"/>
                    </w:rPr>
                    <w:t>24</w:t>
                  </w:r>
                  <w:r>
                    <w:rPr>
                      <w:color w:val="000000"/>
                      <w:spacing w:val="-2"/>
                      <w:sz w:val="21"/>
                    </w:rPr>
                    <w:t>、</w:t>
                  </w:r>
                  <w:r>
                    <w:rPr>
                      <w:b/>
                      <w:color w:val="000000"/>
                      <w:spacing w:val="-2"/>
                      <w:sz w:val="21"/>
                    </w:rPr>
                    <w:t>恐怖主义活动</w:t>
                  </w:r>
                  <w:r>
                    <w:rPr>
                      <w:color w:val="000000"/>
                      <w:spacing w:val="-2"/>
                      <w:position w:val="11"/>
                      <w:sz w:val="11"/>
                    </w:rPr>
                    <w:t>25</w:t>
                  </w:r>
                  <w:r>
                    <w:rPr>
                      <w:color w:val="000000"/>
                      <w:spacing w:val="-2"/>
                      <w:sz w:val="21"/>
                    </w:rPr>
                    <w:t>、</w:t>
                  </w:r>
                  <w:r>
                    <w:rPr>
                      <w:b/>
                      <w:color w:val="000000"/>
                      <w:spacing w:val="-2"/>
                      <w:sz w:val="21"/>
                    </w:rPr>
                    <w:t>暴乱</w:t>
                  </w:r>
                  <w:r>
                    <w:rPr>
                      <w:color w:val="000000"/>
                      <w:spacing w:val="-2"/>
                      <w:position w:val="11"/>
                      <w:sz w:val="11"/>
                    </w:rPr>
                    <w:t>26</w:t>
                  </w:r>
                  <w:r>
                    <w:rPr>
                      <w:color w:val="000000"/>
                      <w:spacing w:val="-3"/>
                      <w:sz w:val="21"/>
                    </w:rPr>
                    <w:t>或武装叛乱；核爆炸、</w:t>
                  </w:r>
                </w:p>
              </w:txbxContent>
            </v:textbox>
          </v:shape>
        </w:pict>
      </w:r>
      <w:r>
        <w:rPr>
          <w:spacing w:val="-5"/>
          <w:sz w:val="21"/>
        </w:rPr>
        <w:t>（8）</w:t>
      </w:r>
    </w:p>
    <w:p>
      <w:pPr>
        <w:pStyle w:val="4"/>
        <w:spacing w:before="43"/>
        <w:ind w:left="1326" w:right="2832"/>
        <w:jc w:val="center"/>
      </w:pPr>
      <w:r>
        <w:rPr>
          <w:color w:val="000000"/>
          <w:spacing w:val="-4"/>
          <w:shd w:val="clear" w:color="auto" w:fill="E4E4E4"/>
        </w:rPr>
        <w:t>核辐射或核污染；</w:t>
      </w:r>
    </w:p>
    <w:p>
      <w:pPr>
        <w:pStyle w:val="4"/>
        <w:rPr>
          <w:sz w:val="10"/>
        </w:rPr>
      </w:pPr>
    </w:p>
    <w:p>
      <w:pPr>
        <w:pStyle w:val="4"/>
        <w:spacing w:before="71"/>
        <w:ind w:left="2997"/>
      </w:pPr>
      <w:r>
        <w:rPr>
          <w:color w:val="000000"/>
          <w:spacing w:val="-2"/>
          <w:shd w:val="clear" w:color="auto" w:fill="E4E4E4"/>
        </w:rPr>
        <w:t>因第（9）至（15）</w:t>
      </w:r>
      <w:r>
        <w:rPr>
          <w:color w:val="000000"/>
          <w:spacing w:val="-3"/>
          <w:shd w:val="clear" w:color="auto" w:fill="E4E4E4"/>
        </w:rPr>
        <w:t>项情形之一直接或间接导致被保险人发生特定恶性肿瘤</w:t>
      </w:r>
    </w:p>
    <w:p>
      <w:pPr>
        <w:pStyle w:val="4"/>
        <w:spacing w:before="43" w:line="278" w:lineRule="auto"/>
        <w:ind w:left="2997" w:right="788"/>
      </w:pPr>
      <w:r>
        <w:rPr>
          <w:color w:val="000000"/>
          <w:spacing w:val="-2"/>
          <w:shd w:val="clear" w:color="auto" w:fill="E4E4E4"/>
        </w:rPr>
        <w:t>-重度需要治疗产生药品费用的，本公司不承担给付特药医疗费用保险金的</w:t>
      </w:r>
      <w:r>
        <w:rPr>
          <w:color w:val="000000"/>
          <w:spacing w:val="80"/>
          <w:w w:val="150"/>
          <w:shd w:val="clear" w:color="auto" w:fill="E4E4E4"/>
        </w:rPr>
        <w:t xml:space="preserve">                                     </w:t>
      </w:r>
      <w:r>
        <w:rPr>
          <w:color w:val="000000"/>
          <w:spacing w:val="-4"/>
          <w:shd w:val="clear" w:color="auto" w:fill="E4E4E4"/>
        </w:rPr>
        <w:t>责任：</w:t>
      </w:r>
    </w:p>
    <w:p>
      <w:pPr>
        <w:pStyle w:val="8"/>
        <w:numPr>
          <w:ilvl w:val="0"/>
          <w:numId w:val="5"/>
        </w:numPr>
        <w:tabs>
          <w:tab w:val="left" w:pos="3527"/>
        </w:tabs>
        <w:spacing w:before="156" w:after="0" w:line="240" w:lineRule="auto"/>
        <w:ind w:left="3526" w:right="0" w:hanging="530"/>
        <w:jc w:val="left"/>
        <w:rPr>
          <w:sz w:val="21"/>
        </w:rPr>
      </w:pPr>
      <w:r>
        <w:pict>
          <v:shape id="docshape13" o:spid="_x0000_s1038" o:spt="202" type="#_x0000_t202" style="position:absolute;left:0pt;margin-left:231.85pt;margin-top:7.6pt;height:13.7pt;width:305.85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被保险人在中华人民共和国领土以外的国家或地区以及香港特别行</w:t>
                  </w:r>
                </w:p>
              </w:txbxContent>
            </v:textbox>
          </v:shape>
        </w:pict>
      </w:r>
      <w:r>
        <w:rPr>
          <w:spacing w:val="-5"/>
          <w:sz w:val="21"/>
        </w:rPr>
        <w:t>（9）</w:t>
      </w:r>
    </w:p>
    <w:p>
      <w:pPr>
        <w:pStyle w:val="4"/>
        <w:spacing w:before="43"/>
        <w:ind w:left="3717"/>
      </w:pPr>
      <w:r>
        <w:rPr>
          <w:color w:val="000000"/>
          <w:spacing w:val="-3"/>
          <w:shd w:val="clear" w:color="auto" w:fill="E4E4E4"/>
        </w:rPr>
        <w:t>政区、澳门特别行政区、台湾地区接受治疗；</w:t>
      </w:r>
    </w:p>
    <w:p>
      <w:pPr>
        <w:pStyle w:val="4"/>
        <w:spacing w:before="12"/>
        <w:rPr>
          <w:sz w:val="9"/>
        </w:rPr>
      </w:pPr>
    </w:p>
    <w:p>
      <w:pPr>
        <w:pStyle w:val="8"/>
        <w:numPr>
          <w:ilvl w:val="0"/>
          <w:numId w:val="5"/>
        </w:numPr>
        <w:tabs>
          <w:tab w:val="left" w:pos="3633"/>
        </w:tabs>
        <w:spacing w:before="72" w:after="0" w:line="240" w:lineRule="auto"/>
        <w:ind w:left="3632" w:right="3995" w:hanging="3633"/>
        <w:jc w:val="left"/>
        <w:rPr>
          <w:sz w:val="21"/>
        </w:rPr>
      </w:pPr>
      <w:r>
        <w:pict>
          <v:shape id="docshape14" o:spid="_x0000_s1039" o:spt="202" type="#_x0000_t202" style="position:absolute;left:0pt;margin-left:231.85pt;margin-top:3.4pt;height:13.7pt;width:305.85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药品处方的开具与国家食品药品监督管理总局批准的该药品说明书</w:t>
                  </w:r>
                </w:p>
              </w:txbxContent>
            </v:textbox>
          </v:shape>
        </w:pict>
      </w:r>
      <w:r>
        <w:rPr>
          <w:spacing w:val="-4"/>
          <w:sz w:val="21"/>
        </w:rPr>
        <w:t>（10）</w:t>
      </w:r>
    </w:p>
    <w:p>
      <w:pPr>
        <w:pStyle w:val="4"/>
        <w:spacing w:before="42"/>
        <w:ind w:left="2345" w:right="2379"/>
        <w:jc w:val="center"/>
      </w:pPr>
      <w:r>
        <w:rPr>
          <w:color w:val="000000"/>
          <w:spacing w:val="-3"/>
          <w:shd w:val="clear" w:color="auto" w:fill="E4E4E4"/>
        </w:rPr>
        <w:t>中所列明的适应症用法用量不符；</w:t>
      </w:r>
    </w:p>
    <w:p>
      <w:pPr>
        <w:pStyle w:val="4"/>
        <w:rPr>
          <w:sz w:val="10"/>
        </w:rPr>
      </w:pPr>
    </w:p>
    <w:p>
      <w:pPr>
        <w:pStyle w:val="8"/>
        <w:numPr>
          <w:ilvl w:val="0"/>
          <w:numId w:val="5"/>
        </w:numPr>
        <w:tabs>
          <w:tab w:val="left" w:pos="3633"/>
        </w:tabs>
        <w:spacing w:before="71" w:after="0" w:line="240" w:lineRule="auto"/>
        <w:ind w:left="3632" w:right="3995" w:hanging="3633"/>
        <w:jc w:val="left"/>
        <w:rPr>
          <w:sz w:val="21"/>
        </w:rPr>
      </w:pPr>
      <w:r>
        <w:pict>
          <v:shape id="docshape15" o:spid="_x0000_s1040" o:spt="202" type="#_x0000_t202" style="position:absolute;left:0pt;margin-left:231.85pt;margin-top:3.35pt;height:13.7pt;width:305.85pt;mso-position-horizontal-relative:page;z-index:251663360;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未经科学或者医学认可的试验性或者研究性治疗及其产生的后果所</w:t>
                  </w:r>
                </w:p>
              </w:txbxContent>
            </v:textbox>
          </v:shape>
        </w:pict>
      </w:r>
      <w:r>
        <w:rPr>
          <w:spacing w:val="-4"/>
          <w:sz w:val="21"/>
        </w:rPr>
        <w:t>（11）</w:t>
      </w:r>
    </w:p>
    <w:p>
      <w:pPr>
        <w:pStyle w:val="4"/>
        <w:spacing w:before="43"/>
        <w:ind w:left="906" w:right="2832"/>
        <w:jc w:val="center"/>
      </w:pPr>
      <w:r>
        <w:rPr>
          <w:color w:val="000000"/>
          <w:spacing w:val="-4"/>
          <w:shd w:val="clear" w:color="auto" w:fill="E4E4E4"/>
        </w:rPr>
        <w:t>产生的费用；</w:t>
      </w:r>
    </w:p>
    <w:p>
      <w:pPr>
        <w:pStyle w:val="4"/>
        <w:rPr>
          <w:sz w:val="10"/>
        </w:rPr>
      </w:pPr>
    </w:p>
    <w:p>
      <w:pPr>
        <w:pStyle w:val="8"/>
        <w:numPr>
          <w:ilvl w:val="0"/>
          <w:numId w:val="5"/>
        </w:numPr>
        <w:tabs>
          <w:tab w:val="left" w:pos="3633"/>
        </w:tabs>
        <w:spacing w:before="72" w:after="0" w:line="240" w:lineRule="auto"/>
        <w:ind w:left="3632" w:right="3995" w:hanging="3633"/>
        <w:jc w:val="left"/>
        <w:rPr>
          <w:sz w:val="21"/>
        </w:rPr>
      </w:pPr>
      <w:r>
        <w:pict>
          <v:shape id="docshape16" o:spid="_x0000_s1041" o:spt="202" type="#_x0000_t202" style="position:absolute;left:0pt;margin-left:231.85pt;margin-top:3.4pt;height:13.7pt;width:305.85pt;mso-position-horizontal-relative:page;z-index:251663360;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未被治疗所在地权威部门批准的治疗，未获得治疗所在地政府许可</w:t>
                  </w:r>
                </w:p>
              </w:txbxContent>
            </v:textbox>
          </v:shape>
        </w:pict>
      </w:r>
      <w:r>
        <w:rPr>
          <w:spacing w:val="-4"/>
          <w:sz w:val="21"/>
        </w:rPr>
        <w:t>（12）</w:t>
      </w:r>
    </w:p>
    <w:p>
      <w:pPr>
        <w:pStyle w:val="4"/>
        <w:spacing w:before="43"/>
        <w:ind w:left="2166" w:right="2832"/>
        <w:jc w:val="center"/>
      </w:pPr>
      <w:r>
        <w:rPr>
          <w:color w:val="000000"/>
          <w:spacing w:val="-3"/>
          <w:shd w:val="clear" w:color="auto" w:fill="E4E4E4"/>
        </w:rPr>
        <w:t>或者批准的药品或者药物；</w:t>
      </w:r>
    </w:p>
    <w:p>
      <w:pPr>
        <w:pStyle w:val="4"/>
        <w:spacing w:before="11"/>
        <w:rPr>
          <w:sz w:val="9"/>
        </w:rPr>
      </w:pPr>
    </w:p>
    <w:p>
      <w:pPr>
        <w:pStyle w:val="8"/>
        <w:numPr>
          <w:ilvl w:val="0"/>
          <w:numId w:val="5"/>
        </w:numPr>
        <w:tabs>
          <w:tab w:val="left" w:pos="3633"/>
        </w:tabs>
        <w:spacing w:before="72" w:after="0" w:line="240" w:lineRule="auto"/>
        <w:ind w:left="3632" w:right="3995" w:hanging="3633"/>
        <w:jc w:val="left"/>
        <w:rPr>
          <w:sz w:val="21"/>
        </w:rPr>
      </w:pPr>
      <w:r>
        <w:pict>
          <v:shape id="docshape17" o:spid="_x0000_s1042" o:spt="202" type="#_x0000_t202" style="position:absolute;left:0pt;margin-left:231.85pt;margin-top:3.4pt;height:13.7pt;width:305.85pt;mso-position-horizontal-relative:page;z-index:251662336;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在本公司指定或认可的医疗机构或本公司认可的药店发生的特药医</w:t>
                  </w:r>
                </w:p>
              </w:txbxContent>
            </v:textbox>
          </v:shape>
        </w:pict>
      </w:r>
      <w:r>
        <w:rPr>
          <w:spacing w:val="-4"/>
          <w:sz w:val="21"/>
        </w:rPr>
        <w:t>（13）</w:t>
      </w:r>
    </w:p>
    <w:p>
      <w:pPr>
        <w:pStyle w:val="4"/>
        <w:spacing w:before="43"/>
        <w:ind w:left="2345" w:right="2799"/>
        <w:jc w:val="center"/>
      </w:pPr>
      <w:r>
        <w:rPr>
          <w:color w:val="000000"/>
          <w:spacing w:val="-3"/>
          <w:shd w:val="clear" w:color="auto" w:fill="E4E4E4"/>
        </w:rPr>
        <w:t>疗费用以外的其他医疗费用；</w:t>
      </w:r>
    </w:p>
    <w:p>
      <w:pPr>
        <w:pStyle w:val="4"/>
        <w:spacing w:before="12"/>
        <w:rPr>
          <w:sz w:val="9"/>
        </w:rPr>
      </w:pPr>
    </w:p>
    <w:p>
      <w:pPr>
        <w:pStyle w:val="8"/>
        <w:numPr>
          <w:ilvl w:val="0"/>
          <w:numId w:val="5"/>
        </w:numPr>
        <w:tabs>
          <w:tab w:val="left" w:pos="3633"/>
        </w:tabs>
        <w:spacing w:before="72" w:after="0" w:line="240" w:lineRule="auto"/>
        <w:ind w:left="3632" w:right="0" w:hanging="636"/>
        <w:jc w:val="left"/>
        <w:rPr>
          <w:sz w:val="21"/>
        </w:rPr>
      </w:pPr>
      <w:r>
        <w:pict>
          <v:shape id="docshape18" o:spid="_x0000_s1043" o:spt="202" type="#_x0000_t202" style="position:absolute;left:0pt;margin-left:231.85pt;margin-top:3.4pt;height:13.7pt;width:305.85pt;mso-position-horizontal-relative:page;z-index:251662336;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在非本公司指定或认可的医疗机构，或在非本公司认可的药店中购</w:t>
                  </w:r>
                </w:p>
              </w:txbxContent>
            </v:textbox>
          </v:shape>
        </w:pict>
      </w:r>
      <w:r>
        <w:rPr>
          <w:spacing w:val="-4"/>
          <w:sz w:val="21"/>
        </w:rPr>
        <w:t>（14）</w:t>
      </w:r>
    </w:p>
    <w:p>
      <w:pPr>
        <w:pStyle w:val="4"/>
        <w:spacing w:before="43" w:line="278" w:lineRule="auto"/>
        <w:ind w:left="3717" w:right="786"/>
      </w:pPr>
      <w:r>
        <w:rPr>
          <w:color w:val="000000"/>
          <w:spacing w:val="-2"/>
          <w:shd w:val="clear" w:color="auto" w:fill="E4E4E4"/>
        </w:rPr>
        <w:t>买的药品，或在非本公司指定或认可的医疗机构发生的任何药品费</w:t>
      </w:r>
      <w:r>
        <w:rPr>
          <w:color w:val="000000"/>
          <w:spacing w:val="80"/>
          <w:w w:val="150"/>
          <w:shd w:val="clear" w:color="auto" w:fill="E4E4E4"/>
        </w:rPr>
        <w:t xml:space="preserve">                                 </w:t>
      </w:r>
      <w:r>
        <w:rPr>
          <w:color w:val="000000"/>
          <w:spacing w:val="-6"/>
          <w:shd w:val="clear" w:color="auto" w:fill="E4E4E4"/>
        </w:rPr>
        <w:t>用；</w:t>
      </w:r>
    </w:p>
    <w:p>
      <w:pPr>
        <w:pStyle w:val="8"/>
        <w:numPr>
          <w:ilvl w:val="0"/>
          <w:numId w:val="5"/>
        </w:numPr>
        <w:tabs>
          <w:tab w:val="left" w:pos="3718"/>
        </w:tabs>
        <w:spacing w:before="155" w:after="0" w:line="240" w:lineRule="auto"/>
        <w:ind w:left="3717" w:right="0" w:hanging="721"/>
        <w:jc w:val="left"/>
        <w:rPr>
          <w:sz w:val="21"/>
        </w:rPr>
      </w:pPr>
      <w:r>
        <w:rPr>
          <w:color w:val="000000"/>
          <w:spacing w:val="-3"/>
          <w:sz w:val="21"/>
          <w:shd w:val="clear" w:color="auto" w:fill="E4E4E4"/>
        </w:rPr>
        <w:t>满足条件的药品费用之外的任何其他医疗费用。</w:t>
      </w:r>
    </w:p>
    <w:p>
      <w:pPr>
        <w:pStyle w:val="4"/>
        <w:rPr>
          <w:sz w:val="10"/>
        </w:rPr>
      </w:pPr>
    </w:p>
    <w:p>
      <w:pPr>
        <w:pStyle w:val="4"/>
        <w:spacing w:before="71" w:line="273" w:lineRule="auto"/>
        <w:ind w:left="2997" w:right="787"/>
        <w:jc w:val="both"/>
      </w:pPr>
      <w:r>
        <w:rPr>
          <w:color w:val="000000"/>
          <w:spacing w:val="-2"/>
          <w:shd w:val="clear" w:color="auto" w:fill="E4E4E4"/>
        </w:rPr>
        <w:t>发生上述第（1）项情形导致被保险人被确诊发生本合同列明的一种或多种</w:t>
      </w:r>
      <w:r>
        <w:rPr>
          <w:color w:val="000000"/>
          <w:spacing w:val="40"/>
          <w:shd w:val="clear" w:color="auto" w:fill="E4E4E4"/>
        </w:rPr>
        <w:t xml:space="preserve"> </w:t>
      </w:r>
      <w:r>
        <w:rPr>
          <w:color w:val="000000"/>
          <w:spacing w:val="-2"/>
          <w:shd w:val="clear" w:color="auto" w:fill="E4E4E4"/>
        </w:rPr>
        <w:t>特定恶性肿瘤-重度的，本合同效力终止，本公司向被保险人退还本合同终止时的</w:t>
      </w:r>
      <w:r>
        <w:rPr>
          <w:b/>
          <w:color w:val="000000"/>
          <w:spacing w:val="-2"/>
          <w:shd w:val="clear" w:color="auto" w:fill="E4E4E4"/>
        </w:rPr>
        <w:t>未满期净保险费</w:t>
      </w:r>
      <w:r>
        <w:rPr>
          <w:color w:val="000000"/>
          <w:spacing w:val="-2"/>
          <w:position w:val="11"/>
          <w:sz w:val="11"/>
        </w:rPr>
        <w:t>27</w:t>
      </w:r>
      <w:r>
        <w:rPr>
          <w:color w:val="000000"/>
          <w:spacing w:val="-2"/>
          <w:shd w:val="clear" w:color="auto" w:fill="E4E4E4"/>
        </w:rPr>
        <w:t>。</w:t>
      </w:r>
    </w:p>
    <w:p>
      <w:pPr>
        <w:pStyle w:val="4"/>
        <w:spacing w:before="162" w:line="278" w:lineRule="auto"/>
        <w:ind w:left="2997" w:right="788"/>
        <w:jc w:val="both"/>
      </w:pPr>
      <w:r>
        <w:rPr>
          <w:color w:val="000000"/>
          <w:spacing w:val="-2"/>
          <w:shd w:val="clear" w:color="auto" w:fill="E4E4E4"/>
        </w:rPr>
        <w:t>发生上述第（2）项至第（15）项情形之一导致被保险人被确诊发生本合同</w:t>
      </w:r>
      <w:r>
        <w:rPr>
          <w:color w:val="000000"/>
          <w:spacing w:val="40"/>
          <w:shd w:val="clear" w:color="auto" w:fill="E4E4E4"/>
        </w:rPr>
        <w:t xml:space="preserve"> </w:t>
      </w:r>
      <w:r>
        <w:rPr>
          <w:color w:val="000000"/>
          <w:spacing w:val="-2"/>
          <w:shd w:val="clear" w:color="auto" w:fill="E4E4E4"/>
        </w:rPr>
        <w:t>列明的一种或多种特定恶性肿瘤-重度的，本合同终止，本公司向投保人退还未满期净保险费。</w:t>
      </w:r>
    </w:p>
    <w:p>
      <w:pPr>
        <w:pStyle w:val="4"/>
        <w:spacing w:before="4"/>
        <w:rPr>
          <w:sz w:val="24"/>
        </w:rPr>
      </w:pPr>
    </w:p>
    <w:p>
      <w:pPr>
        <w:pStyle w:val="8"/>
        <w:numPr>
          <w:ilvl w:val="2"/>
          <w:numId w:val="2"/>
        </w:numPr>
        <w:tabs>
          <w:tab w:val="left" w:pos="1229"/>
        </w:tabs>
        <w:spacing w:before="1" w:after="0" w:line="278" w:lineRule="auto"/>
        <w:ind w:left="2997" w:right="785" w:hanging="2518"/>
        <w:jc w:val="both"/>
        <w:rPr>
          <w:sz w:val="21"/>
        </w:rPr>
      </w:pPr>
      <w:r>
        <w:rPr>
          <w:b/>
          <w:spacing w:val="43"/>
          <w:sz w:val="21"/>
        </w:rPr>
        <w:t xml:space="preserve">其他免责条款 </w:t>
      </w:r>
      <w:r>
        <w:rPr>
          <w:color w:val="000000"/>
          <w:sz w:val="21"/>
          <w:shd w:val="clear" w:color="auto" w:fill="E4E4E4"/>
        </w:rPr>
        <w:t>除“2.4.1</w:t>
      </w:r>
      <w:r>
        <w:rPr>
          <w:color w:val="000000"/>
          <w:spacing w:val="-6"/>
          <w:sz w:val="21"/>
          <w:shd w:val="clear" w:color="auto" w:fill="E4E4E4"/>
        </w:rPr>
        <w:t xml:space="preserve"> 一般责任免除”外，本合同还有一些免除本公司责任的条款，详</w:t>
      </w:r>
      <w:r>
        <w:rPr>
          <w:color w:val="000000"/>
          <w:spacing w:val="40"/>
          <w:sz w:val="21"/>
          <w:shd w:val="clear" w:color="auto" w:fill="E4E4E4"/>
        </w:rPr>
        <w:t xml:space="preserve"> </w:t>
      </w:r>
      <w:r>
        <w:rPr>
          <w:color w:val="000000"/>
          <w:w w:val="95"/>
          <w:sz w:val="21"/>
          <w:shd w:val="clear" w:color="auto" w:fill="E4E4E4"/>
        </w:rPr>
        <w:t>见</w:t>
      </w:r>
      <w:r>
        <w:rPr>
          <w:color w:val="000000"/>
          <w:spacing w:val="80"/>
          <w:sz w:val="21"/>
          <w:shd w:val="clear" w:color="auto" w:fill="E4E4E4"/>
        </w:rPr>
        <w:t xml:space="preserve"> </w:t>
      </w:r>
      <w:r>
        <w:rPr>
          <w:color w:val="000000"/>
          <w:w w:val="95"/>
          <w:sz w:val="21"/>
          <w:shd w:val="clear" w:color="auto" w:fill="E4E4E4"/>
        </w:rPr>
        <w:t>“2.3</w:t>
      </w:r>
      <w:r>
        <w:rPr>
          <w:color w:val="000000"/>
          <w:spacing w:val="-28"/>
          <w:w w:val="95"/>
          <w:sz w:val="21"/>
          <w:shd w:val="clear" w:color="auto" w:fill="E4E4E4"/>
        </w:rPr>
        <w:t xml:space="preserve"> 保险责任”、“</w:t>
      </w:r>
      <w:r>
        <w:rPr>
          <w:color w:val="000000"/>
          <w:w w:val="95"/>
          <w:sz w:val="21"/>
          <w:shd w:val="clear" w:color="auto" w:fill="E4E4E4"/>
        </w:rPr>
        <w:t>3.2 保险事故通知</w:t>
      </w:r>
      <w:r>
        <w:rPr>
          <w:color w:val="000000"/>
          <w:spacing w:val="-72"/>
          <w:w w:val="95"/>
          <w:sz w:val="21"/>
          <w:shd w:val="clear" w:color="auto" w:fill="E4E4E4"/>
        </w:rPr>
        <w:t>”、“</w:t>
      </w:r>
      <w:r>
        <w:rPr>
          <w:color w:val="000000"/>
          <w:w w:val="95"/>
          <w:sz w:val="21"/>
          <w:shd w:val="clear" w:color="auto" w:fill="E4E4E4"/>
        </w:rPr>
        <w:t>3.3 保险金</w:t>
      </w:r>
      <w:r>
        <w:rPr>
          <w:color w:val="000000"/>
          <w:spacing w:val="-44"/>
          <w:w w:val="95"/>
          <w:sz w:val="21"/>
          <w:shd w:val="clear" w:color="auto" w:fill="E4E4E4"/>
        </w:rPr>
        <w:t>申请”、“</w:t>
      </w:r>
      <w:r>
        <w:rPr>
          <w:color w:val="000000"/>
          <w:w w:val="95"/>
          <w:sz w:val="21"/>
          <w:shd w:val="clear" w:color="auto" w:fill="E4E4E4"/>
        </w:rPr>
        <w:t>6.1 明确</w:t>
      </w:r>
      <w:r>
        <w:rPr>
          <w:color w:val="000000"/>
          <w:spacing w:val="-19"/>
          <w:sz w:val="21"/>
          <w:shd w:val="clear" w:color="auto" w:fill="E4E4E4"/>
        </w:rPr>
        <w:t>说明与如实告知”</w:t>
      </w:r>
      <w:r>
        <w:rPr>
          <w:color w:val="000000"/>
          <w:spacing w:val="-89"/>
          <w:sz w:val="21"/>
          <w:shd w:val="clear" w:color="auto" w:fill="E4E4E4"/>
        </w:rPr>
        <w:t>、“</w:t>
      </w:r>
      <w:r>
        <w:rPr>
          <w:color w:val="000000"/>
          <w:spacing w:val="-6"/>
          <w:sz w:val="21"/>
          <w:shd w:val="clear" w:color="auto" w:fill="E4E4E4"/>
        </w:rPr>
        <w:t>6.3</w:t>
      </w:r>
      <w:r>
        <w:rPr>
          <w:color w:val="000000"/>
          <w:spacing w:val="-26"/>
          <w:sz w:val="21"/>
          <w:shd w:val="clear" w:color="auto" w:fill="E4E4E4"/>
        </w:rPr>
        <w:t xml:space="preserve"> 年龄错误”</w:t>
      </w:r>
      <w:r>
        <w:rPr>
          <w:color w:val="000000"/>
          <w:spacing w:val="-23"/>
          <w:sz w:val="21"/>
          <w:shd w:val="clear" w:color="auto" w:fill="E4E4E4"/>
        </w:rPr>
        <w:t>、“附表一”中背景突出显示的内容</w:t>
      </w:r>
      <w:r>
        <w:rPr>
          <w:color w:val="000000"/>
          <w:spacing w:val="-58"/>
          <w:sz w:val="21"/>
          <w:shd w:val="clear" w:color="auto" w:fill="E4E4E4"/>
        </w:rPr>
        <w:t>；“</w:t>
      </w:r>
      <w:r>
        <w:rPr>
          <w:color w:val="000000"/>
          <w:spacing w:val="28"/>
          <w:sz w:val="21"/>
          <w:shd w:val="clear" w:color="auto" w:fill="E4E4E4"/>
        </w:rPr>
        <w:t>2.3</w:t>
      </w:r>
      <w:r>
        <w:rPr>
          <w:color w:val="000000"/>
          <w:spacing w:val="-2"/>
          <w:sz w:val="21"/>
          <w:shd w:val="clear" w:color="auto" w:fill="E4E4E4"/>
        </w:rPr>
        <w:t>保险责任”中脚注背景突出显示的内容。</w:t>
      </w:r>
    </w:p>
    <w:p>
      <w:pPr>
        <w:pStyle w:val="4"/>
        <w:rPr>
          <w:sz w:val="20"/>
        </w:rPr>
      </w:pPr>
    </w:p>
    <w:p>
      <w:pPr>
        <w:pStyle w:val="4"/>
        <w:rPr>
          <w:sz w:val="20"/>
        </w:rPr>
      </w:pPr>
    </w:p>
    <w:p>
      <w:pPr>
        <w:pStyle w:val="4"/>
        <w:spacing w:before="6"/>
      </w:pPr>
      <w:r>
        <w:drawing>
          <wp:anchor distT="0" distB="0" distL="0" distR="0" simplePos="0" relativeHeight="251659264" behindDoc="0" locked="0" layoutInCell="1" allowOverlap="1">
            <wp:simplePos x="0" y="0"/>
            <wp:positionH relativeFrom="page">
              <wp:posOffset>685800</wp:posOffset>
            </wp:positionH>
            <wp:positionV relativeFrom="paragraph">
              <wp:posOffset>189865</wp:posOffset>
            </wp:positionV>
            <wp:extent cx="1829435" cy="6350"/>
            <wp:effectExtent l="0" t="0" r="0" b="0"/>
            <wp:wrapTopAndBottom/>
            <wp:docPr id="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png"/>
                    <pic:cNvPicPr>
                      <a:picLocks noChangeAspect="1"/>
                    </pic:cNvPicPr>
                  </pic:nvPicPr>
                  <pic:blipFill>
                    <a:blip r:embed="rId9" cstate="print"/>
                    <a:stretch>
                      <a:fillRect/>
                    </a:stretch>
                  </pic:blipFill>
                  <pic:spPr>
                    <a:xfrm>
                      <a:off x="0" y="0"/>
                      <a:ext cx="1829511" cy="6095"/>
                    </a:xfrm>
                    <a:prstGeom prst="rect">
                      <a:avLst/>
                    </a:prstGeom>
                  </pic:spPr>
                </pic:pic>
              </a:graphicData>
            </a:graphic>
          </wp:anchor>
        </w:drawing>
      </w:r>
    </w:p>
    <w:p>
      <w:pPr>
        <w:spacing w:before="91"/>
        <w:ind w:left="160" w:right="0" w:firstLine="0"/>
        <w:jc w:val="left"/>
        <w:rPr>
          <w:rFonts w:ascii="楷体" w:eastAsia="楷体"/>
          <w:sz w:val="18"/>
        </w:rPr>
      </w:pPr>
      <w:r>
        <w:rPr>
          <w:rFonts w:ascii="楷体" w:eastAsia="楷体"/>
          <w:w w:val="95"/>
          <w:position w:val="9"/>
          <w:sz w:val="9"/>
        </w:rPr>
        <w:t>23</w:t>
      </w:r>
      <w:r>
        <w:rPr>
          <w:rFonts w:hint="eastAsia" w:ascii="楷体" w:eastAsia="楷体"/>
          <w:b/>
          <w:w w:val="95"/>
          <w:sz w:val="18"/>
        </w:rPr>
        <w:t>战争</w:t>
      </w:r>
      <w:r>
        <w:rPr>
          <w:rFonts w:ascii="楷体" w:eastAsia="楷体"/>
          <w:w w:val="95"/>
          <w:sz w:val="18"/>
        </w:rPr>
        <w:t>：指国家与国家、民族与民族、政治集团与政治集团之间为了一定的政治、经济目的而进行的武装斗争，以政府宣</w:t>
      </w:r>
      <w:r>
        <w:rPr>
          <w:rFonts w:ascii="楷体" w:eastAsia="楷体"/>
          <w:spacing w:val="-5"/>
          <w:w w:val="95"/>
          <w:sz w:val="18"/>
        </w:rPr>
        <w:t>布为</w:t>
      </w:r>
    </w:p>
    <w:p>
      <w:pPr>
        <w:spacing w:before="4"/>
        <w:ind w:left="160" w:right="0" w:firstLine="0"/>
        <w:jc w:val="left"/>
        <w:rPr>
          <w:rFonts w:ascii="楷体" w:eastAsia="楷体"/>
          <w:sz w:val="18"/>
        </w:rPr>
      </w:pPr>
      <w:r>
        <w:rPr>
          <w:rFonts w:ascii="楷体" w:eastAsia="楷体"/>
          <w:spacing w:val="-5"/>
          <w:sz w:val="18"/>
        </w:rPr>
        <w:t>准。</w:t>
      </w:r>
    </w:p>
    <w:p>
      <w:pPr>
        <w:spacing w:before="3"/>
        <w:ind w:left="160" w:right="0" w:firstLine="0"/>
        <w:jc w:val="left"/>
        <w:rPr>
          <w:rFonts w:ascii="楷体" w:eastAsia="楷体"/>
          <w:sz w:val="18"/>
        </w:rPr>
      </w:pPr>
      <w:r>
        <w:rPr>
          <w:rFonts w:ascii="楷体" w:eastAsia="楷体"/>
          <w:w w:val="95"/>
          <w:position w:val="9"/>
          <w:sz w:val="9"/>
        </w:rPr>
        <w:t>24</w:t>
      </w:r>
      <w:r>
        <w:rPr>
          <w:rFonts w:hint="eastAsia" w:ascii="楷体" w:eastAsia="楷体"/>
          <w:b/>
          <w:w w:val="95"/>
          <w:sz w:val="18"/>
        </w:rPr>
        <w:t>军事冲突</w:t>
      </w:r>
      <w:r>
        <w:rPr>
          <w:rFonts w:ascii="楷体" w:eastAsia="楷体"/>
          <w:w w:val="95"/>
          <w:sz w:val="18"/>
        </w:rPr>
        <w:t>：指国家或民族之间在一定范围内的武装对抗，以政府宣布为准</w:t>
      </w:r>
      <w:r>
        <w:rPr>
          <w:rFonts w:ascii="楷体" w:eastAsia="楷体"/>
          <w:spacing w:val="-10"/>
          <w:w w:val="95"/>
          <w:sz w:val="18"/>
        </w:rPr>
        <w:t>。</w:t>
      </w:r>
    </w:p>
    <w:p>
      <w:pPr>
        <w:spacing w:before="2"/>
        <w:ind w:left="160" w:right="0" w:firstLine="0"/>
        <w:jc w:val="left"/>
        <w:rPr>
          <w:rFonts w:ascii="楷体" w:eastAsia="楷体"/>
          <w:sz w:val="18"/>
        </w:rPr>
      </w:pPr>
      <w:r>
        <w:rPr>
          <w:rFonts w:ascii="楷体" w:eastAsia="楷体"/>
          <w:w w:val="95"/>
          <w:position w:val="9"/>
          <w:sz w:val="9"/>
        </w:rPr>
        <w:t>25</w:t>
      </w:r>
      <w:r>
        <w:rPr>
          <w:rFonts w:hint="eastAsia" w:ascii="楷体" w:eastAsia="楷体"/>
          <w:b/>
          <w:w w:val="95"/>
          <w:sz w:val="18"/>
        </w:rPr>
        <w:t>恐怖主义活动</w:t>
      </w:r>
      <w:r>
        <w:rPr>
          <w:rFonts w:ascii="楷体" w:eastAsia="楷体"/>
          <w:w w:val="95"/>
          <w:sz w:val="18"/>
        </w:rPr>
        <w:t>：指以制造社会恐慌、危害公共安全或胁迫国家机关、国际组织为目的，采取暴力、破坏、恐吓等手段，造</w:t>
      </w:r>
      <w:r>
        <w:rPr>
          <w:rFonts w:ascii="楷体" w:eastAsia="楷体"/>
          <w:spacing w:val="-10"/>
          <w:w w:val="95"/>
          <w:sz w:val="18"/>
        </w:rPr>
        <w:t>成</w:t>
      </w:r>
    </w:p>
    <w:p>
      <w:pPr>
        <w:spacing w:before="4" w:line="242" w:lineRule="auto"/>
        <w:ind w:left="160" w:right="718" w:firstLine="0"/>
        <w:jc w:val="left"/>
        <w:rPr>
          <w:rFonts w:ascii="楷体" w:eastAsia="楷体"/>
          <w:sz w:val="18"/>
        </w:rPr>
      </w:pPr>
      <w:r>
        <w:rPr>
          <w:rFonts w:ascii="楷体" w:eastAsia="楷体"/>
          <w:spacing w:val="-2"/>
          <w:sz w:val="18"/>
        </w:rPr>
        <w:t>或意图造成人员伤亡、重大财产损失、公共设施损坏、社会秩序混乱等严重社会危害的行为，以及煽动、资助或以其他方式协助实施上述活动的行为。</w:t>
      </w:r>
    </w:p>
    <w:p>
      <w:pPr>
        <w:spacing w:before="0" w:line="230" w:lineRule="exact"/>
        <w:ind w:left="160" w:right="0" w:firstLine="0"/>
        <w:jc w:val="left"/>
        <w:rPr>
          <w:rFonts w:ascii="楷体" w:eastAsia="楷体"/>
          <w:sz w:val="18"/>
        </w:rPr>
      </w:pPr>
      <w:r>
        <w:rPr>
          <w:rFonts w:ascii="楷体" w:eastAsia="楷体"/>
          <w:w w:val="95"/>
          <w:position w:val="9"/>
          <w:sz w:val="9"/>
        </w:rPr>
        <w:t>26</w:t>
      </w:r>
      <w:r>
        <w:rPr>
          <w:rFonts w:hint="eastAsia" w:ascii="楷体" w:eastAsia="楷体"/>
          <w:b/>
          <w:w w:val="95"/>
          <w:sz w:val="18"/>
        </w:rPr>
        <w:t>暴乱</w:t>
      </w:r>
      <w:r>
        <w:rPr>
          <w:rFonts w:ascii="楷体" w:eastAsia="楷体"/>
          <w:w w:val="95"/>
          <w:sz w:val="18"/>
        </w:rPr>
        <w:t>：指破坏社会秩序的武装骚动，以政府宣布为准</w:t>
      </w:r>
      <w:r>
        <w:rPr>
          <w:rFonts w:ascii="楷体" w:eastAsia="楷体"/>
          <w:spacing w:val="-10"/>
          <w:w w:val="95"/>
          <w:sz w:val="18"/>
        </w:rPr>
        <w:t>。</w:t>
      </w:r>
    </w:p>
    <w:p>
      <w:pPr>
        <w:spacing w:before="3"/>
        <w:ind w:left="160" w:right="0" w:firstLine="0"/>
        <w:jc w:val="left"/>
        <w:rPr>
          <w:rFonts w:ascii="楷体" w:hAnsi="楷体" w:eastAsia="楷体"/>
          <w:sz w:val="18"/>
        </w:rPr>
      </w:pPr>
      <w:r>
        <w:rPr>
          <w:w w:val="95"/>
          <w:position w:val="9"/>
          <w:sz w:val="9"/>
        </w:rPr>
        <w:t>27</w:t>
      </w:r>
      <w:r>
        <w:rPr>
          <w:rFonts w:hint="eastAsia" w:ascii="楷体" w:hAnsi="楷体" w:eastAsia="楷体"/>
          <w:b/>
          <w:w w:val="95"/>
          <w:sz w:val="18"/>
        </w:rPr>
        <w:t>未满期净保费：</w:t>
      </w:r>
      <w:r>
        <w:rPr>
          <w:rFonts w:ascii="楷体" w:hAnsi="楷体" w:eastAsia="楷体"/>
          <w:w w:val="95"/>
          <w:sz w:val="18"/>
        </w:rPr>
        <w:t>指“（保险费-手续费）*（1-（保单当期已经过天数/当期已交保险费对应的保险期间</w:t>
      </w:r>
      <w:r>
        <w:rPr>
          <w:rFonts w:ascii="楷体" w:hAnsi="楷体" w:eastAsia="楷体"/>
          <w:spacing w:val="-89"/>
          <w:w w:val="95"/>
          <w:sz w:val="18"/>
        </w:rPr>
        <w:t>））”</w:t>
      </w:r>
      <w:r>
        <w:rPr>
          <w:rFonts w:ascii="楷体" w:hAnsi="楷体" w:eastAsia="楷体"/>
          <w:w w:val="95"/>
          <w:sz w:val="18"/>
        </w:rPr>
        <w:t>。经过天数不足</w:t>
      </w:r>
      <w:r>
        <w:rPr>
          <w:rFonts w:ascii="楷体" w:hAnsi="楷体" w:eastAsia="楷体"/>
          <w:spacing w:val="-10"/>
          <w:w w:val="95"/>
          <w:sz w:val="18"/>
        </w:rPr>
        <w:t>一</w:t>
      </w:r>
    </w:p>
    <w:p>
      <w:pPr>
        <w:spacing w:before="4"/>
        <w:ind w:left="160" w:right="0" w:firstLine="0"/>
        <w:jc w:val="left"/>
        <w:rPr>
          <w:rFonts w:ascii="楷体" w:eastAsia="楷体"/>
          <w:sz w:val="18"/>
        </w:rPr>
      </w:pPr>
      <w:r>
        <w:rPr>
          <w:rFonts w:ascii="楷体" w:eastAsia="楷体"/>
          <w:spacing w:val="-2"/>
          <w:sz w:val="18"/>
        </w:rPr>
        <w:t xml:space="preserve">天的按一天计算。手续费指本公司对本合同平均承担的营业费用及佣金的总和，等于保险费的 </w:t>
      </w:r>
      <w:r>
        <w:rPr>
          <w:rFonts w:ascii="楷体" w:eastAsia="楷体"/>
          <w:sz w:val="18"/>
        </w:rPr>
        <w:t>35</w:t>
      </w:r>
      <w:r>
        <w:rPr>
          <w:rFonts w:ascii="楷体" w:eastAsia="楷体"/>
          <w:spacing w:val="-5"/>
          <w:sz w:val="18"/>
        </w:rPr>
        <w:t>%。</w:t>
      </w:r>
    </w:p>
    <w:p>
      <w:pPr>
        <w:spacing w:after="0"/>
        <w:jc w:val="left"/>
        <w:rPr>
          <w:rFonts w:ascii="楷体" w:eastAsia="楷体"/>
          <w:sz w:val="18"/>
        </w:rPr>
        <w:sectPr>
          <w:pgSz w:w="11910" w:h="16840"/>
          <w:pgMar w:top="1360" w:right="360" w:bottom="280" w:left="920" w:header="720" w:footer="720" w:gutter="0"/>
          <w:cols w:space="720" w:num="1"/>
        </w:sectPr>
      </w:pPr>
    </w:p>
    <w:p>
      <w:pPr>
        <w:pStyle w:val="3"/>
        <w:numPr>
          <w:ilvl w:val="0"/>
          <w:numId w:val="2"/>
        </w:numPr>
        <w:tabs>
          <w:tab w:val="left" w:pos="1228"/>
          <w:tab w:val="left" w:pos="1229"/>
        </w:tabs>
        <w:spacing w:before="56" w:after="0" w:line="240" w:lineRule="auto"/>
        <w:ind w:left="1228" w:right="0" w:hanging="962"/>
        <w:jc w:val="left"/>
        <w:rPr>
          <w:sz w:val="40"/>
        </w:rPr>
      </w:pPr>
      <w:r>
        <w:rPr>
          <w:w w:val="95"/>
        </w:rPr>
        <w:t>保险金申</w:t>
      </w:r>
      <w:r>
        <w:rPr>
          <w:spacing w:val="-10"/>
          <w:w w:val="95"/>
        </w:rPr>
        <w:t>领</w:t>
      </w:r>
    </w:p>
    <w:p>
      <w:pPr>
        <w:pStyle w:val="4"/>
        <w:spacing w:before="6"/>
        <w:rPr>
          <w:b/>
          <w:sz w:val="14"/>
        </w:rPr>
      </w:pPr>
      <w:r>
        <w:drawing>
          <wp:anchor distT="0" distB="0" distL="0" distR="0" simplePos="0" relativeHeight="251659264" behindDoc="0" locked="0" layoutInCell="1" allowOverlap="1">
            <wp:simplePos x="0" y="0"/>
            <wp:positionH relativeFrom="page">
              <wp:posOffset>685800</wp:posOffset>
            </wp:positionH>
            <wp:positionV relativeFrom="paragraph">
              <wp:posOffset>132715</wp:posOffset>
            </wp:positionV>
            <wp:extent cx="6211570" cy="12065"/>
            <wp:effectExtent l="0" t="0" r="0" b="0"/>
            <wp:wrapTopAndBottom/>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a:picLocks noChangeAspect="1"/>
                    </pic:cNvPicPr>
                  </pic:nvPicPr>
                  <pic:blipFill>
                    <a:blip r:embed="rId15" cstate="print"/>
                    <a:stretch>
                      <a:fillRect/>
                    </a:stretch>
                  </pic:blipFill>
                  <pic:spPr>
                    <a:xfrm>
                      <a:off x="0" y="0"/>
                      <a:ext cx="6211378" cy="12192"/>
                    </a:xfrm>
                    <a:prstGeom prst="rect">
                      <a:avLst/>
                    </a:prstGeom>
                  </pic:spPr>
                </pic:pic>
              </a:graphicData>
            </a:graphic>
          </wp:anchor>
        </w:drawing>
      </w:r>
    </w:p>
    <w:p>
      <w:pPr>
        <w:pStyle w:val="8"/>
        <w:numPr>
          <w:ilvl w:val="1"/>
          <w:numId w:val="2"/>
        </w:numPr>
        <w:tabs>
          <w:tab w:val="left" w:pos="1228"/>
          <w:tab w:val="left" w:pos="1229"/>
          <w:tab w:val="left" w:pos="2997"/>
        </w:tabs>
        <w:spacing w:before="178" w:after="0" w:line="240" w:lineRule="auto"/>
        <w:ind w:left="1228" w:right="0" w:hanging="962"/>
        <w:jc w:val="left"/>
        <w:rPr>
          <w:sz w:val="21"/>
        </w:rPr>
      </w:pPr>
      <w:r>
        <w:rPr>
          <w:b/>
          <w:sz w:val="21"/>
        </w:rPr>
        <w:t>受益</w:t>
      </w:r>
      <w:r>
        <w:rPr>
          <w:b/>
          <w:spacing w:val="-10"/>
          <w:sz w:val="21"/>
        </w:rPr>
        <w:t>人</w:t>
      </w:r>
      <w:r>
        <w:rPr>
          <w:b/>
          <w:sz w:val="21"/>
        </w:rPr>
        <w:tab/>
      </w:r>
      <w:r>
        <w:rPr>
          <w:spacing w:val="-2"/>
          <w:sz w:val="21"/>
        </w:rPr>
        <w:t>除另有约定外，保险金受益人为被保险人本人</w:t>
      </w:r>
      <w:r>
        <w:rPr>
          <w:spacing w:val="-10"/>
          <w:sz w:val="21"/>
        </w:rPr>
        <w:t>。</w:t>
      </w:r>
    </w:p>
    <w:p>
      <w:pPr>
        <w:pStyle w:val="4"/>
        <w:spacing w:before="2"/>
        <w:rPr>
          <w:sz w:val="22"/>
        </w:rPr>
      </w:pPr>
    </w:p>
    <w:p>
      <w:pPr>
        <w:pStyle w:val="8"/>
        <w:numPr>
          <w:ilvl w:val="1"/>
          <w:numId w:val="2"/>
        </w:numPr>
        <w:tabs>
          <w:tab w:val="left" w:pos="1228"/>
          <w:tab w:val="left" w:pos="1229"/>
          <w:tab w:val="left" w:pos="2997"/>
        </w:tabs>
        <w:spacing w:before="72" w:after="0" w:line="240" w:lineRule="auto"/>
        <w:ind w:left="1228" w:right="0" w:hanging="962"/>
        <w:jc w:val="left"/>
        <w:rPr>
          <w:sz w:val="21"/>
        </w:rPr>
      </w:pPr>
      <w:r>
        <w:rPr>
          <w:b/>
          <w:sz w:val="21"/>
        </w:rPr>
        <w:t>保险事故通</w:t>
      </w:r>
      <w:r>
        <w:rPr>
          <w:b/>
          <w:spacing w:val="-10"/>
          <w:sz w:val="21"/>
        </w:rPr>
        <w:t>知</w:t>
      </w:r>
      <w:r>
        <w:rPr>
          <w:b/>
          <w:sz w:val="21"/>
        </w:rPr>
        <w:tab/>
      </w:r>
      <w:r>
        <w:rPr>
          <w:color w:val="000000"/>
          <w:spacing w:val="-2"/>
          <w:sz w:val="21"/>
          <w:shd w:val="clear" w:color="auto" w:fill="E4E4E4"/>
        </w:rPr>
        <w:t>请投保人、被保险人或受益人在知道保险事故发生后</w:t>
      </w:r>
      <w:r>
        <w:rPr>
          <w:color w:val="000000"/>
          <w:spacing w:val="-40"/>
          <w:sz w:val="21"/>
          <w:shd w:val="clear" w:color="auto" w:fill="E4E4E4"/>
        </w:rPr>
        <w:t xml:space="preserve"> </w:t>
      </w:r>
      <w:r>
        <w:rPr>
          <w:color w:val="000000"/>
          <w:spacing w:val="-2"/>
          <w:sz w:val="21"/>
          <w:shd w:val="clear" w:color="auto" w:fill="E4E4E4"/>
        </w:rPr>
        <w:t>10</w:t>
      </w:r>
      <w:r>
        <w:rPr>
          <w:color w:val="000000"/>
          <w:spacing w:val="-42"/>
          <w:sz w:val="21"/>
          <w:shd w:val="clear" w:color="auto" w:fill="E4E4E4"/>
        </w:rPr>
        <w:t xml:space="preserve"> </w:t>
      </w:r>
      <w:r>
        <w:rPr>
          <w:color w:val="000000"/>
          <w:spacing w:val="-2"/>
          <w:sz w:val="21"/>
          <w:shd w:val="clear" w:color="auto" w:fill="E4E4E4"/>
        </w:rPr>
        <w:t>日内通知本公司</w:t>
      </w:r>
      <w:r>
        <w:rPr>
          <w:color w:val="000000"/>
          <w:spacing w:val="-10"/>
          <w:sz w:val="21"/>
          <w:shd w:val="clear" w:color="auto" w:fill="E4E4E4"/>
        </w:rPr>
        <w:t>。</w:t>
      </w:r>
    </w:p>
    <w:p>
      <w:pPr>
        <w:pStyle w:val="4"/>
        <w:spacing w:before="11"/>
        <w:rPr>
          <w:sz w:val="9"/>
        </w:rPr>
      </w:pPr>
    </w:p>
    <w:p>
      <w:pPr>
        <w:pStyle w:val="4"/>
        <w:spacing w:before="72" w:line="278" w:lineRule="auto"/>
        <w:ind w:left="2997" w:right="785"/>
        <w:jc w:val="both"/>
      </w:pPr>
      <w:r>
        <w:rPr>
          <w:color w:val="000000"/>
          <w:spacing w:val="-11"/>
          <w:shd w:val="clear" w:color="auto" w:fill="E4E4E4"/>
        </w:rPr>
        <w:t>若投保人、被保险人或受益人故意或因重大过失未及时通知，致使保险事故</w:t>
      </w:r>
      <w:r>
        <w:rPr>
          <w:color w:val="000000"/>
          <w:spacing w:val="40"/>
          <w:shd w:val="clear" w:color="auto" w:fill="E4E4E4"/>
        </w:rPr>
        <w:t xml:space="preserve"> </w:t>
      </w:r>
      <w:r>
        <w:rPr>
          <w:color w:val="000000"/>
          <w:spacing w:val="-4"/>
          <w:shd w:val="clear" w:color="auto" w:fill="E4E4E4"/>
        </w:rPr>
        <w:t>的性质、原因、损失程度等难以确定的，本公司对无法确定的部分，不承担</w:t>
      </w:r>
      <w:r>
        <w:rPr>
          <w:color w:val="000000"/>
          <w:spacing w:val="-13"/>
          <w:shd w:val="clear" w:color="auto" w:fill="E4E4E4"/>
        </w:rPr>
        <w:t>给付保险金的责任，</w:t>
      </w:r>
      <w:r>
        <w:rPr>
          <w:color w:val="000000"/>
          <w:spacing w:val="-2"/>
        </w:rPr>
        <w:t>但本公司通过其他途径已经及时知道或应当及时知道保</w:t>
      </w:r>
      <w:r>
        <w:rPr>
          <w:color w:val="000000"/>
          <w:spacing w:val="-6"/>
        </w:rPr>
        <w:t>险事故发生或虽未及时通知但不影响本公司确定保险事故的性质、原因、损</w:t>
      </w:r>
      <w:r>
        <w:rPr>
          <w:color w:val="000000"/>
          <w:spacing w:val="-2"/>
        </w:rPr>
        <w:t>失程度的除外。</w:t>
      </w:r>
    </w:p>
    <w:p>
      <w:pPr>
        <w:pStyle w:val="4"/>
        <w:spacing w:before="5"/>
        <w:rPr>
          <w:sz w:val="24"/>
        </w:rPr>
      </w:pPr>
    </w:p>
    <w:p>
      <w:pPr>
        <w:pStyle w:val="8"/>
        <w:numPr>
          <w:ilvl w:val="1"/>
          <w:numId w:val="2"/>
        </w:numPr>
        <w:tabs>
          <w:tab w:val="left" w:pos="1229"/>
        </w:tabs>
        <w:spacing w:before="0" w:after="0" w:line="278" w:lineRule="auto"/>
        <w:ind w:left="2997" w:right="786" w:hanging="2730"/>
        <w:jc w:val="both"/>
        <w:rPr>
          <w:sz w:val="21"/>
        </w:rPr>
      </w:pPr>
      <w:r>
        <w:rPr>
          <w:b/>
          <w:spacing w:val="97"/>
          <w:sz w:val="21"/>
        </w:rPr>
        <w:t xml:space="preserve">保险金申请 </w:t>
      </w:r>
      <w:r>
        <w:rPr>
          <w:spacing w:val="-6"/>
          <w:sz w:val="21"/>
        </w:rPr>
        <w:t>受益人向本公司申请给付保险金时，应当填写保险金给付申请书，并以书面</w:t>
      </w:r>
      <w:r>
        <w:rPr>
          <w:spacing w:val="-2"/>
          <w:sz w:val="21"/>
        </w:rPr>
        <w:t>形式提交下列证明和资料。</w:t>
      </w:r>
      <w:r>
        <w:rPr>
          <w:color w:val="000000"/>
          <w:spacing w:val="-6"/>
          <w:sz w:val="21"/>
          <w:shd w:val="clear" w:color="auto" w:fill="E4E4E4"/>
        </w:rPr>
        <w:t>受益人未能提供有关证明和资料，导致本公司无</w:t>
      </w:r>
      <w:r>
        <w:rPr>
          <w:color w:val="000000"/>
          <w:spacing w:val="13125"/>
          <w:sz w:val="21"/>
          <w:shd w:val="clear" w:color="auto" w:fill="E4E4E4"/>
        </w:rPr>
        <w:t xml:space="preserve"> </w:t>
      </w:r>
      <w:r>
        <w:rPr>
          <w:color w:val="000000"/>
          <w:spacing w:val="-4"/>
          <w:sz w:val="21"/>
          <w:shd w:val="clear" w:color="auto" w:fill="E4E4E4"/>
        </w:rPr>
        <w:t>法核实事故的性质、原因、损失程度的，本公司对无法核实部分不承担给付</w:t>
      </w:r>
      <w:r>
        <w:rPr>
          <w:color w:val="000000"/>
          <w:spacing w:val="-2"/>
          <w:sz w:val="21"/>
          <w:shd w:val="clear" w:color="auto" w:fill="E4E4E4"/>
        </w:rPr>
        <w:t>保险金的责任。</w:t>
      </w:r>
    </w:p>
    <w:p>
      <w:pPr>
        <w:pStyle w:val="4"/>
        <w:spacing w:before="9"/>
        <w:rPr>
          <w:sz w:val="18"/>
        </w:rPr>
      </w:pPr>
    </w:p>
    <w:p>
      <w:pPr>
        <w:spacing w:after="0"/>
        <w:rPr>
          <w:sz w:val="18"/>
        </w:rPr>
        <w:sectPr>
          <w:pgSz w:w="11910" w:h="16840"/>
          <w:pgMar w:top="1580" w:right="360" w:bottom="280" w:left="920" w:header="720" w:footer="720" w:gutter="0"/>
          <w:cols w:space="720" w:num="1"/>
        </w:sectPr>
      </w:pPr>
    </w:p>
    <w:p>
      <w:pPr>
        <w:pStyle w:val="8"/>
        <w:numPr>
          <w:ilvl w:val="2"/>
          <w:numId w:val="2"/>
        </w:numPr>
        <w:tabs>
          <w:tab w:val="left" w:pos="1228"/>
          <w:tab w:val="left" w:pos="1229"/>
        </w:tabs>
        <w:spacing w:before="72" w:after="0" w:line="240" w:lineRule="auto"/>
        <w:ind w:left="1228" w:right="0" w:hanging="962"/>
        <w:jc w:val="left"/>
        <w:rPr>
          <w:b/>
          <w:sz w:val="21"/>
        </w:rPr>
      </w:pPr>
      <w:r>
        <w:rPr>
          <w:b/>
          <w:spacing w:val="-2"/>
          <w:sz w:val="21"/>
        </w:rPr>
        <w:t>特药医疗费用保</w:t>
      </w:r>
    </w:p>
    <w:p>
      <w:pPr>
        <w:spacing w:before="43"/>
        <w:ind w:left="1228" w:right="0" w:firstLine="0"/>
        <w:jc w:val="left"/>
        <w:rPr>
          <w:b/>
          <w:sz w:val="21"/>
        </w:rPr>
      </w:pPr>
      <w:r>
        <w:rPr>
          <w:b/>
          <w:spacing w:val="-3"/>
          <w:sz w:val="21"/>
        </w:rPr>
        <w:t>险金申请</w:t>
      </w:r>
    </w:p>
    <w:p>
      <w:pPr>
        <w:pStyle w:val="4"/>
        <w:spacing w:before="72" w:line="278" w:lineRule="auto"/>
        <w:ind w:left="250" w:right="785"/>
      </w:pPr>
      <w:r>
        <w:br w:type="column"/>
      </w:r>
      <w:r>
        <w:rPr>
          <w:spacing w:val="-7"/>
        </w:rPr>
        <w:t>受益人需作为申请人填写保险金给付申请书，并向本公司提供下列证明和资</w:t>
      </w:r>
      <w:r>
        <w:rPr>
          <w:spacing w:val="-6"/>
        </w:rPr>
        <w:t>料：</w:t>
      </w:r>
    </w:p>
    <w:p>
      <w:pPr>
        <w:pStyle w:val="8"/>
        <w:numPr>
          <w:ilvl w:val="0"/>
          <w:numId w:val="6"/>
        </w:numPr>
        <w:tabs>
          <w:tab w:val="left" w:pos="971"/>
        </w:tabs>
        <w:spacing w:before="155" w:after="0" w:line="240" w:lineRule="auto"/>
        <w:ind w:left="971" w:right="0" w:hanging="721"/>
        <w:jc w:val="left"/>
        <w:rPr>
          <w:sz w:val="21"/>
        </w:rPr>
      </w:pPr>
      <w:r>
        <w:rPr>
          <w:spacing w:val="-3"/>
          <w:sz w:val="21"/>
        </w:rPr>
        <w:t>受益人有效身份证件；</w:t>
      </w:r>
    </w:p>
    <w:p>
      <w:pPr>
        <w:pStyle w:val="4"/>
        <w:spacing w:before="7"/>
        <w:rPr>
          <w:sz w:val="15"/>
        </w:rPr>
      </w:pPr>
    </w:p>
    <w:p>
      <w:pPr>
        <w:pStyle w:val="8"/>
        <w:numPr>
          <w:ilvl w:val="0"/>
          <w:numId w:val="6"/>
        </w:numPr>
        <w:tabs>
          <w:tab w:val="left" w:pos="971"/>
        </w:tabs>
        <w:spacing w:before="0" w:after="0" w:line="278" w:lineRule="auto"/>
        <w:ind w:left="970" w:right="785" w:hanging="721"/>
        <w:jc w:val="both"/>
        <w:rPr>
          <w:sz w:val="21"/>
        </w:rPr>
      </w:pPr>
      <w:r>
        <w:rPr>
          <w:spacing w:val="-2"/>
          <w:sz w:val="21"/>
        </w:rPr>
        <w:t>本公司指定或认可的医疗机构出具的被保险人诊断证明（病理诊断或加盖医务处公章或具有同等效力公章的临床诊断</w:t>
      </w:r>
      <w:r>
        <w:rPr>
          <w:spacing w:val="-108"/>
          <w:sz w:val="21"/>
        </w:rPr>
        <w:t>）</w:t>
      </w:r>
      <w:r>
        <w:rPr>
          <w:spacing w:val="-14"/>
          <w:sz w:val="21"/>
        </w:rPr>
        <w:t>、本公司认可的</w:t>
      </w:r>
      <w:r>
        <w:rPr>
          <w:spacing w:val="-2"/>
          <w:sz w:val="21"/>
        </w:rPr>
        <w:t>药店出具的药品费用收据或者发票；</w:t>
      </w:r>
    </w:p>
    <w:p>
      <w:pPr>
        <w:pStyle w:val="8"/>
        <w:numPr>
          <w:ilvl w:val="0"/>
          <w:numId w:val="6"/>
        </w:numPr>
        <w:tabs>
          <w:tab w:val="left" w:pos="971"/>
        </w:tabs>
        <w:spacing w:before="156" w:after="0" w:line="278" w:lineRule="auto"/>
        <w:ind w:left="970" w:right="786" w:hanging="721"/>
        <w:jc w:val="both"/>
        <w:rPr>
          <w:sz w:val="21"/>
        </w:rPr>
      </w:pPr>
      <w:r>
        <w:rPr>
          <w:spacing w:val="-2"/>
          <w:sz w:val="21"/>
        </w:rPr>
        <w:t>本公司认可的药店出具的药品费用清单、本公司指定或认可的医疗机构出具的被保险人的处方、门诊及住院病历、入出院记录以及与诊断证明相关的病理显微镜检查、血液检验及其他科学方法检验报</w:t>
      </w:r>
      <w:r>
        <w:rPr>
          <w:spacing w:val="-6"/>
          <w:sz w:val="21"/>
        </w:rPr>
        <w:t>告；</w:t>
      </w:r>
    </w:p>
    <w:p>
      <w:pPr>
        <w:pStyle w:val="8"/>
        <w:numPr>
          <w:ilvl w:val="0"/>
          <w:numId w:val="6"/>
        </w:numPr>
        <w:tabs>
          <w:tab w:val="left" w:pos="971"/>
        </w:tabs>
        <w:spacing w:before="156" w:after="0" w:line="240" w:lineRule="auto"/>
        <w:ind w:left="971" w:right="0" w:hanging="721"/>
        <w:jc w:val="both"/>
        <w:rPr>
          <w:sz w:val="21"/>
        </w:rPr>
      </w:pPr>
      <w:r>
        <w:rPr>
          <w:spacing w:val="-3"/>
          <w:sz w:val="21"/>
        </w:rPr>
        <w:t>如果已从其他途经获得了补偿，则须提供从其他途径报销的凭证；</w:t>
      </w:r>
    </w:p>
    <w:p>
      <w:pPr>
        <w:pStyle w:val="4"/>
        <w:spacing w:before="6"/>
        <w:rPr>
          <w:sz w:val="15"/>
        </w:rPr>
      </w:pPr>
    </w:p>
    <w:p>
      <w:pPr>
        <w:pStyle w:val="8"/>
        <w:numPr>
          <w:ilvl w:val="0"/>
          <w:numId w:val="6"/>
        </w:numPr>
        <w:tabs>
          <w:tab w:val="left" w:pos="971"/>
        </w:tabs>
        <w:spacing w:before="1" w:after="0" w:line="240" w:lineRule="auto"/>
        <w:ind w:left="971" w:right="0" w:hanging="721"/>
        <w:jc w:val="both"/>
        <w:rPr>
          <w:sz w:val="21"/>
        </w:rPr>
      </w:pPr>
      <w:r>
        <w:rPr>
          <w:spacing w:val="-3"/>
          <w:sz w:val="21"/>
        </w:rPr>
        <w:t>所能提供的与确认事故的性质、原因等有关的其他证明和资料。</w:t>
      </w:r>
    </w:p>
    <w:p>
      <w:pPr>
        <w:spacing w:after="0" w:line="240" w:lineRule="auto"/>
        <w:jc w:val="both"/>
        <w:rPr>
          <w:sz w:val="21"/>
        </w:rPr>
        <w:sectPr>
          <w:type w:val="continuous"/>
          <w:pgSz w:w="11910" w:h="16840"/>
          <w:pgMar w:top="480" w:right="360" w:bottom="280" w:left="920" w:header="720" w:footer="720" w:gutter="0"/>
          <w:cols w:equalWidth="0" w:num="2">
            <w:col w:w="2707" w:space="40"/>
            <w:col w:w="7883"/>
          </w:cols>
        </w:sectPr>
      </w:pPr>
    </w:p>
    <w:p>
      <w:pPr>
        <w:pStyle w:val="4"/>
        <w:spacing w:before="11"/>
        <w:rPr>
          <w:sz w:val="9"/>
        </w:rPr>
      </w:pPr>
    </w:p>
    <w:p>
      <w:pPr>
        <w:pStyle w:val="4"/>
        <w:spacing w:before="72" w:line="278" w:lineRule="auto"/>
        <w:ind w:left="2997" w:right="786"/>
      </w:pPr>
      <w:r>
        <w:rPr>
          <w:color w:val="000000"/>
          <w:spacing w:val="-6"/>
          <w:shd w:val="clear" w:color="auto" w:fill="E4E4E4"/>
        </w:rPr>
        <w:t>对于本公司已经与本公司认可的药店直接结算的药品费用，本公司不再接受</w:t>
      </w:r>
      <w:r>
        <w:rPr>
          <w:color w:val="000000"/>
          <w:spacing w:val="80"/>
          <w:w w:val="150"/>
          <w:shd w:val="clear" w:color="auto" w:fill="E4E4E4"/>
        </w:rPr>
        <w:t xml:space="preserve">                                     </w:t>
      </w:r>
      <w:r>
        <w:rPr>
          <w:color w:val="000000"/>
          <w:spacing w:val="-2"/>
          <w:shd w:val="clear" w:color="auto" w:fill="E4E4E4"/>
        </w:rPr>
        <w:t>受益人对该部分保险金的申请。</w:t>
      </w:r>
    </w:p>
    <w:p>
      <w:pPr>
        <w:pStyle w:val="4"/>
        <w:spacing w:before="156" w:line="278" w:lineRule="auto"/>
        <w:ind w:left="2997" w:right="786"/>
      </w:pPr>
      <w:r>
        <w:rPr>
          <w:spacing w:val="-10"/>
        </w:rPr>
        <w:t>以上证明和资料不完整的，本公司将及时一次性通知补充提供有关的证明和</w:t>
      </w:r>
      <w:r>
        <w:rPr>
          <w:spacing w:val="-4"/>
        </w:rPr>
        <w:t>资料。</w:t>
      </w:r>
    </w:p>
    <w:p>
      <w:pPr>
        <w:pStyle w:val="4"/>
        <w:spacing w:before="10"/>
        <w:rPr>
          <w:sz w:val="18"/>
        </w:rPr>
      </w:pPr>
    </w:p>
    <w:p>
      <w:pPr>
        <w:spacing w:after="0"/>
        <w:rPr>
          <w:sz w:val="18"/>
        </w:rPr>
        <w:sectPr>
          <w:type w:val="continuous"/>
          <w:pgSz w:w="11910" w:h="16840"/>
          <w:pgMar w:top="480" w:right="360" w:bottom="280" w:left="920" w:header="720" w:footer="720" w:gutter="0"/>
          <w:cols w:space="720" w:num="1"/>
        </w:sectPr>
      </w:pPr>
    </w:p>
    <w:p>
      <w:pPr>
        <w:pStyle w:val="8"/>
        <w:numPr>
          <w:ilvl w:val="2"/>
          <w:numId w:val="2"/>
        </w:numPr>
        <w:tabs>
          <w:tab w:val="left" w:pos="1228"/>
          <w:tab w:val="left" w:pos="1229"/>
        </w:tabs>
        <w:spacing w:before="72" w:after="0" w:line="240" w:lineRule="auto"/>
        <w:ind w:left="1228" w:right="0" w:hanging="962"/>
        <w:jc w:val="left"/>
        <w:rPr>
          <w:b/>
          <w:sz w:val="21"/>
        </w:rPr>
      </w:pPr>
      <w:r>
        <w:rPr>
          <w:b/>
          <w:spacing w:val="-2"/>
          <w:sz w:val="21"/>
        </w:rPr>
        <w:t>特定恶性肿瘤-</w:t>
      </w:r>
    </w:p>
    <w:p>
      <w:pPr>
        <w:spacing w:before="43" w:line="278" w:lineRule="auto"/>
        <w:ind w:left="1228" w:right="0" w:firstLine="0"/>
        <w:jc w:val="left"/>
        <w:rPr>
          <w:b/>
          <w:sz w:val="21"/>
        </w:rPr>
      </w:pPr>
      <w:r>
        <w:rPr>
          <w:b/>
          <w:spacing w:val="-2"/>
          <w:sz w:val="21"/>
        </w:rPr>
        <w:t>重度疾病保险金</w:t>
      </w:r>
      <w:r>
        <w:rPr>
          <w:b/>
          <w:spacing w:val="-6"/>
          <w:sz w:val="21"/>
        </w:rPr>
        <w:t>申请</w:t>
      </w:r>
    </w:p>
    <w:p>
      <w:pPr>
        <w:pStyle w:val="4"/>
        <w:spacing w:before="72" w:line="278" w:lineRule="auto"/>
        <w:ind w:left="250" w:right="785"/>
      </w:pPr>
      <w:r>
        <w:br w:type="column"/>
      </w:r>
      <w:r>
        <w:rPr>
          <w:spacing w:val="-7"/>
        </w:rPr>
        <w:t>受益人需作为申请人填写保险金给付申请书，并向本公司提供下列证明和资</w:t>
      </w:r>
      <w:r>
        <w:rPr>
          <w:spacing w:val="-6"/>
        </w:rPr>
        <w:t>料：</w:t>
      </w:r>
    </w:p>
    <w:p>
      <w:pPr>
        <w:spacing w:after="0" w:line="278" w:lineRule="auto"/>
        <w:sectPr>
          <w:type w:val="continuous"/>
          <w:pgSz w:w="11910" w:h="16840"/>
          <w:pgMar w:top="480" w:right="360" w:bottom="280" w:left="920" w:header="720" w:footer="720" w:gutter="0"/>
          <w:cols w:equalWidth="0" w:num="2">
            <w:col w:w="2707" w:space="40"/>
            <w:col w:w="7883"/>
          </w:cols>
        </w:sectPr>
      </w:pPr>
    </w:p>
    <w:p>
      <w:pPr>
        <w:pStyle w:val="8"/>
        <w:numPr>
          <w:ilvl w:val="0"/>
          <w:numId w:val="7"/>
        </w:numPr>
        <w:tabs>
          <w:tab w:val="left" w:pos="3718"/>
        </w:tabs>
        <w:spacing w:before="74" w:after="0" w:line="240" w:lineRule="auto"/>
        <w:ind w:left="3717" w:right="0" w:hanging="721"/>
        <w:jc w:val="left"/>
        <w:rPr>
          <w:sz w:val="21"/>
        </w:rPr>
      </w:pPr>
      <w:r>
        <w:rPr>
          <w:spacing w:val="-2"/>
          <w:sz w:val="21"/>
        </w:rPr>
        <w:t>受益人</w:t>
      </w:r>
      <w:r>
        <w:rPr>
          <w:b/>
          <w:spacing w:val="-2"/>
          <w:sz w:val="21"/>
        </w:rPr>
        <w:t>有效身份证件</w:t>
      </w:r>
      <w:r>
        <w:rPr>
          <w:b/>
          <w:spacing w:val="-5"/>
          <w:position w:val="11"/>
          <w:sz w:val="11"/>
        </w:rPr>
        <w:t>28</w:t>
      </w:r>
      <w:r>
        <w:rPr>
          <w:spacing w:val="-5"/>
          <w:sz w:val="21"/>
        </w:rPr>
        <w:t>；</w:t>
      </w:r>
    </w:p>
    <w:p>
      <w:pPr>
        <w:pStyle w:val="4"/>
        <w:spacing w:before="7"/>
        <w:rPr>
          <w:sz w:val="15"/>
        </w:rPr>
      </w:pPr>
    </w:p>
    <w:p>
      <w:pPr>
        <w:pStyle w:val="8"/>
        <w:numPr>
          <w:ilvl w:val="0"/>
          <w:numId w:val="7"/>
        </w:numPr>
        <w:tabs>
          <w:tab w:val="left" w:pos="3718"/>
        </w:tabs>
        <w:spacing w:before="0" w:after="0" w:line="278" w:lineRule="auto"/>
        <w:ind w:left="3717" w:right="786" w:hanging="721"/>
        <w:jc w:val="left"/>
        <w:rPr>
          <w:sz w:val="21"/>
        </w:rPr>
      </w:pPr>
      <w:r>
        <w:rPr>
          <w:spacing w:val="-2"/>
          <w:sz w:val="21"/>
        </w:rPr>
        <w:t>本公司指定或认可的医疗机构出具的附有病历、病理显微镜检查、血液检验及其他科学方法检验报告的疾病诊断证明书；</w:t>
      </w:r>
    </w:p>
    <w:p>
      <w:pPr>
        <w:pStyle w:val="8"/>
        <w:numPr>
          <w:ilvl w:val="0"/>
          <w:numId w:val="7"/>
        </w:numPr>
        <w:tabs>
          <w:tab w:val="left" w:pos="3718"/>
        </w:tabs>
        <w:spacing w:before="156" w:after="0" w:line="278" w:lineRule="auto"/>
        <w:ind w:left="3717" w:right="786" w:hanging="721"/>
        <w:jc w:val="left"/>
        <w:rPr>
          <w:sz w:val="21"/>
        </w:rPr>
      </w:pPr>
      <w:r>
        <w:rPr>
          <w:spacing w:val="-2"/>
          <w:sz w:val="21"/>
        </w:rPr>
        <w:t>所能提供的与确认保险事故的性质、原因、伤害程度等有关的其他证明和资料。</w:t>
      </w:r>
    </w:p>
    <w:p>
      <w:pPr>
        <w:pStyle w:val="4"/>
        <w:spacing w:before="156" w:line="278" w:lineRule="auto"/>
        <w:ind w:left="2997" w:right="786"/>
      </w:pPr>
      <w:r>
        <w:rPr>
          <w:spacing w:val="-10"/>
        </w:rPr>
        <w:t>以上证明和资料不完整的，本公司将及时一次性通知补充提供有关的证明和</w:t>
      </w:r>
      <w:r>
        <w:rPr>
          <w:spacing w:val="-4"/>
        </w:rPr>
        <w:t>资料。</w:t>
      </w:r>
    </w:p>
    <w:p>
      <w:pPr>
        <w:pStyle w:val="4"/>
        <w:spacing w:before="4"/>
        <w:rPr>
          <w:sz w:val="24"/>
        </w:rPr>
      </w:pPr>
    </w:p>
    <w:p>
      <w:pPr>
        <w:pStyle w:val="8"/>
        <w:numPr>
          <w:ilvl w:val="1"/>
          <w:numId w:val="2"/>
        </w:numPr>
        <w:tabs>
          <w:tab w:val="left" w:pos="1229"/>
        </w:tabs>
        <w:spacing w:before="0" w:after="0" w:line="278" w:lineRule="auto"/>
        <w:ind w:left="2997" w:right="786" w:hanging="2730"/>
        <w:jc w:val="both"/>
        <w:rPr>
          <w:sz w:val="21"/>
        </w:rPr>
      </w:pPr>
      <w:r>
        <w:rPr>
          <w:b/>
          <w:sz w:val="21"/>
        </w:rPr>
        <w:t xml:space="preserve">代理申请及其他 </w:t>
      </w:r>
      <w:r>
        <w:rPr>
          <w:spacing w:val="-6"/>
          <w:sz w:val="21"/>
        </w:rPr>
        <w:t>受益人委托他人申请给付保险金的，还应当提供受托人身份证明、授权委托</w:t>
      </w:r>
      <w:r>
        <w:rPr>
          <w:spacing w:val="-4"/>
          <w:sz w:val="21"/>
        </w:rPr>
        <w:t>书。保险金作为遗产时，还应当提供可证明合法继承权的相关权利文件。受</w:t>
      </w:r>
      <w:r>
        <w:rPr>
          <w:spacing w:val="-7"/>
          <w:sz w:val="21"/>
        </w:rPr>
        <w:t>益人或继承人为未成年人或无民事行为能力人时，由其合法监护人代其申请</w:t>
      </w:r>
      <w:r>
        <w:rPr>
          <w:spacing w:val="-2"/>
          <w:sz w:val="21"/>
        </w:rPr>
        <w:t>领取保险金，并提供未成年人或无民事行为能力证明和合法监护权证明。</w:t>
      </w:r>
    </w:p>
    <w:p>
      <w:pPr>
        <w:pStyle w:val="4"/>
        <w:spacing w:before="5"/>
        <w:rPr>
          <w:sz w:val="24"/>
        </w:rPr>
      </w:pPr>
    </w:p>
    <w:p>
      <w:pPr>
        <w:pStyle w:val="8"/>
        <w:numPr>
          <w:ilvl w:val="1"/>
          <w:numId w:val="2"/>
        </w:numPr>
        <w:tabs>
          <w:tab w:val="left" w:pos="1229"/>
        </w:tabs>
        <w:spacing w:before="0" w:after="0" w:line="278" w:lineRule="auto"/>
        <w:ind w:left="2997" w:right="785" w:hanging="2730"/>
        <w:jc w:val="both"/>
        <w:rPr>
          <w:sz w:val="21"/>
        </w:rPr>
      </w:pPr>
      <w:r>
        <w:rPr>
          <w:b/>
          <w:sz w:val="21"/>
        </w:rPr>
        <w:t>配合调查</w:t>
      </w:r>
      <w:r>
        <w:rPr>
          <w:b/>
          <w:spacing w:val="696"/>
          <w:sz w:val="21"/>
        </w:rPr>
        <w:t xml:space="preserve"> </w:t>
      </w:r>
      <w:r>
        <w:rPr>
          <w:sz w:val="21"/>
        </w:rPr>
        <w:t>被保险人遭受事故的，除法律禁止的情况外，本公司有权对投保人、被保险</w:t>
      </w:r>
      <w:r>
        <w:rPr>
          <w:spacing w:val="-4"/>
          <w:sz w:val="21"/>
        </w:rPr>
        <w:t>人、受益人等，就事故的性质、原因、结果及被保险人的损伤程度和身体情况等，进行调查、检查、评估和鉴定（包括但不限于提请作必要、合理的解</w:t>
      </w:r>
      <w:r>
        <w:rPr>
          <w:spacing w:val="-2"/>
          <w:sz w:val="21"/>
        </w:rPr>
        <w:t>剖检验），投保人、被保险人、受益人等应当予以充分配合。</w:t>
      </w:r>
    </w:p>
    <w:p>
      <w:pPr>
        <w:pStyle w:val="4"/>
        <w:spacing w:before="4"/>
        <w:rPr>
          <w:sz w:val="24"/>
        </w:rPr>
      </w:pPr>
    </w:p>
    <w:p>
      <w:pPr>
        <w:pStyle w:val="8"/>
        <w:numPr>
          <w:ilvl w:val="1"/>
          <w:numId w:val="2"/>
        </w:numPr>
        <w:tabs>
          <w:tab w:val="left" w:pos="1228"/>
          <w:tab w:val="left" w:pos="1229"/>
          <w:tab w:val="left" w:pos="2997"/>
        </w:tabs>
        <w:spacing w:before="0" w:after="0" w:line="278" w:lineRule="auto"/>
        <w:ind w:left="2997" w:right="785" w:hanging="2730"/>
        <w:jc w:val="left"/>
        <w:rPr>
          <w:sz w:val="21"/>
        </w:rPr>
      </w:pPr>
      <w:r>
        <w:rPr>
          <w:b/>
          <w:spacing w:val="-2"/>
          <w:sz w:val="21"/>
        </w:rPr>
        <w:t>保险金的给付</w:t>
      </w:r>
      <w:r>
        <w:rPr>
          <w:b/>
          <w:sz w:val="21"/>
        </w:rPr>
        <w:tab/>
      </w:r>
      <w:r>
        <w:rPr>
          <w:sz w:val="21"/>
        </w:rPr>
        <w:t>收到保险金给付申请书及有关证明和资料后，本公司将在</w:t>
      </w:r>
      <w:r>
        <w:rPr>
          <w:spacing w:val="-50"/>
          <w:sz w:val="21"/>
        </w:rPr>
        <w:t xml:space="preserve"> </w:t>
      </w:r>
      <w:r>
        <w:rPr>
          <w:sz w:val="21"/>
        </w:rPr>
        <w:t>10</w:t>
      </w:r>
      <w:r>
        <w:rPr>
          <w:spacing w:val="-47"/>
          <w:sz w:val="21"/>
        </w:rPr>
        <w:t xml:space="preserve"> </w:t>
      </w:r>
      <w:r>
        <w:rPr>
          <w:sz w:val="21"/>
        </w:rPr>
        <w:t>个工作日内作出核定；情形复杂的，在</w:t>
      </w:r>
      <w:r>
        <w:rPr>
          <w:spacing w:val="-25"/>
          <w:sz w:val="21"/>
        </w:rPr>
        <w:t xml:space="preserve"> </w:t>
      </w:r>
      <w:r>
        <w:rPr>
          <w:sz w:val="21"/>
        </w:rPr>
        <w:t>30</w:t>
      </w:r>
      <w:r>
        <w:rPr>
          <w:spacing w:val="-22"/>
          <w:sz w:val="21"/>
        </w:rPr>
        <w:t xml:space="preserve"> </w:t>
      </w:r>
      <w:r>
        <w:rPr>
          <w:sz w:val="21"/>
        </w:rPr>
        <w:t>日内作出核定。</w:t>
      </w:r>
    </w:p>
    <w:p>
      <w:pPr>
        <w:pStyle w:val="4"/>
        <w:spacing w:before="156" w:line="278" w:lineRule="auto"/>
        <w:ind w:left="2997" w:right="785"/>
      </w:pPr>
      <w:r>
        <w:rPr>
          <w:spacing w:val="-8"/>
        </w:rPr>
        <w:t>本公司应当将核定结果通知受益人。对属于保险责任的，在与受益人达成给</w:t>
      </w:r>
      <w:r>
        <w:rPr>
          <w:spacing w:val="-6"/>
        </w:rPr>
        <w:t xml:space="preserve">付保险金的协议后 </w:t>
      </w:r>
      <w:r>
        <w:rPr>
          <w:spacing w:val="-2"/>
        </w:rPr>
        <w:t>10</w:t>
      </w:r>
      <w:r>
        <w:rPr>
          <w:spacing w:val="-9"/>
        </w:rPr>
        <w:t xml:space="preserve"> 日内履行给付保险金义务；对不属于保险责任的，本</w:t>
      </w:r>
    </w:p>
    <w:p>
      <w:pPr>
        <w:pStyle w:val="4"/>
        <w:spacing w:line="278" w:lineRule="auto"/>
        <w:ind w:left="2997" w:right="788"/>
      </w:pPr>
      <w:r>
        <w:rPr>
          <w:spacing w:val="-1"/>
        </w:rPr>
        <w:t xml:space="preserve">公司自作出核定之日起 </w:t>
      </w:r>
      <w:r>
        <w:t>3</w:t>
      </w:r>
      <w:r>
        <w:rPr>
          <w:spacing w:val="-3"/>
        </w:rPr>
        <w:t xml:space="preserve"> 日内向受益人发出拒绝给付保险金通知书，并说</w:t>
      </w:r>
      <w:r>
        <w:rPr>
          <w:spacing w:val="-4"/>
        </w:rPr>
        <w:t>明理由。</w:t>
      </w:r>
    </w:p>
    <w:p>
      <w:pPr>
        <w:pStyle w:val="4"/>
        <w:spacing w:before="156" w:line="278" w:lineRule="auto"/>
        <w:ind w:left="2997" w:right="785"/>
        <w:jc w:val="both"/>
      </w:pPr>
      <w:r>
        <w:rPr>
          <w:spacing w:val="-4"/>
        </w:rPr>
        <w:t xml:space="preserve">自收到保险金给付申请书及有关证明和资料之日起 </w:t>
      </w:r>
      <w:r>
        <w:rPr>
          <w:spacing w:val="-2"/>
        </w:rPr>
        <w:t>60</w:t>
      </w:r>
      <w:r>
        <w:rPr>
          <w:spacing w:val="-7"/>
        </w:rPr>
        <w:t xml:space="preserve"> 日内，本公司对给付</w:t>
      </w:r>
      <w:r>
        <w:rPr>
          <w:spacing w:val="-10"/>
        </w:rPr>
        <w:t>保险金的数额不能确定的，本公司应当按照根据已有证明和资料可以确定的</w:t>
      </w:r>
      <w:r>
        <w:rPr>
          <w:spacing w:val="-2"/>
        </w:rPr>
        <w:t>数额先予支付；最终确定给付保险金的数额后，本公司支付相应的差额。</w:t>
      </w:r>
    </w:p>
    <w:p>
      <w:pPr>
        <w:pStyle w:val="4"/>
        <w:spacing w:before="3"/>
        <w:rPr>
          <w:sz w:val="24"/>
        </w:rPr>
      </w:pPr>
    </w:p>
    <w:p>
      <w:pPr>
        <w:pStyle w:val="8"/>
        <w:numPr>
          <w:ilvl w:val="1"/>
          <w:numId w:val="2"/>
        </w:numPr>
        <w:tabs>
          <w:tab w:val="left" w:pos="1228"/>
          <w:tab w:val="left" w:pos="1229"/>
          <w:tab w:val="left" w:pos="2997"/>
        </w:tabs>
        <w:spacing w:before="1" w:after="0" w:line="278" w:lineRule="auto"/>
        <w:ind w:left="2997" w:right="788" w:hanging="2730"/>
        <w:jc w:val="left"/>
        <w:rPr>
          <w:sz w:val="21"/>
        </w:rPr>
      </w:pPr>
      <w:r>
        <w:rPr>
          <w:b/>
          <w:spacing w:val="-4"/>
          <w:sz w:val="21"/>
        </w:rPr>
        <w:t>诉讼时效</w:t>
      </w:r>
      <w:r>
        <w:rPr>
          <w:b/>
          <w:sz w:val="21"/>
        </w:rPr>
        <w:tab/>
      </w:r>
      <w:r>
        <w:rPr>
          <w:sz w:val="21"/>
        </w:rPr>
        <w:t>受益人向本公司请求给付保险金的诉讼时效期间为</w:t>
      </w:r>
      <w:r>
        <w:rPr>
          <w:spacing w:val="-12"/>
          <w:sz w:val="21"/>
        </w:rPr>
        <w:t xml:space="preserve"> </w:t>
      </w:r>
      <w:r>
        <w:rPr>
          <w:sz w:val="21"/>
        </w:rPr>
        <w:t>2</w:t>
      </w:r>
      <w:r>
        <w:rPr>
          <w:spacing w:val="-10"/>
          <w:sz w:val="21"/>
        </w:rPr>
        <w:t xml:space="preserve"> </w:t>
      </w:r>
      <w:r>
        <w:rPr>
          <w:sz w:val="21"/>
        </w:rPr>
        <w:t>年，自其知道或应当</w:t>
      </w:r>
      <w:r>
        <w:rPr>
          <w:spacing w:val="-2"/>
          <w:sz w:val="21"/>
        </w:rPr>
        <w:t>知道保险事故发生之日起计算。</w:t>
      </w:r>
    </w:p>
    <w:p>
      <w:pPr>
        <w:pStyle w:val="4"/>
        <w:spacing w:before="1"/>
        <w:rPr>
          <w:sz w:val="27"/>
        </w:rPr>
      </w:pPr>
    </w:p>
    <w:p>
      <w:pPr>
        <w:pStyle w:val="3"/>
        <w:numPr>
          <w:ilvl w:val="0"/>
          <w:numId w:val="2"/>
        </w:numPr>
        <w:tabs>
          <w:tab w:val="left" w:pos="1228"/>
          <w:tab w:val="left" w:pos="1229"/>
        </w:tabs>
        <w:spacing w:before="0" w:after="0" w:line="240" w:lineRule="auto"/>
        <w:ind w:left="1228" w:right="0" w:hanging="962"/>
        <w:jc w:val="left"/>
        <w:rPr>
          <w:sz w:val="40"/>
        </w:rPr>
      </w:pPr>
      <w:r>
        <w:rPr>
          <w:w w:val="95"/>
        </w:rPr>
        <w:t>保险费交</w:t>
      </w:r>
      <w:r>
        <w:rPr>
          <w:spacing w:val="-10"/>
          <w:w w:val="95"/>
        </w:rPr>
        <w:t>纳</w:t>
      </w:r>
    </w:p>
    <w:p>
      <w:pPr>
        <w:pStyle w:val="4"/>
        <w:spacing w:before="6"/>
        <w:rPr>
          <w:b/>
          <w:sz w:val="14"/>
        </w:rPr>
      </w:pPr>
      <w:r>
        <w:drawing>
          <wp:anchor distT="0" distB="0" distL="0" distR="0" simplePos="0" relativeHeight="251659264" behindDoc="0" locked="0" layoutInCell="1" allowOverlap="1">
            <wp:simplePos x="0" y="0"/>
            <wp:positionH relativeFrom="page">
              <wp:posOffset>685800</wp:posOffset>
            </wp:positionH>
            <wp:positionV relativeFrom="paragraph">
              <wp:posOffset>132715</wp:posOffset>
            </wp:positionV>
            <wp:extent cx="6211570" cy="6350"/>
            <wp:effectExtent l="0" t="0" r="0" b="0"/>
            <wp:wrapTopAndBottom/>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a:picLocks noChangeAspect="1"/>
                    </pic:cNvPicPr>
                  </pic:nvPicPr>
                  <pic:blipFill>
                    <a:blip r:embed="rId16" cstate="print"/>
                    <a:stretch>
                      <a:fillRect/>
                    </a:stretch>
                  </pic:blipFill>
                  <pic:spPr>
                    <a:xfrm>
                      <a:off x="0" y="0"/>
                      <a:ext cx="6211701" cy="6095"/>
                    </a:xfrm>
                    <a:prstGeom prst="rect">
                      <a:avLst/>
                    </a:prstGeom>
                  </pic:spPr>
                </pic:pic>
              </a:graphicData>
            </a:graphic>
          </wp:anchor>
        </w:drawing>
      </w:r>
    </w:p>
    <w:p>
      <w:pPr>
        <w:pStyle w:val="8"/>
        <w:numPr>
          <w:ilvl w:val="1"/>
          <w:numId w:val="2"/>
        </w:numPr>
        <w:tabs>
          <w:tab w:val="left" w:pos="1229"/>
        </w:tabs>
        <w:spacing w:before="178" w:after="0" w:line="278" w:lineRule="auto"/>
        <w:ind w:left="2997" w:right="786" w:hanging="2730"/>
        <w:jc w:val="both"/>
        <w:rPr>
          <w:sz w:val="21"/>
        </w:rPr>
      </w:pPr>
      <w:r>
        <w:rPr>
          <w:b/>
          <w:spacing w:val="46"/>
          <w:sz w:val="21"/>
        </w:rPr>
        <w:t xml:space="preserve">保险费的交纳 </w:t>
      </w:r>
      <w:r>
        <w:rPr>
          <w:spacing w:val="-2"/>
          <w:sz w:val="21"/>
        </w:rPr>
        <w:t>本合同的交费方式和交费期间由投保人和本公司约定，并在保单上载明。分</w:t>
      </w:r>
      <w:r>
        <w:rPr>
          <w:spacing w:val="-5"/>
          <w:sz w:val="21"/>
        </w:rPr>
        <w:t>期支付保险费的，在交纳首期保险费后，投保人应当在每个保险费的约定交</w:t>
      </w:r>
      <w:r>
        <w:rPr>
          <w:spacing w:val="-2"/>
          <w:sz w:val="21"/>
        </w:rPr>
        <w:t>纳日交纳其余各期保险费。</w:t>
      </w:r>
    </w:p>
    <w:p>
      <w:pPr>
        <w:pStyle w:val="4"/>
        <w:spacing w:before="2"/>
        <w:rPr>
          <w:sz w:val="17"/>
        </w:rPr>
      </w:pPr>
    </w:p>
    <w:p>
      <w:pPr>
        <w:pStyle w:val="8"/>
        <w:numPr>
          <w:ilvl w:val="1"/>
          <w:numId w:val="2"/>
        </w:numPr>
        <w:tabs>
          <w:tab w:val="left" w:pos="1228"/>
          <w:tab w:val="left" w:pos="1229"/>
          <w:tab w:val="left" w:pos="2997"/>
        </w:tabs>
        <w:spacing w:before="81" w:after="0" w:line="228" w:lineRule="auto"/>
        <w:ind w:left="2997" w:right="901" w:hanging="2730"/>
        <w:jc w:val="left"/>
        <w:rPr>
          <w:sz w:val="21"/>
        </w:rPr>
      </w:pPr>
      <w:r>
        <w:rPr>
          <w:b/>
          <w:spacing w:val="-2"/>
          <w:position w:val="-1"/>
          <w:sz w:val="21"/>
        </w:rPr>
        <w:t>不保证续保</w:t>
      </w:r>
      <w:r>
        <w:rPr>
          <w:b/>
          <w:position w:val="-1"/>
          <w:sz w:val="21"/>
        </w:rPr>
        <w:tab/>
      </w:r>
      <w:r>
        <w:rPr>
          <w:spacing w:val="-2"/>
          <w:sz w:val="21"/>
        </w:rPr>
        <w:t>本合同为不保证续保合同。本产品保险期间为一年，保险期间届满，投保人需要重新向本公司申请投保本产品，并经本公司同意，交纳保险费，获</w:t>
      </w:r>
    </w:p>
    <w:p>
      <w:pPr>
        <w:pStyle w:val="4"/>
        <w:spacing w:before="11"/>
        <w:rPr>
          <w:sz w:val="13"/>
        </w:rPr>
      </w:pPr>
      <w:r>
        <w:drawing>
          <wp:anchor distT="0" distB="0" distL="0" distR="0" simplePos="0" relativeHeight="251659264" behindDoc="0" locked="0" layoutInCell="1" allowOverlap="1">
            <wp:simplePos x="0" y="0"/>
            <wp:positionH relativeFrom="page">
              <wp:posOffset>685800</wp:posOffset>
            </wp:positionH>
            <wp:positionV relativeFrom="paragraph">
              <wp:posOffset>128270</wp:posOffset>
            </wp:positionV>
            <wp:extent cx="1829435" cy="6350"/>
            <wp:effectExtent l="0" t="0" r="0" b="0"/>
            <wp:wrapTopAndBottom/>
            <wp:docPr id="3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9.png"/>
                    <pic:cNvPicPr>
                      <a:picLocks noChangeAspect="1"/>
                    </pic:cNvPicPr>
                  </pic:nvPicPr>
                  <pic:blipFill>
                    <a:blip r:embed="rId14" cstate="print"/>
                    <a:stretch>
                      <a:fillRect/>
                    </a:stretch>
                  </pic:blipFill>
                  <pic:spPr>
                    <a:xfrm>
                      <a:off x="0" y="0"/>
                      <a:ext cx="1829282" cy="6096"/>
                    </a:xfrm>
                    <a:prstGeom prst="rect">
                      <a:avLst/>
                    </a:prstGeom>
                  </pic:spPr>
                </pic:pic>
              </a:graphicData>
            </a:graphic>
          </wp:anchor>
        </w:drawing>
      </w:r>
    </w:p>
    <w:p>
      <w:pPr>
        <w:spacing w:before="91"/>
        <w:ind w:left="160" w:right="0" w:firstLine="0"/>
        <w:jc w:val="left"/>
        <w:rPr>
          <w:rFonts w:ascii="楷体" w:eastAsia="楷体"/>
          <w:sz w:val="18"/>
        </w:rPr>
      </w:pPr>
      <w:r>
        <w:rPr>
          <w:w w:val="95"/>
          <w:position w:val="9"/>
          <w:sz w:val="9"/>
        </w:rPr>
        <w:t>28</w:t>
      </w:r>
      <w:r>
        <w:rPr>
          <w:rFonts w:hint="eastAsia" w:ascii="楷体" w:eastAsia="楷体"/>
          <w:b/>
          <w:w w:val="95"/>
          <w:sz w:val="18"/>
        </w:rPr>
        <w:t>有效身份证件</w:t>
      </w:r>
      <w:r>
        <w:rPr>
          <w:rFonts w:ascii="楷体" w:eastAsia="楷体"/>
          <w:w w:val="95"/>
          <w:sz w:val="18"/>
        </w:rPr>
        <w:t>：指由政府主管部门规定的证明个人身份的证件，如：居民身份证、按规定可使用的有效护照、军官证、警</w:t>
      </w:r>
      <w:r>
        <w:rPr>
          <w:rFonts w:ascii="楷体" w:eastAsia="楷体"/>
          <w:spacing w:val="-10"/>
          <w:w w:val="95"/>
          <w:sz w:val="18"/>
        </w:rPr>
        <w:t>官</w:t>
      </w:r>
    </w:p>
    <w:p>
      <w:pPr>
        <w:spacing w:before="4"/>
        <w:ind w:left="160" w:right="0" w:firstLine="0"/>
        <w:jc w:val="left"/>
        <w:rPr>
          <w:rFonts w:ascii="楷体" w:eastAsia="楷体"/>
          <w:sz w:val="18"/>
        </w:rPr>
      </w:pPr>
      <w:r>
        <w:rPr>
          <w:rFonts w:ascii="楷体" w:eastAsia="楷体"/>
          <w:spacing w:val="-1"/>
          <w:sz w:val="18"/>
        </w:rPr>
        <w:t>证、士兵证、户口簿等证件。</w:t>
      </w:r>
    </w:p>
    <w:p>
      <w:pPr>
        <w:spacing w:after="0"/>
        <w:jc w:val="left"/>
        <w:rPr>
          <w:rFonts w:ascii="楷体" w:eastAsia="楷体"/>
          <w:sz w:val="18"/>
        </w:rPr>
        <w:sectPr>
          <w:pgSz w:w="11910" w:h="16840"/>
          <w:pgMar w:top="1360" w:right="360" w:bottom="280" w:left="920" w:header="720" w:footer="720" w:gutter="0"/>
          <w:cols w:space="720" w:num="1"/>
        </w:sectPr>
      </w:pPr>
    </w:p>
    <w:p>
      <w:pPr>
        <w:pStyle w:val="4"/>
        <w:spacing w:before="43"/>
        <w:ind w:left="2997"/>
      </w:pPr>
      <w:r>
        <w:rPr>
          <w:spacing w:val="-4"/>
        </w:rPr>
        <w:t>得新的保险合同。</w:t>
      </w:r>
    </w:p>
    <w:p>
      <w:pPr>
        <w:pStyle w:val="4"/>
        <w:spacing w:before="180" w:line="278" w:lineRule="auto"/>
        <w:ind w:left="2997" w:right="786"/>
      </w:pPr>
      <w:r>
        <w:rPr>
          <w:spacing w:val="-7"/>
        </w:rPr>
        <w:t>若本产品统一执行停售，本公司将不再接受投保人的投保申请，但本公司会</w:t>
      </w:r>
      <w:r>
        <w:rPr>
          <w:spacing w:val="-2"/>
        </w:rPr>
        <w:t>向投保人提供投保其他产品的合理建议。</w:t>
      </w:r>
    </w:p>
    <w:p>
      <w:pPr>
        <w:pStyle w:val="4"/>
        <w:spacing w:before="5"/>
        <w:rPr>
          <w:sz w:val="23"/>
        </w:rPr>
      </w:pPr>
    </w:p>
    <w:p>
      <w:pPr>
        <w:pStyle w:val="3"/>
        <w:numPr>
          <w:ilvl w:val="0"/>
          <w:numId w:val="2"/>
        </w:numPr>
        <w:tabs>
          <w:tab w:val="left" w:pos="1228"/>
          <w:tab w:val="left" w:pos="1229"/>
        </w:tabs>
        <w:spacing w:before="47" w:after="0" w:line="240" w:lineRule="auto"/>
        <w:ind w:left="1228" w:right="0" w:hanging="962"/>
        <w:jc w:val="left"/>
        <w:rPr>
          <w:sz w:val="40"/>
        </w:rPr>
      </w:pPr>
      <w:r>
        <w:rPr>
          <w:spacing w:val="-3"/>
          <w:w w:val="95"/>
        </w:rPr>
        <w:t>合同解除</w:t>
      </w:r>
    </w:p>
    <w:p>
      <w:pPr>
        <w:pStyle w:val="4"/>
        <w:spacing w:before="6"/>
        <w:rPr>
          <w:b/>
          <w:sz w:val="14"/>
        </w:rPr>
      </w:pPr>
      <w:r>
        <w:drawing>
          <wp:anchor distT="0" distB="0" distL="0" distR="0" simplePos="0" relativeHeight="251659264" behindDoc="0" locked="0" layoutInCell="1" allowOverlap="1">
            <wp:simplePos x="0" y="0"/>
            <wp:positionH relativeFrom="page">
              <wp:posOffset>685800</wp:posOffset>
            </wp:positionH>
            <wp:positionV relativeFrom="paragraph">
              <wp:posOffset>132715</wp:posOffset>
            </wp:positionV>
            <wp:extent cx="6211570" cy="6350"/>
            <wp:effectExtent l="0" t="0" r="0" b="0"/>
            <wp:wrapTopAndBottom/>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a:picLocks noChangeAspect="1"/>
                    </pic:cNvPicPr>
                  </pic:nvPicPr>
                  <pic:blipFill>
                    <a:blip r:embed="rId16" cstate="print"/>
                    <a:stretch>
                      <a:fillRect/>
                    </a:stretch>
                  </pic:blipFill>
                  <pic:spPr>
                    <a:xfrm>
                      <a:off x="0" y="0"/>
                      <a:ext cx="6211442" cy="6096"/>
                    </a:xfrm>
                    <a:prstGeom prst="rect">
                      <a:avLst/>
                    </a:prstGeom>
                  </pic:spPr>
                </pic:pic>
              </a:graphicData>
            </a:graphic>
          </wp:anchor>
        </w:drawing>
      </w:r>
    </w:p>
    <w:p>
      <w:pPr>
        <w:pStyle w:val="4"/>
        <w:spacing w:before="7"/>
        <w:rPr>
          <w:b/>
          <w:sz w:val="8"/>
        </w:rPr>
      </w:pPr>
    </w:p>
    <w:p>
      <w:pPr>
        <w:spacing w:after="0"/>
        <w:rPr>
          <w:sz w:val="8"/>
        </w:rPr>
        <w:sectPr>
          <w:pgSz w:w="11910" w:h="16840"/>
          <w:pgMar w:top="1380" w:right="360" w:bottom="280" w:left="920" w:header="720" w:footer="720" w:gutter="0"/>
          <w:cols w:space="720" w:num="1"/>
        </w:sectPr>
      </w:pPr>
    </w:p>
    <w:p>
      <w:pPr>
        <w:pStyle w:val="8"/>
        <w:numPr>
          <w:ilvl w:val="1"/>
          <w:numId w:val="2"/>
        </w:numPr>
        <w:tabs>
          <w:tab w:val="left" w:pos="1228"/>
          <w:tab w:val="left" w:pos="1229"/>
        </w:tabs>
        <w:spacing w:before="71" w:after="0" w:line="278" w:lineRule="auto"/>
        <w:ind w:left="1228" w:right="0" w:hanging="961"/>
        <w:jc w:val="left"/>
        <w:rPr>
          <w:b/>
          <w:sz w:val="21"/>
        </w:rPr>
      </w:pPr>
      <w:r>
        <w:rPr>
          <w:b/>
          <w:spacing w:val="8"/>
          <w:sz w:val="21"/>
        </w:rPr>
        <w:t>解除合同的手续</w:t>
      </w:r>
      <w:r>
        <w:rPr>
          <w:b/>
          <w:spacing w:val="-4"/>
          <w:sz w:val="21"/>
        </w:rPr>
        <w:t>及风险</w:t>
      </w:r>
    </w:p>
    <w:p>
      <w:pPr>
        <w:pStyle w:val="4"/>
        <w:spacing w:before="71" w:line="417" w:lineRule="auto"/>
        <w:ind w:left="174" w:right="692"/>
      </w:pPr>
      <w:r>
        <w:br w:type="column"/>
      </w:r>
      <w:r>
        <w:rPr>
          <w:spacing w:val="-2"/>
        </w:rPr>
        <w:t>本合同成立后，投保人可申请解除合同，</w:t>
      </w:r>
      <w:r>
        <w:rPr>
          <w:color w:val="000000"/>
          <w:spacing w:val="-2"/>
          <w:shd w:val="clear" w:color="auto" w:fill="D9D9D9"/>
        </w:rPr>
        <w:t>投保人解除合同会遭受一定损失。</w:t>
      </w:r>
      <w:r>
        <w:rPr>
          <w:color w:val="000000"/>
          <w:spacing w:val="-2"/>
        </w:rPr>
        <w:t>投保人申请解除本合同时，应当向本公司送达：</w:t>
      </w:r>
    </w:p>
    <w:p>
      <w:pPr>
        <w:pStyle w:val="8"/>
        <w:numPr>
          <w:ilvl w:val="0"/>
          <w:numId w:val="8"/>
        </w:numPr>
        <w:tabs>
          <w:tab w:val="left" w:pos="896"/>
        </w:tabs>
        <w:spacing w:before="0" w:after="0" w:line="269" w:lineRule="exact"/>
        <w:ind w:left="895" w:right="0" w:hanging="722"/>
        <w:jc w:val="left"/>
        <w:rPr>
          <w:sz w:val="21"/>
        </w:rPr>
      </w:pPr>
      <w:r>
        <w:rPr>
          <w:spacing w:val="-4"/>
          <w:sz w:val="21"/>
        </w:rPr>
        <w:t>解除合同申请书；</w:t>
      </w:r>
    </w:p>
    <w:p>
      <w:pPr>
        <w:pStyle w:val="4"/>
        <w:spacing w:before="7"/>
        <w:rPr>
          <w:sz w:val="15"/>
        </w:rPr>
      </w:pPr>
    </w:p>
    <w:p>
      <w:pPr>
        <w:pStyle w:val="8"/>
        <w:numPr>
          <w:ilvl w:val="0"/>
          <w:numId w:val="8"/>
        </w:numPr>
        <w:tabs>
          <w:tab w:val="left" w:pos="896"/>
        </w:tabs>
        <w:spacing w:before="0" w:after="0" w:line="240" w:lineRule="auto"/>
        <w:ind w:left="895" w:right="0" w:hanging="722"/>
        <w:jc w:val="left"/>
        <w:rPr>
          <w:sz w:val="21"/>
        </w:rPr>
      </w:pPr>
      <w:r>
        <w:rPr>
          <w:spacing w:val="-4"/>
          <w:sz w:val="21"/>
        </w:rPr>
        <w:t>本合同；</w:t>
      </w:r>
    </w:p>
    <w:p>
      <w:pPr>
        <w:pStyle w:val="4"/>
        <w:spacing w:before="7"/>
        <w:rPr>
          <w:sz w:val="15"/>
        </w:rPr>
      </w:pPr>
    </w:p>
    <w:p>
      <w:pPr>
        <w:pStyle w:val="8"/>
        <w:numPr>
          <w:ilvl w:val="0"/>
          <w:numId w:val="8"/>
        </w:numPr>
        <w:tabs>
          <w:tab w:val="left" w:pos="896"/>
        </w:tabs>
        <w:spacing w:before="1" w:after="0" w:line="240" w:lineRule="auto"/>
        <w:ind w:left="895" w:right="0" w:hanging="722"/>
        <w:jc w:val="left"/>
        <w:rPr>
          <w:sz w:val="21"/>
        </w:rPr>
      </w:pPr>
      <w:r>
        <w:rPr>
          <w:spacing w:val="-3"/>
          <w:sz w:val="21"/>
        </w:rPr>
        <w:t>投保人有效身份证件。</w:t>
      </w:r>
    </w:p>
    <w:p>
      <w:pPr>
        <w:pStyle w:val="4"/>
        <w:spacing w:before="6"/>
        <w:rPr>
          <w:sz w:val="15"/>
        </w:rPr>
      </w:pPr>
    </w:p>
    <w:p>
      <w:pPr>
        <w:pStyle w:val="4"/>
        <w:spacing w:line="278" w:lineRule="auto"/>
        <w:ind w:left="174" w:right="784"/>
        <w:jc w:val="both"/>
      </w:pPr>
      <w:r>
        <w:rPr>
          <w:spacing w:val="-2"/>
        </w:rPr>
        <w:t>本合同的效力至本公司接到解除合同申请书之日的次日零时或解除合同申</w:t>
      </w:r>
      <w:r>
        <w:rPr>
          <w:spacing w:val="-4"/>
        </w:rPr>
        <w:t>请书上载明的合同终止时间（二者中以较晚者为准）终止。本公司自收到完</w:t>
      </w:r>
      <w:r>
        <w:rPr>
          <w:spacing w:val="-5"/>
        </w:rPr>
        <w:t xml:space="preserve">整的证明和资料之日起 </w:t>
      </w:r>
      <w:r>
        <w:rPr>
          <w:spacing w:val="-2"/>
        </w:rPr>
        <w:t>30</w:t>
      </w:r>
      <w:r>
        <w:rPr>
          <w:spacing w:val="-7"/>
        </w:rPr>
        <w:t xml:space="preserve"> 日内向投保人退还本合同的未满期净保险费。</w:t>
      </w:r>
      <w:r>
        <w:rPr>
          <w:color w:val="000000"/>
          <w:spacing w:val="-2"/>
          <w:shd w:val="clear" w:color="auto" w:fill="E4E4E4"/>
        </w:rPr>
        <w:t>本</w:t>
      </w:r>
      <w:r>
        <w:rPr>
          <w:color w:val="000000"/>
          <w:spacing w:val="40"/>
          <w:shd w:val="clear" w:color="auto" w:fill="E4E4E4"/>
        </w:rPr>
        <w:t xml:space="preserve"> </w:t>
      </w:r>
      <w:r>
        <w:rPr>
          <w:color w:val="000000"/>
          <w:spacing w:val="-6"/>
          <w:shd w:val="clear" w:color="auto" w:fill="E4E4E4"/>
        </w:rPr>
        <w:t>公司根据本合同约定已给付保险金或已承担给付保险金责任的，本合同的未</w:t>
      </w:r>
      <w:r>
        <w:rPr>
          <w:color w:val="000000"/>
          <w:spacing w:val="-2"/>
          <w:shd w:val="clear" w:color="auto" w:fill="E4E4E4"/>
        </w:rPr>
        <w:t>满期净保险费降低为零。</w:t>
      </w:r>
    </w:p>
    <w:p>
      <w:pPr>
        <w:spacing w:after="0" w:line="278" w:lineRule="auto"/>
        <w:jc w:val="both"/>
        <w:sectPr>
          <w:type w:val="continuous"/>
          <w:pgSz w:w="11910" w:h="16840"/>
          <w:pgMar w:top="480" w:right="360" w:bottom="280" w:left="920" w:header="720" w:footer="720" w:gutter="0"/>
          <w:cols w:equalWidth="0" w:num="2">
            <w:col w:w="2783" w:space="40"/>
            <w:col w:w="7807"/>
          </w:cols>
        </w:sectPr>
      </w:pPr>
    </w:p>
    <w:p>
      <w:pPr>
        <w:pStyle w:val="4"/>
        <w:spacing w:before="6"/>
        <w:rPr>
          <w:sz w:val="23"/>
        </w:rPr>
      </w:pPr>
    </w:p>
    <w:p>
      <w:pPr>
        <w:pStyle w:val="2"/>
        <w:numPr>
          <w:ilvl w:val="0"/>
          <w:numId w:val="2"/>
        </w:numPr>
        <w:tabs>
          <w:tab w:val="left" w:pos="1228"/>
          <w:tab w:val="left" w:pos="1229"/>
        </w:tabs>
        <w:spacing w:before="41" w:after="0" w:line="240" w:lineRule="auto"/>
        <w:ind w:left="1228" w:right="0" w:hanging="962"/>
        <w:jc w:val="left"/>
        <w:rPr>
          <w:sz w:val="40"/>
        </w:rPr>
      </w:pPr>
      <w:r>
        <w:rPr>
          <w:w w:val="95"/>
        </w:rPr>
        <w:t>其他</w:t>
      </w:r>
      <w:r>
        <w:rPr>
          <w:spacing w:val="-5"/>
          <w:w w:val="95"/>
        </w:rPr>
        <w:t>事项</w:t>
      </w:r>
    </w:p>
    <w:p>
      <w:pPr>
        <w:pStyle w:val="4"/>
        <w:spacing w:before="11"/>
        <w:rPr>
          <w:b/>
          <w:sz w:val="14"/>
        </w:rPr>
      </w:pPr>
      <w:r>
        <w:drawing>
          <wp:anchor distT="0" distB="0" distL="0" distR="0" simplePos="0" relativeHeight="251659264" behindDoc="0" locked="0" layoutInCell="1" allowOverlap="1">
            <wp:simplePos x="0" y="0"/>
            <wp:positionH relativeFrom="page">
              <wp:posOffset>685800</wp:posOffset>
            </wp:positionH>
            <wp:positionV relativeFrom="paragraph">
              <wp:posOffset>136525</wp:posOffset>
            </wp:positionV>
            <wp:extent cx="6211570" cy="6350"/>
            <wp:effectExtent l="0" t="0" r="0" b="0"/>
            <wp:wrapTopAndBottom/>
            <wp:docPr id="3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1.png"/>
                    <pic:cNvPicPr>
                      <a:picLocks noChangeAspect="1"/>
                    </pic:cNvPicPr>
                  </pic:nvPicPr>
                  <pic:blipFill>
                    <a:blip r:embed="rId16" cstate="print"/>
                    <a:stretch>
                      <a:fillRect/>
                    </a:stretch>
                  </pic:blipFill>
                  <pic:spPr>
                    <a:xfrm>
                      <a:off x="0" y="0"/>
                      <a:ext cx="6211313" cy="6096"/>
                    </a:xfrm>
                    <a:prstGeom prst="rect">
                      <a:avLst/>
                    </a:prstGeom>
                  </pic:spPr>
                </pic:pic>
              </a:graphicData>
            </a:graphic>
          </wp:anchor>
        </w:drawing>
      </w:r>
    </w:p>
    <w:p>
      <w:pPr>
        <w:pStyle w:val="4"/>
        <w:spacing w:before="4"/>
        <w:rPr>
          <w:b/>
          <w:sz w:val="8"/>
        </w:rPr>
      </w:pPr>
    </w:p>
    <w:p>
      <w:pPr>
        <w:spacing w:after="0"/>
        <w:rPr>
          <w:sz w:val="8"/>
        </w:rPr>
        <w:sectPr>
          <w:type w:val="continuous"/>
          <w:pgSz w:w="11910" w:h="16840"/>
          <w:pgMar w:top="480" w:right="360" w:bottom="280" w:left="920" w:header="720" w:footer="720" w:gutter="0"/>
          <w:cols w:space="720" w:num="1"/>
        </w:sectPr>
      </w:pPr>
    </w:p>
    <w:p>
      <w:pPr>
        <w:pStyle w:val="8"/>
        <w:numPr>
          <w:ilvl w:val="1"/>
          <w:numId w:val="2"/>
        </w:numPr>
        <w:tabs>
          <w:tab w:val="left" w:pos="1228"/>
          <w:tab w:val="left" w:pos="1229"/>
        </w:tabs>
        <w:spacing w:before="72" w:after="0" w:line="278" w:lineRule="auto"/>
        <w:ind w:left="1228" w:right="0" w:hanging="961"/>
        <w:jc w:val="left"/>
        <w:rPr>
          <w:b/>
          <w:sz w:val="21"/>
        </w:rPr>
      </w:pPr>
      <w:r>
        <w:rPr>
          <w:b/>
          <w:spacing w:val="8"/>
          <w:sz w:val="21"/>
        </w:rPr>
        <w:t>明确说明与如实</w:t>
      </w:r>
      <w:r>
        <w:rPr>
          <w:b/>
          <w:spacing w:val="-6"/>
          <w:sz w:val="21"/>
        </w:rPr>
        <w:t>告知</w:t>
      </w:r>
    </w:p>
    <w:p>
      <w:pPr>
        <w:pStyle w:val="4"/>
        <w:spacing w:before="72" w:line="278" w:lineRule="auto"/>
        <w:ind w:left="174" w:right="785"/>
        <w:jc w:val="both"/>
      </w:pPr>
      <w:r>
        <w:br w:type="column"/>
      </w:r>
      <w:r>
        <w:rPr>
          <w:spacing w:val="-4"/>
        </w:rPr>
        <w:t>订立本合同时，本公司会向投保人明确说明本合同的内容。对本合同中免除</w:t>
      </w:r>
      <w:r>
        <w:rPr>
          <w:spacing w:val="-8"/>
        </w:rPr>
        <w:t>本公司责任的条款，本公司在订立合同时会在投保单、保险单或其他保险凭证上作出足以引起投保人注意的提示，并对该条款的内容以书面或口头形式</w:t>
      </w:r>
      <w:r>
        <w:rPr>
          <w:spacing w:val="-2"/>
        </w:rPr>
        <w:t>向投保人作出明确说明，未作提示或明确说明的，该条款不产生效力。</w:t>
      </w:r>
    </w:p>
    <w:p>
      <w:pPr>
        <w:pStyle w:val="4"/>
        <w:spacing w:before="156"/>
        <w:ind w:left="174"/>
      </w:pPr>
      <w:r>
        <w:rPr>
          <w:spacing w:val="-3"/>
        </w:rPr>
        <w:t>本公司就投保人、被保险人的有关情况提出询问，投保人应当如实告知。</w:t>
      </w:r>
    </w:p>
    <w:p>
      <w:pPr>
        <w:spacing w:after="0"/>
        <w:sectPr>
          <w:type w:val="continuous"/>
          <w:pgSz w:w="11910" w:h="16840"/>
          <w:pgMar w:top="480" w:right="360" w:bottom="280" w:left="920" w:header="720" w:footer="720" w:gutter="0"/>
          <w:cols w:equalWidth="0" w:num="2">
            <w:col w:w="2783" w:space="40"/>
            <w:col w:w="7807"/>
          </w:cols>
        </w:sectPr>
      </w:pPr>
    </w:p>
    <w:p>
      <w:pPr>
        <w:pStyle w:val="4"/>
        <w:spacing w:before="12"/>
        <w:rPr>
          <w:sz w:val="9"/>
        </w:rPr>
      </w:pPr>
    </w:p>
    <w:p>
      <w:pPr>
        <w:pStyle w:val="4"/>
        <w:spacing w:before="72" w:line="278" w:lineRule="auto"/>
        <w:ind w:left="2997" w:right="785"/>
      </w:pPr>
      <w:r>
        <w:rPr>
          <w:color w:val="000000"/>
          <w:spacing w:val="-6"/>
          <w:shd w:val="clear" w:color="auto" w:fill="E4E4E4"/>
        </w:rPr>
        <w:t>投保人故意或因重大过失未履行前款规定的如实告知义务，足以影响本公司</w:t>
      </w:r>
      <w:r>
        <w:rPr>
          <w:color w:val="000000"/>
          <w:spacing w:val="80"/>
          <w:w w:val="150"/>
          <w:shd w:val="clear" w:color="auto" w:fill="E4E4E4"/>
        </w:rPr>
        <w:t xml:space="preserve">                                     </w:t>
      </w:r>
      <w:r>
        <w:rPr>
          <w:color w:val="000000"/>
          <w:spacing w:val="-2"/>
          <w:shd w:val="clear" w:color="auto" w:fill="E4E4E4"/>
        </w:rPr>
        <w:t>决定是否同意承保或提高保险费率的，本公司有权解除本合同。</w:t>
      </w:r>
    </w:p>
    <w:p>
      <w:pPr>
        <w:pStyle w:val="4"/>
        <w:spacing w:before="155" w:line="278" w:lineRule="auto"/>
        <w:ind w:left="2997" w:right="785"/>
      </w:pPr>
      <w:r>
        <w:rPr>
          <w:color w:val="000000"/>
          <w:spacing w:val="-8"/>
          <w:shd w:val="clear" w:color="auto" w:fill="E4E4E4"/>
        </w:rPr>
        <w:t>投保人故意不履行如实告知义务的，本公司对于本合同解除前发生的保险事</w:t>
      </w:r>
      <w:r>
        <w:rPr>
          <w:color w:val="000000"/>
          <w:spacing w:val="80"/>
          <w:w w:val="150"/>
          <w:shd w:val="clear" w:color="auto" w:fill="E4E4E4"/>
        </w:rPr>
        <w:t xml:space="preserve">                                     </w:t>
      </w:r>
      <w:r>
        <w:rPr>
          <w:color w:val="000000"/>
          <w:spacing w:val="-2"/>
          <w:shd w:val="clear" w:color="auto" w:fill="E4E4E4"/>
        </w:rPr>
        <w:t>故，不承担给付保险金的责任，并不退还保险费。</w:t>
      </w:r>
    </w:p>
    <w:p>
      <w:pPr>
        <w:pStyle w:val="4"/>
        <w:spacing w:before="156" w:line="278" w:lineRule="auto"/>
        <w:ind w:left="2997" w:right="692"/>
      </w:pPr>
      <w:r>
        <w:rPr>
          <w:color w:val="000000"/>
          <w:spacing w:val="-2"/>
          <w:shd w:val="clear" w:color="auto" w:fill="E4E4E4"/>
        </w:rPr>
        <w:t>投保人因重大过失未履行如实告知义务，对保险事故的发生有严重影响的，</w:t>
      </w:r>
      <w:r>
        <w:rPr>
          <w:color w:val="000000"/>
          <w:spacing w:val="80"/>
          <w:w w:val="150"/>
          <w:shd w:val="clear" w:color="auto" w:fill="E4E4E4"/>
        </w:rPr>
        <w:t xml:space="preserve">                                     </w:t>
      </w:r>
      <w:r>
        <w:rPr>
          <w:color w:val="000000"/>
          <w:spacing w:val="-4"/>
          <w:shd w:val="clear" w:color="auto" w:fill="E4E4E4"/>
        </w:rPr>
        <w:t>本公司对于本合同解除前发生的保险事故，不承担给付保险金的责任，但会</w:t>
      </w:r>
      <w:r>
        <w:rPr>
          <w:color w:val="000000"/>
          <w:spacing w:val="-2"/>
          <w:shd w:val="clear" w:color="auto" w:fill="E4E4E4"/>
        </w:rPr>
        <w:t>退还保险费。</w:t>
      </w:r>
    </w:p>
    <w:p>
      <w:pPr>
        <w:pStyle w:val="4"/>
        <w:spacing w:before="156" w:line="278" w:lineRule="auto"/>
        <w:ind w:left="2997" w:right="786"/>
      </w:pPr>
      <w:r>
        <w:rPr>
          <w:spacing w:val="-6"/>
        </w:rPr>
        <w:t>本公司在本合同订立时已经知道投保人未如实告知的情况的，本公司不得解</w:t>
      </w:r>
      <w:r>
        <w:rPr>
          <w:spacing w:val="-2"/>
        </w:rPr>
        <w:t>除合同；发生保险事故的，本公司承担给付保险金的责任。</w:t>
      </w:r>
    </w:p>
    <w:p>
      <w:pPr>
        <w:pStyle w:val="4"/>
        <w:spacing w:before="10"/>
        <w:rPr>
          <w:sz w:val="18"/>
        </w:rPr>
      </w:pPr>
    </w:p>
    <w:p>
      <w:pPr>
        <w:spacing w:after="0"/>
        <w:rPr>
          <w:sz w:val="18"/>
        </w:rPr>
        <w:sectPr>
          <w:type w:val="continuous"/>
          <w:pgSz w:w="11910" w:h="16840"/>
          <w:pgMar w:top="480" w:right="360" w:bottom="280" w:left="920" w:header="720" w:footer="720" w:gutter="0"/>
          <w:cols w:space="720" w:num="1"/>
        </w:sectPr>
      </w:pPr>
    </w:p>
    <w:p>
      <w:pPr>
        <w:pStyle w:val="8"/>
        <w:numPr>
          <w:ilvl w:val="1"/>
          <w:numId w:val="2"/>
        </w:numPr>
        <w:tabs>
          <w:tab w:val="left" w:pos="1228"/>
          <w:tab w:val="left" w:pos="1229"/>
        </w:tabs>
        <w:spacing w:before="72" w:after="0" w:line="278" w:lineRule="auto"/>
        <w:ind w:left="1228" w:right="0" w:hanging="961"/>
        <w:jc w:val="left"/>
        <w:rPr>
          <w:b/>
          <w:sz w:val="21"/>
        </w:rPr>
      </w:pPr>
      <w:r>
        <w:rPr>
          <w:b/>
          <w:spacing w:val="8"/>
          <w:sz w:val="21"/>
        </w:rPr>
        <w:t>本公司合同解除</w:t>
      </w:r>
      <w:r>
        <w:rPr>
          <w:b/>
          <w:spacing w:val="-4"/>
          <w:sz w:val="21"/>
        </w:rPr>
        <w:t>权的限制</w:t>
      </w:r>
    </w:p>
    <w:p>
      <w:pPr>
        <w:pStyle w:val="4"/>
        <w:spacing w:before="72" w:line="278" w:lineRule="auto"/>
        <w:ind w:left="174" w:right="788"/>
      </w:pPr>
      <w:r>
        <w:br w:type="column"/>
      </w:r>
      <w:r>
        <w:t>6.1</w:t>
      </w:r>
      <w:r>
        <w:rPr>
          <w:spacing w:val="-7"/>
        </w:rPr>
        <w:t xml:space="preserve"> 款规定的合同解除权，自本公司知道有解除事由之日起，超过 </w:t>
      </w:r>
      <w:r>
        <w:t>30</w:t>
      </w:r>
      <w:r>
        <w:rPr>
          <w:spacing w:val="-11"/>
        </w:rPr>
        <w:t xml:space="preserve"> 日不</w:t>
      </w:r>
      <w:r>
        <w:rPr>
          <w:spacing w:val="-2"/>
        </w:rPr>
        <w:t>行使而消灭。</w:t>
      </w:r>
    </w:p>
    <w:p>
      <w:pPr>
        <w:spacing w:after="0" w:line="278" w:lineRule="auto"/>
        <w:sectPr>
          <w:type w:val="continuous"/>
          <w:pgSz w:w="11910" w:h="16840"/>
          <w:pgMar w:top="480" w:right="360" w:bottom="280" w:left="920" w:header="720" w:footer="720" w:gutter="0"/>
          <w:cols w:equalWidth="0" w:num="2">
            <w:col w:w="2783" w:space="40"/>
            <w:col w:w="7807"/>
          </w:cols>
        </w:sectPr>
      </w:pPr>
    </w:p>
    <w:p>
      <w:pPr>
        <w:pStyle w:val="8"/>
        <w:numPr>
          <w:ilvl w:val="1"/>
          <w:numId w:val="9"/>
        </w:numPr>
        <w:tabs>
          <w:tab w:val="left" w:pos="1229"/>
        </w:tabs>
        <w:spacing w:before="60" w:after="0" w:line="278" w:lineRule="auto"/>
        <w:ind w:left="2997" w:right="786" w:hanging="2730"/>
        <w:jc w:val="both"/>
        <w:rPr>
          <w:sz w:val="21"/>
        </w:rPr>
      </w:pPr>
      <w:r>
        <w:rPr>
          <w:b/>
          <w:sz w:val="21"/>
        </w:rPr>
        <w:t>年龄错误</w:t>
      </w:r>
      <w:r>
        <w:rPr>
          <w:b/>
          <w:spacing w:val="792"/>
          <w:sz w:val="21"/>
        </w:rPr>
        <w:t xml:space="preserve"> </w:t>
      </w:r>
      <w:r>
        <w:rPr>
          <w:spacing w:val="-10"/>
          <w:sz w:val="21"/>
        </w:rPr>
        <w:t>投保人在申请投保时，应将与有效身份证件相符的被保险人的出生日期或周</w:t>
      </w:r>
      <w:r>
        <w:rPr>
          <w:spacing w:val="-2"/>
          <w:sz w:val="21"/>
        </w:rPr>
        <w:t>岁年龄在投保单或其他投保文件上填明，若发生错误按照下列方式办理：</w:t>
      </w:r>
    </w:p>
    <w:p>
      <w:pPr>
        <w:pStyle w:val="8"/>
        <w:numPr>
          <w:ilvl w:val="2"/>
          <w:numId w:val="9"/>
        </w:numPr>
        <w:tabs>
          <w:tab w:val="left" w:pos="3718"/>
        </w:tabs>
        <w:spacing w:before="156" w:after="0" w:line="278" w:lineRule="auto"/>
        <w:ind w:left="3717" w:right="786" w:hanging="721"/>
        <w:jc w:val="both"/>
        <w:rPr>
          <w:sz w:val="21"/>
        </w:rPr>
      </w:pPr>
      <w:r>
        <w:rPr>
          <w:spacing w:val="-2"/>
          <w:sz w:val="21"/>
        </w:rPr>
        <w:t>投保人申报的被保险人年龄不真实，并且其真实年龄不符合本合同约定投保年龄限制的，本公司有权取消该被保险人的被保资格，并向投保人退还本合同的未满期净保险费。本公司行使被保险人的被</w:t>
      </w:r>
      <w:r>
        <w:rPr>
          <w:sz w:val="21"/>
        </w:rPr>
        <w:t>保资格取消权适用“6.2</w:t>
      </w:r>
      <w:r>
        <w:rPr>
          <w:spacing w:val="-7"/>
          <w:sz w:val="21"/>
        </w:rPr>
        <w:t xml:space="preserve"> 本公司合同解除权的限制”的规定。</w:t>
      </w:r>
    </w:p>
    <w:p>
      <w:pPr>
        <w:pStyle w:val="8"/>
        <w:numPr>
          <w:ilvl w:val="2"/>
          <w:numId w:val="9"/>
        </w:numPr>
        <w:tabs>
          <w:tab w:val="left" w:pos="3718"/>
        </w:tabs>
        <w:spacing w:before="156" w:after="0" w:line="278" w:lineRule="auto"/>
        <w:ind w:left="3717" w:right="785" w:hanging="721"/>
        <w:jc w:val="both"/>
        <w:rPr>
          <w:sz w:val="21"/>
        </w:rPr>
      </w:pPr>
      <w:r>
        <w:rPr>
          <w:spacing w:val="-2"/>
          <w:sz w:val="21"/>
        </w:rPr>
        <w:t>投保人申报的被保险人年龄不真实，致使投保人实交保险费少于应交保险费的，本公司有权更正并要求投保人补交保险费，</w:t>
      </w:r>
      <w:r>
        <w:rPr>
          <w:color w:val="000000"/>
          <w:spacing w:val="-2"/>
          <w:sz w:val="21"/>
          <w:shd w:val="clear" w:color="auto" w:fill="E4E4E4"/>
        </w:rPr>
        <w:t>但若已经</w:t>
      </w:r>
      <w:r>
        <w:rPr>
          <w:color w:val="000000"/>
          <w:spacing w:val="11760"/>
          <w:sz w:val="21"/>
          <w:shd w:val="clear" w:color="auto" w:fill="E4E4E4"/>
        </w:rPr>
        <w:t xml:space="preserve"> </w:t>
      </w:r>
      <w:r>
        <w:rPr>
          <w:color w:val="000000"/>
          <w:spacing w:val="-2"/>
          <w:sz w:val="21"/>
          <w:shd w:val="clear" w:color="auto" w:fill="E4E4E4"/>
        </w:rPr>
        <w:t>发生保险事故，本公司有权按实收保险费占应交保险费的比例给付</w:t>
      </w:r>
      <w:r>
        <w:rPr>
          <w:color w:val="000000"/>
          <w:spacing w:val="-11"/>
          <w:sz w:val="21"/>
          <w:shd w:val="clear" w:color="auto" w:fill="E4E4E4"/>
        </w:rPr>
        <w:t xml:space="preserve">第 </w:t>
      </w:r>
      <w:r>
        <w:rPr>
          <w:color w:val="000000"/>
          <w:sz w:val="21"/>
          <w:shd w:val="clear" w:color="auto" w:fill="E4E4E4"/>
        </w:rPr>
        <w:t>2</w:t>
      </w:r>
      <w:r>
        <w:rPr>
          <w:color w:val="000000"/>
          <w:spacing w:val="-5"/>
          <w:sz w:val="21"/>
          <w:shd w:val="clear" w:color="auto" w:fill="E4E4E4"/>
        </w:rPr>
        <w:t xml:space="preserve"> 部分“提供的保障”约定的保险金。</w:t>
      </w:r>
    </w:p>
    <w:p>
      <w:pPr>
        <w:pStyle w:val="8"/>
        <w:numPr>
          <w:ilvl w:val="2"/>
          <w:numId w:val="9"/>
        </w:numPr>
        <w:tabs>
          <w:tab w:val="left" w:pos="3718"/>
        </w:tabs>
        <w:spacing w:before="155" w:after="0" w:line="278" w:lineRule="auto"/>
        <w:ind w:left="3717" w:right="786" w:hanging="721"/>
        <w:jc w:val="both"/>
        <w:rPr>
          <w:sz w:val="21"/>
        </w:rPr>
      </w:pPr>
      <w:r>
        <w:rPr>
          <w:spacing w:val="-2"/>
          <w:sz w:val="21"/>
        </w:rPr>
        <w:t>投保人申报的被保险人年龄不真实，致使投保人实交保险费多于应交保险费的，本公司会将多收的保险费无息退还给投保人。</w:t>
      </w:r>
    </w:p>
    <w:p>
      <w:pPr>
        <w:pStyle w:val="4"/>
        <w:spacing w:before="5"/>
        <w:rPr>
          <w:sz w:val="24"/>
        </w:rPr>
      </w:pPr>
    </w:p>
    <w:p>
      <w:pPr>
        <w:pStyle w:val="8"/>
        <w:numPr>
          <w:ilvl w:val="1"/>
          <w:numId w:val="9"/>
        </w:numPr>
        <w:tabs>
          <w:tab w:val="left" w:pos="1229"/>
        </w:tabs>
        <w:spacing w:before="0" w:after="0" w:line="278" w:lineRule="auto"/>
        <w:ind w:left="2997" w:right="785" w:hanging="2730"/>
        <w:jc w:val="both"/>
        <w:rPr>
          <w:sz w:val="21"/>
        </w:rPr>
      </w:pPr>
      <w:r>
        <w:rPr>
          <w:b/>
          <w:sz w:val="21"/>
        </w:rPr>
        <w:t>未还款项</w:t>
      </w:r>
      <w:r>
        <w:rPr>
          <w:b/>
          <w:spacing w:val="696"/>
          <w:sz w:val="21"/>
        </w:rPr>
        <w:t xml:space="preserve"> </w:t>
      </w:r>
      <w:r>
        <w:rPr>
          <w:sz w:val="21"/>
        </w:rPr>
        <w:t>本公司在给付各项保险金、未满期净保险费或保险费等款项时，若投保人或</w:t>
      </w:r>
      <w:r>
        <w:rPr>
          <w:spacing w:val="-2"/>
          <w:sz w:val="21"/>
        </w:rPr>
        <w:t>受益人有欠交或未还清款项，本公司会在投保人偿清款项后给付。</w:t>
      </w:r>
    </w:p>
    <w:p>
      <w:pPr>
        <w:pStyle w:val="4"/>
        <w:spacing w:before="4"/>
        <w:rPr>
          <w:sz w:val="24"/>
        </w:rPr>
      </w:pPr>
    </w:p>
    <w:p>
      <w:pPr>
        <w:pStyle w:val="8"/>
        <w:numPr>
          <w:ilvl w:val="1"/>
          <w:numId w:val="9"/>
        </w:numPr>
        <w:tabs>
          <w:tab w:val="left" w:pos="1229"/>
        </w:tabs>
        <w:spacing w:before="1" w:after="0" w:line="278" w:lineRule="auto"/>
        <w:ind w:left="2997" w:right="786" w:hanging="2730"/>
        <w:jc w:val="both"/>
        <w:rPr>
          <w:sz w:val="21"/>
        </w:rPr>
      </w:pPr>
      <w:r>
        <w:rPr>
          <w:b/>
          <w:spacing w:val="53"/>
          <w:sz w:val="21"/>
        </w:rPr>
        <w:t xml:space="preserve">合同内容变更 </w:t>
      </w:r>
      <w:r>
        <w:rPr>
          <w:spacing w:val="-9"/>
          <w:sz w:val="21"/>
        </w:rPr>
        <w:t>在本合同有效期内，经投保人与本公司协商一致，可以变更本合同的有关内</w:t>
      </w:r>
      <w:r>
        <w:rPr>
          <w:spacing w:val="-4"/>
          <w:sz w:val="21"/>
        </w:rPr>
        <w:t>容，并由本公司在保险单或其他保险凭证上批注或附贴批单，或由投保人与</w:t>
      </w:r>
      <w:r>
        <w:rPr>
          <w:spacing w:val="-2"/>
          <w:sz w:val="21"/>
        </w:rPr>
        <w:t>本公司订立书面的变更协议。</w:t>
      </w:r>
    </w:p>
    <w:p>
      <w:pPr>
        <w:pStyle w:val="4"/>
        <w:spacing w:before="3"/>
        <w:rPr>
          <w:sz w:val="24"/>
        </w:rPr>
      </w:pPr>
    </w:p>
    <w:p>
      <w:pPr>
        <w:pStyle w:val="8"/>
        <w:numPr>
          <w:ilvl w:val="1"/>
          <w:numId w:val="9"/>
        </w:numPr>
        <w:tabs>
          <w:tab w:val="left" w:pos="1229"/>
        </w:tabs>
        <w:spacing w:before="1" w:after="0" w:line="278" w:lineRule="auto"/>
        <w:ind w:left="2997" w:right="786" w:hanging="2730"/>
        <w:jc w:val="both"/>
        <w:rPr>
          <w:sz w:val="21"/>
        </w:rPr>
      </w:pPr>
      <w:r>
        <w:rPr>
          <w:b/>
          <w:spacing w:val="46"/>
          <w:sz w:val="21"/>
        </w:rPr>
        <w:t xml:space="preserve">联系方式变更 </w:t>
      </w:r>
      <w:r>
        <w:rPr>
          <w:spacing w:val="-3"/>
          <w:sz w:val="21"/>
        </w:rPr>
        <w:t>为保障投保人的合法权益，投保人的住所、通讯地址或电话等联系方式变更</w:t>
      </w:r>
      <w:r>
        <w:rPr>
          <w:spacing w:val="-4"/>
          <w:sz w:val="21"/>
        </w:rPr>
        <w:t>时，请及时以书面形式或投保人与本公司约定的其他形式通知本公司。若投</w:t>
      </w:r>
      <w:r>
        <w:rPr>
          <w:spacing w:val="-12"/>
          <w:sz w:val="21"/>
        </w:rPr>
        <w:t>保人未通知本公司，本公司按本合同载明的最后住所或通讯地址所发送的有</w:t>
      </w:r>
      <w:r>
        <w:rPr>
          <w:spacing w:val="-2"/>
          <w:sz w:val="21"/>
        </w:rPr>
        <w:t>关通知，均视为已送达。</w:t>
      </w:r>
    </w:p>
    <w:p>
      <w:pPr>
        <w:pStyle w:val="4"/>
        <w:spacing w:before="4"/>
        <w:rPr>
          <w:sz w:val="24"/>
        </w:rPr>
      </w:pPr>
    </w:p>
    <w:p>
      <w:pPr>
        <w:pStyle w:val="8"/>
        <w:numPr>
          <w:ilvl w:val="1"/>
          <w:numId w:val="9"/>
        </w:numPr>
        <w:tabs>
          <w:tab w:val="left" w:pos="1229"/>
        </w:tabs>
        <w:spacing w:before="0" w:after="0" w:line="278" w:lineRule="auto"/>
        <w:ind w:left="2997" w:right="901" w:hanging="2730"/>
        <w:jc w:val="both"/>
        <w:rPr>
          <w:sz w:val="21"/>
        </w:rPr>
      </w:pPr>
      <w:r>
        <w:rPr>
          <w:b/>
          <w:sz w:val="21"/>
        </w:rPr>
        <w:t>争议处理</w:t>
      </w:r>
      <w:r>
        <w:rPr>
          <w:b/>
          <w:spacing w:val="790"/>
          <w:sz w:val="21"/>
        </w:rPr>
        <w:t xml:space="preserve"> </w:t>
      </w:r>
      <w:r>
        <w:rPr>
          <w:sz w:val="21"/>
        </w:rPr>
        <w:t>因履行本合同发生的争议，由当事人协商解决。协商不成的，可向本合同</w:t>
      </w:r>
      <w:r>
        <w:rPr>
          <w:spacing w:val="-2"/>
          <w:sz w:val="21"/>
        </w:rPr>
        <w:t>载明的仲裁机构提交仲裁；本合同未载明仲裁机构或者争议发生后未达成仲裁协议的，依法向人民法院起诉。</w:t>
      </w:r>
    </w:p>
    <w:p>
      <w:pPr>
        <w:pStyle w:val="4"/>
        <w:spacing w:before="163" w:line="266" w:lineRule="auto"/>
        <w:ind w:left="2997" w:right="795"/>
      </w:pPr>
      <w:r>
        <w:rPr>
          <w:spacing w:val="-2"/>
        </w:rPr>
        <w:t>与本合同有关的以及履行本合同产生的一切争议处理适用中华人民共和国法律</w:t>
      </w:r>
      <w:r>
        <w:rPr>
          <w:color w:val="000000"/>
          <w:spacing w:val="-2"/>
          <w:shd w:val="clear" w:color="auto" w:fill="D9D9D9"/>
        </w:rPr>
        <w:t>（不包括港、澳、台地区法律</w:t>
      </w:r>
      <w:r>
        <w:rPr>
          <w:color w:val="000000"/>
          <w:spacing w:val="-109"/>
          <w:shd w:val="clear" w:color="auto" w:fill="D9D9D9"/>
        </w:rPr>
        <w:t>）</w:t>
      </w:r>
      <w:r>
        <w:rPr>
          <w:color w:val="000000"/>
          <w:spacing w:val="-2"/>
        </w:rPr>
        <w:t>。</w:t>
      </w:r>
    </w:p>
    <w:p>
      <w:pPr>
        <w:pStyle w:val="4"/>
        <w:rPr>
          <w:sz w:val="24"/>
        </w:rPr>
      </w:pPr>
    </w:p>
    <w:p>
      <w:pPr>
        <w:spacing w:before="0"/>
        <w:ind w:left="6881" w:right="0" w:firstLine="0"/>
        <w:jc w:val="left"/>
        <w:rPr>
          <w:b/>
          <w:sz w:val="21"/>
        </w:rPr>
      </w:pPr>
      <w:r>
        <w:rPr>
          <w:b/>
          <w:spacing w:val="-2"/>
          <w:sz w:val="21"/>
        </w:rPr>
        <w:t>【本页内容结束】</w:t>
      </w:r>
    </w:p>
    <w:p>
      <w:pPr>
        <w:spacing w:after="0"/>
        <w:jc w:val="left"/>
        <w:rPr>
          <w:sz w:val="21"/>
        </w:rPr>
        <w:sectPr>
          <w:pgSz w:w="11910" w:h="16840"/>
          <w:pgMar w:top="1540" w:right="360" w:bottom="280" w:left="920" w:header="720" w:footer="720" w:gutter="0"/>
          <w:cols w:space="720" w:num="1"/>
        </w:sectPr>
      </w:pPr>
    </w:p>
    <w:p>
      <w:pPr>
        <w:spacing w:before="60"/>
        <w:ind w:left="267" w:right="0" w:firstLine="0"/>
        <w:jc w:val="left"/>
        <w:rPr>
          <w:b/>
          <w:sz w:val="21"/>
        </w:rPr>
      </w:pPr>
      <w:r>
        <w:rPr>
          <w:b/>
          <w:sz w:val="21"/>
        </w:rPr>
        <w:t>附表一</w:t>
      </w:r>
      <w:r>
        <w:rPr>
          <w:b/>
          <w:spacing w:val="104"/>
          <w:w w:val="150"/>
          <w:sz w:val="21"/>
        </w:rPr>
        <w:t xml:space="preserve"> </w:t>
      </w:r>
      <w:r>
        <w:rPr>
          <w:b/>
          <w:spacing w:val="30"/>
          <w:sz w:val="21"/>
        </w:rPr>
        <w:t>特定恶性肿</w:t>
      </w:r>
    </w:p>
    <w:p>
      <w:pPr>
        <w:spacing w:before="43" w:line="278" w:lineRule="auto"/>
        <w:ind w:left="1166" w:right="0" w:firstLine="0"/>
        <w:jc w:val="left"/>
        <w:rPr>
          <w:b/>
          <w:sz w:val="21"/>
        </w:rPr>
      </w:pPr>
      <w:r>
        <w:rPr>
          <w:b/>
          <w:spacing w:val="10"/>
          <w:sz w:val="21"/>
        </w:rPr>
        <w:t>瘤-</w:t>
      </w:r>
      <w:r>
        <w:rPr>
          <w:b/>
          <w:spacing w:val="7"/>
          <w:sz w:val="21"/>
        </w:rPr>
        <w:t>重度疾病</w:t>
      </w:r>
      <w:r>
        <w:rPr>
          <w:b/>
          <w:spacing w:val="-6"/>
          <w:sz w:val="21"/>
        </w:rPr>
        <w:t>定义</w:t>
      </w:r>
    </w:p>
    <w:p>
      <w:pPr>
        <w:pStyle w:val="4"/>
        <w:spacing w:before="60" w:line="278" w:lineRule="auto"/>
        <w:ind w:left="163" w:right="218"/>
        <w:jc w:val="both"/>
      </w:pPr>
      <w:r>
        <w:br w:type="column"/>
      </w:r>
      <w:r>
        <w:rPr>
          <w:spacing w:val="-2"/>
        </w:rPr>
        <w:t>本合同所保障的特定恶性肿瘤-重度是原发于被保险人特定部位的恶性肿瘤-重度，包括肺癌、肝癌、胃癌、肾癌、白血病、结直肠癌、前列腺癌、卵巢癌、乳腺癌、淋巴瘤、骨髓瘤、鼻咽癌、头颈癌、黑色素瘤、软组织肉瘤、胃肠道间质瘤、胰腺神经内</w:t>
      </w:r>
      <w:r>
        <w:rPr>
          <w:spacing w:val="-4"/>
        </w:rPr>
        <w:t>分泌瘤。特定部位的恶性肿瘤-重度需经病理学检查结果明确诊断，是属于中国保险行</w:t>
      </w:r>
      <w:r>
        <w:rPr>
          <w:spacing w:val="-5"/>
        </w:rPr>
        <w:t>业协会制定的规范定义的重大疾病中恶性肿瘤-重度范围内的疾病。被保险人发生符合</w:t>
      </w:r>
      <w:r>
        <w:rPr>
          <w:spacing w:val="-2"/>
        </w:rPr>
        <w:t>以下特定恶性肿瘤-重度定义所述条件的疾病，应当由专科医生明确诊断。</w:t>
      </w:r>
    </w:p>
    <w:p>
      <w:pPr>
        <w:pStyle w:val="4"/>
        <w:spacing w:before="4"/>
        <w:rPr>
          <w:sz w:val="24"/>
        </w:rPr>
      </w:pPr>
    </w:p>
    <w:p>
      <w:pPr>
        <w:spacing w:before="0"/>
        <w:ind w:left="163" w:right="0" w:firstLine="0"/>
        <w:jc w:val="left"/>
        <w:rPr>
          <w:b/>
          <w:sz w:val="21"/>
        </w:rPr>
      </w:pPr>
      <w:r>
        <w:rPr>
          <w:b/>
          <w:w w:val="95"/>
          <w:sz w:val="21"/>
        </w:rPr>
        <w:t>特定恶性肿瘤-重度</w:t>
      </w:r>
      <w:r>
        <w:rPr>
          <w:b/>
          <w:spacing w:val="-10"/>
          <w:w w:val="95"/>
          <w:sz w:val="21"/>
        </w:rPr>
        <w:t>：</w:t>
      </w:r>
    </w:p>
    <w:p>
      <w:pPr>
        <w:pStyle w:val="4"/>
        <w:spacing w:before="7"/>
        <w:rPr>
          <w:b/>
          <w:sz w:val="15"/>
        </w:rPr>
      </w:pPr>
    </w:p>
    <w:p>
      <w:pPr>
        <w:pStyle w:val="4"/>
        <w:spacing w:line="278" w:lineRule="auto"/>
        <w:ind w:left="163" w:right="113"/>
      </w:pPr>
      <w:r>
        <w:rPr>
          <w:spacing w:val="-11"/>
          <w:w w:val="100"/>
        </w:rPr>
        <w:t>指原发于被保险人特定部位的恶性肿瘤-重度，包括肺癌、肝癌、胃癌、肾癌、白血病、</w:t>
      </w:r>
      <w:r>
        <w:rPr>
          <w:spacing w:val="-8"/>
          <w:w w:val="100"/>
        </w:rPr>
        <w:t>结直肠癌、前列腺癌、卵巢癌、乳腺癌、淋巴瘤、骨髓瘤、鼻咽癌、头颈癌、黑色素</w:t>
      </w:r>
      <w:r>
        <w:rPr>
          <w:spacing w:val="-5"/>
          <w:w w:val="100"/>
        </w:rPr>
        <w:t>瘤、软组织肉瘤、胃肠道间质瘤、胰腺神经内分泌瘤。</w:t>
      </w:r>
    </w:p>
    <w:p>
      <w:pPr>
        <w:pStyle w:val="4"/>
        <w:spacing w:before="156" w:line="273" w:lineRule="auto"/>
        <w:ind w:left="163" w:right="219"/>
        <w:jc w:val="both"/>
      </w:pPr>
      <w:r>
        <w:rPr>
          <w:spacing w:val="-5"/>
        </w:rPr>
        <w:t>其中恶性肿瘤-重度指恶性细胞不受控制的进行性增长和扩散，浸润和破坏周围正常组</w:t>
      </w:r>
      <w:r>
        <w:rPr>
          <w:spacing w:val="-21"/>
        </w:rPr>
        <w:t>织，可以经血管、淋巴管和体腔扩散转移到身体其它部位，病灶经</w:t>
      </w:r>
      <w:r>
        <w:rPr>
          <w:b/>
          <w:spacing w:val="-2"/>
        </w:rPr>
        <w:t>组织病理学检查</w:t>
      </w:r>
      <w:r>
        <w:rPr>
          <w:b/>
          <w:spacing w:val="-2"/>
          <w:position w:val="11"/>
          <w:sz w:val="11"/>
        </w:rPr>
        <w:t>29</w:t>
      </w:r>
      <w:r>
        <w:rPr>
          <w:spacing w:val="-2"/>
        </w:rPr>
        <w:t>（涵盖骨髓病理学检查）结果明确诊断，临床诊断属于世界卫生组织（WHO，World</w:t>
      </w:r>
      <w:r>
        <w:rPr>
          <w:spacing w:val="-23"/>
        </w:rPr>
        <w:t xml:space="preserve"> </w:t>
      </w:r>
      <w:r>
        <w:rPr>
          <w:spacing w:val="-2"/>
        </w:rPr>
        <w:t xml:space="preserve">Health </w:t>
      </w:r>
      <w:r>
        <w:rPr>
          <w:spacing w:val="6"/>
        </w:rPr>
        <w:t>Organ</w:t>
      </w:r>
      <w:r>
        <w:rPr>
          <w:spacing w:val="3"/>
        </w:rPr>
        <w:t>i</w:t>
      </w:r>
      <w:r>
        <w:rPr>
          <w:spacing w:val="6"/>
        </w:rPr>
        <w:t>zat</w:t>
      </w:r>
      <w:r>
        <w:rPr>
          <w:spacing w:val="3"/>
        </w:rPr>
        <w:t>i</w:t>
      </w:r>
      <w:r>
        <w:rPr>
          <w:spacing w:val="6"/>
        </w:rPr>
        <w:t>on</w:t>
      </w:r>
      <w:r>
        <w:rPr>
          <w:spacing w:val="-100"/>
        </w:rPr>
        <w:t>）</w:t>
      </w:r>
      <w:r>
        <w:rPr>
          <w:spacing w:val="-2"/>
        </w:rPr>
        <w:t>《疾病和有关健康问题的国际统计分类》第十次修订版（</w:t>
      </w:r>
      <w:r>
        <w:rPr>
          <w:b/>
          <w:spacing w:val="-2"/>
        </w:rPr>
        <w:t>ICD-10</w:t>
      </w:r>
      <w:r>
        <w:rPr>
          <w:b/>
          <w:spacing w:val="-2"/>
          <w:position w:val="11"/>
          <w:sz w:val="11"/>
        </w:rPr>
        <w:t>30</w:t>
      </w:r>
      <w:r>
        <w:rPr>
          <w:spacing w:val="-2"/>
        </w:rPr>
        <w:t>）的恶性肿瘤类别及《国际疾病分类肿瘤学专辑》第三版（ICD-O-3）的肿瘤形态学编码属</w:t>
      </w:r>
      <w:r>
        <w:rPr>
          <w:spacing w:val="-21"/>
        </w:rPr>
        <w:t xml:space="preserve">于 </w:t>
      </w:r>
      <w:r>
        <w:t>3、6、9（恶性肿瘤）范畴的疾病。</w:t>
      </w:r>
    </w:p>
    <w:p>
      <w:pPr>
        <w:spacing w:after="0" w:line="273" w:lineRule="auto"/>
        <w:jc w:val="both"/>
        <w:sectPr>
          <w:pgSz w:w="11910" w:h="16840"/>
          <w:pgMar w:top="1540" w:right="360" w:bottom="280" w:left="920" w:header="720" w:footer="720" w:gutter="0"/>
          <w:cols w:equalWidth="0" w:num="2">
            <w:col w:w="2403" w:space="40"/>
            <w:col w:w="8187"/>
          </w:cols>
        </w:sectPr>
      </w:pPr>
    </w:p>
    <w:p>
      <w:pPr>
        <w:pStyle w:val="4"/>
        <w:spacing w:before="168"/>
        <w:ind w:left="2606"/>
      </w:pPr>
      <w:r>
        <w:rPr>
          <w:color w:val="000000"/>
          <w:spacing w:val="-3"/>
          <w:shd w:val="clear" w:color="auto" w:fill="E4E4E4"/>
        </w:rPr>
        <w:t>下列疾病不在本合同保障范围内：</w:t>
      </w:r>
    </w:p>
    <w:p>
      <w:pPr>
        <w:pStyle w:val="4"/>
        <w:spacing w:before="12"/>
        <w:rPr>
          <w:sz w:val="9"/>
        </w:rPr>
      </w:pPr>
    </w:p>
    <w:p>
      <w:pPr>
        <w:pStyle w:val="8"/>
        <w:numPr>
          <w:ilvl w:val="0"/>
          <w:numId w:val="10"/>
        </w:numPr>
        <w:tabs>
          <w:tab w:val="left" w:pos="3326"/>
          <w:tab w:val="left" w:pos="3327"/>
        </w:tabs>
        <w:spacing w:before="72" w:after="0" w:line="278" w:lineRule="auto"/>
        <w:ind w:left="3326" w:right="221" w:hanging="721"/>
        <w:jc w:val="left"/>
        <w:rPr>
          <w:sz w:val="21"/>
        </w:rPr>
      </w:pPr>
      <w:r>
        <w:rPr>
          <w:color w:val="000000"/>
          <w:sz w:val="21"/>
          <w:shd w:val="clear" w:color="auto" w:fill="E4E4E4"/>
        </w:rPr>
        <w:t>ICD-O-3</w:t>
      </w:r>
      <w:r>
        <w:rPr>
          <w:color w:val="000000"/>
          <w:spacing w:val="-9"/>
          <w:sz w:val="21"/>
          <w:shd w:val="clear" w:color="auto" w:fill="E4E4E4"/>
        </w:rPr>
        <w:t xml:space="preserve"> 肿瘤形态学编码属于 </w:t>
      </w:r>
      <w:r>
        <w:rPr>
          <w:color w:val="000000"/>
          <w:sz w:val="21"/>
          <w:shd w:val="clear" w:color="auto" w:fill="E4E4E4"/>
        </w:rPr>
        <w:t>0（良性肿瘤</w:t>
      </w:r>
      <w:r>
        <w:rPr>
          <w:color w:val="000000"/>
          <w:spacing w:val="-106"/>
          <w:sz w:val="21"/>
          <w:shd w:val="clear" w:color="auto" w:fill="E4E4E4"/>
        </w:rPr>
        <w:t>）</w:t>
      </w:r>
      <w:r>
        <w:rPr>
          <w:color w:val="000000"/>
          <w:sz w:val="21"/>
          <w:shd w:val="clear" w:color="auto" w:fill="E4E4E4"/>
        </w:rPr>
        <w:t>、1（动态未定性肿瘤</w:t>
      </w:r>
      <w:r>
        <w:rPr>
          <w:color w:val="000000"/>
          <w:spacing w:val="-106"/>
          <w:sz w:val="21"/>
          <w:shd w:val="clear" w:color="auto" w:fill="E4E4E4"/>
        </w:rPr>
        <w:t>）</w:t>
      </w:r>
      <w:r>
        <w:rPr>
          <w:color w:val="000000"/>
          <w:sz w:val="21"/>
          <w:shd w:val="clear" w:color="auto" w:fill="E4E4E4"/>
        </w:rPr>
        <w:t>、2（原位</w:t>
      </w:r>
      <w:r>
        <w:rPr>
          <w:color w:val="000000"/>
          <w:spacing w:val="13650"/>
          <w:sz w:val="21"/>
          <w:shd w:val="clear" w:color="auto" w:fill="E4E4E4"/>
        </w:rPr>
        <w:t xml:space="preserve"> </w:t>
      </w:r>
      <w:r>
        <w:rPr>
          <w:color w:val="000000"/>
          <w:spacing w:val="-2"/>
          <w:sz w:val="21"/>
          <w:shd w:val="clear" w:color="auto" w:fill="E4E4E4"/>
        </w:rPr>
        <w:t>癌和非侵袭性癌）范畴的疾病，如：</w:t>
      </w:r>
    </w:p>
    <w:p>
      <w:pPr>
        <w:pStyle w:val="8"/>
        <w:numPr>
          <w:ilvl w:val="1"/>
          <w:numId w:val="10"/>
        </w:numPr>
        <w:tabs>
          <w:tab w:val="left" w:pos="3539"/>
        </w:tabs>
        <w:spacing w:before="0" w:after="0" w:line="278" w:lineRule="auto"/>
        <w:ind w:left="3326" w:right="221" w:firstLine="0"/>
        <w:jc w:val="left"/>
        <w:rPr>
          <w:sz w:val="21"/>
        </w:rPr>
      </w:pPr>
      <w:r>
        <w:rPr>
          <w:color w:val="000000"/>
          <w:spacing w:val="-4"/>
          <w:sz w:val="21"/>
          <w:shd w:val="clear" w:color="auto" w:fill="E4E4E4"/>
        </w:rPr>
        <w:t>原位癌，癌前病变，非浸润性癌，非侵袭性癌，肿瘤细胞未侵犯基底层，上</w:t>
      </w:r>
      <w:r>
        <w:rPr>
          <w:color w:val="000000"/>
          <w:spacing w:val="13650"/>
          <w:sz w:val="21"/>
          <w:shd w:val="clear" w:color="auto" w:fill="E4E4E4"/>
        </w:rPr>
        <w:t xml:space="preserve"> </w:t>
      </w:r>
      <w:r>
        <w:rPr>
          <w:color w:val="000000"/>
          <w:spacing w:val="-2"/>
          <w:sz w:val="21"/>
          <w:shd w:val="clear" w:color="auto" w:fill="E4E4E4"/>
        </w:rPr>
        <w:t>皮内瘤变，细胞不典型性增生等；</w:t>
      </w:r>
    </w:p>
    <w:p>
      <w:pPr>
        <w:pStyle w:val="8"/>
        <w:numPr>
          <w:ilvl w:val="1"/>
          <w:numId w:val="10"/>
        </w:numPr>
        <w:tabs>
          <w:tab w:val="left" w:pos="3539"/>
        </w:tabs>
        <w:spacing w:before="0" w:after="0" w:line="240" w:lineRule="auto"/>
        <w:ind w:left="3538" w:right="0" w:hanging="213"/>
        <w:jc w:val="left"/>
        <w:rPr>
          <w:sz w:val="21"/>
        </w:rPr>
      </w:pPr>
      <w:r>
        <w:rPr>
          <w:color w:val="000000"/>
          <w:spacing w:val="-3"/>
          <w:sz w:val="21"/>
          <w:shd w:val="clear" w:color="auto" w:fill="E4E4E4"/>
        </w:rPr>
        <w:t>交界性肿瘤，交界恶性肿瘤，肿瘤低度恶性潜能，潜在低度恶性肿瘤等；</w:t>
      </w:r>
    </w:p>
    <w:p>
      <w:pPr>
        <w:pStyle w:val="4"/>
        <w:spacing w:before="9"/>
        <w:rPr>
          <w:sz w:val="14"/>
        </w:rPr>
      </w:pPr>
    </w:p>
    <w:p>
      <w:pPr>
        <w:pStyle w:val="8"/>
        <w:numPr>
          <w:ilvl w:val="0"/>
          <w:numId w:val="10"/>
        </w:numPr>
        <w:tabs>
          <w:tab w:val="left" w:pos="3326"/>
          <w:tab w:val="left" w:pos="3327"/>
        </w:tabs>
        <w:spacing w:before="0" w:after="0" w:line="240" w:lineRule="auto"/>
        <w:ind w:left="3326" w:right="0" w:hanging="721"/>
        <w:jc w:val="left"/>
        <w:rPr>
          <w:sz w:val="21"/>
        </w:rPr>
      </w:pPr>
      <w:r>
        <w:rPr>
          <w:b/>
          <w:color w:val="000000"/>
          <w:w w:val="95"/>
          <w:sz w:val="21"/>
          <w:shd w:val="clear" w:color="auto" w:fill="E4E4E4"/>
        </w:rPr>
        <w:t>TNM</w:t>
      </w:r>
      <w:r>
        <w:rPr>
          <w:b/>
          <w:color w:val="000000"/>
          <w:spacing w:val="53"/>
          <w:w w:val="150"/>
          <w:sz w:val="21"/>
          <w:shd w:val="clear" w:color="auto" w:fill="E4E4E4"/>
        </w:rPr>
        <w:t xml:space="preserve"> </w:t>
      </w:r>
      <w:r>
        <w:rPr>
          <w:b/>
          <w:color w:val="000000"/>
          <w:w w:val="95"/>
          <w:sz w:val="21"/>
          <w:shd w:val="clear" w:color="auto" w:fill="E4E4E4"/>
        </w:rPr>
        <w:t>分期</w:t>
      </w:r>
      <w:r>
        <w:rPr>
          <w:b/>
          <w:color w:val="000000"/>
          <w:w w:val="95"/>
          <w:position w:val="11"/>
          <w:sz w:val="11"/>
        </w:rPr>
        <w:t>31</w:t>
      </w:r>
      <w:r>
        <w:rPr>
          <w:color w:val="000000"/>
          <w:w w:val="95"/>
          <w:sz w:val="21"/>
          <w:shd w:val="clear" w:color="auto" w:fill="E4E4E4"/>
        </w:rPr>
        <w:t>为Ⅰ期或更轻分期的甲状腺癌</w:t>
      </w:r>
      <w:r>
        <w:rPr>
          <w:color w:val="000000"/>
          <w:spacing w:val="-10"/>
          <w:w w:val="95"/>
          <w:sz w:val="21"/>
          <w:shd w:val="clear" w:color="auto" w:fill="E4E4E4"/>
        </w:rPr>
        <w:t>；</w:t>
      </w:r>
    </w:p>
    <w:p>
      <w:pPr>
        <w:pStyle w:val="4"/>
        <w:spacing w:before="12"/>
        <w:rPr>
          <w:sz w:val="9"/>
        </w:rPr>
      </w:pPr>
    </w:p>
    <w:p>
      <w:pPr>
        <w:pStyle w:val="4"/>
        <w:spacing w:before="72"/>
        <w:ind w:left="2606"/>
      </w:pPr>
      <w:r>
        <w:pict>
          <v:shape id="docshape19" o:spid="_x0000_s1044" o:spt="202" type="#_x0000_t202" style="position:absolute;left:0pt;margin-left:212.3pt;margin-top:3.4pt;height:13.7pt;width:203.9pt;mso-position-horizontal-relative:page;z-index:251666432;mso-width-relative:page;mso-height-relative:page;" fillcolor="#E4E4E4"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position w:val="1"/>
                    </w:rPr>
                    <w:t>TNM</w:t>
                  </w:r>
                  <w:r>
                    <w:rPr>
                      <w:color w:val="000000"/>
                      <w:spacing w:val="-8"/>
                      <w:position w:val="1"/>
                    </w:rPr>
                    <w:t xml:space="preserve"> 分期为</w:t>
                  </w:r>
                  <w:r>
                    <w:rPr>
                      <w:color w:val="000000"/>
                      <w:position w:val="1"/>
                    </w:rPr>
                    <w:t>T</w:t>
                  </w:r>
                  <w:r>
                    <w:rPr>
                      <w:color w:val="000000"/>
                      <w:sz w:val="11"/>
                    </w:rPr>
                    <w:t>1</w:t>
                  </w:r>
                  <w:r>
                    <w:rPr>
                      <w:color w:val="000000"/>
                      <w:position w:val="1"/>
                    </w:rPr>
                    <w:t>N</w:t>
                  </w:r>
                  <w:r>
                    <w:rPr>
                      <w:color w:val="000000"/>
                      <w:sz w:val="11"/>
                    </w:rPr>
                    <w:t>0</w:t>
                  </w:r>
                  <w:r>
                    <w:rPr>
                      <w:color w:val="000000"/>
                      <w:position w:val="1"/>
                    </w:rPr>
                    <w:t>M</w:t>
                  </w:r>
                  <w:r>
                    <w:rPr>
                      <w:color w:val="000000"/>
                      <w:sz w:val="11"/>
                    </w:rPr>
                    <w:t>0</w:t>
                  </w:r>
                  <w:r>
                    <w:rPr>
                      <w:color w:val="000000"/>
                      <w:spacing w:val="-28"/>
                      <w:sz w:val="11"/>
                    </w:rPr>
                    <w:t xml:space="preserve"> </w:t>
                  </w:r>
                  <w:r>
                    <w:rPr>
                      <w:color w:val="000000"/>
                      <w:spacing w:val="-1"/>
                      <w:position w:val="1"/>
                    </w:rPr>
                    <w:t>期或更轻分期的前列腺癌；</w:t>
                  </w:r>
                </w:p>
              </w:txbxContent>
            </v:textbox>
          </v:shape>
        </w:pict>
      </w:r>
      <w:r>
        <w:rPr>
          <w:spacing w:val="-5"/>
        </w:rPr>
        <w:t>3)</w:t>
      </w:r>
    </w:p>
    <w:p>
      <w:pPr>
        <w:pStyle w:val="4"/>
        <w:spacing w:before="12"/>
        <w:rPr>
          <w:sz w:val="9"/>
        </w:rPr>
      </w:pPr>
    </w:p>
    <w:p>
      <w:pPr>
        <w:pStyle w:val="8"/>
        <w:numPr>
          <w:ilvl w:val="0"/>
          <w:numId w:val="11"/>
        </w:numPr>
        <w:tabs>
          <w:tab w:val="left" w:pos="3326"/>
          <w:tab w:val="left" w:pos="3327"/>
        </w:tabs>
        <w:spacing w:before="71" w:after="0" w:line="240" w:lineRule="auto"/>
        <w:ind w:left="3326" w:right="0" w:hanging="721"/>
        <w:jc w:val="left"/>
        <w:rPr>
          <w:sz w:val="21"/>
        </w:rPr>
      </w:pPr>
      <w:r>
        <w:rPr>
          <w:color w:val="000000"/>
          <w:spacing w:val="-3"/>
          <w:sz w:val="21"/>
          <w:shd w:val="clear" w:color="auto" w:fill="E4E4E4"/>
        </w:rPr>
        <w:t>黑色素瘤以外的未发生淋巴结和远处转移的皮肤恶性肿瘤；</w:t>
      </w:r>
    </w:p>
    <w:p>
      <w:pPr>
        <w:pStyle w:val="4"/>
        <w:spacing w:before="12"/>
        <w:rPr>
          <w:sz w:val="9"/>
        </w:rPr>
      </w:pPr>
    </w:p>
    <w:p>
      <w:pPr>
        <w:pStyle w:val="8"/>
        <w:numPr>
          <w:ilvl w:val="0"/>
          <w:numId w:val="11"/>
        </w:numPr>
        <w:tabs>
          <w:tab w:val="left" w:pos="3326"/>
          <w:tab w:val="left" w:pos="3327"/>
        </w:tabs>
        <w:spacing w:before="72" w:after="0" w:line="240" w:lineRule="auto"/>
        <w:ind w:left="3326" w:right="0" w:hanging="721"/>
        <w:jc w:val="left"/>
        <w:rPr>
          <w:sz w:val="21"/>
        </w:rPr>
      </w:pPr>
      <w:r>
        <w:rPr>
          <w:color w:val="000000"/>
          <w:spacing w:val="-14"/>
          <w:sz w:val="21"/>
          <w:shd w:val="clear" w:color="auto" w:fill="E4E4E4"/>
        </w:rPr>
        <w:t xml:space="preserve">相当于 </w:t>
      </w:r>
      <w:r>
        <w:rPr>
          <w:color w:val="000000"/>
          <w:spacing w:val="-2"/>
          <w:sz w:val="21"/>
          <w:shd w:val="clear" w:color="auto" w:fill="E4E4E4"/>
        </w:rPr>
        <w:t>Binet</w:t>
      </w:r>
      <w:r>
        <w:rPr>
          <w:color w:val="000000"/>
          <w:spacing w:val="-18"/>
          <w:sz w:val="21"/>
          <w:shd w:val="clear" w:color="auto" w:fill="E4E4E4"/>
        </w:rPr>
        <w:t xml:space="preserve"> 分期方案 </w:t>
      </w:r>
      <w:r>
        <w:rPr>
          <w:color w:val="000000"/>
          <w:spacing w:val="-2"/>
          <w:sz w:val="21"/>
          <w:shd w:val="clear" w:color="auto" w:fill="E4E4E4"/>
        </w:rPr>
        <w:t>A</w:t>
      </w:r>
      <w:r>
        <w:rPr>
          <w:color w:val="000000"/>
          <w:spacing w:val="-10"/>
          <w:sz w:val="21"/>
          <w:shd w:val="clear" w:color="auto" w:fill="E4E4E4"/>
        </w:rPr>
        <w:t xml:space="preserve"> 期程度的慢性淋巴细胞白血病；</w:t>
      </w:r>
    </w:p>
    <w:p>
      <w:pPr>
        <w:pStyle w:val="4"/>
        <w:spacing w:before="12"/>
        <w:rPr>
          <w:sz w:val="9"/>
        </w:rPr>
      </w:pPr>
    </w:p>
    <w:p>
      <w:pPr>
        <w:pStyle w:val="8"/>
        <w:numPr>
          <w:ilvl w:val="0"/>
          <w:numId w:val="11"/>
        </w:numPr>
        <w:tabs>
          <w:tab w:val="left" w:pos="3326"/>
          <w:tab w:val="left" w:pos="3327"/>
        </w:tabs>
        <w:spacing w:before="72" w:after="0" w:line="240" w:lineRule="auto"/>
        <w:ind w:left="3326" w:right="0" w:hanging="721"/>
        <w:jc w:val="left"/>
        <w:rPr>
          <w:sz w:val="21"/>
        </w:rPr>
      </w:pPr>
      <w:r>
        <w:rPr>
          <w:color w:val="000000"/>
          <w:spacing w:val="-14"/>
          <w:sz w:val="21"/>
          <w:shd w:val="clear" w:color="auto" w:fill="E4E4E4"/>
        </w:rPr>
        <w:t xml:space="preserve">相当于 </w:t>
      </w:r>
      <w:r>
        <w:rPr>
          <w:color w:val="000000"/>
          <w:spacing w:val="-2"/>
          <w:sz w:val="21"/>
          <w:shd w:val="clear" w:color="auto" w:fill="E4E4E4"/>
        </w:rPr>
        <w:t>Ann</w:t>
      </w:r>
      <w:r>
        <w:rPr>
          <w:color w:val="000000"/>
          <w:spacing w:val="10"/>
          <w:sz w:val="21"/>
          <w:shd w:val="clear" w:color="auto" w:fill="E4E4E4"/>
        </w:rPr>
        <w:t xml:space="preserve"> </w:t>
      </w:r>
      <w:r>
        <w:rPr>
          <w:color w:val="000000"/>
          <w:spacing w:val="-2"/>
          <w:sz w:val="21"/>
          <w:shd w:val="clear" w:color="auto" w:fill="E4E4E4"/>
        </w:rPr>
        <w:t>Arbor</w:t>
      </w:r>
      <w:r>
        <w:rPr>
          <w:color w:val="000000"/>
          <w:spacing w:val="-10"/>
          <w:sz w:val="21"/>
          <w:shd w:val="clear" w:color="auto" w:fill="E4E4E4"/>
        </w:rPr>
        <w:t xml:space="preserve"> 分期方案Ⅰ期程度的何杰金氏病；</w:t>
      </w:r>
    </w:p>
    <w:p>
      <w:pPr>
        <w:pStyle w:val="4"/>
        <w:spacing w:before="12"/>
        <w:rPr>
          <w:sz w:val="9"/>
        </w:rPr>
      </w:pPr>
    </w:p>
    <w:p>
      <w:pPr>
        <w:pStyle w:val="8"/>
        <w:numPr>
          <w:ilvl w:val="0"/>
          <w:numId w:val="11"/>
        </w:numPr>
        <w:tabs>
          <w:tab w:val="left" w:pos="3326"/>
          <w:tab w:val="left" w:pos="3327"/>
        </w:tabs>
        <w:spacing w:before="71" w:after="0" w:line="240" w:lineRule="auto"/>
        <w:ind w:left="3326" w:right="0" w:hanging="721"/>
        <w:jc w:val="left"/>
        <w:rPr>
          <w:sz w:val="21"/>
        </w:rPr>
      </w:pPr>
      <w:r>
        <w:rPr>
          <w:color w:val="000000"/>
          <w:spacing w:val="-6"/>
          <w:sz w:val="21"/>
          <w:shd w:val="clear" w:color="auto" w:fill="E4E4E4"/>
        </w:rPr>
        <w:t xml:space="preserve">未发生淋巴结和远处转移且 </w:t>
      </w:r>
      <w:r>
        <w:rPr>
          <w:color w:val="000000"/>
          <w:spacing w:val="-2"/>
          <w:sz w:val="21"/>
          <w:shd w:val="clear" w:color="auto" w:fill="E4E4E4"/>
        </w:rPr>
        <w:t>WHO</w:t>
      </w:r>
      <w:r>
        <w:rPr>
          <w:color w:val="000000"/>
          <w:spacing w:val="-24"/>
          <w:sz w:val="21"/>
          <w:shd w:val="clear" w:color="auto" w:fill="E4E4E4"/>
        </w:rPr>
        <w:t xml:space="preserve"> 分级为 </w:t>
      </w:r>
      <w:r>
        <w:rPr>
          <w:color w:val="000000"/>
          <w:spacing w:val="-2"/>
          <w:sz w:val="21"/>
          <w:shd w:val="clear" w:color="auto" w:fill="E4E4E4"/>
        </w:rPr>
        <w:t>G1</w:t>
      </w:r>
      <w:r>
        <w:rPr>
          <w:color w:val="000000"/>
          <w:spacing w:val="-20"/>
          <w:sz w:val="21"/>
          <w:shd w:val="clear" w:color="auto" w:fill="E4E4E4"/>
        </w:rPr>
        <w:t xml:space="preserve"> 级别</w:t>
      </w:r>
      <w:r>
        <w:rPr>
          <w:color w:val="000000"/>
          <w:spacing w:val="-2"/>
          <w:sz w:val="21"/>
          <w:shd w:val="clear" w:color="auto" w:fill="E4E4E4"/>
        </w:rPr>
        <w:t>（核分裂像＜10/50</w:t>
      </w:r>
      <w:r>
        <w:rPr>
          <w:color w:val="000000"/>
          <w:spacing w:val="-29"/>
          <w:sz w:val="21"/>
          <w:shd w:val="clear" w:color="auto" w:fill="E4E4E4"/>
        </w:rPr>
        <w:t xml:space="preserve"> </w:t>
      </w:r>
      <w:r>
        <w:rPr>
          <w:color w:val="000000"/>
          <w:spacing w:val="-2"/>
          <w:sz w:val="21"/>
          <w:shd w:val="clear" w:color="auto" w:fill="E4E4E4"/>
        </w:rPr>
        <w:t>HPF</w:t>
      </w:r>
      <w:r>
        <w:rPr>
          <w:color w:val="000000"/>
          <w:spacing w:val="-37"/>
          <w:sz w:val="21"/>
          <w:shd w:val="clear" w:color="auto" w:fill="E4E4E4"/>
        </w:rPr>
        <w:t xml:space="preserve"> 和 </w:t>
      </w:r>
      <w:r>
        <w:rPr>
          <w:color w:val="000000"/>
          <w:spacing w:val="-5"/>
          <w:sz w:val="21"/>
          <w:shd w:val="clear" w:color="auto" w:fill="E4E4E4"/>
        </w:rPr>
        <w:t>ki-</w:t>
      </w:r>
    </w:p>
    <w:p>
      <w:pPr>
        <w:pStyle w:val="4"/>
        <w:spacing w:before="7"/>
        <w:rPr>
          <w:sz w:val="22"/>
        </w:rPr>
      </w:pPr>
      <w:r>
        <w:drawing>
          <wp:anchor distT="0" distB="0" distL="0" distR="0" simplePos="0" relativeHeight="251659264" behindDoc="0" locked="0" layoutInCell="1" allowOverlap="1">
            <wp:simplePos x="0" y="0"/>
            <wp:positionH relativeFrom="page">
              <wp:posOffset>685800</wp:posOffset>
            </wp:positionH>
            <wp:positionV relativeFrom="paragraph">
              <wp:posOffset>198755</wp:posOffset>
            </wp:positionV>
            <wp:extent cx="1829435" cy="6350"/>
            <wp:effectExtent l="0" t="0" r="0" b="0"/>
            <wp:wrapTopAndBottom/>
            <wp:docPr id="3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9.png"/>
                    <pic:cNvPicPr>
                      <a:picLocks noChangeAspect="1"/>
                    </pic:cNvPicPr>
                  </pic:nvPicPr>
                  <pic:blipFill>
                    <a:blip r:embed="rId14" cstate="print"/>
                    <a:stretch>
                      <a:fillRect/>
                    </a:stretch>
                  </pic:blipFill>
                  <pic:spPr>
                    <a:xfrm>
                      <a:off x="0" y="0"/>
                      <a:ext cx="1829282" cy="6095"/>
                    </a:xfrm>
                    <a:prstGeom prst="rect">
                      <a:avLst/>
                    </a:prstGeom>
                  </pic:spPr>
                </pic:pic>
              </a:graphicData>
            </a:graphic>
          </wp:anchor>
        </w:drawing>
      </w:r>
    </w:p>
    <w:p>
      <w:pPr>
        <w:spacing w:before="91"/>
        <w:ind w:left="160" w:right="0" w:firstLine="0"/>
        <w:jc w:val="left"/>
        <w:rPr>
          <w:rFonts w:ascii="楷体" w:eastAsia="楷体"/>
          <w:sz w:val="18"/>
        </w:rPr>
      </w:pPr>
      <w:r>
        <w:rPr>
          <w:w w:val="95"/>
          <w:position w:val="9"/>
          <w:sz w:val="9"/>
        </w:rPr>
        <w:t>29</w:t>
      </w:r>
      <w:r>
        <w:rPr>
          <w:rFonts w:hint="eastAsia" w:ascii="楷体" w:eastAsia="楷体"/>
          <w:b/>
          <w:w w:val="95"/>
          <w:sz w:val="18"/>
        </w:rPr>
        <w:t>组织病理学检查</w:t>
      </w:r>
      <w:r>
        <w:rPr>
          <w:rFonts w:ascii="楷体" w:eastAsia="楷体"/>
          <w:w w:val="95"/>
          <w:sz w:val="18"/>
        </w:rPr>
        <w:t>：组织病理学检查是通过局部切除、钳取、穿刺等手术方法，从患者机体采取病变组织块，经过包埋、切</w:t>
      </w:r>
      <w:r>
        <w:rPr>
          <w:rFonts w:ascii="楷体" w:eastAsia="楷体"/>
          <w:spacing w:val="-10"/>
          <w:w w:val="95"/>
          <w:sz w:val="18"/>
        </w:rPr>
        <w:t>片</w:t>
      </w:r>
    </w:p>
    <w:p>
      <w:pPr>
        <w:spacing w:before="2" w:line="242" w:lineRule="auto"/>
        <w:ind w:left="160" w:right="717" w:firstLine="0"/>
        <w:jc w:val="left"/>
        <w:rPr>
          <w:rFonts w:ascii="楷体" w:eastAsia="楷体"/>
          <w:sz w:val="18"/>
        </w:rPr>
      </w:pPr>
      <w:r>
        <w:rPr>
          <w:rFonts w:ascii="楷体" w:eastAsia="楷体"/>
          <w:spacing w:val="-2"/>
          <w:sz w:val="18"/>
        </w:rPr>
        <w:t>后，进行病理检查的方法。</w:t>
      </w:r>
      <w:r>
        <w:rPr>
          <w:rFonts w:ascii="楷体" w:eastAsia="楷体"/>
          <w:color w:val="000000"/>
          <w:spacing w:val="-2"/>
          <w:sz w:val="18"/>
          <w:shd w:val="clear" w:color="auto" w:fill="D9D9D9"/>
        </w:rPr>
        <w:t>通过采集病变部位脱落细胞、细针吸取病变部位细胞、体腔积液分离病变细胞等方式获取病变细</w:t>
      </w:r>
      <w:r>
        <w:rPr>
          <w:rFonts w:ascii="楷体" w:eastAsia="楷体"/>
          <w:color w:val="000000"/>
          <w:spacing w:val="80"/>
          <w:w w:val="150"/>
          <w:sz w:val="18"/>
          <w:shd w:val="clear" w:color="auto" w:fill="D9D9D9"/>
        </w:rPr>
        <w:t xml:space="preserve">                                                           </w:t>
      </w:r>
      <w:r>
        <w:rPr>
          <w:rFonts w:ascii="楷体" w:eastAsia="楷体"/>
          <w:color w:val="000000"/>
          <w:spacing w:val="-2"/>
          <w:sz w:val="18"/>
          <w:shd w:val="clear" w:color="auto" w:fill="D9D9D9"/>
        </w:rPr>
        <w:t>胞，制成涂片，进行病理检查的方法，属于细胞病理学检查，不属于组织病理学检查。</w:t>
      </w:r>
    </w:p>
    <w:p>
      <w:pPr>
        <w:spacing w:before="0"/>
        <w:ind w:left="160" w:right="0" w:firstLine="0"/>
        <w:jc w:val="left"/>
        <w:rPr>
          <w:rFonts w:ascii="楷体" w:eastAsia="楷体"/>
          <w:sz w:val="18"/>
        </w:rPr>
      </w:pPr>
      <w:r>
        <w:rPr>
          <w:rFonts w:ascii="楷体" w:eastAsia="楷体"/>
          <w:w w:val="95"/>
          <w:position w:val="9"/>
          <w:sz w:val="9"/>
        </w:rPr>
        <w:t>30</w:t>
      </w:r>
      <w:r>
        <w:rPr>
          <w:rFonts w:hint="eastAsia" w:ascii="楷体" w:eastAsia="楷体"/>
          <w:b/>
          <w:w w:val="95"/>
          <w:sz w:val="18"/>
        </w:rPr>
        <w:t>ICD-10</w:t>
      </w:r>
      <w:r>
        <w:rPr>
          <w:rFonts w:ascii="楷体" w:eastAsia="楷体"/>
          <w:w w:val="95"/>
          <w:sz w:val="18"/>
        </w:rPr>
        <w:t>:《疾病和有关健康问题的国际统计分类》第十次修订版（ICD-10）,是世界卫生组织（WHO）发布的国际通用的疾</w:t>
      </w:r>
      <w:r>
        <w:rPr>
          <w:rFonts w:ascii="楷体" w:eastAsia="楷体"/>
          <w:spacing w:val="-10"/>
          <w:w w:val="95"/>
          <w:sz w:val="18"/>
        </w:rPr>
        <w:t>病</w:t>
      </w:r>
    </w:p>
    <w:p>
      <w:pPr>
        <w:spacing w:before="5" w:line="242" w:lineRule="auto"/>
        <w:ind w:left="160" w:right="714" w:firstLine="0"/>
        <w:jc w:val="both"/>
        <w:rPr>
          <w:rFonts w:ascii="楷体" w:eastAsia="楷体"/>
          <w:sz w:val="18"/>
        </w:rPr>
      </w:pPr>
      <w:r>
        <w:rPr>
          <w:rFonts w:ascii="楷体" w:eastAsia="楷体"/>
          <w:spacing w:val="-11"/>
          <w:sz w:val="18"/>
        </w:rPr>
        <w:t>分类方法。《国际疾病分类肿瘤学专辑》第三版</w:t>
      </w:r>
      <w:r>
        <w:rPr>
          <w:rFonts w:ascii="楷体" w:eastAsia="楷体"/>
          <w:sz w:val="18"/>
        </w:rPr>
        <w:t>（</w:t>
      </w:r>
      <w:r>
        <w:rPr>
          <w:rFonts w:ascii="楷体" w:eastAsia="楷体"/>
          <w:spacing w:val="-2"/>
          <w:sz w:val="18"/>
        </w:rPr>
        <w:t>I</w:t>
      </w:r>
      <w:r>
        <w:rPr>
          <w:rFonts w:ascii="楷体" w:eastAsia="楷体"/>
          <w:spacing w:val="1"/>
          <w:sz w:val="18"/>
        </w:rPr>
        <w:t>C</w:t>
      </w:r>
      <w:r>
        <w:rPr>
          <w:rFonts w:ascii="楷体" w:eastAsia="楷体"/>
          <w:spacing w:val="-2"/>
          <w:sz w:val="18"/>
        </w:rPr>
        <w:t>D</w:t>
      </w:r>
      <w:r>
        <w:rPr>
          <w:rFonts w:ascii="楷体" w:eastAsia="楷体"/>
          <w:spacing w:val="1"/>
          <w:sz w:val="18"/>
        </w:rPr>
        <w:t>-</w:t>
      </w:r>
      <w:r>
        <w:rPr>
          <w:rFonts w:ascii="楷体" w:eastAsia="楷体"/>
          <w:spacing w:val="-2"/>
          <w:sz w:val="18"/>
        </w:rPr>
        <w:t>O</w:t>
      </w:r>
      <w:r>
        <w:rPr>
          <w:rFonts w:ascii="楷体" w:eastAsia="楷体"/>
          <w:spacing w:val="1"/>
          <w:sz w:val="18"/>
        </w:rPr>
        <w:t>-</w:t>
      </w:r>
      <w:r>
        <w:rPr>
          <w:rFonts w:ascii="楷体" w:eastAsia="楷体"/>
          <w:spacing w:val="-2"/>
          <w:sz w:val="18"/>
        </w:rPr>
        <w:t>3</w:t>
      </w:r>
      <w:r>
        <w:rPr>
          <w:rFonts w:ascii="楷体" w:eastAsia="楷体"/>
          <w:spacing w:val="-10"/>
          <w:sz w:val="18"/>
        </w:rPr>
        <w:t>）</w:t>
      </w:r>
      <w:r>
        <w:rPr>
          <w:rFonts w:ascii="楷体" w:eastAsia="楷体"/>
          <w:spacing w:val="-16"/>
          <w:sz w:val="18"/>
        </w:rPr>
        <w:t xml:space="preserve">,是 </w:t>
      </w:r>
      <w:r>
        <w:rPr>
          <w:rFonts w:ascii="楷体" w:eastAsia="楷体"/>
          <w:spacing w:val="1"/>
          <w:sz w:val="18"/>
        </w:rPr>
        <w:t>W</w:t>
      </w:r>
      <w:r>
        <w:rPr>
          <w:rFonts w:ascii="楷体" w:eastAsia="楷体"/>
          <w:spacing w:val="-2"/>
          <w:sz w:val="18"/>
        </w:rPr>
        <w:t>H</w:t>
      </w:r>
      <w:r>
        <w:rPr>
          <w:rFonts w:ascii="楷体" w:eastAsia="楷体"/>
          <w:sz w:val="18"/>
        </w:rPr>
        <w:t>O</w:t>
      </w:r>
      <w:r>
        <w:rPr>
          <w:rFonts w:ascii="楷体" w:eastAsia="楷体"/>
          <w:spacing w:val="-2"/>
          <w:sz w:val="18"/>
        </w:rPr>
        <w:t xml:space="preserve"> 发布的针对</w:t>
      </w:r>
      <w:r>
        <w:rPr>
          <w:rFonts w:ascii="楷体" w:eastAsia="楷体"/>
          <w:spacing w:val="1"/>
          <w:sz w:val="18"/>
        </w:rPr>
        <w:t>I</w:t>
      </w:r>
      <w:r>
        <w:rPr>
          <w:rFonts w:ascii="楷体" w:eastAsia="楷体"/>
          <w:spacing w:val="-2"/>
          <w:sz w:val="18"/>
        </w:rPr>
        <w:t>C</w:t>
      </w:r>
      <w:r>
        <w:rPr>
          <w:rFonts w:ascii="楷体" w:eastAsia="楷体"/>
          <w:sz w:val="18"/>
        </w:rPr>
        <w:t>D</w:t>
      </w:r>
      <w:r>
        <w:rPr>
          <w:rFonts w:ascii="楷体" w:eastAsia="楷体"/>
          <w:spacing w:val="-9"/>
          <w:sz w:val="18"/>
        </w:rPr>
        <w:t xml:space="preserve"> 中肿瘤形态学组织学细胞分类、动态、分化程度的补充编码。其中形态学编码：</w:t>
      </w:r>
      <w:r>
        <w:rPr>
          <w:rFonts w:ascii="楷体" w:eastAsia="楷体"/>
          <w:sz w:val="18"/>
        </w:rPr>
        <w:t>0</w:t>
      </w:r>
      <w:r>
        <w:rPr>
          <w:rFonts w:ascii="楷体" w:eastAsia="楷体"/>
          <w:spacing w:val="-7"/>
          <w:sz w:val="18"/>
        </w:rPr>
        <w:t xml:space="preserve"> 代表良性肿瘤</w:t>
      </w:r>
      <w:r>
        <w:rPr>
          <w:rFonts w:ascii="楷体" w:eastAsia="楷体"/>
          <w:sz w:val="18"/>
        </w:rPr>
        <w:t>；1</w:t>
      </w:r>
      <w:r>
        <w:rPr>
          <w:rFonts w:ascii="楷体" w:eastAsia="楷体"/>
          <w:spacing w:val="-7"/>
          <w:sz w:val="18"/>
        </w:rPr>
        <w:t xml:space="preserve"> 代表动态未定性肿瘤</w:t>
      </w:r>
      <w:r>
        <w:rPr>
          <w:rFonts w:ascii="楷体" w:eastAsia="楷体"/>
          <w:sz w:val="18"/>
        </w:rPr>
        <w:t>；2</w:t>
      </w:r>
      <w:r>
        <w:rPr>
          <w:rFonts w:ascii="楷体" w:eastAsia="楷体"/>
          <w:spacing w:val="-7"/>
          <w:sz w:val="18"/>
        </w:rPr>
        <w:t xml:space="preserve"> 代表原位癌和非侵袭性癌</w:t>
      </w:r>
      <w:r>
        <w:rPr>
          <w:rFonts w:ascii="楷体" w:eastAsia="楷体"/>
          <w:sz w:val="18"/>
        </w:rPr>
        <w:t>；3</w:t>
      </w:r>
      <w:r>
        <w:rPr>
          <w:rFonts w:ascii="楷体" w:eastAsia="楷体"/>
          <w:spacing w:val="-10"/>
          <w:sz w:val="18"/>
        </w:rPr>
        <w:t xml:space="preserve"> 代表恶性肿瘤</w:t>
      </w:r>
      <w:r>
        <w:rPr>
          <w:rFonts w:ascii="楷体" w:eastAsia="楷体"/>
          <w:sz w:val="18"/>
        </w:rPr>
        <w:t>（原发性</w:t>
      </w:r>
      <w:r>
        <w:rPr>
          <w:rFonts w:ascii="楷体" w:eastAsia="楷体"/>
          <w:spacing w:val="-92"/>
          <w:sz w:val="18"/>
        </w:rPr>
        <w:t>）</w:t>
      </w:r>
      <w:r>
        <w:rPr>
          <w:rFonts w:ascii="楷体" w:eastAsia="楷体"/>
          <w:spacing w:val="-10"/>
          <w:sz w:val="18"/>
        </w:rPr>
        <w:t>；</w:t>
      </w:r>
      <w:r>
        <w:rPr>
          <w:rFonts w:ascii="楷体" w:eastAsia="楷体"/>
          <w:sz w:val="18"/>
        </w:rPr>
        <w:t>6</w:t>
      </w:r>
      <w:r>
        <w:rPr>
          <w:rFonts w:ascii="楷体" w:eastAsia="楷体"/>
          <w:spacing w:val="-10"/>
          <w:sz w:val="18"/>
        </w:rPr>
        <w:t xml:space="preserve"> 代表恶性肿瘤</w:t>
      </w:r>
      <w:r>
        <w:rPr>
          <w:rFonts w:ascii="楷体" w:eastAsia="楷体"/>
          <w:sz w:val="18"/>
        </w:rPr>
        <w:t>（转移性</w:t>
      </w:r>
      <w:r>
        <w:rPr>
          <w:rFonts w:ascii="楷体" w:eastAsia="楷体"/>
          <w:spacing w:val="-92"/>
          <w:sz w:val="18"/>
        </w:rPr>
        <w:t>）</w:t>
      </w:r>
      <w:r>
        <w:rPr>
          <w:rFonts w:ascii="楷体" w:eastAsia="楷体"/>
          <w:spacing w:val="-9"/>
          <w:sz w:val="18"/>
        </w:rPr>
        <w:t>；</w:t>
      </w:r>
      <w:r>
        <w:rPr>
          <w:rFonts w:ascii="楷体" w:eastAsia="楷体"/>
          <w:sz w:val="18"/>
        </w:rPr>
        <w:t>9</w:t>
      </w:r>
      <w:r>
        <w:rPr>
          <w:rFonts w:ascii="楷体" w:eastAsia="楷体"/>
          <w:spacing w:val="-10"/>
          <w:sz w:val="18"/>
        </w:rPr>
        <w:t xml:space="preserve"> 代表恶性肿瘤</w:t>
      </w:r>
      <w:r>
        <w:rPr>
          <w:rFonts w:ascii="楷体" w:eastAsia="楷体"/>
          <w:spacing w:val="-3"/>
          <w:sz w:val="18"/>
        </w:rPr>
        <w:t>（</w:t>
      </w:r>
      <w:r>
        <w:rPr>
          <w:rFonts w:ascii="楷体" w:eastAsia="楷体"/>
          <w:sz w:val="18"/>
        </w:rPr>
        <w:t>原发性或转移性未肯定</w:t>
      </w:r>
      <w:r>
        <w:rPr>
          <w:rFonts w:ascii="楷体" w:eastAsia="楷体"/>
          <w:spacing w:val="-92"/>
          <w:sz w:val="18"/>
        </w:rPr>
        <w:t>）</w:t>
      </w:r>
      <w:r>
        <w:rPr>
          <w:rFonts w:ascii="楷体" w:eastAsia="楷体"/>
          <w:spacing w:val="-10"/>
          <w:sz w:val="18"/>
        </w:rPr>
        <w:t xml:space="preserve">。如果出现 </w:t>
      </w:r>
      <w:r>
        <w:rPr>
          <w:rFonts w:ascii="楷体" w:eastAsia="楷体"/>
          <w:spacing w:val="1"/>
          <w:sz w:val="18"/>
        </w:rPr>
        <w:t>I</w:t>
      </w:r>
      <w:r>
        <w:rPr>
          <w:rFonts w:ascii="楷体" w:eastAsia="楷体"/>
          <w:spacing w:val="-2"/>
          <w:sz w:val="18"/>
        </w:rPr>
        <w:t>C</w:t>
      </w:r>
      <w:r>
        <w:rPr>
          <w:rFonts w:ascii="楷体" w:eastAsia="楷体"/>
          <w:spacing w:val="1"/>
          <w:sz w:val="18"/>
        </w:rPr>
        <w:t>D</w:t>
      </w:r>
      <w:r>
        <w:rPr>
          <w:rFonts w:ascii="楷体" w:eastAsia="楷体"/>
          <w:spacing w:val="-2"/>
          <w:sz w:val="18"/>
        </w:rPr>
        <w:t>-</w:t>
      </w:r>
      <w:r>
        <w:rPr>
          <w:rFonts w:ascii="楷体" w:eastAsia="楷体"/>
          <w:spacing w:val="1"/>
          <w:sz w:val="18"/>
        </w:rPr>
        <w:t>1</w:t>
      </w:r>
      <w:r>
        <w:rPr>
          <w:rFonts w:ascii="楷体" w:eastAsia="楷体"/>
          <w:sz w:val="18"/>
        </w:rPr>
        <w:t>0</w:t>
      </w:r>
      <w:r>
        <w:rPr>
          <w:rFonts w:ascii="楷体" w:eastAsia="楷体"/>
          <w:spacing w:val="-30"/>
          <w:sz w:val="18"/>
        </w:rPr>
        <w:t xml:space="preserve"> 与 </w:t>
      </w:r>
      <w:r>
        <w:rPr>
          <w:rFonts w:ascii="楷体" w:eastAsia="楷体"/>
          <w:spacing w:val="-2"/>
          <w:sz w:val="18"/>
        </w:rPr>
        <w:t>I</w:t>
      </w:r>
      <w:r>
        <w:rPr>
          <w:rFonts w:ascii="楷体" w:eastAsia="楷体"/>
          <w:spacing w:val="1"/>
          <w:sz w:val="18"/>
        </w:rPr>
        <w:t>C</w:t>
      </w:r>
      <w:r>
        <w:rPr>
          <w:rFonts w:ascii="楷体" w:eastAsia="楷体"/>
          <w:spacing w:val="-2"/>
          <w:sz w:val="18"/>
        </w:rPr>
        <w:t>D</w:t>
      </w:r>
      <w:r>
        <w:rPr>
          <w:rFonts w:ascii="楷体" w:eastAsia="楷体"/>
          <w:spacing w:val="1"/>
          <w:sz w:val="18"/>
        </w:rPr>
        <w:t>-</w:t>
      </w:r>
      <w:r>
        <w:rPr>
          <w:rFonts w:ascii="楷体" w:eastAsia="楷体"/>
          <w:spacing w:val="-2"/>
          <w:sz w:val="18"/>
        </w:rPr>
        <w:t>0</w:t>
      </w:r>
      <w:r>
        <w:rPr>
          <w:rFonts w:ascii="楷体" w:eastAsia="楷体"/>
          <w:spacing w:val="1"/>
          <w:sz w:val="18"/>
        </w:rPr>
        <w:t>-</w:t>
      </w:r>
      <w:r>
        <w:rPr>
          <w:rFonts w:ascii="楷体" w:eastAsia="楷体"/>
          <w:sz w:val="18"/>
        </w:rPr>
        <w:t>3</w:t>
      </w:r>
      <w:r>
        <w:rPr>
          <w:rFonts w:ascii="楷体" w:eastAsia="楷体"/>
          <w:spacing w:val="-10"/>
          <w:sz w:val="18"/>
        </w:rPr>
        <w:t xml:space="preserve"> 不一致的</w:t>
      </w:r>
      <w:r>
        <w:rPr>
          <w:rFonts w:ascii="楷体" w:eastAsia="楷体"/>
          <w:spacing w:val="-17"/>
          <w:sz w:val="18"/>
        </w:rPr>
        <w:t xml:space="preserve">情况，以 </w:t>
      </w:r>
      <w:r>
        <w:rPr>
          <w:rFonts w:ascii="楷体" w:eastAsia="楷体"/>
          <w:spacing w:val="1"/>
          <w:sz w:val="18"/>
        </w:rPr>
        <w:t>I</w:t>
      </w:r>
      <w:r>
        <w:rPr>
          <w:rFonts w:ascii="楷体" w:eastAsia="楷体"/>
          <w:spacing w:val="-2"/>
          <w:sz w:val="18"/>
        </w:rPr>
        <w:t>C</w:t>
      </w:r>
      <w:r>
        <w:rPr>
          <w:rFonts w:ascii="楷体" w:eastAsia="楷体"/>
          <w:spacing w:val="1"/>
          <w:sz w:val="18"/>
        </w:rPr>
        <w:t>D</w:t>
      </w:r>
      <w:r>
        <w:rPr>
          <w:rFonts w:ascii="楷体" w:eastAsia="楷体"/>
          <w:spacing w:val="-2"/>
          <w:sz w:val="18"/>
        </w:rPr>
        <w:t>-</w:t>
      </w:r>
      <w:r>
        <w:rPr>
          <w:rFonts w:ascii="楷体" w:eastAsia="楷体"/>
          <w:spacing w:val="1"/>
          <w:sz w:val="18"/>
        </w:rPr>
        <w:t>0</w:t>
      </w:r>
      <w:r>
        <w:rPr>
          <w:rFonts w:ascii="楷体" w:eastAsia="楷体"/>
          <w:spacing w:val="-2"/>
          <w:sz w:val="18"/>
        </w:rPr>
        <w:t>-</w:t>
      </w:r>
      <w:r>
        <w:rPr>
          <w:rFonts w:ascii="楷体" w:eastAsia="楷体"/>
          <w:sz w:val="18"/>
        </w:rPr>
        <w:t>3</w:t>
      </w:r>
      <w:r>
        <w:rPr>
          <w:rFonts w:ascii="楷体" w:eastAsia="楷体"/>
          <w:spacing w:val="-12"/>
          <w:sz w:val="18"/>
        </w:rPr>
        <w:t xml:space="preserve"> 为准。</w:t>
      </w:r>
    </w:p>
    <w:p>
      <w:pPr>
        <w:spacing w:before="2" w:line="242" w:lineRule="auto"/>
        <w:ind w:left="102" w:right="713" w:firstLine="0"/>
        <w:jc w:val="both"/>
        <w:rPr>
          <w:rFonts w:ascii="楷体" w:eastAsia="楷体"/>
          <w:sz w:val="18"/>
        </w:rPr>
      </w:pPr>
      <w:r>
        <w:rPr>
          <w:rFonts w:ascii="楷体" w:eastAsia="楷体"/>
          <w:w w:val="101"/>
          <w:position w:val="9"/>
          <w:sz w:val="9"/>
        </w:rPr>
        <w:t>31</w:t>
      </w:r>
      <w:r>
        <w:rPr>
          <w:rFonts w:hint="eastAsia" w:ascii="楷体" w:eastAsia="楷体"/>
          <w:b/>
          <w:spacing w:val="1"/>
          <w:w w:val="99"/>
          <w:sz w:val="18"/>
        </w:rPr>
        <w:t>TN</w:t>
      </w:r>
      <w:r>
        <w:rPr>
          <w:rFonts w:hint="eastAsia" w:ascii="楷体" w:eastAsia="楷体"/>
          <w:b/>
          <w:w w:val="99"/>
          <w:sz w:val="18"/>
        </w:rPr>
        <w:t>M</w:t>
      </w:r>
      <w:r>
        <w:rPr>
          <w:rFonts w:hint="eastAsia" w:ascii="楷体" w:eastAsia="楷体"/>
          <w:b/>
          <w:spacing w:val="-44"/>
          <w:sz w:val="18"/>
        </w:rPr>
        <w:t xml:space="preserve"> </w:t>
      </w:r>
      <w:r>
        <w:rPr>
          <w:rFonts w:hint="eastAsia" w:ascii="楷体" w:eastAsia="楷体"/>
          <w:b/>
          <w:w w:val="99"/>
          <w:sz w:val="18"/>
        </w:rPr>
        <w:t>分期</w:t>
      </w:r>
      <w:r>
        <w:rPr>
          <w:rFonts w:ascii="楷体" w:eastAsia="楷体"/>
          <w:spacing w:val="-3"/>
          <w:sz w:val="18"/>
        </w:rPr>
        <w:t>：</w:t>
      </w:r>
      <w:r>
        <w:rPr>
          <w:rFonts w:ascii="楷体" w:eastAsia="楷体"/>
          <w:spacing w:val="-2"/>
          <w:sz w:val="18"/>
        </w:rPr>
        <w:t>T</w:t>
      </w:r>
      <w:r>
        <w:rPr>
          <w:rFonts w:ascii="楷体" w:eastAsia="楷体"/>
          <w:spacing w:val="1"/>
          <w:sz w:val="18"/>
        </w:rPr>
        <w:t>N</w:t>
      </w:r>
      <w:r>
        <w:rPr>
          <w:rFonts w:ascii="楷体" w:eastAsia="楷体"/>
          <w:sz w:val="18"/>
        </w:rPr>
        <w:t>M</w:t>
      </w:r>
      <w:r>
        <w:rPr>
          <w:rFonts w:ascii="楷体" w:eastAsia="楷体"/>
          <w:spacing w:val="-16"/>
          <w:sz w:val="18"/>
        </w:rPr>
        <w:t xml:space="preserve"> 分期采用 </w:t>
      </w:r>
      <w:r>
        <w:rPr>
          <w:rFonts w:ascii="楷体" w:eastAsia="楷体"/>
          <w:spacing w:val="-2"/>
          <w:sz w:val="18"/>
        </w:rPr>
        <w:t>A</w:t>
      </w:r>
      <w:r>
        <w:rPr>
          <w:rFonts w:ascii="楷体" w:eastAsia="楷体"/>
          <w:spacing w:val="1"/>
          <w:sz w:val="18"/>
        </w:rPr>
        <w:t>J</w:t>
      </w:r>
      <w:r>
        <w:rPr>
          <w:rFonts w:ascii="楷体" w:eastAsia="楷体"/>
          <w:spacing w:val="-2"/>
          <w:sz w:val="18"/>
        </w:rPr>
        <w:t>C</w:t>
      </w:r>
      <w:r>
        <w:rPr>
          <w:rFonts w:ascii="楷体" w:eastAsia="楷体"/>
          <w:sz w:val="18"/>
        </w:rPr>
        <w:t>C</w:t>
      </w:r>
      <w:r>
        <w:rPr>
          <w:rFonts w:ascii="楷体" w:eastAsia="楷体"/>
          <w:spacing w:val="-9"/>
          <w:sz w:val="18"/>
        </w:rPr>
        <w:t xml:space="preserve"> 癌症分期手册标准。该标准由美国癌症联合委员会与国际抗癌联合会 </w:t>
      </w:r>
      <w:r>
        <w:rPr>
          <w:rFonts w:ascii="楷体" w:eastAsia="楷体"/>
          <w:spacing w:val="1"/>
          <w:sz w:val="18"/>
        </w:rPr>
        <w:t>T</w:t>
      </w:r>
      <w:r>
        <w:rPr>
          <w:rFonts w:ascii="楷体" w:eastAsia="楷体"/>
          <w:spacing w:val="-2"/>
          <w:sz w:val="18"/>
        </w:rPr>
        <w:t>N</w:t>
      </w:r>
      <w:r>
        <w:rPr>
          <w:rFonts w:ascii="楷体" w:eastAsia="楷体"/>
          <w:sz w:val="18"/>
        </w:rPr>
        <w:t>M</w:t>
      </w:r>
      <w:r>
        <w:rPr>
          <w:rFonts w:ascii="楷体" w:eastAsia="楷体"/>
          <w:spacing w:val="-8"/>
          <w:sz w:val="18"/>
        </w:rPr>
        <w:t xml:space="preserve"> 委员会联合制定，是目前肿瘤医学分期的国际通用标准。T</w:t>
      </w:r>
      <w:r>
        <w:rPr>
          <w:rFonts w:ascii="楷体" w:eastAsia="楷体"/>
          <w:spacing w:val="-6"/>
          <w:sz w:val="18"/>
        </w:rPr>
        <w:t xml:space="preserve"> 指原发肿瘤大小、形态等</w:t>
      </w:r>
      <w:r>
        <w:rPr>
          <w:rFonts w:ascii="楷体" w:eastAsia="楷体"/>
          <w:sz w:val="18"/>
        </w:rPr>
        <w:t>；N</w:t>
      </w:r>
      <w:r>
        <w:rPr>
          <w:rFonts w:ascii="楷体" w:eastAsia="楷体"/>
          <w:spacing w:val="-6"/>
          <w:sz w:val="18"/>
        </w:rPr>
        <w:t xml:space="preserve"> 指淋巴结的转移情况</w:t>
      </w:r>
      <w:r>
        <w:rPr>
          <w:rFonts w:ascii="楷体" w:eastAsia="楷体"/>
          <w:sz w:val="18"/>
        </w:rPr>
        <w:t>；M</w:t>
      </w:r>
      <w:r>
        <w:rPr>
          <w:rFonts w:ascii="楷体" w:eastAsia="楷体"/>
          <w:spacing w:val="-7"/>
          <w:sz w:val="18"/>
        </w:rPr>
        <w:t xml:space="preserve"> 指有无其他脏器的转移情况。甲</w:t>
      </w:r>
      <w:r>
        <w:rPr>
          <w:rFonts w:ascii="楷体" w:eastAsia="楷体"/>
          <w:spacing w:val="-9"/>
          <w:sz w:val="18"/>
        </w:rPr>
        <w:t xml:space="preserve">状腺癌的 </w:t>
      </w:r>
      <w:r>
        <w:rPr>
          <w:rFonts w:ascii="楷体" w:eastAsia="楷体"/>
          <w:spacing w:val="1"/>
          <w:sz w:val="18"/>
        </w:rPr>
        <w:t>T</w:t>
      </w:r>
      <w:r>
        <w:rPr>
          <w:rFonts w:ascii="楷体" w:eastAsia="楷体"/>
          <w:spacing w:val="-2"/>
          <w:sz w:val="18"/>
        </w:rPr>
        <w:t>N</w:t>
      </w:r>
      <w:r>
        <w:rPr>
          <w:rFonts w:ascii="楷体" w:eastAsia="楷体"/>
          <w:sz w:val="18"/>
        </w:rPr>
        <w:t>M</w:t>
      </w:r>
      <w:r>
        <w:rPr>
          <w:rFonts w:ascii="楷体" w:eastAsia="楷体"/>
          <w:spacing w:val="-12"/>
          <w:sz w:val="18"/>
        </w:rPr>
        <w:t xml:space="preserve"> 分期采用目前现行的 </w:t>
      </w:r>
      <w:r>
        <w:rPr>
          <w:rFonts w:ascii="楷体" w:eastAsia="楷体"/>
          <w:spacing w:val="1"/>
          <w:sz w:val="18"/>
        </w:rPr>
        <w:t>A</w:t>
      </w:r>
      <w:r>
        <w:rPr>
          <w:rFonts w:ascii="楷体" w:eastAsia="楷体"/>
          <w:spacing w:val="-2"/>
          <w:sz w:val="18"/>
        </w:rPr>
        <w:t>J</w:t>
      </w:r>
      <w:r>
        <w:rPr>
          <w:rFonts w:ascii="楷体" w:eastAsia="楷体"/>
          <w:spacing w:val="1"/>
          <w:sz w:val="18"/>
        </w:rPr>
        <w:t>C</w:t>
      </w:r>
      <w:r>
        <w:rPr>
          <w:rFonts w:ascii="楷体" w:eastAsia="楷体"/>
          <w:sz w:val="18"/>
        </w:rPr>
        <w:t>C</w:t>
      </w:r>
      <w:r>
        <w:rPr>
          <w:rFonts w:ascii="楷体" w:eastAsia="楷体"/>
          <w:spacing w:val="-12"/>
          <w:sz w:val="18"/>
        </w:rPr>
        <w:t xml:space="preserve"> 第八版定义标准，我国国家卫生健康委员会 </w:t>
      </w:r>
      <w:r>
        <w:rPr>
          <w:rFonts w:ascii="楷体" w:eastAsia="楷体"/>
          <w:spacing w:val="1"/>
          <w:sz w:val="18"/>
        </w:rPr>
        <w:t>2</w:t>
      </w:r>
      <w:r>
        <w:rPr>
          <w:rFonts w:ascii="楷体" w:eastAsia="楷体"/>
          <w:spacing w:val="-2"/>
          <w:sz w:val="18"/>
        </w:rPr>
        <w:t>0</w:t>
      </w:r>
      <w:r>
        <w:rPr>
          <w:rFonts w:ascii="楷体" w:eastAsia="楷体"/>
          <w:spacing w:val="1"/>
          <w:sz w:val="18"/>
        </w:rPr>
        <w:t>1</w:t>
      </w:r>
      <w:r>
        <w:rPr>
          <w:rFonts w:ascii="楷体" w:eastAsia="楷体"/>
          <w:sz w:val="18"/>
        </w:rPr>
        <w:t>8</w:t>
      </w:r>
      <w:r>
        <w:rPr>
          <w:rFonts w:ascii="楷体" w:eastAsia="楷体"/>
          <w:spacing w:val="-11"/>
          <w:sz w:val="18"/>
        </w:rPr>
        <w:t xml:space="preserve"> 年发布的《甲状腺癌诊疗规范</w:t>
      </w:r>
      <w:r>
        <w:rPr>
          <w:rFonts w:ascii="楷体" w:eastAsia="楷体"/>
          <w:sz w:val="18"/>
        </w:rPr>
        <w:t>（</w:t>
      </w:r>
      <w:r>
        <w:rPr>
          <w:rFonts w:ascii="楷体" w:eastAsia="楷体"/>
          <w:spacing w:val="-2"/>
          <w:sz w:val="18"/>
        </w:rPr>
        <w:t>20</w:t>
      </w:r>
      <w:r>
        <w:rPr>
          <w:rFonts w:ascii="楷体" w:eastAsia="楷体"/>
          <w:spacing w:val="1"/>
          <w:sz w:val="18"/>
        </w:rPr>
        <w:t>1</w:t>
      </w:r>
      <w:r>
        <w:rPr>
          <w:rFonts w:ascii="楷体" w:eastAsia="楷体"/>
          <w:sz w:val="18"/>
        </w:rPr>
        <w:t>8年版</w:t>
      </w:r>
      <w:r>
        <w:rPr>
          <w:rFonts w:ascii="楷体" w:eastAsia="楷体"/>
          <w:spacing w:val="-92"/>
          <w:sz w:val="18"/>
        </w:rPr>
        <w:t>）</w:t>
      </w:r>
      <w:r>
        <w:rPr>
          <w:rFonts w:ascii="楷体" w:eastAsia="楷体"/>
          <w:sz w:val="18"/>
        </w:rPr>
        <w:t>》也采用此定义标准。</w:t>
      </w:r>
    </w:p>
    <w:p>
      <w:pPr>
        <w:spacing w:after="0" w:line="242" w:lineRule="auto"/>
        <w:jc w:val="both"/>
        <w:rPr>
          <w:rFonts w:ascii="楷体" w:eastAsia="楷体"/>
          <w:sz w:val="18"/>
        </w:rPr>
        <w:sectPr>
          <w:type w:val="continuous"/>
          <w:pgSz w:w="11910" w:h="16840"/>
          <w:pgMar w:top="480" w:right="360" w:bottom="280" w:left="920" w:header="720" w:footer="720" w:gutter="0"/>
          <w:cols w:space="720" w:num="1"/>
        </w:sectPr>
      </w:pPr>
    </w:p>
    <w:p>
      <w:pPr>
        <w:pStyle w:val="4"/>
        <w:spacing w:before="44"/>
        <w:ind w:left="2345" w:right="2530"/>
        <w:jc w:val="center"/>
      </w:pPr>
      <w:r>
        <w:rPr>
          <w:color w:val="000000"/>
          <w:spacing w:val="-2"/>
          <w:shd w:val="clear" w:color="auto" w:fill="E4E4E4"/>
        </w:rPr>
        <w:t>67≤2%）</w:t>
      </w:r>
      <w:r>
        <w:rPr>
          <w:color w:val="000000"/>
          <w:spacing w:val="-3"/>
          <w:shd w:val="clear" w:color="auto" w:fill="E4E4E4"/>
        </w:rPr>
        <w:t>或更轻分级的神经内分泌肿瘤。</w:t>
      </w:r>
    </w:p>
    <w:p>
      <w:pPr>
        <w:pStyle w:val="4"/>
        <w:rPr>
          <w:sz w:val="20"/>
        </w:rPr>
      </w:pPr>
    </w:p>
    <w:p>
      <w:pPr>
        <w:pStyle w:val="4"/>
        <w:spacing w:before="11"/>
        <w:rPr>
          <w:sz w:val="20"/>
        </w:rPr>
      </w:pPr>
    </w:p>
    <w:p>
      <w:pPr>
        <w:spacing w:after="0"/>
        <w:rPr>
          <w:sz w:val="20"/>
        </w:rPr>
        <w:sectPr>
          <w:pgSz w:w="11910" w:h="16840"/>
          <w:pgMar w:top="1400" w:right="360" w:bottom="280" w:left="920" w:header="720" w:footer="720" w:gutter="0"/>
          <w:cols w:space="720" w:num="1"/>
        </w:sectPr>
      </w:pPr>
    </w:p>
    <w:p>
      <w:pPr>
        <w:spacing w:before="72"/>
        <w:ind w:left="267" w:right="0" w:firstLine="0"/>
        <w:jc w:val="left"/>
        <w:rPr>
          <w:b/>
          <w:sz w:val="21"/>
        </w:rPr>
      </w:pPr>
      <w:r>
        <w:rPr>
          <w:b/>
          <w:sz w:val="21"/>
        </w:rPr>
        <w:t>附表二</w:t>
      </w:r>
      <w:r>
        <w:rPr>
          <w:b/>
          <w:spacing w:val="104"/>
          <w:w w:val="150"/>
          <w:sz w:val="21"/>
        </w:rPr>
        <w:t xml:space="preserve"> </w:t>
      </w:r>
      <w:r>
        <w:rPr>
          <w:b/>
          <w:spacing w:val="30"/>
          <w:sz w:val="21"/>
        </w:rPr>
        <w:t>甲状腺癌的</w:t>
      </w:r>
    </w:p>
    <w:p>
      <w:pPr>
        <w:spacing w:before="43"/>
        <w:ind w:left="1166" w:right="0" w:firstLine="0"/>
        <w:jc w:val="left"/>
        <w:rPr>
          <w:b/>
          <w:sz w:val="21"/>
        </w:rPr>
      </w:pPr>
      <w:r>
        <w:rPr>
          <w:b/>
          <w:w w:val="95"/>
          <w:sz w:val="21"/>
        </w:rPr>
        <w:t>TNM</w:t>
      </w:r>
      <w:r>
        <w:rPr>
          <w:b/>
          <w:spacing w:val="-26"/>
          <w:w w:val="95"/>
          <w:sz w:val="21"/>
        </w:rPr>
        <w:t xml:space="preserve"> </w:t>
      </w:r>
      <w:r>
        <w:rPr>
          <w:b/>
          <w:w w:val="95"/>
          <w:sz w:val="21"/>
        </w:rPr>
        <w:t>分</w:t>
      </w:r>
      <w:r>
        <w:rPr>
          <w:b/>
          <w:spacing w:val="-10"/>
          <w:w w:val="95"/>
          <w:sz w:val="21"/>
        </w:rPr>
        <w:t>期</w:t>
      </w:r>
    </w:p>
    <w:p>
      <w:pPr>
        <w:pStyle w:val="4"/>
        <w:spacing w:before="72"/>
        <w:ind w:left="174"/>
      </w:pPr>
      <w:r>
        <w:br w:type="column"/>
      </w:r>
      <w:r>
        <w:rPr>
          <w:spacing w:val="-2"/>
        </w:rPr>
        <w:t>甲状腺乳头状癌、滤泡癌、低分化癌、Hürthle</w:t>
      </w:r>
      <w:r>
        <w:rPr>
          <w:spacing w:val="-8"/>
        </w:rPr>
        <w:t xml:space="preserve"> 细胞癌和未分化癌</w:t>
      </w:r>
    </w:p>
    <w:p>
      <w:pPr>
        <w:pStyle w:val="4"/>
        <w:spacing w:before="6"/>
        <w:rPr>
          <w:sz w:val="15"/>
        </w:rPr>
      </w:pPr>
    </w:p>
    <w:p>
      <w:pPr>
        <w:pStyle w:val="4"/>
        <w:spacing w:before="1"/>
        <w:ind w:left="174"/>
      </w:pPr>
      <w:r>
        <w:t>p</w:t>
      </w:r>
      <w:r>
        <w:rPr>
          <w:rFonts w:ascii="Cambria Math" w:eastAsia="Cambria Math"/>
        </w:rPr>
        <w:t>𝑇</w:t>
      </w:r>
      <w:r>
        <w:rPr>
          <w:rFonts w:ascii="Cambria Math" w:eastAsia="Cambria Math"/>
          <w:position w:val="-3"/>
          <w:sz w:val="15"/>
        </w:rPr>
        <w:t>𝑥</w:t>
      </w:r>
      <w:r>
        <w:rPr>
          <w:spacing w:val="-6"/>
        </w:rPr>
        <w:t>： 原发肿瘤不能评估</w:t>
      </w:r>
    </w:p>
    <w:p>
      <w:pPr>
        <w:pStyle w:val="4"/>
        <w:spacing w:before="184"/>
        <w:ind w:left="174"/>
      </w:pPr>
      <w:r>
        <w:t>p</w:t>
      </w:r>
      <w:r>
        <w:rPr>
          <w:rFonts w:ascii="Cambria Math" w:eastAsia="Cambria Math"/>
        </w:rPr>
        <w:t>𝑇</w:t>
      </w:r>
      <w:r>
        <w:rPr>
          <w:rFonts w:ascii="Cambria Math" w:eastAsia="Cambria Math"/>
          <w:vertAlign w:val="subscript"/>
        </w:rPr>
        <w:t>0</w:t>
      </w:r>
      <w:r>
        <w:rPr>
          <w:spacing w:val="-4"/>
          <w:vertAlign w:val="baseline"/>
        </w:rPr>
        <w:t>： 无肿瘤证据</w:t>
      </w:r>
    </w:p>
    <w:p>
      <w:pPr>
        <w:pStyle w:val="4"/>
        <w:spacing w:before="199"/>
        <w:ind w:left="174"/>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4"/>
        <w:spacing w:before="199"/>
        <w:ind w:left="80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4"/>
        <w:spacing w:before="185"/>
        <w:ind w:left="80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4"/>
        <w:spacing w:before="185"/>
        <w:ind w:left="174"/>
      </w:pPr>
      <w:r>
        <w:t>p</w:t>
      </w:r>
      <w:r>
        <w:rPr>
          <w:rFonts w:ascii="Cambria Math" w:eastAsia="Cambria Math"/>
        </w:rPr>
        <w:t>𝑇</w:t>
      </w:r>
      <w:r>
        <w:rPr>
          <w:rFonts w:ascii="Cambria Math" w:eastAsia="Cambria Math"/>
          <w:vertAlign w:val="subscript"/>
        </w:rPr>
        <w:t>2</w:t>
      </w:r>
      <w:r>
        <w:rPr>
          <w:spacing w:val="-13"/>
          <w:vertAlign w:val="baseline"/>
        </w:rPr>
        <w:t xml:space="preserve">： 肿瘤 </w:t>
      </w:r>
      <w:r>
        <w:rPr>
          <w:spacing w:val="-2"/>
          <w:vertAlign w:val="baseline"/>
        </w:rPr>
        <w:t>2～4cm</w:t>
      </w:r>
    </w:p>
    <w:p>
      <w:pPr>
        <w:pStyle w:val="4"/>
        <w:spacing w:before="199"/>
        <w:ind w:left="174"/>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4"/>
        <w:spacing w:before="199"/>
        <w:ind w:left="174"/>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4"/>
        <w:spacing w:before="185"/>
        <w:ind w:left="174"/>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4"/>
        <w:spacing w:before="184"/>
        <w:ind w:left="805"/>
      </w:pPr>
      <w:r>
        <w:rPr>
          <w:spacing w:val="-3"/>
        </w:rPr>
        <w:t>带状肌包括：胸骨舌骨肌、胸骨甲状肌、甲状舌骨肌、肩胛舌骨肌</w:t>
      </w:r>
    </w:p>
    <w:p>
      <w:pPr>
        <w:pStyle w:val="4"/>
        <w:spacing w:before="7"/>
        <w:rPr>
          <w:sz w:val="15"/>
        </w:rPr>
      </w:pPr>
    </w:p>
    <w:p>
      <w:pPr>
        <w:pStyle w:val="4"/>
        <w:ind w:left="174"/>
      </w:pPr>
      <w:r>
        <w:t>p</w:t>
      </w:r>
      <w:r>
        <w:rPr>
          <w:rFonts w:ascii="Cambria Math" w:eastAsia="Cambria Math"/>
        </w:rPr>
        <w:t>𝑇</w:t>
      </w:r>
      <w:r>
        <w:rPr>
          <w:rFonts w:ascii="Cambria Math" w:eastAsia="Cambria Math"/>
          <w:vertAlign w:val="subscript"/>
        </w:rPr>
        <w:t>4</w:t>
      </w:r>
      <w:r>
        <w:rPr>
          <w:spacing w:val="-6"/>
          <w:vertAlign w:val="baseline"/>
        </w:rPr>
        <w:t>： 大体侵犯甲状腺外带状肌外</w:t>
      </w:r>
    </w:p>
    <w:p>
      <w:pPr>
        <w:pStyle w:val="4"/>
        <w:spacing w:before="199" w:line="405" w:lineRule="auto"/>
        <w:ind w:left="174" w:right="3212"/>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：侵犯喉、气管、食管、喉反神经及皮下软组织 p</w:t>
      </w:r>
      <w:r>
        <w:rPr>
          <w:rFonts w:ascii="Cambria Math" w:eastAsia="Cambria Math"/>
          <w:spacing w:val="-2"/>
        </w:rPr>
        <w:t>𝑇</w:t>
      </w:r>
      <w:r>
        <w:rPr>
          <w:rFonts w:ascii="Cambria Math" w:eastAsia="Cambria Math"/>
          <w:spacing w:val="-2"/>
          <w:position w:val="-3"/>
          <w:sz w:val="15"/>
        </w:rPr>
        <w:t>4𝑏</w:t>
      </w:r>
      <w:r>
        <w:rPr>
          <w:spacing w:val="-2"/>
        </w:rPr>
        <w:t>：侵犯椎前筋膜，或包裹颈动脉、纵隔血管</w:t>
      </w:r>
    </w:p>
    <w:p>
      <w:pPr>
        <w:pStyle w:val="4"/>
        <w:spacing w:line="267" w:lineRule="exact"/>
        <w:ind w:left="174"/>
      </w:pPr>
      <w:r>
        <w:rPr>
          <w:spacing w:val="-4"/>
        </w:rPr>
        <w:t>甲状腺髓样癌</w:t>
      </w:r>
    </w:p>
    <w:p>
      <w:pPr>
        <w:pStyle w:val="4"/>
        <w:spacing w:before="7"/>
        <w:rPr>
          <w:sz w:val="15"/>
        </w:rPr>
      </w:pPr>
    </w:p>
    <w:p>
      <w:pPr>
        <w:pStyle w:val="4"/>
        <w:ind w:left="174"/>
      </w:pPr>
      <w:r>
        <w:t>p</w:t>
      </w:r>
      <w:r>
        <w:rPr>
          <w:rFonts w:ascii="Cambria Math" w:eastAsia="Cambria Math"/>
        </w:rPr>
        <w:t>𝑇</w:t>
      </w:r>
      <w:r>
        <w:rPr>
          <w:rFonts w:ascii="Cambria Math" w:eastAsia="Cambria Math"/>
          <w:position w:val="-3"/>
          <w:sz w:val="15"/>
        </w:rPr>
        <w:t>𝑥</w:t>
      </w:r>
      <w:r>
        <w:rPr>
          <w:spacing w:val="-6"/>
        </w:rPr>
        <w:t>： 原发肿瘤不能评估</w:t>
      </w:r>
    </w:p>
    <w:p>
      <w:pPr>
        <w:pStyle w:val="4"/>
        <w:spacing w:before="185"/>
        <w:ind w:left="174"/>
      </w:pPr>
      <w:r>
        <w:t>p</w:t>
      </w:r>
      <w:r>
        <w:rPr>
          <w:rFonts w:ascii="Cambria Math" w:eastAsia="Cambria Math"/>
        </w:rPr>
        <w:t>𝑇</w:t>
      </w:r>
      <w:r>
        <w:rPr>
          <w:rFonts w:ascii="Cambria Math" w:eastAsia="Cambria Math"/>
          <w:vertAlign w:val="subscript"/>
        </w:rPr>
        <w:t>0</w:t>
      </w:r>
      <w:r>
        <w:rPr>
          <w:spacing w:val="-4"/>
          <w:vertAlign w:val="baseline"/>
        </w:rPr>
        <w:t>： 无肿瘤证据</w:t>
      </w:r>
    </w:p>
    <w:p>
      <w:pPr>
        <w:pStyle w:val="4"/>
        <w:spacing w:before="199"/>
        <w:ind w:left="174"/>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4"/>
        <w:spacing w:before="199"/>
        <w:ind w:left="80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4"/>
        <w:spacing w:before="184"/>
        <w:ind w:left="805"/>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4"/>
        <w:spacing w:before="185"/>
        <w:ind w:left="174"/>
      </w:pPr>
      <w:r>
        <w:t>p</w:t>
      </w:r>
      <w:r>
        <w:rPr>
          <w:rFonts w:ascii="Cambria Math" w:eastAsia="Cambria Math"/>
        </w:rPr>
        <w:t>𝑇</w:t>
      </w:r>
      <w:r>
        <w:rPr>
          <w:rFonts w:ascii="Cambria Math" w:eastAsia="Cambria Math"/>
          <w:vertAlign w:val="subscript"/>
        </w:rPr>
        <w:t>2</w:t>
      </w:r>
      <w:r>
        <w:rPr>
          <w:spacing w:val="-13"/>
          <w:vertAlign w:val="baseline"/>
        </w:rPr>
        <w:t xml:space="preserve">： 肿瘤 </w:t>
      </w:r>
      <w:r>
        <w:rPr>
          <w:spacing w:val="-2"/>
          <w:vertAlign w:val="baseline"/>
        </w:rPr>
        <w:t>2～4cm</w:t>
      </w:r>
    </w:p>
    <w:p>
      <w:pPr>
        <w:pStyle w:val="4"/>
        <w:spacing w:before="199"/>
        <w:ind w:left="174"/>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4"/>
        <w:spacing w:before="199"/>
        <w:ind w:left="174"/>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4"/>
        <w:spacing w:before="185"/>
        <w:ind w:left="174"/>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4"/>
        <w:spacing w:before="185"/>
        <w:ind w:left="805"/>
      </w:pPr>
      <w:r>
        <w:rPr>
          <w:spacing w:val="-3"/>
        </w:rPr>
        <w:t>带状肌包括：胸骨舌骨肌、胸骨甲状肌、甲状舌骨肌、肩胛舌骨肌</w:t>
      </w:r>
    </w:p>
    <w:p>
      <w:pPr>
        <w:pStyle w:val="4"/>
        <w:spacing w:before="7"/>
        <w:rPr>
          <w:sz w:val="15"/>
        </w:rPr>
      </w:pPr>
    </w:p>
    <w:p>
      <w:pPr>
        <w:pStyle w:val="4"/>
        <w:ind w:left="174"/>
      </w:pPr>
      <w:r>
        <w:t>p</w:t>
      </w:r>
      <w:r>
        <w:rPr>
          <w:rFonts w:ascii="Cambria Math" w:eastAsia="Cambria Math"/>
        </w:rPr>
        <w:t>𝑇</w:t>
      </w:r>
      <w:r>
        <w:rPr>
          <w:rFonts w:ascii="Cambria Math" w:eastAsia="Cambria Math"/>
          <w:vertAlign w:val="subscript"/>
        </w:rPr>
        <w:t>4</w:t>
      </w:r>
      <w:r>
        <w:rPr>
          <w:spacing w:val="-5"/>
          <w:vertAlign w:val="baseline"/>
        </w:rPr>
        <w:t>： 进展期病变</w:t>
      </w:r>
    </w:p>
    <w:p>
      <w:pPr>
        <w:pStyle w:val="4"/>
        <w:spacing w:before="199" w:line="266" w:lineRule="auto"/>
        <w:ind w:left="174" w:right="221"/>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：中度进展，任何大小的肿瘤，侵犯甲状腺外颈部周围器官和软组织，如喉、气管、食管、喉反神经及皮下软组织</w:t>
      </w:r>
    </w:p>
    <w:p>
      <w:pPr>
        <w:spacing w:after="0" w:line="266" w:lineRule="auto"/>
        <w:sectPr>
          <w:type w:val="continuous"/>
          <w:pgSz w:w="11910" w:h="16840"/>
          <w:pgMar w:top="480" w:right="360" w:bottom="280" w:left="920" w:header="720" w:footer="720" w:gutter="0"/>
          <w:cols w:equalWidth="0" w:num="2">
            <w:col w:w="2392" w:space="40"/>
            <w:col w:w="8198"/>
          </w:cols>
        </w:sectPr>
      </w:pPr>
    </w:p>
    <w:p>
      <w:pPr>
        <w:pStyle w:val="4"/>
        <w:spacing w:before="44" w:line="405" w:lineRule="auto"/>
        <w:ind w:left="2606" w:right="903"/>
      </w:pPr>
      <w:r>
        <w:rPr>
          <w:spacing w:val="-2"/>
        </w:rPr>
        <w:t>p</w:t>
      </w:r>
      <w:r>
        <w:rPr>
          <w:rFonts w:ascii="Cambria Math" w:eastAsia="Cambria Math"/>
          <w:spacing w:val="-2"/>
        </w:rPr>
        <w:t>𝑇</w:t>
      </w:r>
      <w:r>
        <w:rPr>
          <w:rFonts w:ascii="Cambria Math" w:eastAsia="Cambria Math"/>
          <w:spacing w:val="-2"/>
          <w:position w:val="-3"/>
          <w:sz w:val="15"/>
        </w:rPr>
        <w:t>4𝑏</w:t>
      </w:r>
      <w:r>
        <w:rPr>
          <w:spacing w:val="-2"/>
        </w:rPr>
        <w:t>：重度进展，任何大小的肿瘤，侵犯椎前筋膜，或包裹颈动脉、纵隔血管区域淋巴结：适用于所有甲状腺癌</w:t>
      </w:r>
    </w:p>
    <w:p>
      <w:pPr>
        <w:pStyle w:val="4"/>
        <w:spacing w:before="13" w:line="410" w:lineRule="auto"/>
        <w:ind w:left="2606" w:right="5466"/>
      </w:pPr>
      <w:r>
        <w:t>p</w:t>
      </w:r>
      <w:r>
        <w:rPr>
          <w:rFonts w:ascii="Cambria Math" w:eastAsia="Cambria Math"/>
        </w:rPr>
        <w:t>𝑁</w:t>
      </w:r>
      <w:r>
        <w:rPr>
          <w:rFonts w:ascii="Cambria Math" w:eastAsia="Cambria Math"/>
          <w:position w:val="-3"/>
          <w:sz w:val="15"/>
        </w:rPr>
        <w:t>𝑥</w:t>
      </w:r>
      <w:r>
        <w:rPr>
          <w:spacing w:val="-5"/>
        </w:rPr>
        <w:t>： 区域淋巴结无法评估</w:t>
      </w:r>
      <w:r>
        <w:t xml:space="preserve"> p</w:t>
      </w:r>
      <w:r>
        <w:rPr>
          <w:rFonts w:ascii="Cambria Math" w:eastAsia="Cambria Math"/>
        </w:rPr>
        <w:t>𝑁</w:t>
      </w:r>
      <w:r>
        <w:rPr>
          <w:rFonts w:ascii="Cambria Math" w:eastAsia="Cambria Math"/>
          <w:vertAlign w:val="subscript"/>
        </w:rPr>
        <w:t>0</w:t>
      </w:r>
      <w:r>
        <w:rPr>
          <w:vertAlign w:val="baseline"/>
        </w:rPr>
        <w:t>： 无淋巴结转移证据 p</w:t>
      </w:r>
      <w:r>
        <w:rPr>
          <w:rFonts w:ascii="Cambria Math" w:eastAsia="Cambria Math"/>
          <w:vertAlign w:val="baseline"/>
        </w:rPr>
        <w:t>𝑁</w:t>
      </w:r>
      <w:r>
        <w:rPr>
          <w:rFonts w:ascii="Cambria Math" w:eastAsia="Cambria Math"/>
          <w:vertAlign w:val="subscript"/>
        </w:rPr>
        <w:t>1</w:t>
      </w:r>
      <w:r>
        <w:rPr>
          <w:vertAlign w:val="baseline"/>
        </w:rPr>
        <w:t>： 区域淋巴结转移</w:t>
      </w:r>
    </w:p>
    <w:p>
      <w:pPr>
        <w:pStyle w:val="4"/>
        <w:spacing w:before="9" w:line="266" w:lineRule="auto"/>
        <w:ind w:left="2606" w:right="221"/>
      </w:pPr>
      <w:r>
        <w:rPr>
          <w:spacing w:val="-4"/>
        </w:rPr>
        <w:t>p</w:t>
      </w:r>
      <w:r>
        <w:rPr>
          <w:rFonts w:ascii="Cambria Math" w:hAnsi="Cambria Math" w:eastAsia="Cambria Math"/>
          <w:spacing w:val="-4"/>
        </w:rPr>
        <w:t>𝑁</w:t>
      </w:r>
      <w:r>
        <w:rPr>
          <w:rFonts w:ascii="Cambria Math" w:hAnsi="Cambria Math" w:eastAsia="Cambria Math"/>
          <w:spacing w:val="-4"/>
          <w:vertAlign w:val="subscript"/>
        </w:rPr>
        <w:t>1</w:t>
      </w:r>
      <w:r>
        <w:rPr>
          <w:rFonts w:ascii="Cambria Math" w:hAnsi="Cambria Math" w:eastAsia="Cambria Math"/>
          <w:spacing w:val="-4"/>
          <w:position w:val="-3"/>
          <w:sz w:val="15"/>
          <w:vertAlign w:val="baseline"/>
        </w:rPr>
        <w:t>𝑎</w:t>
      </w:r>
      <w:r>
        <w:rPr>
          <w:spacing w:val="-4"/>
          <w:vertAlign w:val="baseline"/>
        </w:rPr>
        <w:t>：转移至Ⅵ、Ⅶ区（包括气管旁、气管前、喉前/Delphian</w:t>
      </w:r>
      <w:r>
        <w:rPr>
          <w:spacing w:val="-13"/>
          <w:vertAlign w:val="baseline"/>
        </w:rPr>
        <w:t xml:space="preserve"> 或上纵隔</w:t>
      </w:r>
      <w:r>
        <w:rPr>
          <w:spacing w:val="-4"/>
          <w:vertAlign w:val="baseline"/>
        </w:rPr>
        <w:t>）淋巴结，可</w:t>
      </w:r>
      <w:r>
        <w:rPr>
          <w:spacing w:val="-2"/>
          <w:vertAlign w:val="baseline"/>
        </w:rPr>
        <w:t>以为单侧或双侧。</w:t>
      </w:r>
    </w:p>
    <w:p>
      <w:pPr>
        <w:pStyle w:val="4"/>
        <w:spacing w:before="169" w:line="266" w:lineRule="auto"/>
        <w:ind w:left="2606" w:right="219"/>
      </w:pPr>
      <w:r>
        <w:rPr>
          <w:spacing w:val="-2"/>
        </w:rPr>
        <w:t>p</w:t>
      </w:r>
      <w:r>
        <w:rPr>
          <w:rFonts w:ascii="Cambria Math" w:hAnsi="Cambria Math" w:eastAsia="Cambria Math"/>
          <w:spacing w:val="-2"/>
        </w:rPr>
        <w:t>𝑁</w:t>
      </w:r>
      <w:r>
        <w:rPr>
          <w:rFonts w:ascii="Cambria Math" w:hAnsi="Cambria Math" w:eastAsia="Cambria Math"/>
          <w:spacing w:val="-2"/>
          <w:position w:val="-3"/>
          <w:sz w:val="15"/>
        </w:rPr>
        <w:t>1𝑏</w:t>
      </w:r>
      <w:r>
        <w:rPr>
          <w:spacing w:val="-2"/>
        </w:rPr>
        <w:t>：单侧、双侧或对侧颈淋巴结转移（包括Ⅰ、Ⅱ、Ⅲ、Ⅳ或Ⅴ区）淋巴结或咽后淋巴结转移。</w:t>
      </w:r>
    </w:p>
    <w:p>
      <w:pPr>
        <w:pStyle w:val="4"/>
        <w:spacing w:before="169"/>
        <w:ind w:left="2606"/>
      </w:pPr>
      <w:r>
        <w:rPr>
          <w:spacing w:val="-3"/>
        </w:rPr>
        <w:t>远处转移：适用于所有甲状腺癌</w:t>
      </w:r>
    </w:p>
    <w:p>
      <w:pPr>
        <w:pStyle w:val="4"/>
        <w:spacing w:before="6"/>
        <w:rPr>
          <w:sz w:val="15"/>
        </w:rPr>
      </w:pPr>
    </w:p>
    <w:p>
      <w:pPr>
        <w:pStyle w:val="4"/>
        <w:ind w:left="2606"/>
      </w:pPr>
      <w:r>
        <w:rPr>
          <w:rFonts w:ascii="Cambria Math" w:eastAsia="Cambria Math"/>
          <w:spacing w:val="-2"/>
        </w:rPr>
        <w:t>𝑀</w:t>
      </w:r>
      <w:r>
        <w:rPr>
          <w:rFonts w:ascii="Cambria Math" w:eastAsia="Cambria Math"/>
          <w:spacing w:val="-2"/>
          <w:vertAlign w:val="subscript"/>
        </w:rPr>
        <w:t>0</w:t>
      </w:r>
      <w:r>
        <w:rPr>
          <w:spacing w:val="-4"/>
          <w:vertAlign w:val="baseline"/>
        </w:rPr>
        <w:t>：无远处转移</w:t>
      </w:r>
    </w:p>
    <w:p>
      <w:pPr>
        <w:pStyle w:val="4"/>
        <w:spacing w:before="199"/>
        <w:ind w:left="2606"/>
      </w:pPr>
      <w:r>
        <w:rPr>
          <w:rFonts w:ascii="Cambria Math" w:eastAsia="Cambria Math"/>
          <w:spacing w:val="-2"/>
        </w:rPr>
        <w:t>𝑀</w:t>
      </w:r>
      <w:r>
        <w:rPr>
          <w:rFonts w:ascii="Cambria Math" w:eastAsia="Cambria Math"/>
          <w:spacing w:val="-2"/>
          <w:vertAlign w:val="subscript"/>
        </w:rPr>
        <w:t>1</w:t>
      </w:r>
      <w:r>
        <w:rPr>
          <w:spacing w:val="-4"/>
          <w:vertAlign w:val="baseline"/>
        </w:rPr>
        <w:t>：有远处转移</w:t>
      </w:r>
    </w:p>
    <w:p>
      <w:pPr>
        <w:pStyle w:val="4"/>
        <w:spacing w:before="10"/>
        <w:rPr>
          <w:sz w:val="13"/>
        </w:rPr>
      </w:pPr>
    </w:p>
    <w:tbl>
      <w:tblPr>
        <w:tblStyle w:val="5"/>
        <w:tblW w:w="0" w:type="auto"/>
        <w:tblInd w:w="26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7"/>
        <w:gridCol w:w="1901"/>
        <w:gridCol w:w="1889"/>
        <w:gridCol w:w="18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7540" w:type="dxa"/>
            <w:gridSpan w:val="4"/>
          </w:tcPr>
          <w:p>
            <w:pPr>
              <w:pStyle w:val="9"/>
              <w:ind w:left="107"/>
              <w:jc w:val="left"/>
              <w:rPr>
                <w:sz w:val="21"/>
              </w:rPr>
            </w:pPr>
            <w:r>
              <w:rPr>
                <w:spacing w:val="-2"/>
                <w:sz w:val="21"/>
              </w:rPr>
              <w:t>乳头状或滤泡状癌（分化型</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7540" w:type="dxa"/>
            <w:gridSpan w:val="4"/>
          </w:tcPr>
          <w:p>
            <w:pPr>
              <w:pStyle w:val="9"/>
              <w:spacing w:line="233" w:lineRule="exact"/>
              <w:ind w:left="107"/>
              <w:jc w:val="left"/>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tcPr>
          <w:p>
            <w:pPr>
              <w:pStyle w:val="9"/>
              <w:spacing w:before="0" w:line="240" w:lineRule="auto"/>
              <w:ind w:left="0"/>
              <w:jc w:val="left"/>
              <w:rPr>
                <w:rFonts w:ascii="Times New Roman"/>
                <w:sz w:val="20"/>
              </w:rPr>
            </w:pPr>
          </w:p>
        </w:tc>
        <w:tc>
          <w:tcPr>
            <w:tcW w:w="1901" w:type="dxa"/>
          </w:tcPr>
          <w:p>
            <w:pPr>
              <w:pStyle w:val="9"/>
              <w:ind w:left="9"/>
              <w:rPr>
                <w:sz w:val="21"/>
              </w:rPr>
            </w:pPr>
            <w:r>
              <w:rPr>
                <w:w w:val="100"/>
                <w:sz w:val="21"/>
              </w:rPr>
              <w:t>T</w:t>
            </w:r>
          </w:p>
        </w:tc>
        <w:tc>
          <w:tcPr>
            <w:tcW w:w="1889" w:type="dxa"/>
          </w:tcPr>
          <w:p>
            <w:pPr>
              <w:pStyle w:val="9"/>
              <w:ind w:left="12"/>
              <w:rPr>
                <w:sz w:val="21"/>
              </w:rPr>
            </w:pPr>
            <w:r>
              <w:rPr>
                <w:w w:val="100"/>
                <w:sz w:val="21"/>
              </w:rPr>
              <w:t>N</w:t>
            </w:r>
          </w:p>
        </w:tc>
        <w:tc>
          <w:tcPr>
            <w:tcW w:w="1863" w:type="dxa"/>
          </w:tcPr>
          <w:p>
            <w:pPr>
              <w:pStyle w:val="9"/>
              <w:rPr>
                <w:sz w:val="21"/>
              </w:rPr>
            </w:pPr>
            <w:r>
              <w:rPr>
                <w:w w:val="100"/>
                <w:sz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tcPr>
          <w:p>
            <w:pPr>
              <w:pStyle w:val="9"/>
              <w:ind w:left="640" w:right="630"/>
              <w:rPr>
                <w:sz w:val="21"/>
              </w:rPr>
            </w:pPr>
            <w:r>
              <w:rPr>
                <w:spacing w:val="-5"/>
                <w:sz w:val="21"/>
              </w:rPr>
              <w:t>Ⅰ期</w:t>
            </w:r>
          </w:p>
        </w:tc>
        <w:tc>
          <w:tcPr>
            <w:tcW w:w="1901" w:type="dxa"/>
          </w:tcPr>
          <w:p>
            <w:pPr>
              <w:pStyle w:val="9"/>
              <w:ind w:left="739"/>
              <w:jc w:val="left"/>
              <w:rPr>
                <w:sz w:val="21"/>
              </w:rPr>
            </w:pPr>
            <w:r>
              <w:rPr>
                <w:spacing w:val="-5"/>
                <w:sz w:val="21"/>
              </w:rPr>
              <w:t>任何</w:t>
            </w:r>
          </w:p>
        </w:tc>
        <w:tc>
          <w:tcPr>
            <w:tcW w:w="1889" w:type="dxa"/>
          </w:tcPr>
          <w:p>
            <w:pPr>
              <w:pStyle w:val="9"/>
              <w:ind w:left="723" w:right="706"/>
              <w:rPr>
                <w:sz w:val="21"/>
              </w:rPr>
            </w:pPr>
            <w:r>
              <w:rPr>
                <w:spacing w:val="-5"/>
                <w:sz w:val="21"/>
              </w:rPr>
              <w:t>任何</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887" w:type="dxa"/>
          </w:tcPr>
          <w:p>
            <w:pPr>
              <w:pStyle w:val="9"/>
              <w:spacing w:line="233" w:lineRule="exact"/>
              <w:ind w:left="640" w:right="630"/>
              <w:rPr>
                <w:sz w:val="21"/>
              </w:rPr>
            </w:pPr>
            <w:r>
              <w:rPr>
                <w:spacing w:val="-5"/>
                <w:sz w:val="21"/>
              </w:rPr>
              <w:t>Ⅱ期</w:t>
            </w:r>
          </w:p>
        </w:tc>
        <w:tc>
          <w:tcPr>
            <w:tcW w:w="1901" w:type="dxa"/>
          </w:tcPr>
          <w:p>
            <w:pPr>
              <w:pStyle w:val="9"/>
              <w:spacing w:line="233" w:lineRule="exact"/>
              <w:ind w:left="739"/>
              <w:jc w:val="left"/>
              <w:rPr>
                <w:sz w:val="21"/>
              </w:rPr>
            </w:pPr>
            <w:r>
              <w:rPr>
                <w:spacing w:val="-5"/>
                <w:sz w:val="21"/>
              </w:rPr>
              <w:t>任何</w:t>
            </w:r>
          </w:p>
        </w:tc>
        <w:tc>
          <w:tcPr>
            <w:tcW w:w="1889" w:type="dxa"/>
          </w:tcPr>
          <w:p>
            <w:pPr>
              <w:pStyle w:val="9"/>
              <w:spacing w:line="233" w:lineRule="exact"/>
              <w:ind w:left="723" w:right="706"/>
              <w:rPr>
                <w:sz w:val="21"/>
              </w:rPr>
            </w:pPr>
            <w:r>
              <w:rPr>
                <w:spacing w:val="-5"/>
                <w:sz w:val="21"/>
              </w:rPr>
              <w:t>任何</w:t>
            </w:r>
          </w:p>
        </w:tc>
        <w:tc>
          <w:tcPr>
            <w:tcW w:w="1863" w:type="dxa"/>
          </w:tcPr>
          <w:p>
            <w:pPr>
              <w:pStyle w:val="9"/>
              <w:spacing w:line="233" w:lineRule="exact"/>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7540" w:type="dxa"/>
            <w:gridSpan w:val="4"/>
          </w:tcPr>
          <w:p>
            <w:pPr>
              <w:pStyle w:val="9"/>
              <w:ind w:left="107"/>
              <w:jc w:val="left"/>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vMerge w:val="restart"/>
          </w:tcPr>
          <w:p>
            <w:pPr>
              <w:pStyle w:val="9"/>
              <w:spacing w:line="240" w:lineRule="auto"/>
              <w:ind w:left="640" w:right="630"/>
              <w:rPr>
                <w:sz w:val="21"/>
              </w:rPr>
            </w:pPr>
            <w:r>
              <w:rPr>
                <w:spacing w:val="-5"/>
                <w:sz w:val="21"/>
              </w:rPr>
              <w:t>Ⅰ期</w:t>
            </w:r>
          </w:p>
        </w:tc>
        <w:tc>
          <w:tcPr>
            <w:tcW w:w="1901" w:type="dxa"/>
          </w:tcPr>
          <w:p>
            <w:pPr>
              <w:pStyle w:val="9"/>
              <w:ind w:left="9"/>
              <w:rPr>
                <w:sz w:val="21"/>
              </w:rPr>
            </w:pPr>
            <w:r>
              <w:rPr>
                <w:w w:val="100"/>
                <w:sz w:val="21"/>
              </w:rPr>
              <w:t>1</w:t>
            </w:r>
          </w:p>
        </w:tc>
        <w:tc>
          <w:tcPr>
            <w:tcW w:w="1889" w:type="dxa"/>
          </w:tcPr>
          <w:p>
            <w:pPr>
              <w:pStyle w:val="9"/>
              <w:ind w:left="723" w:right="706"/>
              <w:rPr>
                <w:sz w:val="21"/>
              </w:rPr>
            </w:pPr>
            <w:r>
              <w:rPr>
                <w:spacing w:val="-5"/>
                <w:sz w:val="21"/>
              </w:rPr>
              <w:t>0/x</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887" w:type="dxa"/>
            <w:vMerge w:val="continue"/>
            <w:tcBorders>
              <w:top w:val="nil"/>
            </w:tcBorders>
          </w:tcPr>
          <w:p>
            <w:pPr>
              <w:rPr>
                <w:sz w:val="2"/>
                <w:szCs w:val="2"/>
              </w:rPr>
            </w:pPr>
          </w:p>
        </w:tc>
        <w:tc>
          <w:tcPr>
            <w:tcW w:w="1901" w:type="dxa"/>
          </w:tcPr>
          <w:p>
            <w:pPr>
              <w:pStyle w:val="9"/>
              <w:spacing w:line="233" w:lineRule="exact"/>
              <w:ind w:left="9"/>
              <w:rPr>
                <w:sz w:val="21"/>
              </w:rPr>
            </w:pPr>
            <w:r>
              <w:rPr>
                <w:w w:val="100"/>
                <w:sz w:val="21"/>
              </w:rPr>
              <w:t>2</w:t>
            </w:r>
          </w:p>
        </w:tc>
        <w:tc>
          <w:tcPr>
            <w:tcW w:w="1889" w:type="dxa"/>
          </w:tcPr>
          <w:p>
            <w:pPr>
              <w:pStyle w:val="9"/>
              <w:spacing w:line="233" w:lineRule="exact"/>
              <w:ind w:left="723" w:right="706"/>
              <w:rPr>
                <w:sz w:val="21"/>
              </w:rPr>
            </w:pPr>
            <w:r>
              <w:rPr>
                <w:spacing w:val="-5"/>
                <w:sz w:val="21"/>
              </w:rPr>
              <w:t>0/x</w:t>
            </w:r>
          </w:p>
        </w:tc>
        <w:tc>
          <w:tcPr>
            <w:tcW w:w="1863" w:type="dxa"/>
          </w:tcPr>
          <w:p>
            <w:pPr>
              <w:pStyle w:val="9"/>
              <w:spacing w:line="233"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vMerge w:val="restart"/>
          </w:tcPr>
          <w:p>
            <w:pPr>
              <w:pStyle w:val="9"/>
              <w:spacing w:line="240" w:lineRule="auto"/>
              <w:ind w:left="640" w:right="630"/>
              <w:rPr>
                <w:sz w:val="21"/>
              </w:rPr>
            </w:pPr>
            <w:r>
              <w:rPr>
                <w:spacing w:val="-5"/>
                <w:sz w:val="21"/>
              </w:rPr>
              <w:t>Ⅱ期</w:t>
            </w:r>
          </w:p>
        </w:tc>
        <w:tc>
          <w:tcPr>
            <w:tcW w:w="1901" w:type="dxa"/>
          </w:tcPr>
          <w:p>
            <w:pPr>
              <w:pStyle w:val="9"/>
              <w:ind w:left="739"/>
              <w:jc w:val="left"/>
              <w:rPr>
                <w:sz w:val="21"/>
              </w:rPr>
            </w:pPr>
            <w:r>
              <w:rPr>
                <w:spacing w:val="-5"/>
                <w:sz w:val="21"/>
              </w:rPr>
              <w:t>1～2</w:t>
            </w:r>
          </w:p>
        </w:tc>
        <w:tc>
          <w:tcPr>
            <w:tcW w:w="1889" w:type="dxa"/>
          </w:tcPr>
          <w:p>
            <w:pPr>
              <w:pStyle w:val="9"/>
              <w:ind w:left="12"/>
              <w:rPr>
                <w:sz w:val="21"/>
              </w:rPr>
            </w:pPr>
            <w:r>
              <w:rPr>
                <w:w w:val="100"/>
                <w:sz w:val="21"/>
              </w:rPr>
              <w:t>1</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vMerge w:val="continue"/>
            <w:tcBorders>
              <w:top w:val="nil"/>
            </w:tcBorders>
          </w:tcPr>
          <w:p>
            <w:pPr>
              <w:rPr>
                <w:sz w:val="2"/>
                <w:szCs w:val="2"/>
              </w:rPr>
            </w:pPr>
          </w:p>
        </w:tc>
        <w:tc>
          <w:tcPr>
            <w:tcW w:w="1901" w:type="dxa"/>
          </w:tcPr>
          <w:p>
            <w:pPr>
              <w:pStyle w:val="9"/>
              <w:spacing w:before="23"/>
              <w:ind w:left="633"/>
              <w:jc w:val="left"/>
              <w:rPr>
                <w:sz w:val="21"/>
              </w:rPr>
            </w:pPr>
            <w:r>
              <w:rPr>
                <w:spacing w:val="-2"/>
                <w:sz w:val="21"/>
              </w:rPr>
              <w:t>3a～3b</w:t>
            </w:r>
          </w:p>
        </w:tc>
        <w:tc>
          <w:tcPr>
            <w:tcW w:w="1889" w:type="dxa"/>
          </w:tcPr>
          <w:p>
            <w:pPr>
              <w:pStyle w:val="9"/>
              <w:spacing w:before="23"/>
              <w:ind w:left="723" w:right="706"/>
              <w:rPr>
                <w:sz w:val="21"/>
              </w:rPr>
            </w:pPr>
            <w:r>
              <w:rPr>
                <w:spacing w:val="-5"/>
                <w:sz w:val="21"/>
              </w:rPr>
              <w:t>任何</w:t>
            </w:r>
          </w:p>
        </w:tc>
        <w:tc>
          <w:tcPr>
            <w:tcW w:w="1863" w:type="dxa"/>
          </w:tcPr>
          <w:p>
            <w:pPr>
              <w:pStyle w:val="9"/>
              <w:spacing w:before="23"/>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887" w:type="dxa"/>
          </w:tcPr>
          <w:p>
            <w:pPr>
              <w:pStyle w:val="9"/>
              <w:spacing w:line="233" w:lineRule="exact"/>
              <w:ind w:left="640" w:right="630"/>
              <w:rPr>
                <w:sz w:val="21"/>
              </w:rPr>
            </w:pPr>
            <w:r>
              <w:rPr>
                <w:spacing w:val="-5"/>
                <w:sz w:val="21"/>
              </w:rPr>
              <w:t>Ⅲ期</w:t>
            </w:r>
          </w:p>
        </w:tc>
        <w:tc>
          <w:tcPr>
            <w:tcW w:w="1901" w:type="dxa"/>
          </w:tcPr>
          <w:p>
            <w:pPr>
              <w:pStyle w:val="9"/>
              <w:spacing w:line="233" w:lineRule="exact"/>
              <w:ind w:left="830" w:right="821"/>
              <w:rPr>
                <w:sz w:val="21"/>
              </w:rPr>
            </w:pPr>
            <w:r>
              <w:rPr>
                <w:spacing w:val="-5"/>
                <w:sz w:val="21"/>
              </w:rPr>
              <w:t>4a</w:t>
            </w:r>
          </w:p>
        </w:tc>
        <w:tc>
          <w:tcPr>
            <w:tcW w:w="1889" w:type="dxa"/>
          </w:tcPr>
          <w:p>
            <w:pPr>
              <w:pStyle w:val="9"/>
              <w:spacing w:line="233" w:lineRule="exact"/>
              <w:ind w:left="723" w:right="706"/>
              <w:rPr>
                <w:sz w:val="21"/>
              </w:rPr>
            </w:pPr>
            <w:r>
              <w:rPr>
                <w:spacing w:val="-5"/>
                <w:sz w:val="21"/>
              </w:rPr>
              <w:t>任何</w:t>
            </w:r>
          </w:p>
        </w:tc>
        <w:tc>
          <w:tcPr>
            <w:tcW w:w="1863" w:type="dxa"/>
          </w:tcPr>
          <w:p>
            <w:pPr>
              <w:pStyle w:val="9"/>
              <w:spacing w:line="233"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tcPr>
          <w:p>
            <w:pPr>
              <w:pStyle w:val="9"/>
              <w:ind w:left="640" w:right="630"/>
              <w:rPr>
                <w:sz w:val="21"/>
              </w:rPr>
            </w:pPr>
            <w:r>
              <w:rPr>
                <w:sz w:val="21"/>
              </w:rPr>
              <w:t>ⅣA</w:t>
            </w:r>
            <w:r>
              <w:rPr>
                <w:spacing w:val="-32"/>
                <w:sz w:val="21"/>
              </w:rPr>
              <w:t xml:space="preserve"> 期</w:t>
            </w:r>
          </w:p>
        </w:tc>
        <w:tc>
          <w:tcPr>
            <w:tcW w:w="1901" w:type="dxa"/>
          </w:tcPr>
          <w:p>
            <w:pPr>
              <w:pStyle w:val="9"/>
              <w:ind w:left="830" w:right="821"/>
              <w:rPr>
                <w:sz w:val="21"/>
              </w:rPr>
            </w:pPr>
            <w:r>
              <w:rPr>
                <w:spacing w:val="-5"/>
                <w:sz w:val="21"/>
              </w:rPr>
              <w:t>4b</w:t>
            </w:r>
          </w:p>
        </w:tc>
        <w:tc>
          <w:tcPr>
            <w:tcW w:w="1889" w:type="dxa"/>
          </w:tcPr>
          <w:p>
            <w:pPr>
              <w:pStyle w:val="9"/>
              <w:ind w:left="723" w:right="706"/>
              <w:rPr>
                <w:sz w:val="21"/>
              </w:rPr>
            </w:pPr>
            <w:r>
              <w:rPr>
                <w:spacing w:val="-5"/>
                <w:sz w:val="21"/>
              </w:rPr>
              <w:t>任何</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tcPr>
          <w:p>
            <w:pPr>
              <w:pStyle w:val="9"/>
              <w:ind w:left="640" w:right="630"/>
              <w:rPr>
                <w:sz w:val="21"/>
              </w:rPr>
            </w:pPr>
            <w:r>
              <w:rPr>
                <w:sz w:val="21"/>
              </w:rPr>
              <w:t>ⅣB</w:t>
            </w:r>
            <w:r>
              <w:rPr>
                <w:spacing w:val="-32"/>
                <w:sz w:val="21"/>
              </w:rPr>
              <w:t xml:space="preserve"> 期</w:t>
            </w:r>
          </w:p>
        </w:tc>
        <w:tc>
          <w:tcPr>
            <w:tcW w:w="1901" w:type="dxa"/>
          </w:tcPr>
          <w:p>
            <w:pPr>
              <w:pStyle w:val="9"/>
              <w:ind w:left="739"/>
              <w:jc w:val="left"/>
              <w:rPr>
                <w:sz w:val="21"/>
              </w:rPr>
            </w:pPr>
            <w:r>
              <w:rPr>
                <w:spacing w:val="-5"/>
                <w:sz w:val="21"/>
              </w:rPr>
              <w:t>任何</w:t>
            </w:r>
          </w:p>
        </w:tc>
        <w:tc>
          <w:tcPr>
            <w:tcW w:w="1889" w:type="dxa"/>
          </w:tcPr>
          <w:p>
            <w:pPr>
              <w:pStyle w:val="9"/>
              <w:ind w:left="723" w:right="706"/>
              <w:rPr>
                <w:sz w:val="21"/>
              </w:rPr>
            </w:pPr>
            <w:r>
              <w:rPr>
                <w:spacing w:val="-5"/>
                <w:sz w:val="21"/>
              </w:rPr>
              <w:t>任何</w:t>
            </w:r>
          </w:p>
        </w:tc>
        <w:tc>
          <w:tcPr>
            <w:tcW w:w="1863" w:type="dxa"/>
          </w:tcPr>
          <w:p>
            <w:pPr>
              <w:pStyle w:val="9"/>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7540" w:type="dxa"/>
            <w:gridSpan w:val="4"/>
          </w:tcPr>
          <w:p>
            <w:pPr>
              <w:pStyle w:val="9"/>
              <w:spacing w:line="233" w:lineRule="exact"/>
              <w:ind w:left="107"/>
              <w:jc w:val="left"/>
              <w:rPr>
                <w:sz w:val="21"/>
              </w:rPr>
            </w:pPr>
            <w:r>
              <w:rPr>
                <w:spacing w:val="-2"/>
                <w:sz w:val="21"/>
              </w:rPr>
              <w:t>髓样癌（所有年龄组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tcPr>
          <w:p>
            <w:pPr>
              <w:pStyle w:val="9"/>
              <w:ind w:left="640" w:right="630"/>
              <w:rPr>
                <w:sz w:val="21"/>
              </w:rPr>
            </w:pPr>
            <w:r>
              <w:rPr>
                <w:spacing w:val="-5"/>
                <w:sz w:val="21"/>
              </w:rPr>
              <w:t>Ⅰ期</w:t>
            </w:r>
          </w:p>
        </w:tc>
        <w:tc>
          <w:tcPr>
            <w:tcW w:w="1901" w:type="dxa"/>
          </w:tcPr>
          <w:p>
            <w:pPr>
              <w:pStyle w:val="9"/>
              <w:ind w:left="9"/>
              <w:rPr>
                <w:sz w:val="21"/>
              </w:rPr>
            </w:pPr>
            <w:r>
              <w:rPr>
                <w:w w:val="100"/>
                <w:sz w:val="21"/>
              </w:rPr>
              <w:t>1</w:t>
            </w:r>
          </w:p>
        </w:tc>
        <w:tc>
          <w:tcPr>
            <w:tcW w:w="1889" w:type="dxa"/>
          </w:tcPr>
          <w:p>
            <w:pPr>
              <w:pStyle w:val="9"/>
              <w:ind w:left="12"/>
              <w:rPr>
                <w:sz w:val="21"/>
              </w:rPr>
            </w:pPr>
            <w:r>
              <w:rPr>
                <w:w w:val="100"/>
                <w:sz w:val="21"/>
              </w:rPr>
              <w:t>0</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tcPr>
          <w:p>
            <w:pPr>
              <w:pStyle w:val="9"/>
              <w:ind w:left="640" w:right="630"/>
              <w:rPr>
                <w:sz w:val="21"/>
              </w:rPr>
            </w:pPr>
            <w:r>
              <w:rPr>
                <w:spacing w:val="-5"/>
                <w:sz w:val="21"/>
              </w:rPr>
              <w:t>Ⅱ期</w:t>
            </w:r>
          </w:p>
        </w:tc>
        <w:tc>
          <w:tcPr>
            <w:tcW w:w="1901" w:type="dxa"/>
          </w:tcPr>
          <w:p>
            <w:pPr>
              <w:pStyle w:val="9"/>
              <w:ind w:left="739"/>
              <w:jc w:val="left"/>
              <w:rPr>
                <w:sz w:val="21"/>
              </w:rPr>
            </w:pPr>
            <w:r>
              <w:rPr>
                <w:spacing w:val="-5"/>
                <w:sz w:val="21"/>
              </w:rPr>
              <w:t>2～3</w:t>
            </w:r>
          </w:p>
        </w:tc>
        <w:tc>
          <w:tcPr>
            <w:tcW w:w="1889" w:type="dxa"/>
          </w:tcPr>
          <w:p>
            <w:pPr>
              <w:pStyle w:val="9"/>
              <w:ind w:left="12"/>
              <w:rPr>
                <w:sz w:val="21"/>
              </w:rPr>
            </w:pPr>
            <w:r>
              <w:rPr>
                <w:w w:val="100"/>
                <w:sz w:val="21"/>
              </w:rPr>
              <w:t>0</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887" w:type="dxa"/>
          </w:tcPr>
          <w:p>
            <w:pPr>
              <w:pStyle w:val="9"/>
              <w:spacing w:line="233" w:lineRule="exact"/>
              <w:ind w:left="640" w:right="630"/>
              <w:rPr>
                <w:sz w:val="21"/>
              </w:rPr>
            </w:pPr>
            <w:r>
              <w:rPr>
                <w:spacing w:val="-5"/>
                <w:sz w:val="21"/>
              </w:rPr>
              <w:t>Ⅲ期</w:t>
            </w:r>
          </w:p>
        </w:tc>
        <w:tc>
          <w:tcPr>
            <w:tcW w:w="1901" w:type="dxa"/>
          </w:tcPr>
          <w:p>
            <w:pPr>
              <w:pStyle w:val="9"/>
              <w:spacing w:line="233" w:lineRule="exact"/>
              <w:ind w:left="739"/>
              <w:jc w:val="left"/>
              <w:rPr>
                <w:sz w:val="21"/>
              </w:rPr>
            </w:pPr>
            <w:r>
              <w:rPr>
                <w:spacing w:val="-5"/>
                <w:sz w:val="21"/>
              </w:rPr>
              <w:t>1～3</w:t>
            </w:r>
          </w:p>
        </w:tc>
        <w:tc>
          <w:tcPr>
            <w:tcW w:w="1889" w:type="dxa"/>
          </w:tcPr>
          <w:p>
            <w:pPr>
              <w:pStyle w:val="9"/>
              <w:spacing w:line="233" w:lineRule="exact"/>
              <w:ind w:left="718" w:right="706"/>
              <w:rPr>
                <w:sz w:val="21"/>
              </w:rPr>
            </w:pPr>
            <w:r>
              <w:rPr>
                <w:spacing w:val="-5"/>
                <w:sz w:val="21"/>
              </w:rPr>
              <w:t>1a</w:t>
            </w:r>
          </w:p>
        </w:tc>
        <w:tc>
          <w:tcPr>
            <w:tcW w:w="1863" w:type="dxa"/>
          </w:tcPr>
          <w:p>
            <w:pPr>
              <w:pStyle w:val="9"/>
              <w:spacing w:line="233"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vMerge w:val="restart"/>
          </w:tcPr>
          <w:p>
            <w:pPr>
              <w:pStyle w:val="9"/>
              <w:spacing w:line="240" w:lineRule="auto"/>
              <w:ind w:left="640" w:right="630"/>
              <w:rPr>
                <w:sz w:val="21"/>
              </w:rPr>
            </w:pPr>
            <w:r>
              <w:rPr>
                <w:sz w:val="21"/>
              </w:rPr>
              <w:t>ⅣA</w:t>
            </w:r>
            <w:r>
              <w:rPr>
                <w:spacing w:val="-32"/>
                <w:sz w:val="21"/>
              </w:rPr>
              <w:t xml:space="preserve"> 期</w:t>
            </w:r>
          </w:p>
        </w:tc>
        <w:tc>
          <w:tcPr>
            <w:tcW w:w="1901" w:type="dxa"/>
          </w:tcPr>
          <w:p>
            <w:pPr>
              <w:pStyle w:val="9"/>
              <w:ind w:left="830" w:right="821"/>
              <w:rPr>
                <w:sz w:val="21"/>
              </w:rPr>
            </w:pPr>
            <w:r>
              <w:rPr>
                <w:spacing w:val="-5"/>
                <w:sz w:val="21"/>
              </w:rPr>
              <w:t>4a</w:t>
            </w:r>
          </w:p>
        </w:tc>
        <w:tc>
          <w:tcPr>
            <w:tcW w:w="1889" w:type="dxa"/>
          </w:tcPr>
          <w:p>
            <w:pPr>
              <w:pStyle w:val="9"/>
              <w:ind w:left="723" w:right="706"/>
              <w:rPr>
                <w:sz w:val="21"/>
              </w:rPr>
            </w:pPr>
            <w:r>
              <w:rPr>
                <w:spacing w:val="-5"/>
                <w:sz w:val="21"/>
              </w:rPr>
              <w:t>任何</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vMerge w:val="continue"/>
            <w:tcBorders>
              <w:top w:val="nil"/>
            </w:tcBorders>
          </w:tcPr>
          <w:p>
            <w:pPr>
              <w:rPr>
                <w:sz w:val="2"/>
                <w:szCs w:val="2"/>
              </w:rPr>
            </w:pPr>
          </w:p>
        </w:tc>
        <w:tc>
          <w:tcPr>
            <w:tcW w:w="1901" w:type="dxa"/>
          </w:tcPr>
          <w:p>
            <w:pPr>
              <w:pStyle w:val="9"/>
              <w:ind w:left="739"/>
              <w:jc w:val="left"/>
              <w:rPr>
                <w:sz w:val="21"/>
              </w:rPr>
            </w:pPr>
            <w:r>
              <w:rPr>
                <w:spacing w:val="-5"/>
                <w:sz w:val="21"/>
              </w:rPr>
              <w:t>1～3</w:t>
            </w:r>
          </w:p>
        </w:tc>
        <w:tc>
          <w:tcPr>
            <w:tcW w:w="1889" w:type="dxa"/>
          </w:tcPr>
          <w:p>
            <w:pPr>
              <w:pStyle w:val="9"/>
              <w:ind w:left="718" w:right="706"/>
              <w:rPr>
                <w:sz w:val="21"/>
              </w:rPr>
            </w:pPr>
            <w:r>
              <w:rPr>
                <w:spacing w:val="-5"/>
                <w:sz w:val="21"/>
              </w:rPr>
              <w:t>1b</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887" w:type="dxa"/>
          </w:tcPr>
          <w:p>
            <w:pPr>
              <w:pStyle w:val="9"/>
              <w:spacing w:line="233" w:lineRule="exact"/>
              <w:ind w:left="640" w:right="630"/>
              <w:rPr>
                <w:sz w:val="21"/>
              </w:rPr>
            </w:pPr>
            <w:r>
              <w:rPr>
                <w:sz w:val="21"/>
              </w:rPr>
              <w:t>ⅣB</w:t>
            </w:r>
            <w:r>
              <w:rPr>
                <w:spacing w:val="-32"/>
                <w:sz w:val="21"/>
              </w:rPr>
              <w:t xml:space="preserve"> 期</w:t>
            </w:r>
          </w:p>
        </w:tc>
        <w:tc>
          <w:tcPr>
            <w:tcW w:w="1901" w:type="dxa"/>
          </w:tcPr>
          <w:p>
            <w:pPr>
              <w:pStyle w:val="9"/>
              <w:spacing w:line="233" w:lineRule="exact"/>
              <w:ind w:left="830" w:right="821"/>
              <w:rPr>
                <w:sz w:val="21"/>
              </w:rPr>
            </w:pPr>
            <w:r>
              <w:rPr>
                <w:spacing w:val="-5"/>
                <w:sz w:val="21"/>
              </w:rPr>
              <w:t>4b</w:t>
            </w:r>
          </w:p>
        </w:tc>
        <w:tc>
          <w:tcPr>
            <w:tcW w:w="1889" w:type="dxa"/>
          </w:tcPr>
          <w:p>
            <w:pPr>
              <w:pStyle w:val="9"/>
              <w:spacing w:line="233" w:lineRule="exact"/>
              <w:ind w:left="723" w:right="706"/>
              <w:rPr>
                <w:sz w:val="21"/>
              </w:rPr>
            </w:pPr>
            <w:r>
              <w:rPr>
                <w:spacing w:val="-5"/>
                <w:sz w:val="21"/>
              </w:rPr>
              <w:t>任何</w:t>
            </w:r>
          </w:p>
        </w:tc>
        <w:tc>
          <w:tcPr>
            <w:tcW w:w="1863" w:type="dxa"/>
          </w:tcPr>
          <w:p>
            <w:pPr>
              <w:pStyle w:val="9"/>
              <w:spacing w:line="233"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tcPr>
          <w:p>
            <w:pPr>
              <w:pStyle w:val="9"/>
              <w:ind w:left="640" w:right="630"/>
              <w:rPr>
                <w:sz w:val="21"/>
              </w:rPr>
            </w:pPr>
            <w:r>
              <w:rPr>
                <w:sz w:val="21"/>
              </w:rPr>
              <w:t>ⅣC</w:t>
            </w:r>
            <w:r>
              <w:rPr>
                <w:spacing w:val="-32"/>
                <w:sz w:val="21"/>
              </w:rPr>
              <w:t xml:space="preserve"> 期</w:t>
            </w:r>
          </w:p>
        </w:tc>
        <w:tc>
          <w:tcPr>
            <w:tcW w:w="1901" w:type="dxa"/>
          </w:tcPr>
          <w:p>
            <w:pPr>
              <w:pStyle w:val="9"/>
              <w:ind w:left="739"/>
              <w:jc w:val="left"/>
              <w:rPr>
                <w:sz w:val="21"/>
              </w:rPr>
            </w:pPr>
            <w:r>
              <w:rPr>
                <w:spacing w:val="-5"/>
                <w:sz w:val="21"/>
              </w:rPr>
              <w:t>任何</w:t>
            </w:r>
          </w:p>
        </w:tc>
        <w:tc>
          <w:tcPr>
            <w:tcW w:w="1889" w:type="dxa"/>
          </w:tcPr>
          <w:p>
            <w:pPr>
              <w:pStyle w:val="9"/>
              <w:ind w:left="723" w:right="706"/>
              <w:rPr>
                <w:sz w:val="21"/>
              </w:rPr>
            </w:pPr>
            <w:r>
              <w:rPr>
                <w:spacing w:val="-5"/>
                <w:sz w:val="21"/>
              </w:rPr>
              <w:t>任何</w:t>
            </w:r>
          </w:p>
        </w:tc>
        <w:tc>
          <w:tcPr>
            <w:tcW w:w="1863" w:type="dxa"/>
          </w:tcPr>
          <w:p>
            <w:pPr>
              <w:pStyle w:val="9"/>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7540" w:type="dxa"/>
            <w:gridSpan w:val="4"/>
          </w:tcPr>
          <w:p>
            <w:pPr>
              <w:pStyle w:val="9"/>
              <w:ind w:left="107"/>
              <w:jc w:val="left"/>
              <w:rPr>
                <w:sz w:val="21"/>
              </w:rPr>
            </w:pPr>
            <w:r>
              <w:rPr>
                <w:spacing w:val="-2"/>
                <w:sz w:val="21"/>
              </w:rPr>
              <w:t>未分化癌（所有年龄组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887" w:type="dxa"/>
          </w:tcPr>
          <w:p>
            <w:pPr>
              <w:pStyle w:val="9"/>
              <w:spacing w:before="23" w:line="233" w:lineRule="exact"/>
              <w:ind w:left="640" w:right="630"/>
              <w:rPr>
                <w:sz w:val="21"/>
              </w:rPr>
            </w:pPr>
            <w:r>
              <w:rPr>
                <w:sz w:val="21"/>
              </w:rPr>
              <w:t>ⅣA</w:t>
            </w:r>
            <w:r>
              <w:rPr>
                <w:spacing w:val="-32"/>
                <w:sz w:val="21"/>
              </w:rPr>
              <w:t xml:space="preserve"> 期</w:t>
            </w:r>
          </w:p>
        </w:tc>
        <w:tc>
          <w:tcPr>
            <w:tcW w:w="1901" w:type="dxa"/>
          </w:tcPr>
          <w:p>
            <w:pPr>
              <w:pStyle w:val="9"/>
              <w:spacing w:before="23" w:line="233" w:lineRule="exact"/>
              <w:ind w:left="686"/>
              <w:jc w:val="left"/>
              <w:rPr>
                <w:sz w:val="21"/>
              </w:rPr>
            </w:pPr>
            <w:r>
              <w:rPr>
                <w:spacing w:val="-4"/>
                <w:sz w:val="21"/>
              </w:rPr>
              <w:t>1～3a</w:t>
            </w:r>
          </w:p>
        </w:tc>
        <w:tc>
          <w:tcPr>
            <w:tcW w:w="1889" w:type="dxa"/>
          </w:tcPr>
          <w:p>
            <w:pPr>
              <w:pStyle w:val="9"/>
              <w:spacing w:before="23" w:line="233" w:lineRule="exact"/>
              <w:ind w:left="723" w:right="706"/>
              <w:rPr>
                <w:sz w:val="21"/>
              </w:rPr>
            </w:pPr>
            <w:r>
              <w:rPr>
                <w:spacing w:val="-5"/>
                <w:sz w:val="21"/>
              </w:rPr>
              <w:t>0/x</w:t>
            </w:r>
          </w:p>
        </w:tc>
        <w:tc>
          <w:tcPr>
            <w:tcW w:w="1863" w:type="dxa"/>
          </w:tcPr>
          <w:p>
            <w:pPr>
              <w:pStyle w:val="9"/>
              <w:spacing w:before="23" w:line="233" w:lineRule="exact"/>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vMerge w:val="restart"/>
          </w:tcPr>
          <w:p>
            <w:pPr>
              <w:pStyle w:val="9"/>
              <w:spacing w:line="240" w:lineRule="auto"/>
              <w:ind w:left="640" w:right="630"/>
              <w:rPr>
                <w:sz w:val="21"/>
              </w:rPr>
            </w:pPr>
            <w:r>
              <w:rPr>
                <w:sz w:val="21"/>
              </w:rPr>
              <w:t>ⅣB</w:t>
            </w:r>
            <w:r>
              <w:rPr>
                <w:spacing w:val="-32"/>
                <w:sz w:val="21"/>
              </w:rPr>
              <w:t xml:space="preserve"> 期</w:t>
            </w:r>
          </w:p>
        </w:tc>
        <w:tc>
          <w:tcPr>
            <w:tcW w:w="1901" w:type="dxa"/>
          </w:tcPr>
          <w:p>
            <w:pPr>
              <w:pStyle w:val="9"/>
              <w:ind w:left="686"/>
              <w:jc w:val="left"/>
              <w:rPr>
                <w:sz w:val="21"/>
              </w:rPr>
            </w:pPr>
            <w:r>
              <w:rPr>
                <w:spacing w:val="-4"/>
                <w:sz w:val="21"/>
              </w:rPr>
              <w:t>1～3a</w:t>
            </w:r>
          </w:p>
        </w:tc>
        <w:tc>
          <w:tcPr>
            <w:tcW w:w="1889" w:type="dxa"/>
          </w:tcPr>
          <w:p>
            <w:pPr>
              <w:pStyle w:val="9"/>
              <w:ind w:left="12"/>
              <w:rPr>
                <w:sz w:val="21"/>
              </w:rPr>
            </w:pPr>
            <w:r>
              <w:rPr>
                <w:w w:val="100"/>
                <w:sz w:val="21"/>
              </w:rPr>
              <w:t>1</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887" w:type="dxa"/>
            <w:vMerge w:val="continue"/>
            <w:tcBorders>
              <w:top w:val="nil"/>
            </w:tcBorders>
          </w:tcPr>
          <w:p>
            <w:pPr>
              <w:rPr>
                <w:sz w:val="2"/>
                <w:szCs w:val="2"/>
              </w:rPr>
            </w:pPr>
          </w:p>
        </w:tc>
        <w:tc>
          <w:tcPr>
            <w:tcW w:w="1901" w:type="dxa"/>
          </w:tcPr>
          <w:p>
            <w:pPr>
              <w:pStyle w:val="9"/>
              <w:ind w:left="686"/>
              <w:jc w:val="left"/>
              <w:rPr>
                <w:sz w:val="21"/>
              </w:rPr>
            </w:pPr>
            <w:r>
              <w:rPr>
                <w:spacing w:val="-4"/>
                <w:sz w:val="21"/>
              </w:rPr>
              <w:t>3b～4</w:t>
            </w:r>
          </w:p>
        </w:tc>
        <w:tc>
          <w:tcPr>
            <w:tcW w:w="1889" w:type="dxa"/>
          </w:tcPr>
          <w:p>
            <w:pPr>
              <w:pStyle w:val="9"/>
              <w:ind w:left="723" w:right="706"/>
              <w:rPr>
                <w:sz w:val="21"/>
              </w:rPr>
            </w:pPr>
            <w:r>
              <w:rPr>
                <w:spacing w:val="-5"/>
                <w:sz w:val="21"/>
              </w:rPr>
              <w:t>任何</w:t>
            </w:r>
          </w:p>
        </w:tc>
        <w:tc>
          <w:tcPr>
            <w:tcW w:w="1863" w:type="dxa"/>
          </w:tcPr>
          <w:p>
            <w:pPr>
              <w:pStyle w:val="9"/>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887" w:type="dxa"/>
          </w:tcPr>
          <w:p>
            <w:pPr>
              <w:pStyle w:val="9"/>
              <w:spacing w:line="233" w:lineRule="exact"/>
              <w:ind w:left="640" w:right="630"/>
              <w:rPr>
                <w:sz w:val="21"/>
              </w:rPr>
            </w:pPr>
            <w:r>
              <w:rPr>
                <w:sz w:val="21"/>
              </w:rPr>
              <w:t>ⅣC</w:t>
            </w:r>
            <w:r>
              <w:rPr>
                <w:spacing w:val="-32"/>
                <w:sz w:val="21"/>
              </w:rPr>
              <w:t xml:space="preserve"> 期</w:t>
            </w:r>
          </w:p>
        </w:tc>
        <w:tc>
          <w:tcPr>
            <w:tcW w:w="1901" w:type="dxa"/>
          </w:tcPr>
          <w:p>
            <w:pPr>
              <w:pStyle w:val="9"/>
              <w:spacing w:line="233" w:lineRule="exact"/>
              <w:ind w:left="739"/>
              <w:jc w:val="left"/>
              <w:rPr>
                <w:sz w:val="21"/>
              </w:rPr>
            </w:pPr>
            <w:r>
              <w:rPr>
                <w:spacing w:val="-5"/>
                <w:sz w:val="21"/>
              </w:rPr>
              <w:t>任何</w:t>
            </w:r>
          </w:p>
        </w:tc>
        <w:tc>
          <w:tcPr>
            <w:tcW w:w="1889" w:type="dxa"/>
          </w:tcPr>
          <w:p>
            <w:pPr>
              <w:pStyle w:val="9"/>
              <w:spacing w:line="233" w:lineRule="exact"/>
              <w:ind w:left="723" w:right="706"/>
              <w:rPr>
                <w:sz w:val="21"/>
              </w:rPr>
            </w:pPr>
            <w:r>
              <w:rPr>
                <w:spacing w:val="-5"/>
                <w:sz w:val="21"/>
              </w:rPr>
              <w:t>任何</w:t>
            </w:r>
          </w:p>
        </w:tc>
        <w:tc>
          <w:tcPr>
            <w:tcW w:w="1863" w:type="dxa"/>
          </w:tcPr>
          <w:p>
            <w:pPr>
              <w:pStyle w:val="9"/>
              <w:spacing w:line="233" w:lineRule="exact"/>
              <w:rPr>
                <w:sz w:val="21"/>
              </w:rPr>
            </w:pPr>
            <w:r>
              <w:rPr>
                <w:w w:val="100"/>
                <w:sz w:val="21"/>
              </w:rPr>
              <w:t>1</w:t>
            </w:r>
          </w:p>
        </w:tc>
      </w:tr>
    </w:tbl>
    <w:p>
      <w:pPr>
        <w:pStyle w:val="4"/>
        <w:spacing w:before="187"/>
        <w:ind w:left="2606"/>
      </w:pPr>
      <w:r>
        <w:rPr>
          <w:spacing w:val="-3"/>
        </w:rPr>
        <w:t>注：以上表格中“年龄”指患者病理组织标本获取日期时的年龄。</w:t>
      </w:r>
    </w:p>
    <w:sectPr>
      <w:pgSz w:w="11910" w:h="16840"/>
      <w:pgMar w:top="1400" w:right="360" w:bottom="280" w:left="9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3326" w:hanging="721"/>
        <w:jc w:val="left"/>
      </w:pPr>
      <w:rPr>
        <w:rFonts w:hint="default" w:ascii="宋体" w:hAnsi="宋体" w:eastAsia="宋体" w:cs="宋体"/>
        <w:b w:val="0"/>
        <w:bCs w:val="0"/>
        <w:i w:val="0"/>
        <w:iCs w:val="0"/>
        <w:w w:val="100"/>
        <w:sz w:val="21"/>
        <w:szCs w:val="21"/>
        <w:lang w:val="en-US" w:eastAsia="zh-CN" w:bidi="ar-SA"/>
      </w:rPr>
    </w:lvl>
    <w:lvl w:ilvl="1" w:tentative="0">
      <w:start w:val="1"/>
      <w:numFmt w:val="lowerLetter"/>
      <w:lvlText w:val="%2."/>
      <w:lvlJc w:val="left"/>
      <w:pPr>
        <w:ind w:left="3326" w:hanging="213"/>
        <w:jc w:val="left"/>
      </w:pPr>
      <w:rPr>
        <w:rFonts w:hint="default" w:ascii="宋体" w:hAnsi="宋体" w:eastAsia="宋体" w:cs="宋体"/>
        <w:b w:val="0"/>
        <w:bCs w:val="0"/>
        <w:i w:val="0"/>
        <w:iCs w:val="0"/>
        <w:w w:val="100"/>
        <w:sz w:val="19"/>
        <w:szCs w:val="19"/>
        <w:shd w:val="clear" w:color="auto" w:fill="E4E4E4"/>
        <w:lang w:val="en-US" w:eastAsia="zh-CN" w:bidi="ar-SA"/>
      </w:rPr>
    </w:lvl>
    <w:lvl w:ilvl="2" w:tentative="0">
      <w:start w:val="0"/>
      <w:numFmt w:val="bullet"/>
      <w:lvlText w:val="•"/>
      <w:lvlJc w:val="left"/>
      <w:pPr>
        <w:ind w:left="4781" w:hanging="213"/>
      </w:pPr>
      <w:rPr>
        <w:rFonts w:hint="default"/>
        <w:lang w:val="en-US" w:eastAsia="zh-CN" w:bidi="ar-SA"/>
      </w:rPr>
    </w:lvl>
    <w:lvl w:ilvl="3" w:tentative="0">
      <w:start w:val="0"/>
      <w:numFmt w:val="bullet"/>
      <w:lvlText w:val="•"/>
      <w:lvlJc w:val="left"/>
      <w:pPr>
        <w:ind w:left="5511" w:hanging="213"/>
      </w:pPr>
      <w:rPr>
        <w:rFonts w:hint="default"/>
        <w:lang w:val="en-US" w:eastAsia="zh-CN" w:bidi="ar-SA"/>
      </w:rPr>
    </w:lvl>
    <w:lvl w:ilvl="4" w:tentative="0">
      <w:start w:val="0"/>
      <w:numFmt w:val="bullet"/>
      <w:lvlText w:val="•"/>
      <w:lvlJc w:val="left"/>
      <w:pPr>
        <w:ind w:left="6242" w:hanging="213"/>
      </w:pPr>
      <w:rPr>
        <w:rFonts w:hint="default"/>
        <w:lang w:val="en-US" w:eastAsia="zh-CN" w:bidi="ar-SA"/>
      </w:rPr>
    </w:lvl>
    <w:lvl w:ilvl="5" w:tentative="0">
      <w:start w:val="0"/>
      <w:numFmt w:val="bullet"/>
      <w:lvlText w:val="•"/>
      <w:lvlJc w:val="left"/>
      <w:pPr>
        <w:ind w:left="6973" w:hanging="213"/>
      </w:pPr>
      <w:rPr>
        <w:rFonts w:hint="default"/>
        <w:lang w:val="en-US" w:eastAsia="zh-CN" w:bidi="ar-SA"/>
      </w:rPr>
    </w:lvl>
    <w:lvl w:ilvl="6" w:tentative="0">
      <w:start w:val="0"/>
      <w:numFmt w:val="bullet"/>
      <w:lvlText w:val="•"/>
      <w:lvlJc w:val="left"/>
      <w:pPr>
        <w:ind w:left="7703" w:hanging="213"/>
      </w:pPr>
      <w:rPr>
        <w:rFonts w:hint="default"/>
        <w:lang w:val="en-US" w:eastAsia="zh-CN" w:bidi="ar-SA"/>
      </w:rPr>
    </w:lvl>
    <w:lvl w:ilvl="7" w:tentative="0">
      <w:start w:val="0"/>
      <w:numFmt w:val="bullet"/>
      <w:lvlText w:val="•"/>
      <w:lvlJc w:val="left"/>
      <w:pPr>
        <w:ind w:left="8434" w:hanging="213"/>
      </w:pPr>
      <w:rPr>
        <w:rFonts w:hint="default"/>
        <w:lang w:val="en-US" w:eastAsia="zh-CN" w:bidi="ar-SA"/>
      </w:rPr>
    </w:lvl>
    <w:lvl w:ilvl="8" w:tentative="0">
      <w:start w:val="0"/>
      <w:numFmt w:val="bullet"/>
      <w:lvlText w:val="•"/>
      <w:lvlJc w:val="left"/>
      <w:pPr>
        <w:ind w:left="9165" w:hanging="213"/>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3717"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410" w:hanging="721"/>
      </w:pPr>
      <w:rPr>
        <w:rFonts w:hint="default"/>
        <w:lang w:val="en-US" w:eastAsia="zh-CN" w:bidi="ar-SA"/>
      </w:rPr>
    </w:lvl>
    <w:lvl w:ilvl="2" w:tentative="0">
      <w:start w:val="0"/>
      <w:numFmt w:val="bullet"/>
      <w:lvlText w:val="•"/>
      <w:lvlJc w:val="left"/>
      <w:pPr>
        <w:ind w:left="5101" w:hanging="721"/>
      </w:pPr>
      <w:rPr>
        <w:rFonts w:hint="default"/>
        <w:lang w:val="en-US" w:eastAsia="zh-CN" w:bidi="ar-SA"/>
      </w:rPr>
    </w:lvl>
    <w:lvl w:ilvl="3" w:tentative="0">
      <w:start w:val="0"/>
      <w:numFmt w:val="bullet"/>
      <w:lvlText w:val="•"/>
      <w:lvlJc w:val="left"/>
      <w:pPr>
        <w:ind w:left="5791" w:hanging="721"/>
      </w:pPr>
      <w:rPr>
        <w:rFonts w:hint="default"/>
        <w:lang w:val="en-US" w:eastAsia="zh-CN" w:bidi="ar-SA"/>
      </w:rPr>
    </w:lvl>
    <w:lvl w:ilvl="4" w:tentative="0">
      <w:start w:val="0"/>
      <w:numFmt w:val="bullet"/>
      <w:lvlText w:val="•"/>
      <w:lvlJc w:val="left"/>
      <w:pPr>
        <w:ind w:left="6482" w:hanging="721"/>
      </w:pPr>
      <w:rPr>
        <w:rFonts w:hint="default"/>
        <w:lang w:val="en-US" w:eastAsia="zh-CN" w:bidi="ar-SA"/>
      </w:rPr>
    </w:lvl>
    <w:lvl w:ilvl="5" w:tentative="0">
      <w:start w:val="0"/>
      <w:numFmt w:val="bullet"/>
      <w:lvlText w:val="•"/>
      <w:lvlJc w:val="left"/>
      <w:pPr>
        <w:ind w:left="7173" w:hanging="721"/>
      </w:pPr>
      <w:rPr>
        <w:rFonts w:hint="default"/>
        <w:lang w:val="en-US" w:eastAsia="zh-CN" w:bidi="ar-SA"/>
      </w:rPr>
    </w:lvl>
    <w:lvl w:ilvl="6" w:tentative="0">
      <w:start w:val="0"/>
      <w:numFmt w:val="bullet"/>
      <w:lvlText w:val="•"/>
      <w:lvlJc w:val="left"/>
      <w:pPr>
        <w:ind w:left="7863" w:hanging="721"/>
      </w:pPr>
      <w:rPr>
        <w:rFonts w:hint="default"/>
        <w:lang w:val="en-US" w:eastAsia="zh-CN" w:bidi="ar-SA"/>
      </w:rPr>
    </w:lvl>
    <w:lvl w:ilvl="7" w:tentative="0">
      <w:start w:val="0"/>
      <w:numFmt w:val="bullet"/>
      <w:lvlText w:val="•"/>
      <w:lvlJc w:val="left"/>
      <w:pPr>
        <w:ind w:left="8554" w:hanging="721"/>
      </w:pPr>
      <w:rPr>
        <w:rFonts w:hint="default"/>
        <w:lang w:val="en-US" w:eastAsia="zh-CN" w:bidi="ar-SA"/>
      </w:rPr>
    </w:lvl>
    <w:lvl w:ilvl="8" w:tentative="0">
      <w:start w:val="0"/>
      <w:numFmt w:val="bullet"/>
      <w:lvlText w:val="•"/>
      <w:lvlJc w:val="left"/>
      <w:pPr>
        <w:ind w:left="9245" w:hanging="721"/>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702" w:hanging="543"/>
        <w:jc w:val="left"/>
      </w:pPr>
      <w:rPr>
        <w:rFonts w:hint="default" w:ascii="楷体" w:hAnsi="楷体" w:eastAsia="楷体" w:cs="楷体"/>
        <w:b w:val="0"/>
        <w:bCs w:val="0"/>
        <w:i w:val="0"/>
        <w:iCs w:val="0"/>
        <w:w w:val="100"/>
        <w:sz w:val="18"/>
        <w:szCs w:val="18"/>
        <w:lang w:val="en-US" w:eastAsia="zh-CN" w:bidi="ar-SA"/>
      </w:rPr>
    </w:lvl>
    <w:lvl w:ilvl="1" w:tentative="0">
      <w:start w:val="0"/>
      <w:numFmt w:val="bullet"/>
      <w:lvlText w:val="•"/>
      <w:lvlJc w:val="left"/>
      <w:pPr>
        <w:ind w:left="1692" w:hanging="543"/>
      </w:pPr>
      <w:rPr>
        <w:rFonts w:hint="default"/>
        <w:lang w:val="en-US" w:eastAsia="zh-CN" w:bidi="ar-SA"/>
      </w:rPr>
    </w:lvl>
    <w:lvl w:ilvl="2" w:tentative="0">
      <w:start w:val="0"/>
      <w:numFmt w:val="bullet"/>
      <w:lvlText w:val="•"/>
      <w:lvlJc w:val="left"/>
      <w:pPr>
        <w:ind w:left="2685" w:hanging="543"/>
      </w:pPr>
      <w:rPr>
        <w:rFonts w:hint="default"/>
        <w:lang w:val="en-US" w:eastAsia="zh-CN" w:bidi="ar-SA"/>
      </w:rPr>
    </w:lvl>
    <w:lvl w:ilvl="3" w:tentative="0">
      <w:start w:val="0"/>
      <w:numFmt w:val="bullet"/>
      <w:lvlText w:val="•"/>
      <w:lvlJc w:val="left"/>
      <w:pPr>
        <w:ind w:left="3677" w:hanging="543"/>
      </w:pPr>
      <w:rPr>
        <w:rFonts w:hint="default"/>
        <w:lang w:val="en-US" w:eastAsia="zh-CN" w:bidi="ar-SA"/>
      </w:rPr>
    </w:lvl>
    <w:lvl w:ilvl="4" w:tentative="0">
      <w:start w:val="0"/>
      <w:numFmt w:val="bullet"/>
      <w:lvlText w:val="•"/>
      <w:lvlJc w:val="left"/>
      <w:pPr>
        <w:ind w:left="4670" w:hanging="543"/>
      </w:pPr>
      <w:rPr>
        <w:rFonts w:hint="default"/>
        <w:lang w:val="en-US" w:eastAsia="zh-CN" w:bidi="ar-SA"/>
      </w:rPr>
    </w:lvl>
    <w:lvl w:ilvl="5" w:tentative="0">
      <w:start w:val="0"/>
      <w:numFmt w:val="bullet"/>
      <w:lvlText w:val="•"/>
      <w:lvlJc w:val="left"/>
      <w:pPr>
        <w:ind w:left="5663" w:hanging="543"/>
      </w:pPr>
      <w:rPr>
        <w:rFonts w:hint="default"/>
        <w:lang w:val="en-US" w:eastAsia="zh-CN" w:bidi="ar-SA"/>
      </w:rPr>
    </w:lvl>
    <w:lvl w:ilvl="6" w:tentative="0">
      <w:start w:val="0"/>
      <w:numFmt w:val="bullet"/>
      <w:lvlText w:val="•"/>
      <w:lvlJc w:val="left"/>
      <w:pPr>
        <w:ind w:left="6655" w:hanging="543"/>
      </w:pPr>
      <w:rPr>
        <w:rFonts w:hint="default"/>
        <w:lang w:val="en-US" w:eastAsia="zh-CN" w:bidi="ar-SA"/>
      </w:rPr>
    </w:lvl>
    <w:lvl w:ilvl="7" w:tentative="0">
      <w:start w:val="0"/>
      <w:numFmt w:val="bullet"/>
      <w:lvlText w:val="•"/>
      <w:lvlJc w:val="left"/>
      <w:pPr>
        <w:ind w:left="7648" w:hanging="543"/>
      </w:pPr>
      <w:rPr>
        <w:rFonts w:hint="default"/>
        <w:lang w:val="en-US" w:eastAsia="zh-CN" w:bidi="ar-SA"/>
      </w:rPr>
    </w:lvl>
    <w:lvl w:ilvl="8" w:tentative="0">
      <w:start w:val="0"/>
      <w:numFmt w:val="bullet"/>
      <w:lvlText w:val="•"/>
      <w:lvlJc w:val="left"/>
      <w:pPr>
        <w:ind w:left="8641" w:hanging="543"/>
      </w:pPr>
      <w:rPr>
        <w:rFonts w:hint="default"/>
        <w:lang w:val="en-US" w:eastAsia="zh-CN" w:bidi="ar-SA"/>
      </w:rPr>
    </w:lvl>
  </w:abstractNum>
  <w:abstractNum w:abstractNumId="3">
    <w:nsid w:val="CF092B84"/>
    <w:multiLevelType w:val="multilevel"/>
    <w:tmpl w:val="CF092B84"/>
    <w:lvl w:ilvl="0" w:tentative="0">
      <w:start w:val="1"/>
      <w:numFmt w:val="decimal"/>
      <w:lvlText w:val="%1"/>
      <w:lvlJc w:val="left"/>
      <w:pPr>
        <w:ind w:left="1228" w:hanging="961"/>
        <w:jc w:val="left"/>
      </w:pPr>
      <w:rPr>
        <w:rFonts w:hint="default"/>
        <w:w w:val="99"/>
        <w:position w:val="-3"/>
        <w:lang w:val="en-US" w:eastAsia="zh-CN" w:bidi="ar-SA"/>
      </w:rPr>
    </w:lvl>
    <w:lvl w:ilvl="1" w:tentative="0">
      <w:start w:val="1"/>
      <w:numFmt w:val="decimal"/>
      <w:lvlText w:val="%1.%2"/>
      <w:lvlJc w:val="left"/>
      <w:pPr>
        <w:ind w:left="2997" w:hanging="961"/>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228" w:hanging="961"/>
        <w:jc w:val="left"/>
      </w:pPr>
      <w:rPr>
        <w:rFonts w:hint="default" w:ascii="宋体" w:hAnsi="宋体" w:eastAsia="宋体" w:cs="宋体"/>
        <w:b/>
        <w:bCs/>
        <w:i w:val="0"/>
        <w:iCs w:val="0"/>
        <w:w w:val="99"/>
        <w:sz w:val="21"/>
        <w:szCs w:val="21"/>
        <w:lang w:val="en-US" w:eastAsia="zh-CN" w:bidi="ar-SA"/>
      </w:rPr>
    </w:lvl>
    <w:lvl w:ilvl="3" w:tentative="0">
      <w:start w:val="1"/>
      <w:numFmt w:val="decimal"/>
      <w:lvlText w:val="%1.%2.%3.%4"/>
      <w:lvlJc w:val="left"/>
      <w:pPr>
        <w:ind w:left="1228" w:hanging="961"/>
        <w:jc w:val="left"/>
      </w:pPr>
      <w:rPr>
        <w:rFonts w:hint="default" w:ascii="宋体" w:hAnsi="宋体" w:eastAsia="宋体" w:cs="宋体"/>
        <w:b/>
        <w:bCs/>
        <w:i w:val="0"/>
        <w:iCs w:val="0"/>
        <w:spacing w:val="-104"/>
        <w:w w:val="99"/>
        <w:sz w:val="21"/>
        <w:szCs w:val="21"/>
        <w:lang w:val="en-US" w:eastAsia="zh-CN" w:bidi="ar-SA"/>
      </w:rPr>
    </w:lvl>
    <w:lvl w:ilvl="4" w:tentative="0">
      <w:start w:val="2"/>
      <w:numFmt w:val="decimal"/>
      <w:lvlText w:val="（%5）"/>
      <w:lvlJc w:val="left"/>
      <w:pPr>
        <w:ind w:left="3717" w:hanging="721"/>
        <w:jc w:val="left"/>
      </w:pPr>
      <w:rPr>
        <w:rFonts w:hint="default" w:ascii="宋体" w:hAnsi="宋体" w:eastAsia="宋体" w:cs="宋体"/>
        <w:b w:val="0"/>
        <w:bCs w:val="0"/>
        <w:i w:val="0"/>
        <w:iCs w:val="0"/>
        <w:w w:val="100"/>
        <w:sz w:val="21"/>
        <w:szCs w:val="21"/>
        <w:lang w:val="en-US" w:eastAsia="zh-CN" w:bidi="ar-SA"/>
      </w:rPr>
    </w:lvl>
    <w:lvl w:ilvl="5" w:tentative="0">
      <w:start w:val="0"/>
      <w:numFmt w:val="bullet"/>
      <w:lvlText w:val="•"/>
      <w:lvlJc w:val="left"/>
      <w:pPr>
        <w:ind w:left="3340" w:hanging="721"/>
      </w:pPr>
      <w:rPr>
        <w:rFonts w:hint="default"/>
        <w:lang w:val="en-US" w:eastAsia="zh-CN" w:bidi="ar-SA"/>
      </w:rPr>
    </w:lvl>
    <w:lvl w:ilvl="6" w:tentative="0">
      <w:start w:val="0"/>
      <w:numFmt w:val="bullet"/>
      <w:lvlText w:val="•"/>
      <w:lvlJc w:val="left"/>
      <w:pPr>
        <w:ind w:left="3213" w:hanging="721"/>
      </w:pPr>
      <w:rPr>
        <w:rFonts w:hint="default"/>
        <w:lang w:val="en-US" w:eastAsia="zh-CN" w:bidi="ar-SA"/>
      </w:rPr>
    </w:lvl>
    <w:lvl w:ilvl="7" w:tentative="0">
      <w:start w:val="0"/>
      <w:numFmt w:val="bullet"/>
      <w:lvlText w:val="•"/>
      <w:lvlJc w:val="left"/>
      <w:pPr>
        <w:ind w:left="3086" w:hanging="721"/>
      </w:pPr>
      <w:rPr>
        <w:rFonts w:hint="default"/>
        <w:lang w:val="en-US" w:eastAsia="zh-CN" w:bidi="ar-SA"/>
      </w:rPr>
    </w:lvl>
    <w:lvl w:ilvl="8" w:tentative="0">
      <w:start w:val="0"/>
      <w:numFmt w:val="bullet"/>
      <w:lvlText w:val="•"/>
      <w:lvlJc w:val="left"/>
      <w:pPr>
        <w:ind w:left="2960" w:hanging="721"/>
      </w:pPr>
      <w:rPr>
        <w:rFonts w:hint="default"/>
        <w:lang w:val="en-US" w:eastAsia="zh-CN" w:bidi="ar-SA"/>
      </w:rPr>
    </w:lvl>
  </w:abstractNum>
  <w:abstractNum w:abstractNumId="4">
    <w:nsid w:val="0053208E"/>
    <w:multiLevelType w:val="multilevel"/>
    <w:tmpl w:val="0053208E"/>
    <w:lvl w:ilvl="0" w:tentative="0">
      <w:start w:val="0"/>
      <w:numFmt w:val="bullet"/>
      <w:lvlText w:val=""/>
      <w:lvlJc w:val="left"/>
      <w:pPr>
        <w:ind w:left="1106" w:hanging="420"/>
      </w:pPr>
      <w:rPr>
        <w:rFonts w:hint="default" w:ascii="Wingdings" w:hAnsi="Wingdings" w:eastAsia="Wingdings" w:cs="Wingdings"/>
        <w:b w:val="0"/>
        <w:bCs w:val="0"/>
        <w:i w:val="0"/>
        <w:iCs w:val="0"/>
        <w:w w:val="100"/>
        <w:sz w:val="21"/>
        <w:szCs w:val="21"/>
        <w:lang w:val="en-US" w:eastAsia="zh-CN" w:bidi="ar-SA"/>
      </w:rPr>
    </w:lvl>
    <w:lvl w:ilvl="1" w:tentative="0">
      <w:start w:val="1"/>
      <w:numFmt w:val="decimal"/>
      <w:lvlText w:val="%2."/>
      <w:lvlJc w:val="left"/>
      <w:pPr>
        <w:ind w:left="2455" w:hanging="213"/>
        <w:jc w:val="right"/>
      </w:pPr>
      <w:rPr>
        <w:rFonts w:hint="default" w:ascii="宋体" w:hAnsi="宋体" w:eastAsia="宋体" w:cs="宋体"/>
        <w:b/>
        <w:bCs/>
        <w:i w:val="0"/>
        <w:iCs w:val="0"/>
        <w:w w:val="99"/>
        <w:sz w:val="19"/>
        <w:szCs w:val="19"/>
        <w:lang w:val="en-US" w:eastAsia="zh-CN" w:bidi="ar-SA"/>
      </w:rPr>
    </w:lvl>
    <w:lvl w:ilvl="2" w:tentative="0">
      <w:start w:val="1"/>
      <w:numFmt w:val="decimal"/>
      <w:lvlText w:val="%2.%3"/>
      <w:lvlJc w:val="left"/>
      <w:pPr>
        <w:ind w:left="2877" w:hanging="423"/>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2880" w:hanging="423"/>
      </w:pPr>
      <w:rPr>
        <w:rFonts w:hint="default"/>
        <w:lang w:val="en-US" w:eastAsia="zh-CN" w:bidi="ar-SA"/>
      </w:rPr>
    </w:lvl>
    <w:lvl w:ilvl="4" w:tentative="0">
      <w:start w:val="0"/>
      <w:numFmt w:val="bullet"/>
      <w:lvlText w:val="•"/>
      <w:lvlJc w:val="left"/>
      <w:pPr>
        <w:ind w:left="2462" w:hanging="423"/>
      </w:pPr>
      <w:rPr>
        <w:rFonts w:hint="default"/>
        <w:lang w:val="en-US" w:eastAsia="zh-CN" w:bidi="ar-SA"/>
      </w:rPr>
    </w:lvl>
    <w:lvl w:ilvl="5" w:tentative="0">
      <w:start w:val="0"/>
      <w:numFmt w:val="bullet"/>
      <w:lvlText w:val="•"/>
      <w:lvlJc w:val="left"/>
      <w:pPr>
        <w:ind w:left="2045" w:hanging="423"/>
      </w:pPr>
      <w:rPr>
        <w:rFonts w:hint="default"/>
        <w:lang w:val="en-US" w:eastAsia="zh-CN" w:bidi="ar-SA"/>
      </w:rPr>
    </w:lvl>
    <w:lvl w:ilvl="6" w:tentative="0">
      <w:start w:val="0"/>
      <w:numFmt w:val="bullet"/>
      <w:lvlText w:val="•"/>
      <w:lvlJc w:val="left"/>
      <w:pPr>
        <w:ind w:left="1628" w:hanging="423"/>
      </w:pPr>
      <w:rPr>
        <w:rFonts w:hint="default"/>
        <w:lang w:val="en-US" w:eastAsia="zh-CN" w:bidi="ar-SA"/>
      </w:rPr>
    </w:lvl>
    <w:lvl w:ilvl="7" w:tentative="0">
      <w:start w:val="0"/>
      <w:numFmt w:val="bullet"/>
      <w:lvlText w:val="•"/>
      <w:lvlJc w:val="left"/>
      <w:pPr>
        <w:ind w:left="1211" w:hanging="423"/>
      </w:pPr>
      <w:rPr>
        <w:rFonts w:hint="default"/>
        <w:lang w:val="en-US" w:eastAsia="zh-CN" w:bidi="ar-SA"/>
      </w:rPr>
    </w:lvl>
    <w:lvl w:ilvl="8" w:tentative="0">
      <w:start w:val="0"/>
      <w:numFmt w:val="bullet"/>
      <w:lvlText w:val="•"/>
      <w:lvlJc w:val="left"/>
      <w:pPr>
        <w:ind w:left="794" w:hanging="423"/>
      </w:pPr>
      <w:rPr>
        <w:rFonts w:hint="default"/>
        <w:lang w:val="en-US" w:eastAsia="zh-CN" w:bidi="ar-SA"/>
      </w:rPr>
    </w:lvl>
  </w:abstractNum>
  <w:abstractNum w:abstractNumId="5">
    <w:nsid w:val="0248C179"/>
    <w:multiLevelType w:val="multilevel"/>
    <w:tmpl w:val="0248C179"/>
    <w:lvl w:ilvl="0" w:tentative="0">
      <w:start w:val="6"/>
      <w:numFmt w:val="decimal"/>
      <w:lvlText w:val="%1"/>
      <w:lvlJc w:val="left"/>
      <w:pPr>
        <w:ind w:left="2997" w:hanging="961"/>
        <w:jc w:val="left"/>
      </w:pPr>
      <w:rPr>
        <w:rFonts w:hint="default"/>
        <w:lang w:val="en-US" w:eastAsia="zh-CN" w:bidi="ar-SA"/>
      </w:rPr>
    </w:lvl>
    <w:lvl w:ilvl="1" w:tentative="0">
      <w:start w:val="3"/>
      <w:numFmt w:val="decimal"/>
      <w:lvlText w:val="%1.%2"/>
      <w:lvlJc w:val="left"/>
      <w:pPr>
        <w:ind w:left="2997" w:hanging="961"/>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717" w:hanging="721"/>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5254" w:hanging="721"/>
      </w:pPr>
      <w:rPr>
        <w:rFonts w:hint="default"/>
        <w:lang w:val="en-US" w:eastAsia="zh-CN" w:bidi="ar-SA"/>
      </w:rPr>
    </w:lvl>
    <w:lvl w:ilvl="4" w:tentative="0">
      <w:start w:val="0"/>
      <w:numFmt w:val="bullet"/>
      <w:lvlText w:val="•"/>
      <w:lvlJc w:val="left"/>
      <w:pPr>
        <w:ind w:left="6022" w:hanging="721"/>
      </w:pPr>
      <w:rPr>
        <w:rFonts w:hint="default"/>
        <w:lang w:val="en-US" w:eastAsia="zh-CN" w:bidi="ar-SA"/>
      </w:rPr>
    </w:lvl>
    <w:lvl w:ilvl="5" w:tentative="0">
      <w:start w:val="0"/>
      <w:numFmt w:val="bullet"/>
      <w:lvlText w:val="•"/>
      <w:lvlJc w:val="left"/>
      <w:pPr>
        <w:ind w:left="6789" w:hanging="721"/>
      </w:pPr>
      <w:rPr>
        <w:rFonts w:hint="default"/>
        <w:lang w:val="en-US" w:eastAsia="zh-CN" w:bidi="ar-SA"/>
      </w:rPr>
    </w:lvl>
    <w:lvl w:ilvl="6" w:tentative="0">
      <w:start w:val="0"/>
      <w:numFmt w:val="bullet"/>
      <w:lvlText w:val="•"/>
      <w:lvlJc w:val="left"/>
      <w:pPr>
        <w:ind w:left="7556" w:hanging="721"/>
      </w:pPr>
      <w:rPr>
        <w:rFonts w:hint="default"/>
        <w:lang w:val="en-US" w:eastAsia="zh-CN" w:bidi="ar-SA"/>
      </w:rPr>
    </w:lvl>
    <w:lvl w:ilvl="7" w:tentative="0">
      <w:start w:val="0"/>
      <w:numFmt w:val="bullet"/>
      <w:lvlText w:val="•"/>
      <w:lvlJc w:val="left"/>
      <w:pPr>
        <w:ind w:left="8324" w:hanging="721"/>
      </w:pPr>
      <w:rPr>
        <w:rFonts w:hint="default"/>
        <w:lang w:val="en-US" w:eastAsia="zh-CN" w:bidi="ar-SA"/>
      </w:rPr>
    </w:lvl>
    <w:lvl w:ilvl="8" w:tentative="0">
      <w:start w:val="0"/>
      <w:numFmt w:val="bullet"/>
      <w:lvlText w:val="•"/>
      <w:lvlJc w:val="left"/>
      <w:pPr>
        <w:ind w:left="9091" w:hanging="721"/>
      </w:pPr>
      <w:rPr>
        <w:rFonts w:hint="default"/>
        <w:lang w:val="en-US" w:eastAsia="zh-CN" w:bidi="ar-SA"/>
      </w:rPr>
    </w:lvl>
  </w:abstractNum>
  <w:abstractNum w:abstractNumId="6">
    <w:nsid w:val="03D62ECE"/>
    <w:multiLevelType w:val="multilevel"/>
    <w:tmpl w:val="03D62ECE"/>
    <w:lvl w:ilvl="0" w:tentative="0">
      <w:start w:val="1"/>
      <w:numFmt w:val="decimal"/>
      <w:lvlText w:val="（%1）"/>
      <w:lvlJc w:val="left"/>
      <w:pPr>
        <w:ind w:left="971"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669" w:hanging="721"/>
      </w:pPr>
      <w:rPr>
        <w:rFonts w:hint="default"/>
        <w:lang w:val="en-US" w:eastAsia="zh-CN" w:bidi="ar-SA"/>
      </w:rPr>
    </w:lvl>
    <w:lvl w:ilvl="2" w:tentative="0">
      <w:start w:val="0"/>
      <w:numFmt w:val="bullet"/>
      <w:lvlText w:val="•"/>
      <w:lvlJc w:val="left"/>
      <w:pPr>
        <w:ind w:left="2359" w:hanging="721"/>
      </w:pPr>
      <w:rPr>
        <w:rFonts w:hint="default"/>
        <w:lang w:val="en-US" w:eastAsia="zh-CN" w:bidi="ar-SA"/>
      </w:rPr>
    </w:lvl>
    <w:lvl w:ilvl="3" w:tentative="0">
      <w:start w:val="0"/>
      <w:numFmt w:val="bullet"/>
      <w:lvlText w:val="•"/>
      <w:lvlJc w:val="left"/>
      <w:pPr>
        <w:ind w:left="3049" w:hanging="721"/>
      </w:pPr>
      <w:rPr>
        <w:rFonts w:hint="default"/>
        <w:lang w:val="en-US" w:eastAsia="zh-CN" w:bidi="ar-SA"/>
      </w:rPr>
    </w:lvl>
    <w:lvl w:ilvl="4" w:tentative="0">
      <w:start w:val="0"/>
      <w:numFmt w:val="bullet"/>
      <w:lvlText w:val="•"/>
      <w:lvlJc w:val="left"/>
      <w:pPr>
        <w:ind w:left="3739" w:hanging="721"/>
      </w:pPr>
      <w:rPr>
        <w:rFonts w:hint="default"/>
        <w:lang w:val="en-US" w:eastAsia="zh-CN" w:bidi="ar-SA"/>
      </w:rPr>
    </w:lvl>
    <w:lvl w:ilvl="5" w:tentative="0">
      <w:start w:val="0"/>
      <w:numFmt w:val="bullet"/>
      <w:lvlText w:val="•"/>
      <w:lvlJc w:val="left"/>
      <w:pPr>
        <w:ind w:left="4429" w:hanging="721"/>
      </w:pPr>
      <w:rPr>
        <w:rFonts w:hint="default"/>
        <w:lang w:val="en-US" w:eastAsia="zh-CN" w:bidi="ar-SA"/>
      </w:rPr>
    </w:lvl>
    <w:lvl w:ilvl="6" w:tentative="0">
      <w:start w:val="0"/>
      <w:numFmt w:val="bullet"/>
      <w:lvlText w:val="•"/>
      <w:lvlJc w:val="left"/>
      <w:pPr>
        <w:ind w:left="5119" w:hanging="721"/>
      </w:pPr>
      <w:rPr>
        <w:rFonts w:hint="default"/>
        <w:lang w:val="en-US" w:eastAsia="zh-CN" w:bidi="ar-SA"/>
      </w:rPr>
    </w:lvl>
    <w:lvl w:ilvl="7" w:tentative="0">
      <w:start w:val="0"/>
      <w:numFmt w:val="bullet"/>
      <w:lvlText w:val="•"/>
      <w:lvlJc w:val="left"/>
      <w:pPr>
        <w:ind w:left="5809" w:hanging="721"/>
      </w:pPr>
      <w:rPr>
        <w:rFonts w:hint="default"/>
        <w:lang w:val="en-US" w:eastAsia="zh-CN" w:bidi="ar-SA"/>
      </w:rPr>
    </w:lvl>
    <w:lvl w:ilvl="8" w:tentative="0">
      <w:start w:val="0"/>
      <w:numFmt w:val="bullet"/>
      <w:lvlText w:val="•"/>
      <w:lvlJc w:val="left"/>
      <w:pPr>
        <w:ind w:left="6499" w:hanging="721"/>
      </w:pPr>
      <w:rPr>
        <w:rFonts w:hint="default"/>
        <w:lang w:val="en-US" w:eastAsia="zh-CN" w:bidi="ar-SA"/>
      </w:rPr>
    </w:lvl>
  </w:abstractNum>
  <w:abstractNum w:abstractNumId="7">
    <w:nsid w:val="25B654F3"/>
    <w:multiLevelType w:val="multilevel"/>
    <w:tmpl w:val="25B654F3"/>
    <w:lvl w:ilvl="0" w:tentative="0">
      <w:start w:val="1"/>
      <w:numFmt w:val="decimal"/>
      <w:lvlText w:val="（%1）"/>
      <w:lvlJc w:val="left"/>
      <w:pPr>
        <w:ind w:left="3717"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410" w:hanging="721"/>
      </w:pPr>
      <w:rPr>
        <w:rFonts w:hint="default"/>
        <w:lang w:val="en-US" w:eastAsia="zh-CN" w:bidi="ar-SA"/>
      </w:rPr>
    </w:lvl>
    <w:lvl w:ilvl="2" w:tentative="0">
      <w:start w:val="0"/>
      <w:numFmt w:val="bullet"/>
      <w:lvlText w:val="•"/>
      <w:lvlJc w:val="left"/>
      <w:pPr>
        <w:ind w:left="5101" w:hanging="721"/>
      </w:pPr>
      <w:rPr>
        <w:rFonts w:hint="default"/>
        <w:lang w:val="en-US" w:eastAsia="zh-CN" w:bidi="ar-SA"/>
      </w:rPr>
    </w:lvl>
    <w:lvl w:ilvl="3" w:tentative="0">
      <w:start w:val="0"/>
      <w:numFmt w:val="bullet"/>
      <w:lvlText w:val="•"/>
      <w:lvlJc w:val="left"/>
      <w:pPr>
        <w:ind w:left="5791" w:hanging="721"/>
      </w:pPr>
      <w:rPr>
        <w:rFonts w:hint="default"/>
        <w:lang w:val="en-US" w:eastAsia="zh-CN" w:bidi="ar-SA"/>
      </w:rPr>
    </w:lvl>
    <w:lvl w:ilvl="4" w:tentative="0">
      <w:start w:val="0"/>
      <w:numFmt w:val="bullet"/>
      <w:lvlText w:val="•"/>
      <w:lvlJc w:val="left"/>
      <w:pPr>
        <w:ind w:left="6482" w:hanging="721"/>
      </w:pPr>
      <w:rPr>
        <w:rFonts w:hint="default"/>
        <w:lang w:val="en-US" w:eastAsia="zh-CN" w:bidi="ar-SA"/>
      </w:rPr>
    </w:lvl>
    <w:lvl w:ilvl="5" w:tentative="0">
      <w:start w:val="0"/>
      <w:numFmt w:val="bullet"/>
      <w:lvlText w:val="•"/>
      <w:lvlJc w:val="left"/>
      <w:pPr>
        <w:ind w:left="7173" w:hanging="721"/>
      </w:pPr>
      <w:rPr>
        <w:rFonts w:hint="default"/>
        <w:lang w:val="en-US" w:eastAsia="zh-CN" w:bidi="ar-SA"/>
      </w:rPr>
    </w:lvl>
    <w:lvl w:ilvl="6" w:tentative="0">
      <w:start w:val="0"/>
      <w:numFmt w:val="bullet"/>
      <w:lvlText w:val="•"/>
      <w:lvlJc w:val="left"/>
      <w:pPr>
        <w:ind w:left="7863" w:hanging="721"/>
      </w:pPr>
      <w:rPr>
        <w:rFonts w:hint="default"/>
        <w:lang w:val="en-US" w:eastAsia="zh-CN" w:bidi="ar-SA"/>
      </w:rPr>
    </w:lvl>
    <w:lvl w:ilvl="7" w:tentative="0">
      <w:start w:val="0"/>
      <w:numFmt w:val="bullet"/>
      <w:lvlText w:val="•"/>
      <w:lvlJc w:val="left"/>
      <w:pPr>
        <w:ind w:left="8554" w:hanging="721"/>
      </w:pPr>
      <w:rPr>
        <w:rFonts w:hint="default"/>
        <w:lang w:val="en-US" w:eastAsia="zh-CN" w:bidi="ar-SA"/>
      </w:rPr>
    </w:lvl>
    <w:lvl w:ilvl="8" w:tentative="0">
      <w:start w:val="0"/>
      <w:numFmt w:val="bullet"/>
      <w:lvlText w:val="•"/>
      <w:lvlJc w:val="left"/>
      <w:pPr>
        <w:ind w:left="9245" w:hanging="721"/>
      </w:pPr>
      <w:rPr>
        <w:rFonts w:hint="default"/>
        <w:lang w:val="en-US" w:eastAsia="zh-CN" w:bidi="ar-SA"/>
      </w:rPr>
    </w:lvl>
  </w:abstractNum>
  <w:abstractNum w:abstractNumId="8">
    <w:nsid w:val="2A8F537B"/>
    <w:multiLevelType w:val="multilevel"/>
    <w:tmpl w:val="2A8F537B"/>
    <w:lvl w:ilvl="0" w:tentative="0">
      <w:start w:val="4"/>
      <w:numFmt w:val="decimal"/>
      <w:lvlText w:val="%1)"/>
      <w:lvlJc w:val="left"/>
      <w:pPr>
        <w:ind w:left="3326"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50" w:hanging="721"/>
      </w:pPr>
      <w:rPr>
        <w:rFonts w:hint="default"/>
        <w:lang w:val="en-US" w:eastAsia="zh-CN" w:bidi="ar-SA"/>
      </w:rPr>
    </w:lvl>
    <w:lvl w:ilvl="2" w:tentative="0">
      <w:start w:val="0"/>
      <w:numFmt w:val="bullet"/>
      <w:lvlText w:val="•"/>
      <w:lvlJc w:val="left"/>
      <w:pPr>
        <w:ind w:left="4781" w:hanging="721"/>
      </w:pPr>
      <w:rPr>
        <w:rFonts w:hint="default"/>
        <w:lang w:val="en-US" w:eastAsia="zh-CN" w:bidi="ar-SA"/>
      </w:rPr>
    </w:lvl>
    <w:lvl w:ilvl="3" w:tentative="0">
      <w:start w:val="0"/>
      <w:numFmt w:val="bullet"/>
      <w:lvlText w:val="•"/>
      <w:lvlJc w:val="left"/>
      <w:pPr>
        <w:ind w:left="5511" w:hanging="721"/>
      </w:pPr>
      <w:rPr>
        <w:rFonts w:hint="default"/>
        <w:lang w:val="en-US" w:eastAsia="zh-CN" w:bidi="ar-SA"/>
      </w:rPr>
    </w:lvl>
    <w:lvl w:ilvl="4" w:tentative="0">
      <w:start w:val="0"/>
      <w:numFmt w:val="bullet"/>
      <w:lvlText w:val="•"/>
      <w:lvlJc w:val="left"/>
      <w:pPr>
        <w:ind w:left="6242" w:hanging="721"/>
      </w:pPr>
      <w:rPr>
        <w:rFonts w:hint="default"/>
        <w:lang w:val="en-US" w:eastAsia="zh-CN" w:bidi="ar-SA"/>
      </w:rPr>
    </w:lvl>
    <w:lvl w:ilvl="5" w:tentative="0">
      <w:start w:val="0"/>
      <w:numFmt w:val="bullet"/>
      <w:lvlText w:val="•"/>
      <w:lvlJc w:val="left"/>
      <w:pPr>
        <w:ind w:left="6973" w:hanging="721"/>
      </w:pPr>
      <w:rPr>
        <w:rFonts w:hint="default"/>
        <w:lang w:val="en-US" w:eastAsia="zh-CN" w:bidi="ar-SA"/>
      </w:rPr>
    </w:lvl>
    <w:lvl w:ilvl="6" w:tentative="0">
      <w:start w:val="0"/>
      <w:numFmt w:val="bullet"/>
      <w:lvlText w:val="•"/>
      <w:lvlJc w:val="left"/>
      <w:pPr>
        <w:ind w:left="7703" w:hanging="721"/>
      </w:pPr>
      <w:rPr>
        <w:rFonts w:hint="default"/>
        <w:lang w:val="en-US" w:eastAsia="zh-CN" w:bidi="ar-SA"/>
      </w:rPr>
    </w:lvl>
    <w:lvl w:ilvl="7" w:tentative="0">
      <w:start w:val="0"/>
      <w:numFmt w:val="bullet"/>
      <w:lvlText w:val="•"/>
      <w:lvlJc w:val="left"/>
      <w:pPr>
        <w:ind w:left="8434" w:hanging="721"/>
      </w:pPr>
      <w:rPr>
        <w:rFonts w:hint="default"/>
        <w:lang w:val="en-US" w:eastAsia="zh-CN" w:bidi="ar-SA"/>
      </w:rPr>
    </w:lvl>
    <w:lvl w:ilvl="8" w:tentative="0">
      <w:start w:val="0"/>
      <w:numFmt w:val="bullet"/>
      <w:lvlText w:val="•"/>
      <w:lvlJc w:val="left"/>
      <w:pPr>
        <w:ind w:left="9165" w:hanging="721"/>
      </w:pPr>
      <w:rPr>
        <w:rFonts w:hint="default"/>
        <w:lang w:val="en-US" w:eastAsia="zh-CN" w:bidi="ar-SA"/>
      </w:rPr>
    </w:lvl>
  </w:abstractNum>
  <w:abstractNum w:abstractNumId="9">
    <w:nsid w:val="59ADCABA"/>
    <w:multiLevelType w:val="multilevel"/>
    <w:tmpl w:val="59ADCABA"/>
    <w:lvl w:ilvl="0" w:tentative="0">
      <w:start w:val="1"/>
      <w:numFmt w:val="decimal"/>
      <w:lvlText w:val="（%1）"/>
      <w:lvlJc w:val="left"/>
      <w:pPr>
        <w:ind w:left="160" w:hanging="453"/>
        <w:jc w:val="left"/>
      </w:pPr>
      <w:rPr>
        <w:rFonts w:hint="default" w:ascii="楷体" w:hAnsi="楷体" w:eastAsia="楷体" w:cs="楷体"/>
        <w:b w:val="0"/>
        <w:bCs w:val="0"/>
        <w:i w:val="0"/>
        <w:iCs w:val="0"/>
        <w:spacing w:val="-10"/>
        <w:w w:val="100"/>
        <w:sz w:val="16"/>
        <w:szCs w:val="16"/>
        <w:lang w:val="en-US" w:eastAsia="zh-CN" w:bidi="ar-SA"/>
      </w:rPr>
    </w:lvl>
    <w:lvl w:ilvl="1" w:tentative="0">
      <w:start w:val="0"/>
      <w:numFmt w:val="bullet"/>
      <w:lvlText w:val="•"/>
      <w:lvlJc w:val="left"/>
      <w:pPr>
        <w:ind w:left="1206" w:hanging="453"/>
      </w:pPr>
      <w:rPr>
        <w:rFonts w:hint="default"/>
        <w:lang w:val="en-US" w:eastAsia="zh-CN" w:bidi="ar-SA"/>
      </w:rPr>
    </w:lvl>
    <w:lvl w:ilvl="2" w:tentative="0">
      <w:start w:val="0"/>
      <w:numFmt w:val="bullet"/>
      <w:lvlText w:val="•"/>
      <w:lvlJc w:val="left"/>
      <w:pPr>
        <w:ind w:left="2253" w:hanging="453"/>
      </w:pPr>
      <w:rPr>
        <w:rFonts w:hint="default"/>
        <w:lang w:val="en-US" w:eastAsia="zh-CN" w:bidi="ar-SA"/>
      </w:rPr>
    </w:lvl>
    <w:lvl w:ilvl="3" w:tentative="0">
      <w:start w:val="0"/>
      <w:numFmt w:val="bullet"/>
      <w:lvlText w:val="•"/>
      <w:lvlJc w:val="left"/>
      <w:pPr>
        <w:ind w:left="3299" w:hanging="453"/>
      </w:pPr>
      <w:rPr>
        <w:rFonts w:hint="default"/>
        <w:lang w:val="en-US" w:eastAsia="zh-CN" w:bidi="ar-SA"/>
      </w:rPr>
    </w:lvl>
    <w:lvl w:ilvl="4" w:tentative="0">
      <w:start w:val="0"/>
      <w:numFmt w:val="bullet"/>
      <w:lvlText w:val="•"/>
      <w:lvlJc w:val="left"/>
      <w:pPr>
        <w:ind w:left="4346" w:hanging="453"/>
      </w:pPr>
      <w:rPr>
        <w:rFonts w:hint="default"/>
        <w:lang w:val="en-US" w:eastAsia="zh-CN" w:bidi="ar-SA"/>
      </w:rPr>
    </w:lvl>
    <w:lvl w:ilvl="5" w:tentative="0">
      <w:start w:val="0"/>
      <w:numFmt w:val="bullet"/>
      <w:lvlText w:val="•"/>
      <w:lvlJc w:val="left"/>
      <w:pPr>
        <w:ind w:left="5393" w:hanging="453"/>
      </w:pPr>
      <w:rPr>
        <w:rFonts w:hint="default"/>
        <w:lang w:val="en-US" w:eastAsia="zh-CN" w:bidi="ar-SA"/>
      </w:rPr>
    </w:lvl>
    <w:lvl w:ilvl="6" w:tentative="0">
      <w:start w:val="0"/>
      <w:numFmt w:val="bullet"/>
      <w:lvlText w:val="•"/>
      <w:lvlJc w:val="left"/>
      <w:pPr>
        <w:ind w:left="6439" w:hanging="453"/>
      </w:pPr>
      <w:rPr>
        <w:rFonts w:hint="default"/>
        <w:lang w:val="en-US" w:eastAsia="zh-CN" w:bidi="ar-SA"/>
      </w:rPr>
    </w:lvl>
    <w:lvl w:ilvl="7" w:tentative="0">
      <w:start w:val="0"/>
      <w:numFmt w:val="bullet"/>
      <w:lvlText w:val="•"/>
      <w:lvlJc w:val="left"/>
      <w:pPr>
        <w:ind w:left="7486" w:hanging="453"/>
      </w:pPr>
      <w:rPr>
        <w:rFonts w:hint="default"/>
        <w:lang w:val="en-US" w:eastAsia="zh-CN" w:bidi="ar-SA"/>
      </w:rPr>
    </w:lvl>
    <w:lvl w:ilvl="8" w:tentative="0">
      <w:start w:val="0"/>
      <w:numFmt w:val="bullet"/>
      <w:lvlText w:val="•"/>
      <w:lvlJc w:val="left"/>
      <w:pPr>
        <w:ind w:left="8533" w:hanging="453"/>
      </w:pPr>
      <w:rPr>
        <w:rFonts w:hint="default"/>
        <w:lang w:val="en-US" w:eastAsia="zh-CN" w:bidi="ar-SA"/>
      </w:rPr>
    </w:lvl>
  </w:abstractNum>
  <w:abstractNum w:abstractNumId="10">
    <w:nsid w:val="72183CF9"/>
    <w:multiLevelType w:val="multilevel"/>
    <w:tmpl w:val="72183CF9"/>
    <w:lvl w:ilvl="0" w:tentative="0">
      <w:start w:val="1"/>
      <w:numFmt w:val="decimal"/>
      <w:lvlText w:val="（%1）"/>
      <w:lvlJc w:val="left"/>
      <w:pPr>
        <w:ind w:left="895"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590" w:hanging="721"/>
      </w:pPr>
      <w:rPr>
        <w:rFonts w:hint="default"/>
        <w:lang w:val="en-US" w:eastAsia="zh-CN" w:bidi="ar-SA"/>
      </w:rPr>
    </w:lvl>
    <w:lvl w:ilvl="2" w:tentative="0">
      <w:start w:val="0"/>
      <w:numFmt w:val="bullet"/>
      <w:lvlText w:val="•"/>
      <w:lvlJc w:val="left"/>
      <w:pPr>
        <w:ind w:left="2280" w:hanging="721"/>
      </w:pPr>
      <w:rPr>
        <w:rFonts w:hint="default"/>
        <w:lang w:val="en-US" w:eastAsia="zh-CN" w:bidi="ar-SA"/>
      </w:rPr>
    </w:lvl>
    <w:lvl w:ilvl="3" w:tentative="0">
      <w:start w:val="0"/>
      <w:numFmt w:val="bullet"/>
      <w:lvlText w:val="•"/>
      <w:lvlJc w:val="left"/>
      <w:pPr>
        <w:ind w:left="2971" w:hanging="721"/>
      </w:pPr>
      <w:rPr>
        <w:rFonts w:hint="default"/>
        <w:lang w:val="en-US" w:eastAsia="zh-CN" w:bidi="ar-SA"/>
      </w:rPr>
    </w:lvl>
    <w:lvl w:ilvl="4" w:tentative="0">
      <w:start w:val="0"/>
      <w:numFmt w:val="bullet"/>
      <w:lvlText w:val="•"/>
      <w:lvlJc w:val="left"/>
      <w:pPr>
        <w:ind w:left="3661" w:hanging="721"/>
      </w:pPr>
      <w:rPr>
        <w:rFonts w:hint="default"/>
        <w:lang w:val="en-US" w:eastAsia="zh-CN" w:bidi="ar-SA"/>
      </w:rPr>
    </w:lvl>
    <w:lvl w:ilvl="5" w:tentative="0">
      <w:start w:val="0"/>
      <w:numFmt w:val="bullet"/>
      <w:lvlText w:val="•"/>
      <w:lvlJc w:val="left"/>
      <w:pPr>
        <w:ind w:left="4352" w:hanging="721"/>
      </w:pPr>
      <w:rPr>
        <w:rFonts w:hint="default"/>
        <w:lang w:val="en-US" w:eastAsia="zh-CN" w:bidi="ar-SA"/>
      </w:rPr>
    </w:lvl>
    <w:lvl w:ilvl="6" w:tentative="0">
      <w:start w:val="0"/>
      <w:numFmt w:val="bullet"/>
      <w:lvlText w:val="•"/>
      <w:lvlJc w:val="left"/>
      <w:pPr>
        <w:ind w:left="5042" w:hanging="721"/>
      </w:pPr>
      <w:rPr>
        <w:rFonts w:hint="default"/>
        <w:lang w:val="en-US" w:eastAsia="zh-CN" w:bidi="ar-SA"/>
      </w:rPr>
    </w:lvl>
    <w:lvl w:ilvl="7" w:tentative="0">
      <w:start w:val="0"/>
      <w:numFmt w:val="bullet"/>
      <w:lvlText w:val="•"/>
      <w:lvlJc w:val="left"/>
      <w:pPr>
        <w:ind w:left="5732" w:hanging="721"/>
      </w:pPr>
      <w:rPr>
        <w:rFonts w:hint="default"/>
        <w:lang w:val="en-US" w:eastAsia="zh-CN" w:bidi="ar-SA"/>
      </w:rPr>
    </w:lvl>
    <w:lvl w:ilvl="8" w:tentative="0">
      <w:start w:val="0"/>
      <w:numFmt w:val="bullet"/>
      <w:lvlText w:val="•"/>
      <w:lvlJc w:val="left"/>
      <w:pPr>
        <w:ind w:left="6423" w:hanging="721"/>
      </w:pPr>
      <w:rPr>
        <w:rFonts w:hint="default"/>
        <w:lang w:val="en-US" w:eastAsia="zh-CN" w:bidi="ar-SA"/>
      </w:rPr>
    </w:lvl>
  </w:abstractNum>
  <w:num w:numId="1">
    <w:abstractNumId w:val="4"/>
  </w:num>
  <w:num w:numId="2">
    <w:abstractNumId w:val="3"/>
  </w:num>
  <w:num w:numId="3">
    <w:abstractNumId w:val="9"/>
  </w:num>
  <w:num w:numId="4">
    <w:abstractNumId w:val="2"/>
  </w:num>
  <w:num w:numId="5">
    <w:abstractNumId w:val="1"/>
  </w:num>
  <w:num w:numId="6">
    <w:abstractNumId w:val="6"/>
  </w:num>
  <w:num w:numId="7">
    <w:abstractNumId w:val="7"/>
  </w:num>
  <w:num w:numId="8">
    <w:abstractNumId w:val="10"/>
  </w:num>
  <w:num w:numId="9">
    <w:abstractNumId w:val="5"/>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4AAA6D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276" w:right="2832"/>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1228" w:hanging="962"/>
      <w:outlineLvl w:val="2"/>
    </w:pPr>
    <w:rPr>
      <w:rFonts w:ascii="宋体" w:hAnsi="宋体" w:eastAsia="宋体" w:cs="宋体"/>
      <w:b/>
      <w:bCs/>
      <w:sz w:val="24"/>
      <w:szCs w:val="24"/>
      <w:lang w:val="en-US" w:eastAsia="zh-CN"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228" w:hanging="721"/>
    </w:pPr>
    <w:rPr>
      <w:rFonts w:ascii="宋体" w:hAnsi="宋体" w:eastAsia="宋体" w:cs="宋体"/>
      <w:lang w:val="en-US" w:eastAsia="zh-CN" w:bidi="ar-SA"/>
    </w:rPr>
  </w:style>
  <w:style w:type="paragraph" w:customStyle="1" w:styleId="9">
    <w:name w:val="Table Paragraph"/>
    <w:basedOn w:val="1"/>
    <w:qFormat/>
    <w:uiPriority w:val="1"/>
    <w:pPr>
      <w:spacing w:before="22" w:line="231" w:lineRule="exact"/>
      <w:ind w:left="10"/>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11106</Words>
  <Characters>11450</Characters>
  <TotalTime>0</TotalTime>
  <ScaleCrop>false</ScaleCrop>
  <LinksUpToDate>false</LinksUpToDate>
  <CharactersWithSpaces>12022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2023-06-02T06:07:00Z</dcterms:created>
  <dc:creator>木木</dc:creator>
  <cp:lastModifiedBy>木木</cp:lastModifiedBy>
  <dcterms:modified xsi:type="dcterms:W3CDTF">2023-06-02T06:43:20Z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0AC749C812FE4B8DA9CB0461551F10A9_12</vt:lpwstr>
  </property>
</Properties>
</file>