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53"/>
        <w:ind w:left="0" w:right="296" w:firstLine="0"/>
        <w:jc w:val="right"/>
        <w:rPr>
          <w:sz w:val="18"/>
        </w:rPr>
      </w:pPr>
      <w:r>
        <w:rPr>
          <w:sz w:val="18"/>
        </w:rPr>
        <w:t>中华人寿</w:t>
      </w:r>
      <w:r>
        <w:rPr>
          <w:rFonts w:ascii="Times New Roman" w:eastAsia="Times New Roman"/>
          <w:sz w:val="18"/>
        </w:rPr>
        <w:t>[2018]</w:t>
      </w:r>
      <w:r>
        <w:rPr>
          <w:spacing w:val="-10"/>
          <w:sz w:val="18"/>
        </w:rPr>
        <w:t xml:space="preserve">医疗保险 </w:t>
      </w:r>
      <w:r>
        <w:rPr>
          <w:rFonts w:ascii="Times New Roman" w:eastAsia="Times New Roman"/>
          <w:sz w:val="18"/>
        </w:rPr>
        <w:t>062</w:t>
      </w:r>
      <w:r>
        <w:rPr>
          <w:rFonts w:ascii="Times New Roman" w:eastAsia="Times New Roman"/>
          <w:spacing w:val="-3"/>
          <w:sz w:val="18"/>
        </w:rPr>
        <w:t xml:space="preserve"> </w:t>
      </w:r>
      <w:r>
        <w:rPr>
          <w:spacing w:val="-10"/>
          <w:sz w:val="18"/>
        </w:rPr>
        <w:t>号</w:t>
      </w:r>
    </w:p>
    <w:p>
      <w:pPr>
        <w:pStyle w:val="4"/>
        <w:spacing w:before="3"/>
        <w:ind w:left="0"/>
        <w:rPr>
          <w:sz w:val="9"/>
        </w:rPr>
      </w:pPr>
      <w:r>
        <w:drawing>
          <wp:anchor distT="0" distB="0" distL="0" distR="0" simplePos="0" relativeHeight="251659264" behindDoc="0" locked="0" layoutInCell="1" allowOverlap="1">
            <wp:simplePos x="0" y="0"/>
            <wp:positionH relativeFrom="page">
              <wp:posOffset>5848350</wp:posOffset>
            </wp:positionH>
            <wp:positionV relativeFrom="paragraph">
              <wp:posOffset>90170</wp:posOffset>
            </wp:positionV>
            <wp:extent cx="723900" cy="723900"/>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7" cstate="print"/>
                    <a:stretch>
                      <a:fillRect/>
                    </a:stretch>
                  </pic:blipFill>
                  <pic:spPr>
                    <a:xfrm>
                      <a:off x="0" y="0"/>
                      <a:ext cx="723900" cy="723900"/>
                    </a:xfrm>
                    <a:prstGeom prst="rect">
                      <a:avLst/>
                    </a:prstGeom>
                  </pic:spPr>
                </pic:pic>
              </a:graphicData>
            </a:graphic>
          </wp:anchor>
        </w:drawing>
      </w:r>
    </w:p>
    <w:p>
      <w:pPr>
        <w:pStyle w:val="4"/>
        <w:ind w:left="0"/>
        <w:rPr>
          <w:sz w:val="6"/>
        </w:rPr>
      </w:pPr>
    </w:p>
    <w:p>
      <w:pPr>
        <w:spacing w:after="0"/>
        <w:rPr>
          <w:sz w:val="6"/>
        </w:rPr>
        <w:sectPr>
          <w:footerReference r:id="rId5" w:type="default"/>
          <w:type w:val="continuous"/>
          <w:pgSz w:w="11910" w:h="16840"/>
          <w:pgMar w:top="1100" w:right="940" w:bottom="1180" w:left="920" w:header="0" w:footer="981" w:gutter="0"/>
          <w:pgNumType w:start="3"/>
          <w:cols w:space="720" w:num="1"/>
        </w:sectPr>
      </w:pPr>
    </w:p>
    <w:p>
      <w:pPr>
        <w:pStyle w:val="4"/>
        <w:spacing w:before="4"/>
        <w:ind w:left="0"/>
        <w:rPr>
          <w:sz w:val="38"/>
        </w:rPr>
      </w:pPr>
    </w:p>
    <w:p>
      <w:pPr>
        <w:pStyle w:val="2"/>
        <w:jc w:val="right"/>
      </w:pPr>
      <w:r>
        <w:rPr>
          <w:spacing w:val="18"/>
        </w:rPr>
        <w:t>阅 读 指 引</w:t>
      </w:r>
    </w:p>
    <w:p>
      <w:pPr>
        <w:spacing w:before="75"/>
        <w:ind w:left="2110" w:right="0" w:firstLine="0"/>
        <w:jc w:val="left"/>
        <w:rPr>
          <w:sz w:val="18"/>
        </w:rPr>
      </w:pPr>
      <w:r>
        <w:br w:type="column"/>
      </w:r>
      <w:r>
        <w:rPr>
          <w:spacing w:val="-1"/>
          <w:sz w:val="18"/>
        </w:rPr>
        <w:t>请扫描以查询验证条款</w:t>
      </w:r>
    </w:p>
    <w:p>
      <w:pPr>
        <w:spacing w:after="0"/>
        <w:jc w:val="left"/>
        <w:rPr>
          <w:sz w:val="18"/>
        </w:rPr>
        <w:sectPr>
          <w:type w:val="continuous"/>
          <w:pgSz w:w="11910" w:h="16840"/>
          <w:pgMar w:top="1100" w:right="940" w:bottom="1180" w:left="920" w:header="0" w:footer="981" w:gutter="0"/>
          <w:cols w:equalWidth="0" w:num="2">
            <w:col w:w="5807" w:space="40"/>
            <w:col w:w="4203"/>
          </w:cols>
        </w:sectPr>
      </w:pPr>
    </w:p>
    <w:p>
      <w:pPr>
        <w:pStyle w:val="4"/>
        <w:spacing w:before="7"/>
        <w:ind w:left="0"/>
        <w:rPr>
          <w:sz w:val="25"/>
        </w:rPr>
      </w:pPr>
    </w:p>
    <w:p>
      <w:pPr>
        <w:tabs>
          <w:tab w:val="left" w:pos="1053"/>
        </w:tabs>
        <w:spacing w:before="104"/>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3"/>
          <w:sz w:val="21"/>
        </w:rPr>
        <w:t>本阅读指引适用于《中华健享无忧百万医疗保险条款》</w:t>
      </w:r>
    </w:p>
    <w:p>
      <w:pPr>
        <w:tabs>
          <w:tab w:val="left" w:pos="1053"/>
        </w:tabs>
        <w:spacing w:before="317"/>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3"/>
          <w:sz w:val="21"/>
        </w:rPr>
        <w:t>为了方便您更好地理解本保险条款，我们介绍以下人身保险条款中常用术语</w:t>
      </w:r>
    </w:p>
    <w:p>
      <w:pPr>
        <w:pStyle w:val="4"/>
        <w:spacing w:before="257" w:line="278" w:lineRule="auto"/>
        <w:ind w:left="1053" w:right="1631"/>
      </w:pPr>
      <w:r>
        <w:rPr>
          <w:b/>
          <w:spacing w:val="-2"/>
        </w:rPr>
        <w:t>投保人</w:t>
      </w:r>
      <w:r>
        <w:rPr>
          <w:spacing w:val="-2"/>
        </w:rPr>
        <w:t>指与保险公司订立保险合同并支付保险费的人，在本条款中以“您”代称</w:t>
      </w:r>
      <w:r>
        <w:rPr>
          <w:b/>
          <w:spacing w:val="-2"/>
        </w:rPr>
        <w:t>被保险人</w:t>
      </w:r>
      <w:r>
        <w:rPr>
          <w:spacing w:val="-2"/>
        </w:rPr>
        <w:t>指受保险合同保障的人</w:t>
      </w:r>
    </w:p>
    <w:p>
      <w:pPr>
        <w:pStyle w:val="4"/>
        <w:spacing w:line="269" w:lineRule="exact"/>
        <w:ind w:left="1053"/>
      </w:pPr>
      <w:r>
        <w:rPr>
          <w:b/>
          <w:spacing w:val="-2"/>
        </w:rPr>
        <w:t>受益人</w:t>
      </w:r>
      <w:r>
        <w:rPr>
          <w:spacing w:val="-3"/>
        </w:rPr>
        <w:t>指由投保人或被保险人指定的，享有保险金请求权的人</w:t>
      </w:r>
    </w:p>
    <w:p>
      <w:pPr>
        <w:pStyle w:val="4"/>
        <w:spacing w:before="1"/>
        <w:ind w:left="0"/>
        <w:rPr>
          <w:sz w:val="20"/>
        </w:rPr>
      </w:pPr>
    </w:p>
    <w:p>
      <w:pPr>
        <w:tabs>
          <w:tab w:val="left" w:pos="1053"/>
        </w:tabs>
        <w:spacing w:before="0"/>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2"/>
          <w:sz w:val="21"/>
        </w:rPr>
        <w:t>您拥有的重要权益</w:t>
      </w:r>
    </w:p>
    <w:p>
      <w:pPr>
        <w:pStyle w:val="4"/>
        <w:tabs>
          <w:tab w:val="right" w:leader="dot" w:pos="9771"/>
        </w:tabs>
        <w:spacing w:before="258"/>
        <w:ind w:left="1053"/>
        <w:rPr>
          <w:rFonts w:ascii="Times New Roman" w:eastAsia="Times New Roman"/>
        </w:rPr>
      </w:pPr>
      <w:r>
        <w:rPr>
          <w:spacing w:val="-2"/>
        </w:rPr>
        <w:t>签收本合同次日起</w:t>
      </w:r>
      <w:r>
        <w:rPr>
          <w:spacing w:val="-42"/>
        </w:rPr>
        <w:t xml:space="preserve"> </w:t>
      </w:r>
      <w:r>
        <w:rPr>
          <w:rFonts w:ascii="Times New Roman" w:eastAsia="Times New Roman"/>
          <w:spacing w:val="-2"/>
        </w:rPr>
        <w:t>10</w:t>
      </w:r>
      <w:r>
        <w:rPr>
          <w:rFonts w:ascii="Times New Roman" w:eastAsia="Times New Roman"/>
          <w:spacing w:val="13"/>
        </w:rPr>
        <w:t xml:space="preserve"> </w:t>
      </w:r>
      <w:r>
        <w:rPr>
          <w:spacing w:val="-2"/>
        </w:rPr>
        <w:t>日内（即犹豫期）您若要求退保，我们无息退还所交纳保险</w:t>
      </w:r>
      <w:r>
        <w:rPr>
          <w:spacing w:val="-10"/>
        </w:rPr>
        <w:t>费</w:t>
      </w:r>
      <w:r>
        <w:rPr>
          <w:rFonts w:ascii="Times New Roman" w:eastAsia="Times New Roman"/>
        </w:rPr>
        <w:tab/>
      </w:r>
      <w:r>
        <w:rPr>
          <w:rFonts w:ascii="Times New Roman" w:eastAsia="Times New Roman"/>
          <w:spacing w:val="-5"/>
        </w:rPr>
        <w:t>1.5</w:t>
      </w:r>
    </w:p>
    <w:p>
      <w:pPr>
        <w:pStyle w:val="4"/>
        <w:tabs>
          <w:tab w:val="right" w:leader="dot" w:pos="9771"/>
        </w:tabs>
        <w:spacing w:before="43"/>
        <w:ind w:left="1053"/>
        <w:rPr>
          <w:rFonts w:ascii="Times New Roman" w:eastAsia="Times New Roman"/>
        </w:rPr>
      </w:pPr>
      <w:r>
        <w:rPr>
          <w:spacing w:val="-2"/>
        </w:rPr>
        <w:t>本合同提供的保障在保险责任条款中列</w:t>
      </w:r>
      <w:r>
        <w:rPr>
          <w:spacing w:val="-10"/>
        </w:rPr>
        <w:t>明</w:t>
      </w:r>
      <w:r>
        <w:rPr>
          <w:rFonts w:ascii="Times New Roman" w:eastAsia="Times New Roman"/>
        </w:rPr>
        <w:tab/>
      </w:r>
      <w:r>
        <w:rPr>
          <w:rFonts w:ascii="Times New Roman" w:eastAsia="Times New Roman"/>
          <w:spacing w:val="-5"/>
        </w:rPr>
        <w:t>2.3</w:t>
      </w:r>
    </w:p>
    <w:p>
      <w:pPr>
        <w:pStyle w:val="4"/>
        <w:tabs>
          <w:tab w:val="right" w:leader="dot" w:pos="9771"/>
        </w:tabs>
        <w:spacing w:before="43"/>
        <w:ind w:left="1053"/>
        <w:rPr>
          <w:rFonts w:ascii="Times New Roman" w:eastAsia="Times New Roman"/>
        </w:rPr>
      </w:pPr>
      <w:r>
        <w:rPr>
          <w:spacing w:val="-2"/>
        </w:rPr>
        <w:t>您有退保的权</w:t>
      </w:r>
      <w:r>
        <w:rPr>
          <w:spacing w:val="-12"/>
        </w:rPr>
        <w:t>利</w:t>
      </w:r>
      <w:r>
        <w:rPr>
          <w:rFonts w:ascii="Times New Roman" w:eastAsia="Times New Roman"/>
        </w:rPr>
        <w:tab/>
      </w:r>
      <w:r>
        <w:rPr>
          <w:rFonts w:ascii="Times New Roman" w:eastAsia="Times New Roman"/>
          <w:spacing w:val="-5"/>
        </w:rPr>
        <w:t>5.1</w:t>
      </w:r>
    </w:p>
    <w:p>
      <w:pPr>
        <w:tabs>
          <w:tab w:val="left" w:pos="1053"/>
        </w:tabs>
        <w:spacing w:before="258"/>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3"/>
          <w:sz w:val="21"/>
        </w:rPr>
        <w:t>您应当特别注意的事项</w:t>
      </w:r>
    </w:p>
    <w:p>
      <w:pPr>
        <w:tabs>
          <w:tab w:val="right" w:leader="dot" w:pos="9771"/>
        </w:tabs>
        <w:spacing w:before="257"/>
        <w:ind w:left="1055" w:right="0" w:firstLine="0"/>
        <w:jc w:val="left"/>
        <w:rPr>
          <w:rFonts w:ascii="Times New Roman" w:eastAsia="Times New Roman"/>
          <w:b/>
          <w:sz w:val="21"/>
        </w:rPr>
      </w:pPr>
      <w:r>
        <w:rPr>
          <w:b/>
          <w:spacing w:val="-2"/>
          <w:sz w:val="21"/>
        </w:rPr>
        <w:t>您应当及时签收保险合</w:t>
      </w:r>
      <w:r>
        <w:rPr>
          <w:b/>
          <w:spacing w:val="-10"/>
          <w:sz w:val="21"/>
        </w:rPr>
        <w:t>同</w:t>
      </w:r>
      <w:r>
        <w:rPr>
          <w:rFonts w:ascii="Times New Roman" w:eastAsia="Times New Roman"/>
          <w:sz w:val="21"/>
        </w:rPr>
        <w:tab/>
      </w:r>
      <w:r>
        <w:rPr>
          <w:rFonts w:ascii="Times New Roman" w:eastAsia="Times New Roman"/>
          <w:b/>
          <w:spacing w:val="-5"/>
          <w:w w:val="95"/>
          <w:sz w:val="21"/>
        </w:rPr>
        <w:t>1.4</w:t>
      </w:r>
    </w:p>
    <w:p>
      <w:pPr>
        <w:tabs>
          <w:tab w:val="right" w:leader="dot" w:pos="9771"/>
        </w:tabs>
        <w:spacing w:before="43"/>
        <w:ind w:left="1055" w:right="0" w:firstLine="0"/>
        <w:jc w:val="left"/>
        <w:rPr>
          <w:rFonts w:ascii="Times New Roman" w:eastAsia="Times New Roman"/>
          <w:b/>
          <w:sz w:val="21"/>
        </w:rPr>
      </w:pPr>
      <w:r>
        <w:rPr>
          <w:b/>
          <w:sz w:val="21"/>
        </w:rPr>
        <w:t>本合同有</w:t>
      </w:r>
      <w:r>
        <w:rPr>
          <w:b/>
          <w:spacing w:val="-54"/>
          <w:sz w:val="21"/>
        </w:rPr>
        <w:t xml:space="preserve"> </w:t>
      </w:r>
      <w:r>
        <w:rPr>
          <w:rFonts w:ascii="Times New Roman" w:eastAsia="Times New Roman"/>
          <w:b/>
          <w:sz w:val="21"/>
        </w:rPr>
        <w:t>30</w:t>
      </w:r>
      <w:r>
        <w:rPr>
          <w:rFonts w:ascii="Times New Roman" w:eastAsia="Times New Roman"/>
          <w:b/>
          <w:spacing w:val="-6"/>
          <w:sz w:val="21"/>
        </w:rPr>
        <w:t xml:space="preserve"> </w:t>
      </w:r>
      <w:r>
        <w:rPr>
          <w:b/>
          <w:sz w:val="21"/>
        </w:rPr>
        <w:t>日的等待期，请您注</w:t>
      </w:r>
      <w:r>
        <w:rPr>
          <w:b/>
          <w:spacing w:val="-10"/>
          <w:sz w:val="21"/>
        </w:rPr>
        <w:t>意</w:t>
      </w:r>
      <w:r>
        <w:rPr>
          <w:rFonts w:ascii="Times New Roman" w:eastAsia="Times New Roman"/>
          <w:sz w:val="21"/>
        </w:rPr>
        <w:tab/>
      </w:r>
      <w:r>
        <w:rPr>
          <w:rFonts w:ascii="Times New Roman" w:eastAsia="Times New Roman"/>
          <w:b/>
          <w:spacing w:val="-5"/>
          <w:sz w:val="21"/>
        </w:rPr>
        <w:t>2.3</w:t>
      </w:r>
    </w:p>
    <w:p>
      <w:pPr>
        <w:tabs>
          <w:tab w:val="left" w:leader="dot" w:pos="9185"/>
        </w:tabs>
        <w:spacing w:before="43"/>
        <w:ind w:left="1055" w:right="0" w:firstLine="0"/>
        <w:jc w:val="left"/>
        <w:rPr>
          <w:rFonts w:ascii="Times New Roman" w:eastAsia="Times New Roman"/>
          <w:b/>
          <w:sz w:val="21"/>
        </w:rPr>
      </w:pPr>
      <w:r>
        <w:rPr>
          <w:b/>
          <w:spacing w:val="-2"/>
          <w:sz w:val="21"/>
        </w:rPr>
        <w:t>在某些情况下，我们不承担保险责</w:t>
      </w:r>
      <w:r>
        <w:rPr>
          <w:b/>
          <w:spacing w:val="-10"/>
          <w:sz w:val="21"/>
        </w:rPr>
        <w:t>任</w:t>
      </w:r>
      <w:r>
        <w:rPr>
          <w:rFonts w:ascii="Times New Roman" w:eastAsia="Times New Roman"/>
          <w:sz w:val="21"/>
        </w:rPr>
        <w:tab/>
      </w:r>
      <w:r>
        <w:rPr>
          <w:rFonts w:ascii="Times New Roman" w:eastAsia="Times New Roman"/>
          <w:b/>
          <w:spacing w:val="-2"/>
          <w:sz w:val="21"/>
        </w:rPr>
        <w:t>2.4/2.5</w:t>
      </w:r>
    </w:p>
    <w:p>
      <w:pPr>
        <w:tabs>
          <w:tab w:val="right" w:leader="dot" w:pos="9771"/>
        </w:tabs>
        <w:spacing w:before="43"/>
        <w:ind w:left="1055" w:right="0" w:firstLine="0"/>
        <w:jc w:val="left"/>
        <w:rPr>
          <w:rFonts w:ascii="Times New Roman" w:eastAsia="Times New Roman"/>
          <w:b/>
          <w:sz w:val="21"/>
        </w:rPr>
      </w:pPr>
      <w:r>
        <w:rPr>
          <w:b/>
          <w:spacing w:val="-2"/>
          <w:sz w:val="21"/>
        </w:rPr>
        <w:t>保险事故发生后请及时通知我们，否则可能影响保险金的给</w:t>
      </w:r>
      <w:r>
        <w:rPr>
          <w:b/>
          <w:spacing w:val="-10"/>
          <w:sz w:val="21"/>
        </w:rPr>
        <w:t>付</w:t>
      </w:r>
      <w:r>
        <w:rPr>
          <w:rFonts w:ascii="Times New Roman" w:eastAsia="Times New Roman"/>
          <w:sz w:val="21"/>
        </w:rPr>
        <w:tab/>
      </w:r>
      <w:r>
        <w:rPr>
          <w:rFonts w:ascii="Times New Roman" w:eastAsia="Times New Roman"/>
          <w:b/>
          <w:spacing w:val="-5"/>
          <w:sz w:val="21"/>
        </w:rPr>
        <w:t>3.2</w:t>
      </w:r>
    </w:p>
    <w:p>
      <w:pPr>
        <w:tabs>
          <w:tab w:val="right" w:leader="dot" w:pos="9771"/>
        </w:tabs>
        <w:spacing w:before="43"/>
        <w:ind w:left="1055" w:right="0" w:firstLine="0"/>
        <w:jc w:val="left"/>
        <w:rPr>
          <w:rFonts w:ascii="Times New Roman" w:eastAsia="Times New Roman"/>
          <w:b/>
          <w:sz w:val="21"/>
        </w:rPr>
      </w:pPr>
      <w:r>
        <w:rPr>
          <w:b/>
          <w:sz w:val="21"/>
        </w:rPr>
        <w:t>本合同保险期间为</w:t>
      </w:r>
      <w:r>
        <w:rPr>
          <w:b/>
          <w:spacing w:val="-54"/>
          <w:sz w:val="21"/>
        </w:rPr>
        <w:t xml:space="preserve"> </w:t>
      </w:r>
      <w:r>
        <w:rPr>
          <w:rFonts w:ascii="Times New Roman" w:eastAsia="Times New Roman"/>
          <w:b/>
          <w:sz w:val="21"/>
        </w:rPr>
        <w:t>1</w:t>
      </w:r>
      <w:r>
        <w:rPr>
          <w:rFonts w:ascii="Times New Roman" w:eastAsia="Times New Roman"/>
          <w:b/>
          <w:spacing w:val="-11"/>
          <w:sz w:val="21"/>
        </w:rPr>
        <w:t xml:space="preserve"> </w:t>
      </w:r>
      <w:r>
        <w:rPr>
          <w:b/>
          <w:sz w:val="21"/>
        </w:rPr>
        <w:t>年，某些情况下我们不再接受续</w:t>
      </w:r>
      <w:r>
        <w:rPr>
          <w:b/>
          <w:spacing w:val="-10"/>
          <w:sz w:val="21"/>
        </w:rPr>
        <w:t>保</w:t>
      </w:r>
      <w:r>
        <w:rPr>
          <w:rFonts w:ascii="Times New Roman" w:eastAsia="Times New Roman"/>
          <w:sz w:val="21"/>
        </w:rPr>
        <w:tab/>
      </w:r>
      <w:r>
        <w:rPr>
          <w:rFonts w:ascii="Times New Roman" w:eastAsia="Times New Roman"/>
          <w:b/>
          <w:spacing w:val="-5"/>
          <w:sz w:val="21"/>
        </w:rPr>
        <w:t>2.2</w:t>
      </w:r>
    </w:p>
    <w:p>
      <w:pPr>
        <w:tabs>
          <w:tab w:val="right" w:leader="dot" w:pos="9771"/>
        </w:tabs>
        <w:spacing w:before="43"/>
        <w:ind w:left="1055" w:right="0" w:firstLine="0"/>
        <w:jc w:val="left"/>
        <w:rPr>
          <w:rFonts w:ascii="Times New Roman" w:eastAsia="Times New Roman"/>
          <w:b/>
          <w:sz w:val="21"/>
        </w:rPr>
      </w:pPr>
      <w:r>
        <w:rPr>
          <w:b/>
          <w:sz w:val="21"/>
        </w:rPr>
        <w:t>本合同保险期间为</w:t>
      </w:r>
      <w:r>
        <w:rPr>
          <w:b/>
          <w:spacing w:val="-54"/>
          <w:sz w:val="21"/>
        </w:rPr>
        <w:t xml:space="preserve"> </w:t>
      </w:r>
      <w:r>
        <w:rPr>
          <w:rFonts w:ascii="Times New Roman" w:eastAsia="Times New Roman"/>
          <w:b/>
          <w:sz w:val="21"/>
        </w:rPr>
        <w:t>1</w:t>
      </w:r>
      <w:r>
        <w:rPr>
          <w:rFonts w:ascii="Times New Roman" w:eastAsia="Times New Roman"/>
          <w:b/>
          <w:spacing w:val="-5"/>
          <w:sz w:val="21"/>
        </w:rPr>
        <w:t xml:space="preserve"> </w:t>
      </w:r>
      <w:r>
        <w:rPr>
          <w:b/>
          <w:sz w:val="21"/>
        </w:rPr>
        <w:t>年，续保费率可能调</w:t>
      </w:r>
      <w:r>
        <w:rPr>
          <w:b/>
          <w:spacing w:val="-10"/>
          <w:sz w:val="21"/>
        </w:rPr>
        <w:t>整</w:t>
      </w:r>
      <w:r>
        <w:rPr>
          <w:rFonts w:ascii="Times New Roman" w:eastAsia="Times New Roman"/>
          <w:sz w:val="21"/>
        </w:rPr>
        <w:tab/>
      </w:r>
      <w:r>
        <w:rPr>
          <w:rFonts w:ascii="Times New Roman" w:eastAsia="Times New Roman"/>
          <w:b/>
          <w:spacing w:val="-5"/>
          <w:sz w:val="21"/>
        </w:rPr>
        <w:t>4.2</w:t>
      </w:r>
    </w:p>
    <w:p>
      <w:pPr>
        <w:tabs>
          <w:tab w:val="right" w:leader="dot" w:pos="9771"/>
        </w:tabs>
        <w:spacing w:before="43"/>
        <w:ind w:left="1055" w:right="0" w:firstLine="0"/>
        <w:jc w:val="left"/>
        <w:rPr>
          <w:rFonts w:ascii="Times New Roman" w:eastAsia="Times New Roman"/>
          <w:b/>
          <w:sz w:val="21"/>
        </w:rPr>
      </w:pPr>
      <w:r>
        <w:rPr>
          <w:b/>
          <w:spacing w:val="-2"/>
          <w:sz w:val="21"/>
        </w:rPr>
        <w:t>退保会给您造成一定的损失，请您慎重决</w:t>
      </w:r>
      <w:r>
        <w:rPr>
          <w:b/>
          <w:spacing w:val="-10"/>
          <w:sz w:val="21"/>
        </w:rPr>
        <w:t>策</w:t>
      </w:r>
      <w:r>
        <w:rPr>
          <w:rFonts w:ascii="Times New Roman" w:eastAsia="Times New Roman"/>
          <w:sz w:val="21"/>
        </w:rPr>
        <w:tab/>
      </w:r>
      <w:r>
        <w:rPr>
          <w:rFonts w:ascii="Times New Roman" w:eastAsia="Times New Roman"/>
          <w:b/>
          <w:spacing w:val="-5"/>
          <w:sz w:val="21"/>
        </w:rPr>
        <w:t>5.1</w:t>
      </w:r>
    </w:p>
    <w:p>
      <w:pPr>
        <w:tabs>
          <w:tab w:val="right" w:leader="dot" w:pos="9771"/>
        </w:tabs>
        <w:spacing w:before="43"/>
        <w:ind w:left="1055" w:right="0" w:firstLine="0"/>
        <w:jc w:val="left"/>
        <w:rPr>
          <w:rFonts w:ascii="Times New Roman" w:eastAsia="Times New Roman"/>
          <w:b/>
          <w:sz w:val="21"/>
        </w:rPr>
      </w:pPr>
      <w:r>
        <w:rPr>
          <w:b/>
          <w:sz w:val="21"/>
        </w:rPr>
        <w:t>您有如实告知的义</w:t>
      </w:r>
      <w:r>
        <w:rPr>
          <w:b/>
          <w:spacing w:val="-10"/>
          <w:sz w:val="21"/>
        </w:rPr>
        <w:t>务</w:t>
      </w:r>
      <w:r>
        <w:rPr>
          <w:rFonts w:ascii="Times New Roman" w:eastAsia="Times New Roman"/>
          <w:sz w:val="21"/>
        </w:rPr>
        <w:tab/>
      </w:r>
      <w:r>
        <w:rPr>
          <w:rFonts w:ascii="Times New Roman" w:eastAsia="Times New Roman"/>
          <w:b/>
          <w:spacing w:val="-5"/>
          <w:sz w:val="21"/>
        </w:rPr>
        <w:t>6.1</w:t>
      </w:r>
    </w:p>
    <w:p>
      <w:pPr>
        <w:tabs>
          <w:tab w:val="right" w:leader="dot" w:pos="9769"/>
        </w:tabs>
        <w:spacing w:before="43"/>
        <w:ind w:left="1055" w:right="0" w:firstLine="0"/>
        <w:jc w:val="left"/>
        <w:rPr>
          <w:rFonts w:ascii="Times New Roman" w:eastAsia="Times New Roman"/>
          <w:b/>
          <w:sz w:val="21"/>
        </w:rPr>
      </w:pPr>
      <w:r>
        <w:rPr>
          <w:b/>
          <w:spacing w:val="-2"/>
          <w:sz w:val="21"/>
        </w:rPr>
        <w:t>保险条款有关于重大疾病的定义，请您仔细阅</w:t>
      </w:r>
      <w:r>
        <w:rPr>
          <w:b/>
          <w:spacing w:val="-10"/>
          <w:sz w:val="21"/>
        </w:rPr>
        <w:t>读</w:t>
      </w:r>
      <w:r>
        <w:rPr>
          <w:rFonts w:ascii="Times New Roman" w:eastAsia="Times New Roman"/>
          <w:sz w:val="21"/>
        </w:rPr>
        <w:tab/>
      </w:r>
      <w:r>
        <w:rPr>
          <w:rFonts w:ascii="Times New Roman" w:eastAsia="Times New Roman"/>
          <w:b/>
          <w:spacing w:val="-10"/>
          <w:sz w:val="21"/>
        </w:rPr>
        <w:t>8</w:t>
      </w:r>
    </w:p>
    <w:p>
      <w:pPr>
        <w:tabs>
          <w:tab w:val="right" w:leader="dot" w:pos="9769"/>
        </w:tabs>
        <w:spacing w:before="43"/>
        <w:ind w:left="1055" w:right="0" w:firstLine="0"/>
        <w:jc w:val="left"/>
        <w:rPr>
          <w:rFonts w:ascii="Times New Roman" w:eastAsia="Times New Roman"/>
          <w:b/>
          <w:sz w:val="21"/>
        </w:rPr>
      </w:pPr>
      <w:r>
        <w:rPr>
          <w:b/>
          <w:spacing w:val="-2"/>
          <w:sz w:val="21"/>
        </w:rPr>
        <w:t>我们对一些重要术语进行了解释，请您注</w:t>
      </w:r>
      <w:r>
        <w:rPr>
          <w:b/>
          <w:spacing w:val="-10"/>
          <w:sz w:val="21"/>
        </w:rPr>
        <w:t>意</w:t>
      </w:r>
      <w:r>
        <w:rPr>
          <w:rFonts w:ascii="Times New Roman" w:eastAsia="Times New Roman"/>
          <w:sz w:val="21"/>
        </w:rPr>
        <w:tab/>
      </w:r>
      <w:r>
        <w:rPr>
          <w:rFonts w:ascii="Times New Roman" w:eastAsia="Times New Roman"/>
          <w:b/>
          <w:spacing w:val="-10"/>
          <w:sz w:val="21"/>
        </w:rPr>
        <w:t>9</w:t>
      </w:r>
    </w:p>
    <w:p>
      <w:pPr>
        <w:tabs>
          <w:tab w:val="left" w:pos="1053"/>
        </w:tabs>
        <w:spacing w:before="258"/>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3"/>
          <w:sz w:val="21"/>
        </w:rPr>
        <w:t>条款是保险合同的重要内容，为充分保障您的权益，请您仔细阅读本条款</w:t>
      </w:r>
    </w:p>
    <w:p>
      <w:pPr>
        <w:tabs>
          <w:tab w:val="left" w:pos="1053"/>
        </w:tabs>
        <w:spacing w:before="312"/>
        <w:ind w:left="212" w:right="0" w:firstLine="0"/>
        <w:jc w:val="left"/>
        <w:rPr>
          <w:b/>
          <w:sz w:val="21"/>
        </w:rPr>
      </w:pPr>
      <w:r>
        <w:drawing>
          <wp:anchor distT="0" distB="0" distL="0" distR="0" simplePos="0" relativeHeight="251662336" behindDoc="1" locked="0" layoutInCell="1" allowOverlap="1">
            <wp:simplePos x="0" y="0"/>
            <wp:positionH relativeFrom="page">
              <wp:posOffset>3395980</wp:posOffset>
            </wp:positionH>
            <wp:positionV relativeFrom="paragraph">
              <wp:posOffset>148590</wp:posOffset>
            </wp:positionV>
            <wp:extent cx="1069975" cy="34607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1070152" cy="345948"/>
                    </a:xfrm>
                    <a:prstGeom prst="rect">
                      <a:avLst/>
                    </a:prstGeom>
                  </pic:spPr>
                </pic:pic>
              </a:graphicData>
            </a:graphic>
          </wp:anchor>
        </w:drawing>
      </w:r>
      <w:r>
        <w:rPr>
          <w:rFonts w:ascii="Wingdings 2" w:hAnsi="Wingdings 2" w:eastAsia="Wingdings 2"/>
          <w:b/>
          <w:spacing w:val="-10"/>
          <w:position w:val="-11"/>
          <w:sz w:val="44"/>
        </w:rPr>
        <w:t></w:t>
      </w:r>
      <w:r>
        <w:rPr>
          <w:rFonts w:ascii="Times New Roman" w:hAnsi="Times New Roman" w:eastAsia="Times New Roman"/>
          <w:position w:val="-11"/>
          <w:sz w:val="44"/>
        </w:rPr>
        <w:tab/>
      </w:r>
      <w:r>
        <w:rPr>
          <w:b/>
          <w:spacing w:val="-3"/>
          <w:sz w:val="21"/>
        </w:rPr>
        <w:t>请您特别留意条款中黑色加粗字体和灰色底纹背景字体的内容</w:t>
      </w:r>
    </w:p>
    <w:p>
      <w:pPr>
        <w:spacing w:after="0"/>
        <w:jc w:val="left"/>
        <w:rPr>
          <w:sz w:val="21"/>
        </w:rPr>
        <w:sectPr>
          <w:type w:val="continuous"/>
          <w:pgSz w:w="11910" w:h="16840"/>
          <w:pgMar w:top="1100" w:right="940" w:bottom="1180" w:left="920" w:header="0" w:footer="981" w:gutter="0"/>
          <w:cols w:space="720" w:num="1"/>
        </w:sectPr>
      </w:pPr>
    </w:p>
    <w:p>
      <w:pPr>
        <w:pStyle w:val="2"/>
        <w:spacing w:before="44"/>
        <w:ind w:left="3978" w:right="3959"/>
      </w:pPr>
      <w:r>
        <w:rPr>
          <w:spacing w:val="-3"/>
        </w:rPr>
        <w:t>条款目录</w:t>
      </w:r>
    </w:p>
    <w:p>
      <w:pPr>
        <w:pStyle w:val="8"/>
        <w:numPr>
          <w:ilvl w:val="0"/>
          <w:numId w:val="1"/>
        </w:numPr>
        <w:tabs>
          <w:tab w:val="left" w:pos="1409"/>
          <w:tab w:val="left" w:pos="5140"/>
        </w:tabs>
        <w:spacing w:before="425" w:after="0" w:line="240" w:lineRule="auto"/>
        <w:ind w:left="1408" w:right="0" w:hanging="265"/>
        <w:jc w:val="left"/>
        <w:rPr>
          <w:b/>
          <w:sz w:val="21"/>
        </w:rPr>
      </w:pPr>
      <w:r>
        <w:rPr>
          <w:b/>
          <w:spacing w:val="-2"/>
          <w:sz w:val="21"/>
        </w:rPr>
        <w:t>您与我们订立的合</w:t>
      </w:r>
      <w:r>
        <w:rPr>
          <w:b/>
          <w:spacing w:val="-10"/>
          <w:sz w:val="21"/>
        </w:rPr>
        <w:t>同</w:t>
      </w:r>
      <w:r>
        <w:rPr>
          <w:b/>
          <w:sz w:val="21"/>
        </w:rPr>
        <w:tab/>
      </w:r>
      <w:r>
        <w:rPr>
          <w:rFonts w:ascii="Times New Roman" w:eastAsia="Times New Roman"/>
          <w:b/>
          <w:sz w:val="21"/>
        </w:rPr>
        <w:t>5.</w:t>
      </w:r>
      <w:r>
        <w:rPr>
          <w:rFonts w:ascii="Times New Roman" w:eastAsia="Times New Roman"/>
          <w:b/>
          <w:spacing w:val="53"/>
          <w:sz w:val="21"/>
        </w:rPr>
        <w:t xml:space="preserve"> </w:t>
      </w:r>
      <w:r>
        <w:rPr>
          <w:b/>
          <w:sz w:val="21"/>
        </w:rPr>
        <w:t>合同解</w:t>
      </w:r>
      <w:r>
        <w:rPr>
          <w:b/>
          <w:spacing w:val="-10"/>
          <w:sz w:val="21"/>
        </w:rPr>
        <w:t>除</w:t>
      </w:r>
    </w:p>
    <w:p>
      <w:pPr>
        <w:pStyle w:val="4"/>
        <w:ind w:left="0"/>
        <w:rPr>
          <w:b/>
          <w:sz w:val="5"/>
        </w:rPr>
      </w:pPr>
    </w:p>
    <w:tbl>
      <w:tblPr>
        <w:tblStyle w:val="5"/>
        <w:tblW w:w="0" w:type="auto"/>
        <w:tblInd w:w="120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66"/>
        <w:gridCol w:w="2548"/>
        <w:gridCol w:w="38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66" w:type="dxa"/>
          </w:tcPr>
          <w:p>
            <w:pPr>
              <w:pStyle w:val="9"/>
              <w:spacing w:line="234" w:lineRule="exact"/>
              <w:ind w:left="50"/>
              <w:rPr>
                <w:rFonts w:ascii="Times New Roman"/>
                <w:sz w:val="21"/>
              </w:rPr>
            </w:pPr>
            <w:r>
              <w:rPr>
                <w:rFonts w:ascii="Times New Roman"/>
                <w:spacing w:val="-5"/>
                <w:sz w:val="21"/>
              </w:rPr>
              <w:t>1.1</w:t>
            </w:r>
          </w:p>
        </w:tc>
        <w:tc>
          <w:tcPr>
            <w:tcW w:w="2548" w:type="dxa"/>
          </w:tcPr>
          <w:p>
            <w:pPr>
              <w:pStyle w:val="9"/>
              <w:spacing w:line="247" w:lineRule="exact"/>
              <w:ind w:left="51"/>
              <w:rPr>
                <w:sz w:val="21"/>
              </w:rPr>
            </w:pPr>
            <w:r>
              <w:rPr>
                <w:spacing w:val="-4"/>
                <w:sz w:val="21"/>
              </w:rPr>
              <w:t>合同构成</w:t>
            </w:r>
          </w:p>
        </w:tc>
        <w:tc>
          <w:tcPr>
            <w:tcW w:w="3865" w:type="dxa"/>
          </w:tcPr>
          <w:p>
            <w:pPr>
              <w:pStyle w:val="9"/>
              <w:spacing w:line="247" w:lineRule="exact"/>
              <w:ind w:right="51"/>
              <w:jc w:val="right"/>
              <w:rPr>
                <w:sz w:val="21"/>
              </w:rPr>
            </w:pPr>
            <w:r>
              <w:rPr>
                <w:rFonts w:ascii="Times New Roman" w:eastAsia="Times New Roman"/>
                <w:sz w:val="21"/>
              </w:rPr>
              <w:t>5.1</w:t>
            </w:r>
            <w:r>
              <w:rPr>
                <w:rFonts w:ascii="Times New Roman" w:eastAsia="Times New Roman"/>
                <w:spacing w:val="35"/>
                <w:sz w:val="21"/>
              </w:rPr>
              <w:t xml:space="preserve"> </w:t>
            </w:r>
            <w:r>
              <w:rPr>
                <w:spacing w:val="-1"/>
                <w:sz w:val="21"/>
              </w:rPr>
              <w:t>您解除合同的手续及风险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66" w:type="dxa"/>
          </w:tcPr>
          <w:p>
            <w:pPr>
              <w:pStyle w:val="9"/>
              <w:spacing w:before="31"/>
              <w:ind w:left="50"/>
              <w:rPr>
                <w:rFonts w:ascii="Times New Roman"/>
                <w:sz w:val="21"/>
              </w:rPr>
            </w:pPr>
            <w:r>
              <w:rPr>
                <w:rFonts w:ascii="Times New Roman"/>
                <w:spacing w:val="-5"/>
                <w:sz w:val="21"/>
              </w:rPr>
              <w:t>1.2</w:t>
            </w:r>
          </w:p>
        </w:tc>
        <w:tc>
          <w:tcPr>
            <w:tcW w:w="2548" w:type="dxa"/>
          </w:tcPr>
          <w:p>
            <w:pPr>
              <w:pStyle w:val="9"/>
              <w:spacing w:before="17"/>
              <w:ind w:left="51"/>
              <w:rPr>
                <w:sz w:val="21"/>
              </w:rPr>
            </w:pPr>
            <w:r>
              <w:rPr>
                <w:spacing w:val="-4"/>
                <w:sz w:val="21"/>
              </w:rPr>
              <w:t>合同成立及生效</w:t>
            </w:r>
          </w:p>
        </w:tc>
        <w:tc>
          <w:tcPr>
            <w:tcW w:w="3865" w:type="dxa"/>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66" w:type="dxa"/>
          </w:tcPr>
          <w:p>
            <w:pPr>
              <w:pStyle w:val="9"/>
              <w:spacing w:before="31"/>
              <w:ind w:left="50"/>
              <w:rPr>
                <w:rFonts w:ascii="Times New Roman"/>
                <w:sz w:val="21"/>
              </w:rPr>
            </w:pPr>
            <w:r>
              <w:rPr>
                <w:rFonts w:ascii="Times New Roman"/>
                <w:spacing w:val="-5"/>
                <w:sz w:val="21"/>
              </w:rPr>
              <w:t>1.3</w:t>
            </w:r>
          </w:p>
        </w:tc>
        <w:tc>
          <w:tcPr>
            <w:tcW w:w="2548" w:type="dxa"/>
          </w:tcPr>
          <w:p>
            <w:pPr>
              <w:pStyle w:val="9"/>
              <w:spacing w:before="17"/>
              <w:ind w:left="51"/>
              <w:rPr>
                <w:sz w:val="21"/>
              </w:rPr>
            </w:pPr>
            <w:r>
              <w:rPr>
                <w:spacing w:val="-4"/>
                <w:sz w:val="21"/>
              </w:rPr>
              <w:t>投保年龄</w:t>
            </w:r>
          </w:p>
        </w:tc>
        <w:tc>
          <w:tcPr>
            <w:tcW w:w="3865" w:type="dxa"/>
          </w:tcPr>
          <w:p>
            <w:pPr>
              <w:pStyle w:val="9"/>
              <w:spacing w:before="17"/>
              <w:ind w:left="1027"/>
              <w:rPr>
                <w:b/>
                <w:sz w:val="21"/>
              </w:rPr>
            </w:pPr>
            <w:r>
              <w:rPr>
                <w:rFonts w:ascii="Times New Roman" w:eastAsia="Times New Roman"/>
                <w:b/>
                <w:sz w:val="21"/>
              </w:rPr>
              <w:t>6.</w:t>
            </w:r>
            <w:r>
              <w:rPr>
                <w:rFonts w:ascii="Times New Roman" w:eastAsia="Times New Roman"/>
                <w:b/>
                <w:spacing w:val="50"/>
                <w:sz w:val="21"/>
              </w:rPr>
              <w:t xml:space="preserve"> </w:t>
            </w:r>
            <w:r>
              <w:rPr>
                <w:b/>
                <w:spacing w:val="-3"/>
                <w:sz w:val="21"/>
              </w:rPr>
              <w:t>如实告知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66" w:type="dxa"/>
          </w:tcPr>
          <w:p>
            <w:pPr>
              <w:pStyle w:val="9"/>
              <w:spacing w:before="31"/>
              <w:ind w:left="50"/>
              <w:rPr>
                <w:rFonts w:ascii="Times New Roman"/>
                <w:sz w:val="21"/>
              </w:rPr>
            </w:pPr>
            <w:r>
              <w:rPr>
                <w:rFonts w:ascii="Times New Roman"/>
                <w:spacing w:val="-5"/>
                <w:sz w:val="21"/>
              </w:rPr>
              <w:t>1.4</w:t>
            </w:r>
          </w:p>
        </w:tc>
        <w:tc>
          <w:tcPr>
            <w:tcW w:w="2548" w:type="dxa"/>
          </w:tcPr>
          <w:p>
            <w:pPr>
              <w:pStyle w:val="9"/>
              <w:spacing w:before="17"/>
              <w:ind w:left="51"/>
              <w:rPr>
                <w:sz w:val="21"/>
              </w:rPr>
            </w:pPr>
            <w:r>
              <w:rPr>
                <w:spacing w:val="-4"/>
                <w:sz w:val="21"/>
              </w:rPr>
              <w:t>合同的签收</w:t>
            </w:r>
          </w:p>
        </w:tc>
        <w:tc>
          <w:tcPr>
            <w:tcW w:w="3865" w:type="dxa"/>
          </w:tcPr>
          <w:p>
            <w:pPr>
              <w:pStyle w:val="9"/>
              <w:spacing w:before="17"/>
              <w:ind w:left="1132"/>
              <w:rPr>
                <w:sz w:val="21"/>
              </w:rPr>
            </w:pPr>
            <w:r>
              <w:rPr>
                <w:rFonts w:ascii="Times New Roman" w:eastAsia="Times New Roman"/>
                <w:sz w:val="21"/>
              </w:rPr>
              <w:t>6.1</w:t>
            </w:r>
            <w:r>
              <w:rPr>
                <w:rFonts w:ascii="Times New Roman" w:eastAsia="Times New Roman"/>
                <w:spacing w:val="40"/>
                <w:sz w:val="21"/>
              </w:rPr>
              <w:t xml:space="preserve"> </w:t>
            </w:r>
            <w:r>
              <w:rPr>
                <w:spacing w:val="-2"/>
                <w:sz w:val="21"/>
              </w:rPr>
              <w:t>明确说明与如实告知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66" w:type="dxa"/>
          </w:tcPr>
          <w:p>
            <w:pPr>
              <w:pStyle w:val="9"/>
              <w:spacing w:before="31" w:line="222" w:lineRule="exact"/>
              <w:ind w:left="50"/>
              <w:rPr>
                <w:rFonts w:ascii="Times New Roman"/>
                <w:sz w:val="21"/>
              </w:rPr>
            </w:pPr>
            <w:r>
              <w:rPr>
                <w:rFonts w:ascii="Times New Roman"/>
                <w:spacing w:val="-5"/>
                <w:sz w:val="21"/>
              </w:rPr>
              <w:t>1.5</w:t>
            </w:r>
          </w:p>
        </w:tc>
        <w:tc>
          <w:tcPr>
            <w:tcW w:w="2548" w:type="dxa"/>
          </w:tcPr>
          <w:p>
            <w:pPr>
              <w:pStyle w:val="9"/>
              <w:spacing w:before="17" w:line="236" w:lineRule="exact"/>
              <w:ind w:left="53"/>
              <w:rPr>
                <w:sz w:val="21"/>
              </w:rPr>
            </w:pPr>
            <w:r>
              <w:rPr>
                <w:spacing w:val="-5"/>
                <w:sz w:val="21"/>
              </w:rPr>
              <w:t>犹豫期</w:t>
            </w:r>
          </w:p>
        </w:tc>
        <w:tc>
          <w:tcPr>
            <w:tcW w:w="3865" w:type="dxa"/>
          </w:tcPr>
          <w:p>
            <w:pPr>
              <w:pStyle w:val="9"/>
              <w:spacing w:before="17" w:line="236" w:lineRule="exact"/>
              <w:ind w:right="48"/>
              <w:jc w:val="right"/>
              <w:rPr>
                <w:sz w:val="21"/>
              </w:rPr>
            </w:pPr>
            <w:r>
              <w:rPr>
                <w:rFonts w:ascii="Times New Roman" w:eastAsia="Times New Roman"/>
                <w:sz w:val="21"/>
              </w:rPr>
              <w:t>6.2</w:t>
            </w:r>
            <w:r>
              <w:rPr>
                <w:rFonts w:ascii="Times New Roman" w:eastAsia="Times New Roman"/>
                <w:spacing w:val="37"/>
                <w:sz w:val="21"/>
              </w:rPr>
              <w:t xml:space="preserve"> </w:t>
            </w:r>
            <w:r>
              <w:rPr>
                <w:spacing w:val="-1"/>
                <w:sz w:val="21"/>
              </w:rPr>
              <w:t>本公司合同解除权的限制</w:t>
            </w:r>
          </w:p>
        </w:tc>
      </w:tr>
    </w:tbl>
    <w:p>
      <w:pPr>
        <w:pStyle w:val="4"/>
        <w:ind w:left="0"/>
        <w:rPr>
          <w:b/>
          <w:sz w:val="29"/>
        </w:rPr>
      </w:pPr>
    </w:p>
    <w:p>
      <w:pPr>
        <w:pStyle w:val="8"/>
        <w:numPr>
          <w:ilvl w:val="0"/>
          <w:numId w:val="1"/>
        </w:numPr>
        <w:tabs>
          <w:tab w:val="left" w:pos="1409"/>
          <w:tab w:val="left" w:pos="5140"/>
        </w:tabs>
        <w:spacing w:before="0" w:after="0" w:line="240" w:lineRule="auto"/>
        <w:ind w:left="1408" w:right="0" w:hanging="265"/>
        <w:jc w:val="left"/>
        <w:rPr>
          <w:b/>
          <w:sz w:val="21"/>
        </w:rPr>
      </w:pPr>
      <w:r>
        <w:rPr>
          <w:b/>
          <w:spacing w:val="-2"/>
          <w:sz w:val="21"/>
        </w:rPr>
        <w:t>我们提供的保</w:t>
      </w:r>
      <w:r>
        <w:rPr>
          <w:b/>
          <w:spacing w:val="-12"/>
          <w:sz w:val="21"/>
        </w:rPr>
        <w:t>障</w:t>
      </w:r>
      <w:r>
        <w:rPr>
          <w:b/>
          <w:sz w:val="21"/>
        </w:rPr>
        <w:tab/>
      </w:r>
      <w:r>
        <w:rPr>
          <w:rFonts w:ascii="Times New Roman" w:eastAsia="Times New Roman"/>
          <w:b/>
          <w:sz w:val="21"/>
        </w:rPr>
        <w:t>7.</w:t>
      </w:r>
      <w:r>
        <w:rPr>
          <w:rFonts w:ascii="Times New Roman" w:eastAsia="Times New Roman"/>
          <w:b/>
          <w:spacing w:val="50"/>
          <w:sz w:val="21"/>
        </w:rPr>
        <w:t xml:space="preserve"> </w:t>
      </w:r>
      <w:r>
        <w:rPr>
          <w:b/>
          <w:sz w:val="21"/>
        </w:rPr>
        <w:t>其他需要关注的事</w:t>
      </w:r>
      <w:r>
        <w:rPr>
          <w:b/>
          <w:spacing w:val="-10"/>
          <w:sz w:val="21"/>
        </w:rPr>
        <w:t>项</w:t>
      </w:r>
    </w:p>
    <w:p>
      <w:pPr>
        <w:pStyle w:val="4"/>
        <w:spacing w:before="1"/>
        <w:ind w:left="0"/>
        <w:rPr>
          <w:b/>
          <w:sz w:val="5"/>
        </w:rPr>
      </w:pPr>
    </w:p>
    <w:tbl>
      <w:tblPr>
        <w:tblStyle w:val="5"/>
        <w:tblW w:w="0" w:type="auto"/>
        <w:tblInd w:w="11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21"/>
        <w:gridCol w:w="2549"/>
        <w:gridCol w:w="1449"/>
        <w:gridCol w:w="24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421" w:type="dxa"/>
          </w:tcPr>
          <w:p>
            <w:pPr>
              <w:pStyle w:val="9"/>
              <w:spacing w:line="234" w:lineRule="exact"/>
              <w:ind w:left="93" w:right="39"/>
              <w:jc w:val="center"/>
              <w:rPr>
                <w:rFonts w:ascii="Times New Roman"/>
                <w:sz w:val="21"/>
              </w:rPr>
            </w:pPr>
            <w:r>
              <w:rPr>
                <w:rFonts w:ascii="Times New Roman"/>
                <w:spacing w:val="-5"/>
                <w:sz w:val="21"/>
              </w:rPr>
              <w:t>2.1</w:t>
            </w:r>
          </w:p>
        </w:tc>
        <w:tc>
          <w:tcPr>
            <w:tcW w:w="2549" w:type="dxa"/>
          </w:tcPr>
          <w:p>
            <w:pPr>
              <w:pStyle w:val="9"/>
              <w:spacing w:line="247" w:lineRule="exact"/>
              <w:ind w:left="51"/>
              <w:rPr>
                <w:sz w:val="21"/>
              </w:rPr>
            </w:pPr>
            <w:r>
              <w:rPr>
                <w:spacing w:val="-4"/>
                <w:sz w:val="21"/>
              </w:rPr>
              <w:t>基本保险金额</w:t>
            </w:r>
          </w:p>
        </w:tc>
        <w:tc>
          <w:tcPr>
            <w:tcW w:w="1449" w:type="dxa"/>
          </w:tcPr>
          <w:p>
            <w:pPr>
              <w:pStyle w:val="9"/>
              <w:spacing w:line="234" w:lineRule="exact"/>
              <w:ind w:right="50"/>
              <w:jc w:val="right"/>
              <w:rPr>
                <w:rFonts w:ascii="Times New Roman"/>
                <w:sz w:val="21"/>
              </w:rPr>
            </w:pPr>
            <w:r>
              <w:rPr>
                <w:rFonts w:ascii="Times New Roman"/>
                <w:spacing w:val="-5"/>
                <w:sz w:val="21"/>
              </w:rPr>
              <w:t>7.1</w:t>
            </w:r>
          </w:p>
        </w:tc>
        <w:tc>
          <w:tcPr>
            <w:tcW w:w="2414" w:type="dxa"/>
          </w:tcPr>
          <w:p>
            <w:pPr>
              <w:pStyle w:val="9"/>
              <w:spacing w:line="247" w:lineRule="exact"/>
              <w:ind w:left="53"/>
              <w:rPr>
                <w:sz w:val="21"/>
              </w:rPr>
            </w:pPr>
            <w:r>
              <w:rPr>
                <w:spacing w:val="-4"/>
                <w:sz w:val="21"/>
              </w:rPr>
              <w:t>职业或工种变更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1" w:type="dxa"/>
          </w:tcPr>
          <w:p>
            <w:pPr>
              <w:pStyle w:val="9"/>
              <w:spacing w:before="31"/>
              <w:ind w:left="93" w:right="39"/>
              <w:jc w:val="center"/>
              <w:rPr>
                <w:rFonts w:ascii="Times New Roman"/>
                <w:sz w:val="21"/>
              </w:rPr>
            </w:pPr>
            <w:r>
              <w:rPr>
                <w:rFonts w:ascii="Times New Roman"/>
                <w:spacing w:val="-5"/>
                <w:sz w:val="21"/>
              </w:rPr>
              <w:t>2.2</w:t>
            </w:r>
          </w:p>
        </w:tc>
        <w:tc>
          <w:tcPr>
            <w:tcW w:w="2549" w:type="dxa"/>
          </w:tcPr>
          <w:p>
            <w:pPr>
              <w:pStyle w:val="9"/>
              <w:spacing w:before="17"/>
              <w:ind w:left="51"/>
              <w:rPr>
                <w:sz w:val="21"/>
              </w:rPr>
            </w:pPr>
            <w:r>
              <w:rPr>
                <w:spacing w:val="-4"/>
                <w:sz w:val="21"/>
              </w:rPr>
              <w:t>保险期间和续保</w:t>
            </w:r>
          </w:p>
        </w:tc>
        <w:tc>
          <w:tcPr>
            <w:tcW w:w="1449" w:type="dxa"/>
          </w:tcPr>
          <w:p>
            <w:pPr>
              <w:pStyle w:val="9"/>
              <w:spacing w:before="31"/>
              <w:ind w:right="50"/>
              <w:jc w:val="right"/>
              <w:rPr>
                <w:rFonts w:ascii="Times New Roman"/>
                <w:sz w:val="21"/>
              </w:rPr>
            </w:pPr>
            <w:r>
              <w:rPr>
                <w:rFonts w:ascii="Times New Roman"/>
                <w:spacing w:val="-5"/>
                <w:sz w:val="21"/>
              </w:rPr>
              <w:t>7.2</w:t>
            </w:r>
          </w:p>
        </w:tc>
        <w:tc>
          <w:tcPr>
            <w:tcW w:w="2414" w:type="dxa"/>
          </w:tcPr>
          <w:p>
            <w:pPr>
              <w:pStyle w:val="9"/>
              <w:spacing w:before="17"/>
              <w:ind w:left="53"/>
              <w:rPr>
                <w:sz w:val="21"/>
              </w:rPr>
            </w:pPr>
            <w:r>
              <w:rPr>
                <w:spacing w:val="-4"/>
                <w:sz w:val="21"/>
              </w:rPr>
              <w:t>年龄错误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21" w:type="dxa"/>
          </w:tcPr>
          <w:p>
            <w:pPr>
              <w:pStyle w:val="9"/>
              <w:spacing w:before="31"/>
              <w:ind w:left="93" w:right="39"/>
              <w:jc w:val="center"/>
              <w:rPr>
                <w:rFonts w:ascii="Times New Roman"/>
                <w:sz w:val="21"/>
              </w:rPr>
            </w:pPr>
            <w:r>
              <w:rPr>
                <w:rFonts w:ascii="Times New Roman"/>
                <w:spacing w:val="-5"/>
                <w:sz w:val="21"/>
              </w:rPr>
              <w:t>2.3</w:t>
            </w:r>
          </w:p>
        </w:tc>
        <w:tc>
          <w:tcPr>
            <w:tcW w:w="2549" w:type="dxa"/>
          </w:tcPr>
          <w:p>
            <w:pPr>
              <w:pStyle w:val="9"/>
              <w:spacing w:before="17"/>
              <w:ind w:left="54"/>
              <w:rPr>
                <w:sz w:val="21"/>
              </w:rPr>
            </w:pPr>
            <w:r>
              <w:rPr>
                <w:spacing w:val="-4"/>
                <w:sz w:val="21"/>
              </w:rPr>
              <w:t>保险责任</w:t>
            </w:r>
          </w:p>
        </w:tc>
        <w:tc>
          <w:tcPr>
            <w:tcW w:w="1449" w:type="dxa"/>
          </w:tcPr>
          <w:p>
            <w:pPr>
              <w:pStyle w:val="9"/>
              <w:spacing w:before="31"/>
              <w:ind w:right="50"/>
              <w:jc w:val="right"/>
              <w:rPr>
                <w:rFonts w:ascii="Times New Roman"/>
                <w:sz w:val="21"/>
              </w:rPr>
            </w:pPr>
            <w:r>
              <w:rPr>
                <w:rFonts w:ascii="Times New Roman"/>
                <w:spacing w:val="-5"/>
                <w:sz w:val="21"/>
              </w:rPr>
              <w:t>7.3</w:t>
            </w:r>
          </w:p>
        </w:tc>
        <w:tc>
          <w:tcPr>
            <w:tcW w:w="2414" w:type="dxa"/>
          </w:tcPr>
          <w:p>
            <w:pPr>
              <w:pStyle w:val="9"/>
              <w:spacing w:before="17"/>
              <w:ind w:left="53"/>
              <w:rPr>
                <w:sz w:val="21"/>
              </w:rPr>
            </w:pPr>
            <w:r>
              <w:rPr>
                <w:spacing w:val="-4"/>
                <w:sz w:val="21"/>
              </w:rPr>
              <w:t>合同内容变更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21" w:type="dxa"/>
          </w:tcPr>
          <w:p>
            <w:pPr>
              <w:pStyle w:val="9"/>
              <w:spacing w:before="31"/>
              <w:ind w:left="93" w:right="39"/>
              <w:jc w:val="center"/>
              <w:rPr>
                <w:rFonts w:ascii="Times New Roman"/>
                <w:sz w:val="21"/>
              </w:rPr>
            </w:pPr>
            <w:r>
              <w:rPr>
                <w:rFonts w:ascii="Times New Roman"/>
                <w:spacing w:val="-5"/>
                <w:sz w:val="21"/>
              </w:rPr>
              <w:t>2.4</w:t>
            </w:r>
          </w:p>
        </w:tc>
        <w:tc>
          <w:tcPr>
            <w:tcW w:w="2549" w:type="dxa"/>
          </w:tcPr>
          <w:p>
            <w:pPr>
              <w:pStyle w:val="9"/>
              <w:spacing w:before="17"/>
              <w:ind w:left="51"/>
              <w:rPr>
                <w:sz w:val="21"/>
              </w:rPr>
            </w:pPr>
            <w:r>
              <w:rPr>
                <w:spacing w:val="-4"/>
                <w:sz w:val="21"/>
              </w:rPr>
              <w:t>责任免除</w:t>
            </w:r>
          </w:p>
        </w:tc>
        <w:tc>
          <w:tcPr>
            <w:tcW w:w="1449" w:type="dxa"/>
          </w:tcPr>
          <w:p>
            <w:pPr>
              <w:pStyle w:val="9"/>
              <w:spacing w:before="31"/>
              <w:ind w:right="50"/>
              <w:jc w:val="right"/>
              <w:rPr>
                <w:rFonts w:ascii="Times New Roman"/>
                <w:sz w:val="21"/>
              </w:rPr>
            </w:pPr>
            <w:r>
              <w:rPr>
                <w:rFonts w:ascii="Times New Roman"/>
                <w:spacing w:val="-5"/>
                <w:sz w:val="21"/>
              </w:rPr>
              <w:t>7.4</w:t>
            </w:r>
          </w:p>
        </w:tc>
        <w:tc>
          <w:tcPr>
            <w:tcW w:w="2414" w:type="dxa"/>
          </w:tcPr>
          <w:p>
            <w:pPr>
              <w:pStyle w:val="9"/>
              <w:spacing w:before="17"/>
              <w:ind w:left="53"/>
              <w:rPr>
                <w:sz w:val="21"/>
              </w:rPr>
            </w:pPr>
            <w:r>
              <w:rPr>
                <w:spacing w:val="-3"/>
                <w:sz w:val="21"/>
              </w:rPr>
              <w:t>通讯方式变更的通知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1" w:type="dxa"/>
          </w:tcPr>
          <w:p>
            <w:pPr>
              <w:pStyle w:val="9"/>
              <w:spacing w:before="31"/>
              <w:ind w:left="93" w:right="39"/>
              <w:jc w:val="center"/>
              <w:rPr>
                <w:rFonts w:ascii="Times New Roman"/>
                <w:sz w:val="21"/>
              </w:rPr>
            </w:pPr>
            <w:r>
              <w:rPr>
                <w:rFonts w:ascii="Times New Roman"/>
                <w:spacing w:val="-5"/>
                <w:sz w:val="21"/>
              </w:rPr>
              <w:t>2.5</w:t>
            </w:r>
          </w:p>
        </w:tc>
        <w:tc>
          <w:tcPr>
            <w:tcW w:w="2549" w:type="dxa"/>
          </w:tcPr>
          <w:p>
            <w:pPr>
              <w:pStyle w:val="9"/>
              <w:spacing w:before="17"/>
              <w:ind w:left="51"/>
              <w:rPr>
                <w:sz w:val="21"/>
              </w:rPr>
            </w:pPr>
            <w:r>
              <w:rPr>
                <w:spacing w:val="-4"/>
                <w:sz w:val="21"/>
              </w:rPr>
              <w:t>其他免责条款</w:t>
            </w:r>
          </w:p>
        </w:tc>
        <w:tc>
          <w:tcPr>
            <w:tcW w:w="1449" w:type="dxa"/>
          </w:tcPr>
          <w:p>
            <w:pPr>
              <w:pStyle w:val="9"/>
              <w:spacing w:before="31"/>
              <w:ind w:right="50"/>
              <w:jc w:val="right"/>
              <w:rPr>
                <w:rFonts w:ascii="Times New Roman"/>
                <w:sz w:val="21"/>
              </w:rPr>
            </w:pPr>
            <w:r>
              <w:rPr>
                <w:rFonts w:ascii="Times New Roman"/>
                <w:spacing w:val="-5"/>
                <w:sz w:val="21"/>
              </w:rPr>
              <w:t>7.5</w:t>
            </w:r>
          </w:p>
        </w:tc>
        <w:tc>
          <w:tcPr>
            <w:tcW w:w="2414" w:type="dxa"/>
          </w:tcPr>
          <w:p>
            <w:pPr>
              <w:pStyle w:val="9"/>
              <w:spacing w:before="17"/>
              <w:ind w:left="53"/>
              <w:rPr>
                <w:sz w:val="21"/>
              </w:rPr>
            </w:pPr>
            <w:r>
              <w:rPr>
                <w:spacing w:val="-4"/>
                <w:sz w:val="21"/>
              </w:rPr>
              <w:t>争议处理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421" w:type="dxa"/>
          </w:tcPr>
          <w:p>
            <w:pPr>
              <w:pStyle w:val="9"/>
              <w:rPr>
                <w:rFonts w:ascii="Times New Roman"/>
                <w:sz w:val="20"/>
              </w:rPr>
            </w:pPr>
          </w:p>
        </w:tc>
        <w:tc>
          <w:tcPr>
            <w:tcW w:w="2549" w:type="dxa"/>
          </w:tcPr>
          <w:p>
            <w:pPr>
              <w:pStyle w:val="9"/>
              <w:rPr>
                <w:rFonts w:ascii="Times New Roman"/>
                <w:sz w:val="20"/>
              </w:rPr>
            </w:pPr>
          </w:p>
        </w:tc>
        <w:tc>
          <w:tcPr>
            <w:tcW w:w="1449" w:type="dxa"/>
          </w:tcPr>
          <w:p>
            <w:pPr>
              <w:pStyle w:val="9"/>
              <w:spacing w:before="31" w:line="222" w:lineRule="exact"/>
              <w:ind w:right="50"/>
              <w:jc w:val="right"/>
              <w:rPr>
                <w:rFonts w:ascii="Times New Roman"/>
                <w:sz w:val="21"/>
              </w:rPr>
            </w:pPr>
            <w:r>
              <w:rPr>
                <w:rFonts w:ascii="Times New Roman"/>
                <w:spacing w:val="-5"/>
                <w:sz w:val="21"/>
              </w:rPr>
              <w:t>7.6</w:t>
            </w:r>
          </w:p>
        </w:tc>
        <w:tc>
          <w:tcPr>
            <w:tcW w:w="2414" w:type="dxa"/>
          </w:tcPr>
          <w:p>
            <w:pPr>
              <w:pStyle w:val="9"/>
              <w:spacing w:before="17" w:line="236" w:lineRule="exact"/>
              <w:ind w:left="53"/>
              <w:rPr>
                <w:sz w:val="21"/>
              </w:rPr>
            </w:pPr>
            <w:r>
              <w:rPr>
                <w:spacing w:val="-3"/>
                <w:sz w:val="21"/>
              </w:rPr>
              <w:t>身体检查与保险事故鉴定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833" w:type="dxa"/>
            <w:gridSpan w:val="4"/>
          </w:tcPr>
          <w:p>
            <w:pPr>
              <w:pStyle w:val="9"/>
              <w:spacing w:before="56" w:line="236" w:lineRule="exact"/>
              <w:rPr>
                <w:b/>
                <w:sz w:val="21"/>
              </w:rPr>
            </w:pPr>
            <w:r>
              <w:rPr>
                <w:rFonts w:ascii="Times New Roman" w:eastAsia="Times New Roman"/>
                <w:b/>
                <w:sz w:val="21"/>
              </w:rPr>
              <w:t>3.</w:t>
            </w:r>
            <w:r>
              <w:rPr>
                <w:rFonts w:ascii="Times New Roman" w:eastAsia="Times New Roman"/>
                <w:b/>
                <w:spacing w:val="52"/>
                <w:sz w:val="21"/>
              </w:rPr>
              <w:t xml:space="preserve"> </w:t>
            </w:r>
            <w:r>
              <w:rPr>
                <w:b/>
                <w:spacing w:val="-2"/>
                <w:sz w:val="21"/>
              </w:rPr>
              <w:t>保险金的申请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1" w:hRule="atLeast"/>
        </w:trPr>
        <w:tc>
          <w:tcPr>
            <w:tcW w:w="421" w:type="dxa"/>
          </w:tcPr>
          <w:p>
            <w:pPr>
              <w:pStyle w:val="9"/>
              <w:spacing w:before="70"/>
              <w:ind w:left="93" w:right="39"/>
              <w:jc w:val="center"/>
              <w:rPr>
                <w:rFonts w:ascii="Times New Roman"/>
                <w:sz w:val="21"/>
              </w:rPr>
            </w:pPr>
            <w:r>
              <w:rPr>
                <w:rFonts w:ascii="Times New Roman"/>
                <w:spacing w:val="-5"/>
                <w:sz w:val="21"/>
              </w:rPr>
              <w:t>3.1</w:t>
            </w:r>
          </w:p>
        </w:tc>
        <w:tc>
          <w:tcPr>
            <w:tcW w:w="2549" w:type="dxa"/>
          </w:tcPr>
          <w:p>
            <w:pPr>
              <w:pStyle w:val="9"/>
              <w:spacing w:before="56"/>
              <w:ind w:left="51"/>
              <w:rPr>
                <w:sz w:val="21"/>
              </w:rPr>
            </w:pPr>
            <w:r>
              <w:rPr>
                <w:spacing w:val="-5"/>
                <w:sz w:val="21"/>
              </w:rPr>
              <w:t>受益人</w:t>
            </w:r>
          </w:p>
        </w:tc>
        <w:tc>
          <w:tcPr>
            <w:tcW w:w="3863" w:type="dxa"/>
            <w:gridSpan w:val="2"/>
          </w:tcPr>
          <w:p>
            <w:pPr>
              <w:pStyle w:val="9"/>
              <w:spacing w:before="56"/>
              <w:ind w:left="1026"/>
              <w:rPr>
                <w:b/>
                <w:sz w:val="21"/>
              </w:rPr>
            </w:pPr>
            <w:r>
              <w:rPr>
                <w:rFonts w:ascii="Times New Roman" w:eastAsia="Times New Roman"/>
                <w:b/>
                <w:sz w:val="21"/>
              </w:rPr>
              <w:t>8.</w:t>
            </w:r>
            <w:r>
              <w:rPr>
                <w:rFonts w:ascii="Times New Roman" w:eastAsia="Times New Roman"/>
                <w:b/>
                <w:spacing w:val="50"/>
                <w:sz w:val="21"/>
              </w:rPr>
              <w:t xml:space="preserve"> </w:t>
            </w:r>
            <w:r>
              <w:rPr>
                <w:b/>
                <w:spacing w:val="-2"/>
                <w:sz w:val="21"/>
              </w:rPr>
              <w:t>重大疾病定义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1" w:type="dxa"/>
          </w:tcPr>
          <w:p>
            <w:pPr>
              <w:pStyle w:val="9"/>
              <w:spacing w:before="31"/>
              <w:ind w:left="93" w:right="39"/>
              <w:jc w:val="center"/>
              <w:rPr>
                <w:rFonts w:ascii="Times New Roman"/>
                <w:sz w:val="21"/>
              </w:rPr>
            </w:pPr>
            <w:r>
              <w:rPr>
                <w:rFonts w:ascii="Times New Roman"/>
                <w:spacing w:val="-5"/>
                <w:sz w:val="21"/>
              </w:rPr>
              <w:t>3.2</w:t>
            </w:r>
          </w:p>
        </w:tc>
        <w:tc>
          <w:tcPr>
            <w:tcW w:w="2549" w:type="dxa"/>
          </w:tcPr>
          <w:p>
            <w:pPr>
              <w:pStyle w:val="9"/>
              <w:spacing w:before="17"/>
              <w:ind w:left="54"/>
              <w:rPr>
                <w:sz w:val="21"/>
              </w:rPr>
            </w:pPr>
            <w:r>
              <w:rPr>
                <w:spacing w:val="-4"/>
                <w:sz w:val="21"/>
              </w:rPr>
              <w:t>保险事故通知</w:t>
            </w:r>
          </w:p>
        </w:tc>
        <w:tc>
          <w:tcPr>
            <w:tcW w:w="3863" w:type="dxa"/>
            <w:gridSpan w:val="2"/>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21" w:type="dxa"/>
          </w:tcPr>
          <w:p>
            <w:pPr>
              <w:pStyle w:val="9"/>
              <w:spacing w:before="31"/>
              <w:ind w:left="93" w:right="39"/>
              <w:jc w:val="center"/>
              <w:rPr>
                <w:rFonts w:ascii="Times New Roman"/>
                <w:sz w:val="21"/>
              </w:rPr>
            </w:pPr>
            <w:r>
              <w:rPr>
                <w:rFonts w:ascii="Times New Roman"/>
                <w:spacing w:val="-5"/>
                <w:sz w:val="21"/>
              </w:rPr>
              <w:t>3.3</w:t>
            </w:r>
          </w:p>
        </w:tc>
        <w:tc>
          <w:tcPr>
            <w:tcW w:w="2549" w:type="dxa"/>
          </w:tcPr>
          <w:p>
            <w:pPr>
              <w:pStyle w:val="9"/>
              <w:spacing w:before="17"/>
              <w:ind w:left="54"/>
              <w:rPr>
                <w:sz w:val="21"/>
              </w:rPr>
            </w:pPr>
            <w:r>
              <w:rPr>
                <w:spacing w:val="-4"/>
                <w:sz w:val="21"/>
              </w:rPr>
              <w:t>保险金申请</w:t>
            </w:r>
          </w:p>
        </w:tc>
        <w:tc>
          <w:tcPr>
            <w:tcW w:w="3863" w:type="dxa"/>
            <w:gridSpan w:val="2"/>
          </w:tcPr>
          <w:p>
            <w:pPr>
              <w:pStyle w:val="9"/>
              <w:spacing w:before="17"/>
              <w:ind w:left="1026"/>
              <w:rPr>
                <w:b/>
                <w:sz w:val="21"/>
              </w:rPr>
            </w:pPr>
            <w:r>
              <w:rPr>
                <w:rFonts w:ascii="Times New Roman" w:eastAsia="Times New Roman"/>
                <w:b/>
                <w:sz w:val="21"/>
              </w:rPr>
              <w:t>9.</w:t>
            </w:r>
            <w:r>
              <w:rPr>
                <w:rFonts w:ascii="Times New Roman" w:eastAsia="Times New Roman"/>
                <w:b/>
                <w:spacing w:val="53"/>
                <w:sz w:val="21"/>
              </w:rPr>
              <w:t xml:space="preserve"> </w:t>
            </w:r>
            <w:r>
              <w:rPr>
                <w:b/>
                <w:spacing w:val="-6"/>
                <w:sz w:val="21"/>
              </w:rPr>
              <w:t>释义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1" w:type="dxa"/>
          </w:tcPr>
          <w:p>
            <w:pPr>
              <w:pStyle w:val="9"/>
              <w:spacing w:before="31"/>
              <w:ind w:left="93" w:right="39"/>
              <w:jc w:val="center"/>
              <w:rPr>
                <w:rFonts w:ascii="Times New Roman"/>
                <w:sz w:val="21"/>
              </w:rPr>
            </w:pPr>
            <w:r>
              <w:rPr>
                <w:rFonts w:ascii="Times New Roman"/>
                <w:spacing w:val="-5"/>
                <w:sz w:val="21"/>
              </w:rPr>
              <w:t>3.4</w:t>
            </w:r>
          </w:p>
        </w:tc>
        <w:tc>
          <w:tcPr>
            <w:tcW w:w="2549" w:type="dxa"/>
          </w:tcPr>
          <w:p>
            <w:pPr>
              <w:pStyle w:val="9"/>
              <w:spacing w:before="17"/>
              <w:ind w:left="54"/>
              <w:rPr>
                <w:sz w:val="21"/>
              </w:rPr>
            </w:pPr>
            <w:r>
              <w:rPr>
                <w:spacing w:val="-4"/>
                <w:sz w:val="21"/>
              </w:rPr>
              <w:t>保险金给付</w:t>
            </w:r>
          </w:p>
        </w:tc>
        <w:tc>
          <w:tcPr>
            <w:tcW w:w="3863" w:type="dxa"/>
            <w:gridSpan w:val="2"/>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421" w:type="dxa"/>
          </w:tcPr>
          <w:p>
            <w:pPr>
              <w:pStyle w:val="9"/>
              <w:spacing w:before="31" w:line="222" w:lineRule="exact"/>
              <w:ind w:left="93" w:right="39"/>
              <w:jc w:val="center"/>
              <w:rPr>
                <w:rFonts w:ascii="Times New Roman"/>
                <w:sz w:val="21"/>
              </w:rPr>
            </w:pPr>
            <w:r>
              <w:rPr>
                <w:rFonts w:ascii="Times New Roman"/>
                <w:spacing w:val="-5"/>
                <w:sz w:val="21"/>
              </w:rPr>
              <w:t>3.5</w:t>
            </w:r>
          </w:p>
        </w:tc>
        <w:tc>
          <w:tcPr>
            <w:tcW w:w="2549" w:type="dxa"/>
          </w:tcPr>
          <w:p>
            <w:pPr>
              <w:pStyle w:val="9"/>
              <w:spacing w:before="17" w:line="236" w:lineRule="exact"/>
              <w:ind w:left="54"/>
              <w:rPr>
                <w:sz w:val="21"/>
              </w:rPr>
            </w:pPr>
            <w:r>
              <w:rPr>
                <w:spacing w:val="-4"/>
                <w:sz w:val="21"/>
              </w:rPr>
              <w:t>诉讼时效</w:t>
            </w:r>
          </w:p>
        </w:tc>
        <w:tc>
          <w:tcPr>
            <w:tcW w:w="3863" w:type="dxa"/>
            <w:gridSpan w:val="2"/>
          </w:tcPr>
          <w:p>
            <w:pPr>
              <w:pStyle w:val="9"/>
              <w:rPr>
                <w:rFonts w:ascii="Times New Roman"/>
                <w:sz w:val="20"/>
              </w:rPr>
            </w:pPr>
          </w:p>
        </w:tc>
      </w:tr>
    </w:tbl>
    <w:p>
      <w:pPr>
        <w:pStyle w:val="4"/>
        <w:spacing w:before="1"/>
        <w:ind w:left="0"/>
        <w:rPr>
          <w:b/>
          <w:sz w:val="23"/>
        </w:rPr>
      </w:pPr>
    </w:p>
    <w:p>
      <w:pPr>
        <w:pStyle w:val="8"/>
        <w:numPr>
          <w:ilvl w:val="0"/>
          <w:numId w:val="2"/>
        </w:numPr>
        <w:tabs>
          <w:tab w:val="left" w:pos="1409"/>
        </w:tabs>
        <w:spacing w:before="78" w:after="0" w:line="240" w:lineRule="auto"/>
        <w:ind w:left="1408" w:right="0" w:hanging="265"/>
        <w:jc w:val="left"/>
        <w:rPr>
          <w:b/>
          <w:sz w:val="21"/>
        </w:rPr>
      </w:pPr>
      <w:r>
        <w:rPr>
          <w:b/>
          <w:spacing w:val="-2"/>
          <w:sz w:val="21"/>
        </w:rPr>
        <w:t>保险费的交纳</w:t>
      </w:r>
    </w:p>
    <w:p>
      <w:pPr>
        <w:pStyle w:val="8"/>
        <w:numPr>
          <w:ilvl w:val="1"/>
          <w:numId w:val="2"/>
        </w:numPr>
        <w:tabs>
          <w:tab w:val="left" w:pos="1618"/>
        </w:tabs>
        <w:spacing w:before="43" w:after="0" w:line="240" w:lineRule="auto"/>
        <w:ind w:left="1617" w:right="0" w:hanging="368"/>
        <w:jc w:val="left"/>
        <w:rPr>
          <w:sz w:val="21"/>
        </w:rPr>
      </w:pPr>
      <w:r>
        <w:rPr>
          <w:spacing w:val="-4"/>
          <w:sz w:val="21"/>
        </w:rPr>
        <w:t>保险费的交纳</w:t>
      </w:r>
    </w:p>
    <w:p>
      <w:pPr>
        <w:pStyle w:val="8"/>
        <w:numPr>
          <w:ilvl w:val="1"/>
          <w:numId w:val="2"/>
        </w:numPr>
        <w:tabs>
          <w:tab w:val="left" w:pos="1620"/>
        </w:tabs>
        <w:spacing w:before="43" w:after="0" w:line="240" w:lineRule="auto"/>
        <w:ind w:left="1619" w:right="0" w:hanging="370"/>
        <w:jc w:val="left"/>
        <w:rPr>
          <w:sz w:val="21"/>
        </w:rPr>
      </w:pPr>
      <w:r>
        <w:rPr>
          <w:spacing w:val="-4"/>
          <w:sz w:val="21"/>
        </w:rPr>
        <w:t>保险费率调整</w:t>
      </w:r>
    </w:p>
    <w:p>
      <w:pPr>
        <w:pStyle w:val="4"/>
        <w:ind w:left="0"/>
        <w:rPr>
          <w:sz w:val="20"/>
        </w:rPr>
      </w:pPr>
    </w:p>
    <w:p>
      <w:pPr>
        <w:pStyle w:val="4"/>
        <w:spacing w:before="3"/>
        <w:ind w:left="0"/>
        <w:rPr>
          <w:sz w:val="15"/>
        </w:rPr>
      </w:pPr>
    </w:p>
    <w:p>
      <w:pPr>
        <w:spacing w:before="72" w:line="278" w:lineRule="auto"/>
        <w:ind w:left="1062" w:right="1042" w:firstLine="0"/>
        <w:jc w:val="left"/>
        <w:rPr>
          <w:b/>
          <w:sz w:val="21"/>
        </w:rPr>
      </w:pPr>
      <w:r>
        <w:rPr>
          <w:b/>
          <w:spacing w:val="-2"/>
          <w:sz w:val="21"/>
        </w:rPr>
        <w:t>以上阅读指引和条款目录仅供辅助理解使用，不构成保险合同的组成部分，对本合同内容的解释以条款为准。</w:t>
      </w:r>
    </w:p>
    <w:p>
      <w:pPr>
        <w:spacing w:after="0" w:line="278" w:lineRule="auto"/>
        <w:jc w:val="left"/>
        <w:rPr>
          <w:sz w:val="21"/>
        </w:rPr>
        <w:sectPr>
          <w:pgSz w:w="11910" w:h="16840"/>
          <w:pgMar w:top="1160" w:right="940" w:bottom="1180" w:left="920" w:header="0" w:footer="981" w:gutter="0"/>
          <w:cols w:space="720" w:num="1"/>
        </w:sectPr>
      </w:pPr>
    </w:p>
    <w:p>
      <w:pPr>
        <w:spacing w:before="30" w:line="331" w:lineRule="auto"/>
        <w:ind w:left="2790" w:right="2769" w:firstLine="0"/>
        <w:jc w:val="left"/>
        <w:rPr>
          <w:rFonts w:hint="eastAsia" w:ascii="华文中宋" w:eastAsia="华文中宋"/>
          <w:b/>
          <w:sz w:val="32"/>
        </w:rPr>
      </w:pPr>
      <w:r>
        <w:rPr>
          <w:rFonts w:hint="eastAsia" w:ascii="华文中宋" w:eastAsia="华文中宋"/>
          <w:b/>
          <w:spacing w:val="-2"/>
          <w:sz w:val="32"/>
        </w:rPr>
        <w:t>中华联合人寿保险股份有限公司</w:t>
      </w:r>
      <w:r>
        <w:rPr>
          <w:rFonts w:hint="eastAsia" w:ascii="华文中宋" w:eastAsia="华文中宋"/>
          <w:b/>
          <w:w w:val="95"/>
          <w:sz w:val="32"/>
        </w:rPr>
        <w:t>中华健享无忧百</w:t>
      </w:r>
      <w:r>
        <w:rPr>
          <w:rFonts w:hint="eastAsia" w:ascii="华文中宋" w:eastAsia="华文中宋"/>
          <w:b/>
          <w:spacing w:val="-2"/>
          <w:w w:val="95"/>
          <w:sz w:val="32"/>
        </w:rPr>
        <w:t>万医疗保险条款</w:t>
      </w:r>
    </w:p>
    <w:p>
      <w:pPr>
        <w:pStyle w:val="4"/>
        <w:spacing w:before="360" w:line="278" w:lineRule="auto"/>
        <w:ind w:left="212" w:right="186"/>
        <w:jc w:val="both"/>
      </w:pPr>
      <w:r>
        <w:rPr>
          <w:spacing w:val="-2"/>
        </w:rPr>
        <w:t>在本条款中，“您”指投保人，“我们”、“本公司”均指在保险单上签章的中华联合人寿保险股份有限公司，“本合同”指您与我们之间订立的“中华健享无忧百万医疗保险合同”，“被保险人”指本合同的被保险人，投保人、被保险人的姓名在保险单上载明。</w:t>
      </w:r>
    </w:p>
    <w:p>
      <w:pPr>
        <w:pStyle w:val="4"/>
        <w:spacing w:before="12"/>
        <w:ind w:left="0"/>
        <w:rPr>
          <w:sz w:val="28"/>
        </w:rPr>
      </w:pPr>
    </w:p>
    <w:p>
      <w:pPr>
        <w:pStyle w:val="3"/>
        <w:numPr>
          <w:ilvl w:val="0"/>
          <w:numId w:val="3"/>
        </w:numPr>
        <w:tabs>
          <w:tab w:val="left" w:pos="1007"/>
          <w:tab w:val="left" w:pos="1008"/>
        </w:tabs>
        <w:spacing w:before="0" w:after="0" w:line="240" w:lineRule="auto"/>
        <w:ind w:left="1007" w:right="0" w:hanging="796"/>
        <w:jc w:val="left"/>
      </w:pPr>
      <w:r>
        <w:rPr>
          <w:w w:val="95"/>
        </w:rPr>
        <w:t>您与我们订</w:t>
      </w:r>
      <w:r>
        <w:rPr>
          <w:spacing w:val="-3"/>
          <w:w w:val="95"/>
        </w:rPr>
        <w:t>立的合同</w:t>
      </w:r>
    </w:p>
    <w:p>
      <w:pPr>
        <w:pStyle w:val="4"/>
        <w:spacing w:before="4"/>
        <w:ind w:left="0"/>
        <w:rPr>
          <w:b/>
          <w:sz w:val="10"/>
        </w:rPr>
      </w:pPr>
      <w:r>
        <w:drawing>
          <wp:anchor distT="0" distB="0" distL="0" distR="0" simplePos="0" relativeHeight="251660288" behindDoc="0" locked="0" layoutInCell="1" allowOverlap="1">
            <wp:simplePos x="0" y="0"/>
            <wp:positionH relativeFrom="page">
              <wp:posOffset>650240</wp:posOffset>
            </wp:positionH>
            <wp:positionV relativeFrom="paragraph">
              <wp:posOffset>99060</wp:posOffset>
            </wp:positionV>
            <wp:extent cx="6252210" cy="1206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9" cstate="print"/>
                    <a:stretch>
                      <a:fillRect/>
                    </a:stretch>
                  </pic:blipFill>
                  <pic:spPr>
                    <a:xfrm>
                      <a:off x="0" y="0"/>
                      <a:ext cx="6252355" cy="12287"/>
                    </a:xfrm>
                    <a:prstGeom prst="rect">
                      <a:avLst/>
                    </a:prstGeom>
                  </pic:spPr>
                </pic:pic>
              </a:graphicData>
            </a:graphic>
          </wp:anchor>
        </w:drawing>
      </w:r>
    </w:p>
    <w:p>
      <w:pPr>
        <w:pStyle w:val="8"/>
        <w:numPr>
          <w:ilvl w:val="1"/>
          <w:numId w:val="3"/>
        </w:numPr>
        <w:tabs>
          <w:tab w:val="left" w:pos="1008"/>
        </w:tabs>
        <w:spacing w:before="174" w:after="0" w:line="278" w:lineRule="auto"/>
        <w:ind w:left="2538" w:right="281" w:hanging="2326"/>
        <w:jc w:val="both"/>
        <w:rPr>
          <w:sz w:val="21"/>
        </w:rPr>
      </w:pPr>
      <w:r>
        <w:rPr>
          <w:b/>
          <w:sz w:val="21"/>
        </w:rPr>
        <w:t>合同构成</w:t>
      </w:r>
      <w:r>
        <w:rPr>
          <w:b/>
          <w:spacing w:val="80"/>
          <w:w w:val="150"/>
          <w:sz w:val="21"/>
        </w:rPr>
        <w:t xml:space="preserve">   </w:t>
      </w:r>
      <w:r>
        <w:rPr>
          <w:sz w:val="21"/>
        </w:rPr>
        <w:t>本合同是您与我们约定保险权利义务关系的协议，包括本保险条款、保险单或</w:t>
      </w:r>
      <w:r>
        <w:rPr>
          <w:spacing w:val="-2"/>
          <w:sz w:val="21"/>
        </w:rPr>
        <w:t>其他有效保险凭证、投保单、与保险合同有关的投保文件、合法有效的声明、</w:t>
      </w:r>
      <w:r>
        <w:rPr>
          <w:sz w:val="21"/>
        </w:rPr>
        <w:t>批注、批单及其他约定您和我们之间权利义务关系的</w:t>
      </w:r>
      <w:r>
        <w:rPr>
          <w:b/>
          <w:sz w:val="21"/>
        </w:rPr>
        <w:t>书面</w:t>
      </w:r>
      <w:r>
        <w:rPr>
          <w:sz w:val="21"/>
        </w:rPr>
        <w:t>（</w:t>
      </w:r>
      <w:r>
        <w:rPr>
          <w:spacing w:val="-21"/>
          <w:sz w:val="21"/>
        </w:rPr>
        <w:t xml:space="preserve">见 </w:t>
      </w:r>
      <w:r>
        <w:rPr>
          <w:rFonts w:ascii="Times New Roman" w:eastAsia="Times New Roman"/>
          <w:sz w:val="21"/>
        </w:rPr>
        <w:t>9.1</w:t>
      </w:r>
      <w:r>
        <w:rPr>
          <w:sz w:val="21"/>
        </w:rPr>
        <w:t>）文件。</w:t>
      </w:r>
    </w:p>
    <w:p>
      <w:pPr>
        <w:pStyle w:val="4"/>
        <w:spacing w:line="269" w:lineRule="exact"/>
      </w:pPr>
      <w:r>
        <w:rPr>
          <w:spacing w:val="-3"/>
        </w:rPr>
        <w:t>阅读指引和条款目录仅供辅助理解使用，不构成保险合同的组成部分。</w:t>
      </w:r>
    </w:p>
    <w:p>
      <w:pPr>
        <w:pStyle w:val="4"/>
        <w:spacing w:before="6"/>
        <w:ind w:left="0"/>
        <w:rPr>
          <w:sz w:val="10"/>
        </w:rPr>
      </w:pPr>
    </w:p>
    <w:p>
      <w:pPr>
        <w:spacing w:after="0"/>
        <w:rPr>
          <w:sz w:val="10"/>
        </w:rPr>
        <w:sectPr>
          <w:pgSz w:w="11910" w:h="16840"/>
          <w:pgMar w:top="1220" w:right="940" w:bottom="1180" w:left="920" w:header="0" w:footer="981" w:gutter="0"/>
          <w:cols w:space="720" w:num="1"/>
        </w:sectPr>
      </w:pPr>
    </w:p>
    <w:p>
      <w:pPr>
        <w:pStyle w:val="8"/>
        <w:numPr>
          <w:ilvl w:val="1"/>
          <w:numId w:val="3"/>
        </w:numPr>
        <w:tabs>
          <w:tab w:val="left" w:pos="1007"/>
          <w:tab w:val="left" w:pos="1008"/>
        </w:tabs>
        <w:spacing w:before="79" w:after="0" w:line="278" w:lineRule="auto"/>
        <w:ind w:left="1007" w:right="0" w:hanging="795"/>
        <w:jc w:val="left"/>
        <w:rPr>
          <w:b/>
          <w:sz w:val="21"/>
        </w:rPr>
      </w:pPr>
      <w:r>
        <w:rPr>
          <w:b/>
          <w:spacing w:val="-2"/>
          <w:sz w:val="21"/>
        </w:rPr>
        <w:t>合同成立及生</w:t>
      </w:r>
      <w:r>
        <w:rPr>
          <w:b/>
          <w:spacing w:val="-10"/>
          <w:sz w:val="21"/>
        </w:rPr>
        <w:t>效</w:t>
      </w:r>
    </w:p>
    <w:p>
      <w:pPr>
        <w:pStyle w:val="4"/>
        <w:spacing w:before="79"/>
        <w:ind w:left="212"/>
      </w:pPr>
      <w:r>
        <w:br w:type="column"/>
      </w:r>
      <w:r>
        <w:rPr>
          <w:spacing w:val="-3"/>
        </w:rPr>
        <w:t>您向我们提出保险申请，我们同意承保，本合同成立。</w:t>
      </w:r>
    </w:p>
    <w:p>
      <w:pPr>
        <w:pStyle w:val="4"/>
        <w:spacing w:before="43" w:line="278" w:lineRule="auto"/>
        <w:ind w:left="212" w:right="275"/>
      </w:pPr>
      <w:r>
        <w:rPr>
          <w:spacing w:val="-2"/>
        </w:rPr>
        <w:t>本合同自我们同意承保、收取保险费并签发保险单后开始生效，具体的生效日在保险单上载明。</w:t>
      </w:r>
    </w:p>
    <w:p>
      <w:pPr>
        <w:spacing w:after="0" w:line="278" w:lineRule="auto"/>
        <w:sectPr>
          <w:type w:val="continuous"/>
          <w:pgSz w:w="11910" w:h="16840"/>
          <w:pgMar w:top="1100" w:right="940" w:bottom="1180" w:left="920" w:header="0" w:footer="981" w:gutter="0"/>
          <w:cols w:equalWidth="0" w:num="2">
            <w:col w:w="2275" w:space="51"/>
            <w:col w:w="7724"/>
          </w:cols>
        </w:sectPr>
      </w:pPr>
    </w:p>
    <w:p>
      <w:pPr>
        <w:pStyle w:val="8"/>
        <w:numPr>
          <w:ilvl w:val="1"/>
          <w:numId w:val="3"/>
        </w:numPr>
        <w:tabs>
          <w:tab w:val="left" w:pos="1007"/>
          <w:tab w:val="left" w:pos="1008"/>
          <w:tab w:val="left" w:pos="2538"/>
        </w:tabs>
        <w:spacing w:before="167" w:after="0" w:line="240" w:lineRule="auto"/>
        <w:ind w:left="1007" w:right="0" w:hanging="796"/>
        <w:jc w:val="left"/>
        <w:rPr>
          <w:sz w:val="21"/>
        </w:rPr>
      </w:pPr>
      <w:r>
        <w:rPr>
          <w:b/>
          <w:sz w:val="21"/>
        </w:rPr>
        <w:t>投保年</w:t>
      </w:r>
      <w:r>
        <w:rPr>
          <w:b/>
          <w:spacing w:val="-10"/>
          <w:sz w:val="21"/>
        </w:rPr>
        <w:t>龄</w:t>
      </w:r>
      <w:r>
        <w:rPr>
          <w:b/>
          <w:sz w:val="21"/>
        </w:rPr>
        <w:tab/>
      </w:r>
      <w:r>
        <w:rPr>
          <w:spacing w:val="-2"/>
          <w:sz w:val="21"/>
        </w:rPr>
        <w:t>投保年龄指本合同生效时被保险人的年龄，以</w:t>
      </w:r>
      <w:r>
        <w:rPr>
          <w:b/>
          <w:spacing w:val="-2"/>
          <w:sz w:val="21"/>
        </w:rPr>
        <w:t>周岁</w:t>
      </w:r>
      <w:r>
        <w:rPr>
          <w:spacing w:val="-2"/>
          <w:sz w:val="21"/>
        </w:rPr>
        <w:t>（见</w:t>
      </w:r>
      <w:r>
        <w:rPr>
          <w:spacing w:val="-32"/>
          <w:sz w:val="21"/>
        </w:rPr>
        <w:t xml:space="preserve"> </w:t>
      </w:r>
      <w:r>
        <w:rPr>
          <w:rFonts w:ascii="Times New Roman" w:eastAsia="Times New Roman"/>
          <w:spacing w:val="-2"/>
          <w:sz w:val="21"/>
        </w:rPr>
        <w:t>9.2</w:t>
      </w:r>
      <w:r>
        <w:rPr>
          <w:spacing w:val="-2"/>
          <w:sz w:val="21"/>
        </w:rPr>
        <w:t>）计算</w:t>
      </w:r>
      <w:r>
        <w:rPr>
          <w:spacing w:val="-10"/>
          <w:sz w:val="21"/>
        </w:rPr>
        <w:t>。</w:t>
      </w:r>
    </w:p>
    <w:p>
      <w:pPr>
        <w:pStyle w:val="4"/>
        <w:spacing w:before="12"/>
        <w:ind w:left="0"/>
      </w:pPr>
    </w:p>
    <w:p>
      <w:pPr>
        <w:pStyle w:val="8"/>
        <w:numPr>
          <w:ilvl w:val="1"/>
          <w:numId w:val="3"/>
        </w:numPr>
        <w:tabs>
          <w:tab w:val="left" w:pos="1007"/>
          <w:tab w:val="left" w:pos="1008"/>
          <w:tab w:val="left" w:pos="2538"/>
        </w:tabs>
        <w:spacing w:before="0" w:after="0" w:line="240" w:lineRule="auto"/>
        <w:ind w:left="1007" w:right="0" w:hanging="796"/>
        <w:jc w:val="left"/>
        <w:rPr>
          <w:sz w:val="21"/>
        </w:rPr>
      </w:pPr>
      <w:r>
        <w:rPr>
          <w:b/>
          <w:sz w:val="21"/>
        </w:rPr>
        <w:t>合同的签</w:t>
      </w:r>
      <w:r>
        <w:rPr>
          <w:b/>
          <w:spacing w:val="-10"/>
          <w:sz w:val="21"/>
        </w:rPr>
        <w:t>收</w:t>
      </w:r>
      <w:r>
        <w:rPr>
          <w:b/>
          <w:sz w:val="21"/>
        </w:rPr>
        <w:tab/>
      </w:r>
      <w:r>
        <w:rPr>
          <w:spacing w:val="-2"/>
          <w:sz w:val="21"/>
        </w:rPr>
        <w:t>在您收到本合同时，您应当签署本合同的签收回执</w:t>
      </w:r>
      <w:r>
        <w:rPr>
          <w:spacing w:val="-10"/>
          <w:sz w:val="21"/>
        </w:rPr>
        <w:t>。</w:t>
      </w:r>
    </w:p>
    <w:p>
      <w:pPr>
        <w:pStyle w:val="4"/>
        <w:spacing w:before="8"/>
        <w:ind w:left="0"/>
        <w:rPr>
          <w:sz w:val="16"/>
        </w:rPr>
      </w:pPr>
    </w:p>
    <w:p>
      <w:pPr>
        <w:pStyle w:val="8"/>
        <w:numPr>
          <w:ilvl w:val="1"/>
          <w:numId w:val="3"/>
        </w:numPr>
        <w:tabs>
          <w:tab w:val="left" w:pos="1008"/>
        </w:tabs>
        <w:spacing w:before="1" w:after="0" w:line="278" w:lineRule="auto"/>
        <w:ind w:left="2538" w:right="275" w:hanging="2326"/>
        <w:jc w:val="both"/>
        <w:rPr>
          <w:sz w:val="21"/>
        </w:rPr>
      </w:pPr>
      <w:r>
        <w:rPr>
          <w:b/>
          <w:sz w:val="21"/>
        </w:rPr>
        <w:t>犹豫期</w:t>
      </w:r>
      <w:r>
        <w:rPr>
          <w:b/>
          <w:spacing w:val="719"/>
          <w:sz w:val="21"/>
        </w:rPr>
        <w:t xml:space="preserve"> </w:t>
      </w:r>
      <w:r>
        <w:rPr>
          <w:spacing w:val="-2"/>
          <w:sz w:val="21"/>
        </w:rPr>
        <w:t xml:space="preserve">自您签收本合同的次日起，有 </w:t>
      </w:r>
      <w:r>
        <w:rPr>
          <w:rFonts w:ascii="Times New Roman" w:eastAsia="Times New Roman"/>
          <w:sz w:val="21"/>
        </w:rPr>
        <w:t>10</w:t>
      </w:r>
      <w:r>
        <w:rPr>
          <w:rFonts w:ascii="Times New Roman" w:eastAsia="Times New Roman"/>
          <w:spacing w:val="-2"/>
          <w:sz w:val="21"/>
        </w:rPr>
        <w:t xml:space="preserve"> </w:t>
      </w:r>
      <w:r>
        <w:rPr>
          <w:sz w:val="21"/>
        </w:rPr>
        <w:t>日（指自然日，本条款中如无特别说明，涉及</w:t>
      </w:r>
      <w:r>
        <w:rPr>
          <w:spacing w:val="-2"/>
          <w:sz w:val="21"/>
        </w:rPr>
        <w:t>日期的均指自然日）的犹豫期。在此期间，请您仔细阅读本合同，如果您认为本合同与您的需求不相符，您可以在犹豫期结束前解除本合同。</w:t>
      </w:r>
    </w:p>
    <w:p>
      <w:pPr>
        <w:pStyle w:val="4"/>
        <w:spacing w:line="278" w:lineRule="auto"/>
        <w:ind w:right="169"/>
        <w:jc w:val="both"/>
      </w:pPr>
      <w:r>
        <w:drawing>
          <wp:anchor distT="0" distB="0" distL="0" distR="0" simplePos="0" relativeHeight="251663360" behindDoc="1" locked="0" layoutInCell="1" allowOverlap="1">
            <wp:simplePos x="0" y="0"/>
            <wp:positionH relativeFrom="page">
              <wp:posOffset>4325620</wp:posOffset>
            </wp:positionH>
            <wp:positionV relativeFrom="paragraph">
              <wp:posOffset>183515</wp:posOffset>
            </wp:positionV>
            <wp:extent cx="2459990" cy="187325"/>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0" cstate="print"/>
                    <a:stretch>
                      <a:fillRect/>
                    </a:stretch>
                  </pic:blipFill>
                  <pic:spPr>
                    <a:xfrm>
                      <a:off x="0" y="0"/>
                      <a:ext cx="2459989" cy="187451"/>
                    </a:xfrm>
                    <a:prstGeom prst="rect">
                      <a:avLst/>
                    </a:prstGeom>
                  </pic:spPr>
                </pic:pic>
              </a:graphicData>
            </a:graphic>
          </wp:anchor>
        </w:drawing>
      </w:r>
      <w:r>
        <w:pict>
          <v:shape id="docshape2" o:spid="_x0000_s1026" o:spt="202" type="#_x0000_t202" style="position:absolute;left:0pt;margin-left:172.9pt;margin-top:30.05pt;height:14.8pt;width:189.2pt;mso-position-horizontal-relative:page;z-index:251661312;mso-width-relative:page;mso-height-relative:page;" fillcolor="#D2D2D2" filled="t" stroked="f" coordsize="21600,21600">
            <v:path/>
            <v:fill on="t" focussize="0,0"/>
            <v:stroke on="f" joinstyle="miter"/>
            <v:imagedata o:title=""/>
            <o:lock v:ext="edit"/>
            <v:textbox inset="0mm,0mm,0mm,0mm">
              <w:txbxContent>
                <w:p>
                  <w:pPr>
                    <w:pStyle w:val="4"/>
                    <w:spacing w:before="22"/>
                    <w:ind w:left="0" w:right="-15"/>
                    <w:rPr>
                      <w:color w:val="000000"/>
                    </w:rPr>
                  </w:pPr>
                  <w:r>
                    <w:rPr>
                      <w:color w:val="000000"/>
                      <w:spacing w:val="-3"/>
                    </w:rPr>
                    <w:t>自本合同生效日起我们不承担保险责任，</w:t>
                  </w:r>
                </w:p>
              </w:txbxContent>
            </v:textbox>
          </v:shape>
        </w:pict>
      </w:r>
      <w:r>
        <w:rPr>
          <w:w w:val="100"/>
        </w:rPr>
        <w:t>若您申请解除本合同，您需要填写申请书，并提供您的保险合同或其他有效的</w:t>
      </w:r>
      <w:r>
        <w:rPr>
          <w:spacing w:val="-2"/>
          <w:w w:val="100"/>
        </w:rPr>
        <w:t>保险凭证及</w:t>
      </w:r>
      <w:r>
        <w:rPr>
          <w:b/>
          <w:spacing w:val="-2"/>
          <w:w w:val="100"/>
        </w:rPr>
        <w:t>有效身份证件</w:t>
      </w:r>
      <w:r>
        <w:rPr>
          <w:w w:val="100"/>
        </w:rPr>
        <w:t>（见</w:t>
      </w:r>
      <w:r>
        <w:rPr>
          <w:spacing w:val="-55"/>
        </w:rPr>
        <w:t xml:space="preserve"> </w:t>
      </w:r>
      <w:r>
        <w:rPr>
          <w:rFonts w:ascii="Times New Roman" w:eastAsia="Times New Roman"/>
          <w:w w:val="100"/>
        </w:rPr>
        <w:t>9.3</w:t>
      </w:r>
      <w:r>
        <w:rPr>
          <w:spacing w:val="-108"/>
          <w:w w:val="100"/>
        </w:rPr>
        <w:t>）</w:t>
      </w:r>
      <w:r>
        <w:rPr>
          <w:spacing w:val="-5"/>
          <w:w w:val="100"/>
        </w:rPr>
        <w:t>。自您申请解除合同时起，本合同即被解除，</w:t>
      </w:r>
    </w:p>
    <w:p>
      <w:pPr>
        <w:pStyle w:val="4"/>
        <w:spacing w:line="269" w:lineRule="exact"/>
        <w:ind w:left="6322"/>
      </w:pPr>
      <w:r>
        <w:rPr>
          <w:spacing w:val="-3"/>
        </w:rPr>
        <w:t>我们将无息退还您所交纳的保险费。</w:t>
      </w:r>
    </w:p>
    <w:p>
      <w:pPr>
        <w:pStyle w:val="4"/>
        <w:spacing w:before="3"/>
        <w:ind w:left="0"/>
        <w:rPr>
          <w:sz w:val="9"/>
        </w:rPr>
      </w:pPr>
    </w:p>
    <w:p>
      <w:pPr>
        <w:pStyle w:val="3"/>
        <w:numPr>
          <w:ilvl w:val="0"/>
          <w:numId w:val="3"/>
        </w:numPr>
        <w:tabs>
          <w:tab w:val="left" w:pos="1007"/>
          <w:tab w:val="left" w:pos="1008"/>
        </w:tabs>
        <w:spacing w:before="74" w:after="0" w:line="240" w:lineRule="auto"/>
        <w:ind w:left="1007" w:right="0" w:hanging="796"/>
        <w:jc w:val="left"/>
      </w:pPr>
      <w:r>
        <w:rPr>
          <w:w w:val="95"/>
        </w:rPr>
        <w:t>我们提供的</w:t>
      </w:r>
      <w:r>
        <w:rPr>
          <w:spacing w:val="-5"/>
          <w:w w:val="95"/>
        </w:rPr>
        <w:t>保障</w:t>
      </w:r>
    </w:p>
    <w:p>
      <w:pPr>
        <w:pStyle w:val="4"/>
        <w:spacing w:before="3"/>
        <w:ind w:left="0"/>
        <w:rPr>
          <w:b/>
          <w:sz w:val="10"/>
        </w:rPr>
      </w:pPr>
      <w:r>
        <w:drawing>
          <wp:anchor distT="0" distB="0" distL="0" distR="0" simplePos="0" relativeHeight="251660288" behindDoc="0" locked="0" layoutInCell="1" allowOverlap="1">
            <wp:simplePos x="0" y="0"/>
            <wp:positionH relativeFrom="page">
              <wp:posOffset>650240</wp:posOffset>
            </wp:positionH>
            <wp:positionV relativeFrom="paragraph">
              <wp:posOffset>98425</wp:posOffset>
            </wp:positionV>
            <wp:extent cx="6252210" cy="12065"/>
            <wp:effectExtent l="0" t="0" r="0" b="0"/>
            <wp:wrapTopAndBottom/>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a:picLocks noChangeAspect="1"/>
                    </pic:cNvPicPr>
                  </pic:nvPicPr>
                  <pic:blipFill>
                    <a:blip r:embed="rId9" cstate="print"/>
                    <a:stretch>
                      <a:fillRect/>
                    </a:stretch>
                  </pic:blipFill>
                  <pic:spPr>
                    <a:xfrm>
                      <a:off x="0" y="0"/>
                      <a:ext cx="6252160" cy="12287"/>
                    </a:xfrm>
                    <a:prstGeom prst="rect">
                      <a:avLst/>
                    </a:prstGeom>
                  </pic:spPr>
                </pic:pic>
              </a:graphicData>
            </a:graphic>
          </wp:anchor>
        </w:drawing>
      </w:r>
    </w:p>
    <w:p>
      <w:pPr>
        <w:pStyle w:val="8"/>
        <w:numPr>
          <w:ilvl w:val="1"/>
          <w:numId w:val="3"/>
        </w:numPr>
        <w:tabs>
          <w:tab w:val="left" w:pos="1007"/>
          <w:tab w:val="left" w:pos="1008"/>
        </w:tabs>
        <w:spacing w:before="174" w:after="0" w:line="278" w:lineRule="auto"/>
        <w:ind w:left="2538" w:right="275" w:hanging="2326"/>
        <w:jc w:val="left"/>
        <w:rPr>
          <w:sz w:val="21"/>
        </w:rPr>
      </w:pPr>
      <w:r>
        <w:rPr>
          <w:b/>
          <w:spacing w:val="11"/>
          <w:sz w:val="21"/>
        </w:rPr>
        <w:t xml:space="preserve">基本保险金额 </w:t>
      </w:r>
      <w:r>
        <w:rPr>
          <w:sz w:val="21"/>
        </w:rPr>
        <w:t>本合同的一般医疗基本保险金额、重大疾病医疗基本保险金额由您在投保时与</w:t>
      </w:r>
      <w:r>
        <w:rPr>
          <w:spacing w:val="-2"/>
          <w:sz w:val="21"/>
        </w:rPr>
        <w:t>我们约定并在保险单上载明。</w:t>
      </w:r>
    </w:p>
    <w:p>
      <w:pPr>
        <w:pStyle w:val="4"/>
        <w:spacing w:line="278" w:lineRule="auto"/>
        <w:ind w:right="276"/>
      </w:pPr>
      <w:r>
        <w:rPr>
          <w:spacing w:val="-2"/>
        </w:rPr>
        <w:t>一般医疗基本保险金额是指我们在一个保险期间内给付的一般医疗保险金的上</w:t>
      </w:r>
      <w:r>
        <w:rPr>
          <w:spacing w:val="-6"/>
        </w:rPr>
        <w:t>限。</w:t>
      </w:r>
    </w:p>
    <w:p>
      <w:pPr>
        <w:pStyle w:val="4"/>
        <w:spacing w:line="278" w:lineRule="auto"/>
        <w:ind w:right="275"/>
      </w:pPr>
      <w:r>
        <w:rPr>
          <w:spacing w:val="-2"/>
        </w:rPr>
        <w:t>重大疾病医疗基本保险金额是指我们在一个保险期间内给付的重大疾病医疗保险金的上限。</w:t>
      </w:r>
    </w:p>
    <w:p>
      <w:pPr>
        <w:spacing w:after="0" w:line="278" w:lineRule="auto"/>
        <w:sectPr>
          <w:type w:val="continuous"/>
          <w:pgSz w:w="11910" w:h="16840"/>
          <w:pgMar w:top="1100" w:right="940" w:bottom="1180" w:left="920" w:header="0" w:footer="981" w:gutter="0"/>
          <w:cols w:space="720" w:num="1"/>
        </w:sectPr>
      </w:pPr>
    </w:p>
    <w:p>
      <w:pPr>
        <w:pStyle w:val="8"/>
        <w:numPr>
          <w:ilvl w:val="1"/>
          <w:numId w:val="3"/>
        </w:numPr>
        <w:tabs>
          <w:tab w:val="left" w:pos="1007"/>
          <w:tab w:val="left" w:pos="1008"/>
        </w:tabs>
        <w:spacing w:before="170" w:after="0" w:line="278" w:lineRule="auto"/>
        <w:ind w:left="1007" w:right="0" w:hanging="795"/>
        <w:jc w:val="left"/>
        <w:rPr>
          <w:b/>
          <w:sz w:val="21"/>
        </w:rPr>
      </w:pPr>
      <w:r>
        <w:rPr>
          <w:b/>
          <w:spacing w:val="-2"/>
          <w:sz w:val="21"/>
        </w:rPr>
        <w:t>保险期间和续</w:t>
      </w:r>
      <w:r>
        <w:rPr>
          <w:b/>
          <w:spacing w:val="-10"/>
          <w:sz w:val="21"/>
        </w:rPr>
        <w:t>保</w:t>
      </w:r>
    </w:p>
    <w:p>
      <w:pPr>
        <w:pStyle w:val="4"/>
        <w:spacing w:before="170" w:line="278" w:lineRule="auto"/>
        <w:ind w:left="212" w:right="274"/>
        <w:jc w:val="both"/>
      </w:pPr>
      <w:r>
        <w:br w:type="column"/>
      </w:r>
      <w:r>
        <w:rPr>
          <w:spacing w:val="-3"/>
        </w:rPr>
        <w:t xml:space="preserve">本合同的保险期间为 </w:t>
      </w:r>
      <w:r>
        <w:rPr>
          <w:rFonts w:ascii="Times New Roman" w:eastAsia="Times New Roman"/>
        </w:rPr>
        <w:t>1</w:t>
      </w:r>
      <w:r>
        <w:rPr>
          <w:rFonts w:ascii="Times New Roman" w:eastAsia="Times New Roman"/>
          <w:spacing w:val="29"/>
        </w:rPr>
        <w:t xml:space="preserve"> </w:t>
      </w:r>
      <w:r>
        <w:t>年，除合同另有约定外，自本合同生效时起，至合同约</w:t>
      </w:r>
      <w:r>
        <w:rPr>
          <w:spacing w:val="-2"/>
        </w:rPr>
        <w:t>定的保险合同期满日止。</w:t>
      </w:r>
    </w:p>
    <w:p>
      <w:pPr>
        <w:spacing w:before="0" w:line="278" w:lineRule="auto"/>
        <w:ind w:left="212" w:right="277" w:firstLine="0"/>
        <w:jc w:val="both"/>
        <w:rPr>
          <w:sz w:val="21"/>
        </w:rPr>
      </w:pPr>
      <w:r>
        <w:rPr>
          <w:spacing w:val="-2"/>
          <w:sz w:val="21"/>
        </w:rPr>
        <w:t>您在本合同保险期间届满前可以申请续保，经我们审核同意并按续保时被保险人的年龄所对应的费率收取保险费，本合同续保成功，本合同于保险期间届满的次日起延续有效一年。每次续保，均依此类推。</w:t>
      </w:r>
      <w:r>
        <w:rPr>
          <w:b/>
          <w:spacing w:val="-2"/>
          <w:sz w:val="21"/>
        </w:rPr>
        <w:t>本合同在保险期间届满前未完成续保的，当您再次投保本保险时，视为首次投保</w:t>
      </w:r>
      <w:r>
        <w:rPr>
          <w:spacing w:val="-2"/>
          <w:sz w:val="21"/>
        </w:rPr>
        <w:t>。</w:t>
      </w:r>
    </w:p>
    <w:p>
      <w:pPr>
        <w:pStyle w:val="4"/>
        <w:ind w:left="212"/>
      </w:pPr>
      <w:r>
        <w:rPr>
          <w:spacing w:val="-1"/>
        </w:rPr>
        <w:t>对于健康状况如实告知投保的被保险人，我们不会因为被保险人的健康状况变</w:t>
      </w:r>
    </w:p>
    <w:p>
      <w:pPr>
        <w:spacing w:after="0"/>
        <w:sectPr>
          <w:type w:val="continuous"/>
          <w:pgSz w:w="11910" w:h="16840"/>
          <w:pgMar w:top="1100" w:right="940" w:bottom="1180" w:left="920" w:header="0" w:footer="981" w:gutter="0"/>
          <w:cols w:equalWidth="0" w:num="2">
            <w:col w:w="2275" w:space="51"/>
            <w:col w:w="7724"/>
          </w:cols>
        </w:sectPr>
      </w:pPr>
    </w:p>
    <w:p>
      <w:pPr>
        <w:pStyle w:val="4"/>
        <w:spacing w:before="57" w:line="278" w:lineRule="auto"/>
        <w:ind w:right="277"/>
      </w:pPr>
      <w:r>
        <w:rPr>
          <w:spacing w:val="-2"/>
        </w:rPr>
        <w:t>化或者使用保险情况而拒绝被保险人续保。</w:t>
      </w:r>
      <w:r>
        <w:rPr>
          <w:color w:val="000000"/>
          <w:spacing w:val="-2"/>
          <w:shd w:val="clear" w:color="auto" w:fill="D9D9D9"/>
        </w:rPr>
        <w:t>但发生下列情形之一的，本合同不</w:t>
      </w:r>
      <w:r>
        <w:rPr>
          <w:color w:val="000000"/>
          <w:spacing w:val="80"/>
          <w:w w:val="150"/>
          <w:shd w:val="clear" w:color="auto" w:fill="D9D9D9"/>
        </w:rPr>
        <w:t xml:space="preserve">                                       </w:t>
      </w:r>
      <w:r>
        <w:rPr>
          <w:color w:val="000000"/>
          <w:spacing w:val="-2"/>
          <w:shd w:val="clear" w:color="auto" w:fill="D9D9D9"/>
        </w:rPr>
        <w:t>再接受续保：</w:t>
      </w:r>
    </w:p>
    <w:p>
      <w:pPr>
        <w:pStyle w:val="8"/>
        <w:numPr>
          <w:ilvl w:val="2"/>
          <w:numId w:val="3"/>
        </w:numPr>
        <w:tabs>
          <w:tab w:val="left" w:pos="2803"/>
        </w:tabs>
        <w:spacing w:before="0" w:after="0" w:line="240" w:lineRule="auto"/>
        <w:ind w:left="2802" w:right="0" w:hanging="265"/>
        <w:jc w:val="left"/>
        <w:rPr>
          <w:sz w:val="21"/>
        </w:rPr>
      </w:pPr>
      <w:r>
        <w:rPr>
          <w:color w:val="000000"/>
          <w:spacing w:val="-2"/>
          <w:sz w:val="21"/>
          <w:shd w:val="clear" w:color="auto" w:fill="D9D9D9"/>
        </w:rPr>
        <w:t>被保险人续保时年满</w:t>
      </w:r>
      <w:r>
        <w:rPr>
          <w:rFonts w:ascii="Times New Roman" w:eastAsia="Times New Roman"/>
          <w:color w:val="000000"/>
          <w:spacing w:val="-2"/>
          <w:sz w:val="21"/>
          <w:shd w:val="clear" w:color="auto" w:fill="D9D9D9"/>
        </w:rPr>
        <w:t>100</w:t>
      </w:r>
      <w:r>
        <w:rPr>
          <w:color w:val="000000"/>
          <w:spacing w:val="-5"/>
          <w:sz w:val="21"/>
          <w:shd w:val="clear" w:color="auto" w:fill="D9D9D9"/>
        </w:rPr>
        <w:t>周岁；</w:t>
      </w:r>
    </w:p>
    <w:p>
      <w:pPr>
        <w:pStyle w:val="8"/>
        <w:numPr>
          <w:ilvl w:val="2"/>
          <w:numId w:val="3"/>
        </w:numPr>
        <w:tabs>
          <w:tab w:val="left" w:pos="2803"/>
        </w:tabs>
        <w:spacing w:before="43" w:after="0" w:line="240" w:lineRule="auto"/>
        <w:ind w:left="2802" w:right="0" w:hanging="265"/>
        <w:jc w:val="left"/>
        <w:rPr>
          <w:sz w:val="21"/>
        </w:rPr>
      </w:pPr>
      <w:r>
        <w:rPr>
          <w:color w:val="000000"/>
          <w:spacing w:val="-4"/>
          <w:sz w:val="21"/>
          <w:shd w:val="clear" w:color="auto" w:fill="D9D9D9"/>
        </w:rPr>
        <w:t>本产品停售；</w:t>
      </w:r>
    </w:p>
    <w:p>
      <w:pPr>
        <w:pStyle w:val="8"/>
        <w:numPr>
          <w:ilvl w:val="2"/>
          <w:numId w:val="3"/>
        </w:numPr>
        <w:tabs>
          <w:tab w:val="left" w:pos="2803"/>
        </w:tabs>
        <w:spacing w:before="43" w:after="0" w:line="240" w:lineRule="auto"/>
        <w:ind w:left="2802" w:right="0" w:hanging="265"/>
        <w:jc w:val="left"/>
        <w:rPr>
          <w:sz w:val="21"/>
        </w:rPr>
      </w:pPr>
      <w:r>
        <w:rPr>
          <w:color w:val="000000"/>
          <w:spacing w:val="-3"/>
          <w:sz w:val="21"/>
          <w:shd w:val="clear" w:color="auto" w:fill="D9D9D9"/>
        </w:rPr>
        <w:t>本合同因其他条款所列情况而导致效力终止。</w:t>
      </w:r>
    </w:p>
    <w:p>
      <w:pPr>
        <w:pStyle w:val="4"/>
        <w:spacing w:before="43"/>
      </w:pPr>
      <w:r>
        <w:rPr>
          <w:spacing w:val="-3"/>
        </w:rPr>
        <w:t>若我们不再接受续保，我们将以书面形式或双方认可的其他形式通知您。</w:t>
      </w:r>
    </w:p>
    <w:p>
      <w:pPr>
        <w:pStyle w:val="4"/>
        <w:spacing w:before="12"/>
        <w:ind w:left="0"/>
        <w:rPr>
          <w:sz w:val="20"/>
        </w:rPr>
      </w:pPr>
    </w:p>
    <w:p>
      <w:pPr>
        <w:pStyle w:val="8"/>
        <w:numPr>
          <w:ilvl w:val="1"/>
          <w:numId w:val="3"/>
        </w:numPr>
        <w:tabs>
          <w:tab w:val="left" w:pos="1007"/>
          <w:tab w:val="left" w:pos="1008"/>
          <w:tab w:val="left" w:pos="2538"/>
        </w:tabs>
        <w:spacing w:before="0" w:after="0" w:line="240" w:lineRule="auto"/>
        <w:ind w:left="1007" w:right="0" w:hanging="796"/>
        <w:jc w:val="left"/>
        <w:rPr>
          <w:sz w:val="21"/>
        </w:rPr>
      </w:pPr>
      <w:r>
        <w:rPr>
          <w:b/>
          <w:sz w:val="21"/>
        </w:rPr>
        <w:t>保险责</w:t>
      </w:r>
      <w:r>
        <w:rPr>
          <w:b/>
          <w:spacing w:val="-10"/>
          <w:sz w:val="21"/>
        </w:rPr>
        <w:t>任</w:t>
      </w:r>
      <w:r>
        <w:rPr>
          <w:b/>
          <w:sz w:val="21"/>
        </w:rPr>
        <w:tab/>
      </w:r>
      <w:r>
        <w:rPr>
          <w:spacing w:val="-2"/>
          <w:sz w:val="21"/>
        </w:rPr>
        <w:t>在本合同保险期间内，我们承担以下保险责任</w:t>
      </w:r>
      <w:r>
        <w:rPr>
          <w:spacing w:val="-10"/>
          <w:sz w:val="21"/>
        </w:rPr>
        <w:t>：</w:t>
      </w:r>
    </w:p>
    <w:p>
      <w:pPr>
        <w:pStyle w:val="4"/>
        <w:spacing w:before="192" w:line="278" w:lineRule="auto"/>
        <w:ind w:right="275"/>
        <w:jc w:val="both"/>
      </w:pPr>
      <w:r>
        <w:rPr>
          <w:color w:val="000000"/>
          <w:spacing w:val="-2"/>
          <w:shd w:val="clear" w:color="auto" w:fill="D9D9D9"/>
        </w:rPr>
        <w:t>您首次投保本保险时，被保险人于等待期内</w:t>
      </w:r>
      <w:r>
        <w:rPr>
          <w:b/>
          <w:color w:val="000000"/>
          <w:spacing w:val="-2"/>
          <w:shd w:val="clear" w:color="auto" w:fill="D9D9D9"/>
        </w:rPr>
        <w:t>发病</w:t>
      </w:r>
      <w:r>
        <w:rPr>
          <w:color w:val="000000"/>
          <w:spacing w:val="-2"/>
          <w:shd w:val="clear" w:color="auto" w:fill="D9D9D9"/>
        </w:rPr>
        <w:t>（</w:t>
      </w:r>
      <w:r>
        <w:rPr>
          <w:color w:val="000000"/>
          <w:spacing w:val="-14"/>
          <w:shd w:val="clear" w:color="auto" w:fill="D9D9D9"/>
        </w:rPr>
        <w:t xml:space="preserve">见 </w:t>
      </w:r>
      <w:r>
        <w:rPr>
          <w:rFonts w:ascii="Times New Roman" w:eastAsia="Times New Roman"/>
          <w:color w:val="000000"/>
          <w:spacing w:val="19"/>
          <w:shd w:val="clear" w:color="auto" w:fill="D9D9D9"/>
        </w:rPr>
        <w:t>9.4</w:t>
      </w:r>
      <w:r>
        <w:rPr>
          <w:color w:val="000000"/>
          <w:spacing w:val="-85"/>
          <w:shd w:val="clear" w:color="auto" w:fill="D9D9D9"/>
        </w:rPr>
        <w:t>）</w:t>
      </w:r>
      <w:r>
        <w:rPr>
          <w:color w:val="000000"/>
          <w:spacing w:val="-2"/>
          <w:shd w:val="clear" w:color="auto" w:fill="D9D9D9"/>
        </w:rPr>
        <w:t>，由此而导致发生本</w:t>
      </w:r>
      <w:r>
        <w:rPr>
          <w:color w:val="000000"/>
          <w:spacing w:val="40"/>
          <w:shd w:val="clear" w:color="auto" w:fill="D9D9D9"/>
        </w:rPr>
        <w:t xml:space="preserve"> </w:t>
      </w:r>
      <w:r>
        <w:rPr>
          <w:color w:val="000000"/>
          <w:spacing w:val="-2"/>
          <w:shd w:val="clear" w:color="auto" w:fill="D9D9D9"/>
        </w:rPr>
        <w:t>合同约定范围内的医疗费用，无论治疗时间在等待期内或在等待期外，我们不</w:t>
      </w:r>
      <w:r>
        <w:rPr>
          <w:color w:val="000000"/>
          <w:shd w:val="clear" w:color="auto" w:fill="D9D9D9"/>
        </w:rPr>
        <w:t>承担给付保险金的责任。</w:t>
      </w:r>
      <w:r>
        <w:rPr>
          <w:color w:val="000000"/>
          <w:spacing w:val="-3"/>
        </w:rPr>
        <w:t xml:space="preserve">本合同自生效日起 </w:t>
      </w:r>
      <w:r>
        <w:rPr>
          <w:rFonts w:ascii="Times New Roman" w:eastAsia="Times New Roman"/>
          <w:color w:val="000000"/>
        </w:rPr>
        <w:t xml:space="preserve">30 </w:t>
      </w:r>
      <w:r>
        <w:rPr>
          <w:color w:val="000000"/>
        </w:rPr>
        <w:t>日为等待期。</w:t>
      </w:r>
    </w:p>
    <w:p>
      <w:pPr>
        <w:pStyle w:val="4"/>
        <w:spacing w:line="278" w:lineRule="auto"/>
        <w:ind w:right="275"/>
        <w:jc w:val="both"/>
      </w:pPr>
      <w:r>
        <w:rPr>
          <w:spacing w:val="-2"/>
        </w:rPr>
        <w:t>被保险人因</w:t>
      </w:r>
      <w:r>
        <w:rPr>
          <w:b/>
          <w:spacing w:val="-2"/>
        </w:rPr>
        <w:t>意外伤害</w:t>
      </w:r>
      <w:r>
        <w:rPr>
          <w:spacing w:val="-2"/>
        </w:rPr>
        <w:t>（</w:t>
      </w:r>
      <w:r>
        <w:rPr>
          <w:spacing w:val="-14"/>
        </w:rPr>
        <w:t xml:space="preserve">见 </w:t>
      </w:r>
      <w:r>
        <w:rPr>
          <w:rFonts w:ascii="Times New Roman" w:eastAsia="Times New Roman"/>
          <w:spacing w:val="-2"/>
        </w:rPr>
        <w:t>9.5</w:t>
      </w:r>
      <w:r>
        <w:rPr>
          <w:spacing w:val="-2"/>
        </w:rPr>
        <w:t>）发生本合同约定范围内的医疗费用或被保险人完成续保的，无等待期。</w:t>
      </w:r>
    </w:p>
    <w:p>
      <w:pPr>
        <w:spacing w:after="0" w:line="278" w:lineRule="auto"/>
        <w:jc w:val="both"/>
        <w:sectPr>
          <w:pgSz w:w="11910" w:h="16840"/>
          <w:pgMar w:top="1080" w:right="940" w:bottom="1180" w:left="920" w:header="0" w:footer="981" w:gutter="0"/>
          <w:cols w:space="720" w:num="1"/>
        </w:sectPr>
      </w:pPr>
    </w:p>
    <w:p>
      <w:pPr>
        <w:pStyle w:val="8"/>
        <w:numPr>
          <w:ilvl w:val="2"/>
          <w:numId w:val="4"/>
        </w:numPr>
        <w:tabs>
          <w:tab w:val="left" w:pos="1007"/>
          <w:tab w:val="left" w:pos="1008"/>
        </w:tabs>
        <w:spacing w:before="179" w:after="0" w:line="240" w:lineRule="auto"/>
        <w:ind w:left="1007" w:right="0" w:hanging="796"/>
        <w:jc w:val="left"/>
        <w:rPr>
          <w:b/>
          <w:sz w:val="21"/>
        </w:rPr>
      </w:pPr>
      <w:r>
        <w:rPr>
          <w:b/>
          <w:spacing w:val="-2"/>
          <w:sz w:val="21"/>
        </w:rPr>
        <w:t>一般医疗保险</w:t>
      </w:r>
    </w:p>
    <w:p>
      <w:pPr>
        <w:spacing w:before="91"/>
        <w:ind w:left="0" w:right="75" w:firstLine="0"/>
        <w:jc w:val="center"/>
        <w:rPr>
          <w:b/>
          <w:sz w:val="21"/>
        </w:rPr>
      </w:pPr>
      <w:r>
        <w:rPr>
          <w:b/>
          <w:w w:val="100"/>
          <w:sz w:val="21"/>
        </w:rPr>
        <w:t>金</w:t>
      </w: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spacing w:before="11"/>
        <w:ind w:left="0"/>
        <w:rPr>
          <w:b/>
          <w:sz w:val="16"/>
        </w:rPr>
      </w:pPr>
    </w:p>
    <w:p>
      <w:pPr>
        <w:pStyle w:val="8"/>
        <w:numPr>
          <w:ilvl w:val="2"/>
          <w:numId w:val="4"/>
        </w:numPr>
        <w:tabs>
          <w:tab w:val="left" w:pos="1007"/>
          <w:tab w:val="left" w:pos="1008"/>
        </w:tabs>
        <w:spacing w:before="0" w:after="0" w:line="321" w:lineRule="auto"/>
        <w:ind w:left="1007" w:right="0" w:hanging="795"/>
        <w:jc w:val="left"/>
        <w:rPr>
          <w:b/>
          <w:sz w:val="21"/>
        </w:rPr>
      </w:pPr>
      <w:r>
        <w:rPr>
          <w:b/>
          <w:spacing w:val="-2"/>
          <w:sz w:val="21"/>
        </w:rPr>
        <w:t>重大疾病医疗</w:t>
      </w:r>
      <w:r>
        <w:rPr>
          <w:b/>
          <w:spacing w:val="-4"/>
          <w:sz w:val="21"/>
        </w:rPr>
        <w:t>保险金</w:t>
      </w:r>
    </w:p>
    <w:p>
      <w:pPr>
        <w:pStyle w:val="4"/>
        <w:spacing w:before="170" w:line="278" w:lineRule="auto"/>
        <w:ind w:left="195" w:right="169"/>
      </w:pPr>
      <w:r>
        <w:br w:type="column"/>
      </w:r>
      <w:r>
        <w:rPr>
          <w:spacing w:val="-2"/>
        </w:rPr>
        <w:t>在保险期间内，被保险人遭受意外伤害事故或在等待期后发病，在</w:t>
      </w:r>
      <w:r>
        <w:rPr>
          <w:b/>
          <w:spacing w:val="-2"/>
        </w:rPr>
        <w:t>医院</w:t>
      </w:r>
      <w:r>
        <w:rPr>
          <w:spacing w:val="-2"/>
        </w:rPr>
        <w:t>（见</w:t>
      </w:r>
      <w:r>
        <w:rPr>
          <w:rFonts w:ascii="Times New Roman" w:eastAsia="Times New Roman"/>
          <w:spacing w:val="-2"/>
        </w:rPr>
        <w:t>9.6</w:t>
      </w:r>
      <w:r>
        <w:rPr>
          <w:spacing w:val="-2"/>
        </w:rPr>
        <w:t>）接受治疗的，我们依照下列约定给付一般医疗保险金：</w:t>
      </w:r>
    </w:p>
    <w:p>
      <w:pPr>
        <w:pStyle w:val="8"/>
        <w:numPr>
          <w:ilvl w:val="0"/>
          <w:numId w:val="5"/>
        </w:numPr>
        <w:tabs>
          <w:tab w:val="left" w:pos="460"/>
        </w:tabs>
        <w:spacing w:before="94" w:after="0" w:line="240" w:lineRule="auto"/>
        <w:ind w:left="459" w:right="0" w:hanging="265"/>
        <w:jc w:val="left"/>
        <w:rPr>
          <w:sz w:val="21"/>
        </w:rPr>
      </w:pPr>
      <w:r>
        <w:rPr>
          <w:spacing w:val="-3"/>
          <w:sz w:val="21"/>
        </w:rPr>
        <w:t>住院医疗费用保险金</w:t>
      </w:r>
    </w:p>
    <w:p>
      <w:pPr>
        <w:pStyle w:val="4"/>
        <w:spacing w:before="43" w:line="278" w:lineRule="auto"/>
        <w:ind w:left="195" w:right="275"/>
        <w:jc w:val="both"/>
      </w:pPr>
      <w:r>
        <w:rPr>
          <w:spacing w:val="-2"/>
        </w:rPr>
        <w:t>被保险人经医院诊断必须</w:t>
      </w:r>
      <w:r>
        <w:rPr>
          <w:b/>
          <w:spacing w:val="-2"/>
        </w:rPr>
        <w:t>住院</w:t>
      </w:r>
      <w:r>
        <w:rPr>
          <w:spacing w:val="-2"/>
        </w:rPr>
        <w:t>（见</w:t>
      </w:r>
      <w:r>
        <w:rPr>
          <w:rFonts w:ascii="Times New Roman" w:eastAsia="Times New Roman"/>
          <w:spacing w:val="-2"/>
        </w:rPr>
        <w:t>9.7</w:t>
      </w:r>
      <w:r>
        <w:rPr>
          <w:spacing w:val="-2"/>
        </w:rPr>
        <w:t>）治疗的，对于被保险人住院期间实际发生的需个人支付的、</w:t>
      </w:r>
      <w:r>
        <w:rPr>
          <w:b/>
          <w:spacing w:val="-2"/>
        </w:rPr>
        <w:t>合理且必要</w:t>
      </w:r>
      <w:r>
        <w:rPr>
          <w:spacing w:val="-2"/>
        </w:rPr>
        <w:t>（见</w:t>
      </w:r>
      <w:r>
        <w:rPr>
          <w:rFonts w:ascii="Times New Roman" w:eastAsia="Times New Roman"/>
          <w:spacing w:val="-2"/>
        </w:rPr>
        <w:t>9.8</w:t>
      </w:r>
      <w:r>
        <w:rPr>
          <w:spacing w:val="-2"/>
        </w:rPr>
        <w:t>）的</w:t>
      </w:r>
      <w:r>
        <w:rPr>
          <w:b/>
          <w:spacing w:val="-2"/>
        </w:rPr>
        <w:t>住院医疗费用</w:t>
      </w:r>
      <w:r>
        <w:rPr>
          <w:spacing w:val="-2"/>
        </w:rPr>
        <w:t>（见</w:t>
      </w:r>
      <w:r>
        <w:rPr>
          <w:rFonts w:ascii="Times New Roman" w:eastAsia="Times New Roman"/>
          <w:spacing w:val="18"/>
        </w:rPr>
        <w:t>9.</w:t>
      </w:r>
      <w:r>
        <w:rPr>
          <w:rFonts w:ascii="Times New Roman" w:eastAsia="Times New Roman"/>
          <w:spacing w:val="20"/>
        </w:rPr>
        <w:t>9</w:t>
      </w:r>
      <w:r>
        <w:rPr>
          <w:spacing w:val="-88"/>
        </w:rPr>
        <w:t>）</w:t>
      </w:r>
      <w:r>
        <w:rPr>
          <w:spacing w:val="2"/>
        </w:rPr>
        <w:t>，我们按本</w:t>
      </w:r>
      <w:r>
        <w:rPr>
          <w:spacing w:val="-2"/>
        </w:rPr>
        <w:t>合同约定的保险金计算方法，给付住院医疗费用保险金。</w:t>
      </w:r>
    </w:p>
    <w:p>
      <w:pPr>
        <w:pStyle w:val="4"/>
        <w:spacing w:line="278" w:lineRule="auto"/>
        <w:ind w:left="195" w:right="276"/>
        <w:jc w:val="both"/>
      </w:pPr>
      <w:r>
        <w:rPr>
          <w:spacing w:val="-2"/>
        </w:rPr>
        <w:t>若被保险人接受本合同保险责任范围内的住院治疗，且在保险期间届满时治疗仍未结束的，对于被保险人该次住院治疗，我们继续承担相应的保险责任，最长至保险期间届满后的第</w:t>
      </w:r>
      <w:r>
        <w:rPr>
          <w:rFonts w:ascii="Times New Roman" w:eastAsia="Times New Roman"/>
          <w:spacing w:val="-2"/>
        </w:rPr>
        <w:t>30</w:t>
      </w:r>
      <w:r>
        <w:rPr>
          <w:spacing w:val="-2"/>
        </w:rPr>
        <w:t>日。</w:t>
      </w:r>
    </w:p>
    <w:p>
      <w:pPr>
        <w:pStyle w:val="8"/>
        <w:numPr>
          <w:ilvl w:val="0"/>
          <w:numId w:val="5"/>
        </w:numPr>
        <w:tabs>
          <w:tab w:val="left" w:pos="460"/>
        </w:tabs>
        <w:spacing w:before="93" w:after="0" w:line="240" w:lineRule="auto"/>
        <w:ind w:left="459" w:right="0" w:hanging="265"/>
        <w:jc w:val="both"/>
        <w:rPr>
          <w:sz w:val="21"/>
        </w:rPr>
      </w:pPr>
      <w:r>
        <w:rPr>
          <w:spacing w:val="-3"/>
          <w:sz w:val="21"/>
        </w:rPr>
        <w:t>特殊门诊医疗费用保险金</w:t>
      </w:r>
    </w:p>
    <w:p>
      <w:pPr>
        <w:pStyle w:val="4"/>
        <w:spacing w:before="43" w:line="278" w:lineRule="auto"/>
        <w:ind w:left="195" w:right="275"/>
        <w:jc w:val="both"/>
      </w:pPr>
      <w:r>
        <w:rPr>
          <w:spacing w:val="-2"/>
        </w:rPr>
        <w:t>被保险人在医院接受门诊</w:t>
      </w:r>
      <w:r>
        <w:rPr>
          <w:b/>
          <w:spacing w:val="-2"/>
        </w:rPr>
        <w:t>恶性肿瘤治疗</w:t>
      </w:r>
      <w:r>
        <w:rPr>
          <w:spacing w:val="-2"/>
        </w:rPr>
        <w:t>（见</w:t>
      </w:r>
      <w:r>
        <w:rPr>
          <w:rFonts w:ascii="Times New Roman" w:eastAsia="Times New Roman"/>
          <w:spacing w:val="21"/>
        </w:rPr>
        <w:t>9</w:t>
      </w:r>
      <w:r>
        <w:rPr>
          <w:rFonts w:ascii="Times New Roman" w:eastAsia="Times New Roman"/>
          <w:spacing w:val="18"/>
        </w:rPr>
        <w:t>.</w:t>
      </w:r>
      <w:r>
        <w:rPr>
          <w:rFonts w:ascii="Times New Roman" w:eastAsia="Times New Roman"/>
          <w:spacing w:val="13"/>
        </w:rPr>
        <w:t>1</w:t>
      </w:r>
      <w:r>
        <w:rPr>
          <w:rFonts w:ascii="Times New Roman" w:eastAsia="Times New Roman"/>
          <w:spacing w:val="18"/>
        </w:rPr>
        <w:t>1</w:t>
      </w:r>
      <w:r>
        <w:rPr>
          <w:spacing w:val="-83"/>
        </w:rPr>
        <w:t>）</w:t>
      </w:r>
      <w:r>
        <w:rPr>
          <w:spacing w:val="-2"/>
        </w:rPr>
        <w:t>、门诊肾透析、器官移植后的</w:t>
      </w:r>
      <w:r>
        <w:rPr>
          <w:spacing w:val="-4"/>
        </w:rPr>
        <w:t>门诊抗排异治疗、门诊手术或</w:t>
      </w:r>
      <w:r>
        <w:rPr>
          <w:b/>
          <w:spacing w:val="-4"/>
        </w:rPr>
        <w:t>住院前后门诊急诊</w:t>
      </w:r>
      <w:r>
        <w:rPr>
          <w:spacing w:val="-4"/>
        </w:rPr>
        <w:t>（见</w:t>
      </w:r>
      <w:r>
        <w:rPr>
          <w:rFonts w:ascii="Times New Roman" w:eastAsia="Times New Roman"/>
          <w:spacing w:val="-4"/>
        </w:rPr>
        <w:t>9.17</w:t>
      </w:r>
      <w:r>
        <w:rPr>
          <w:spacing w:val="-4"/>
        </w:rPr>
        <w:t>）治疗，对于实际发生</w:t>
      </w:r>
      <w:r>
        <w:rPr>
          <w:spacing w:val="-2"/>
        </w:rPr>
        <w:t>的需个人支付的、合理且必要的上述特殊门诊医疗费用，我们按本合同约定的保险金计算方法，给付特殊门诊医疗费用保险金。</w:t>
      </w:r>
    </w:p>
    <w:p>
      <w:pPr>
        <w:spacing w:before="155" w:line="278" w:lineRule="auto"/>
        <w:ind w:left="195" w:right="280" w:firstLine="0"/>
        <w:jc w:val="left"/>
        <w:rPr>
          <w:b/>
          <w:sz w:val="21"/>
        </w:rPr>
      </w:pPr>
      <w:r>
        <w:rPr>
          <w:b/>
          <w:spacing w:val="-2"/>
          <w:sz w:val="21"/>
        </w:rPr>
        <w:t>住院医疗费用保险金和特殊门诊医疗费用保险金的累计给付之和以本合同约定的一般医疗基本保险金额为限。</w:t>
      </w:r>
    </w:p>
    <w:p>
      <w:pPr>
        <w:pStyle w:val="4"/>
        <w:spacing w:before="168" w:line="278" w:lineRule="auto"/>
        <w:ind w:left="195" w:right="275"/>
        <w:jc w:val="both"/>
      </w:pPr>
      <w:r>
        <w:rPr>
          <w:spacing w:val="-2"/>
        </w:rPr>
        <w:t>在保险期间内，被保险人遭受意外伤害事故或在等待期后首次发病并经医院确诊患本合同所列的</w:t>
      </w:r>
      <w:r>
        <w:rPr>
          <w:b/>
          <w:spacing w:val="-2"/>
        </w:rPr>
        <w:t>重大疾病</w:t>
      </w:r>
      <w:r>
        <w:rPr>
          <w:spacing w:val="-2"/>
        </w:rPr>
        <w:t>（见</w:t>
      </w:r>
      <w:r>
        <w:rPr>
          <w:rFonts w:ascii="Times New Roman" w:eastAsia="Times New Roman"/>
          <w:spacing w:val="-2"/>
        </w:rPr>
        <w:t>8</w:t>
      </w:r>
      <w:r>
        <w:rPr>
          <w:spacing w:val="-2"/>
        </w:rPr>
        <w:t>），并因该疾病在医院接受治疗的，我们首先按照本合同第</w:t>
      </w:r>
      <w:r>
        <w:rPr>
          <w:rFonts w:ascii="Times New Roman" w:eastAsia="Times New Roman"/>
          <w:spacing w:val="-2"/>
        </w:rPr>
        <w:t>2.3.1</w:t>
      </w:r>
      <w:r>
        <w:rPr>
          <w:spacing w:val="-2"/>
        </w:rPr>
        <w:t>条的约定给付一般医疗保险金，当累计给付金额达到一般医疗基本保险金额后，我们依照下列约定给付重大疾病医疗保险金：</w:t>
      </w:r>
    </w:p>
    <w:p>
      <w:pPr>
        <w:pStyle w:val="8"/>
        <w:numPr>
          <w:ilvl w:val="0"/>
          <w:numId w:val="6"/>
        </w:numPr>
        <w:tabs>
          <w:tab w:val="left" w:pos="460"/>
        </w:tabs>
        <w:spacing w:before="94" w:after="0" w:line="240" w:lineRule="auto"/>
        <w:ind w:left="459" w:right="0" w:hanging="265"/>
        <w:jc w:val="both"/>
        <w:rPr>
          <w:rFonts w:ascii="Times New Roman" w:eastAsia="Times New Roman"/>
          <w:sz w:val="21"/>
        </w:rPr>
      </w:pPr>
      <w:r>
        <w:rPr>
          <w:spacing w:val="-3"/>
          <w:sz w:val="21"/>
        </w:rPr>
        <w:t>重大疾病住院医疗费用保险金</w:t>
      </w:r>
    </w:p>
    <w:p>
      <w:pPr>
        <w:pStyle w:val="4"/>
        <w:spacing w:before="43" w:line="278" w:lineRule="auto"/>
        <w:ind w:left="195" w:right="167"/>
      </w:pPr>
      <w:r>
        <w:rPr>
          <w:w w:val="100"/>
        </w:rPr>
        <w:t>被保险人经医院诊断必须住院治疗的，对于被保险人住院期间实际发生的需个</w:t>
      </w:r>
      <w:r>
        <w:rPr>
          <w:spacing w:val="-5"/>
          <w:w w:val="100"/>
        </w:rPr>
        <w:t>人支付的、合理且必要的住院医疗费用，我们按本合同约定的保险金计算方法，</w:t>
      </w:r>
      <w:r>
        <w:rPr>
          <w:spacing w:val="-4"/>
          <w:w w:val="100"/>
        </w:rPr>
        <w:t>给付重大疾病住院医疗费用保险金。</w:t>
      </w:r>
    </w:p>
    <w:p>
      <w:pPr>
        <w:pStyle w:val="4"/>
        <w:spacing w:line="278" w:lineRule="auto"/>
        <w:ind w:left="195" w:right="277"/>
        <w:jc w:val="both"/>
      </w:pPr>
      <w:r>
        <w:rPr>
          <w:spacing w:val="-2"/>
        </w:rPr>
        <w:t>若被保险人接受本合同保险责任范围内的住院治疗，且在保险期间届满时治疗仍未结束的，对于被保险人该次住院治疗，我们继续承担相应的保险责任，最长至保险期间届满后的第</w:t>
      </w:r>
      <w:r>
        <w:rPr>
          <w:rFonts w:ascii="Times New Roman" w:eastAsia="Times New Roman"/>
          <w:spacing w:val="-2"/>
        </w:rPr>
        <w:t>30</w:t>
      </w:r>
      <w:r>
        <w:rPr>
          <w:spacing w:val="-2"/>
        </w:rPr>
        <w:t>日。</w:t>
      </w:r>
    </w:p>
    <w:p>
      <w:pPr>
        <w:pStyle w:val="8"/>
        <w:numPr>
          <w:ilvl w:val="0"/>
          <w:numId w:val="6"/>
        </w:numPr>
        <w:tabs>
          <w:tab w:val="left" w:pos="460"/>
        </w:tabs>
        <w:spacing w:before="93" w:after="0" w:line="240" w:lineRule="auto"/>
        <w:ind w:left="459" w:right="0" w:hanging="265"/>
        <w:jc w:val="both"/>
        <w:rPr>
          <w:rFonts w:ascii="Times New Roman" w:eastAsia="Times New Roman"/>
          <w:sz w:val="21"/>
        </w:rPr>
      </w:pPr>
      <w:r>
        <w:rPr>
          <w:spacing w:val="-3"/>
          <w:sz w:val="21"/>
        </w:rPr>
        <w:t>重大疾病特殊门诊医疗费用保险金</w:t>
      </w:r>
    </w:p>
    <w:p>
      <w:pPr>
        <w:pStyle w:val="4"/>
        <w:spacing w:before="43" w:line="278" w:lineRule="auto"/>
        <w:ind w:left="195" w:right="275"/>
      </w:pPr>
      <w:r>
        <w:rPr>
          <w:spacing w:val="-2"/>
        </w:rPr>
        <w:t>被保险人在医院接受门诊恶性肿瘤治疗、门诊肾透析、器官移植后的门诊抗排</w:t>
      </w:r>
      <w:r>
        <w:rPr>
          <w:spacing w:val="-1"/>
        </w:rPr>
        <w:t>异治疗、门诊手术或住院前后门诊急诊治疗，对于实际发生的需个人支付的、</w:t>
      </w:r>
    </w:p>
    <w:p>
      <w:pPr>
        <w:spacing w:after="0" w:line="278" w:lineRule="auto"/>
        <w:sectPr>
          <w:type w:val="continuous"/>
          <w:pgSz w:w="11910" w:h="16840"/>
          <w:pgMar w:top="1100" w:right="940" w:bottom="1180" w:left="920" w:header="0" w:footer="981" w:gutter="0"/>
          <w:cols w:equalWidth="0" w:num="2">
            <w:col w:w="2304" w:space="40"/>
            <w:col w:w="7706"/>
          </w:cols>
        </w:sectPr>
      </w:pPr>
    </w:p>
    <w:p>
      <w:pPr>
        <w:pStyle w:val="4"/>
        <w:spacing w:before="57" w:line="278" w:lineRule="auto"/>
        <w:ind w:right="278"/>
      </w:pPr>
      <w:r>
        <w:rPr>
          <w:spacing w:val="-2"/>
        </w:rPr>
        <w:t>合理且必要的上述特殊门诊医疗费用，我们按本合同约定的保险金计算方法，给付重大疾病特殊门诊医疗费用保险金。</w:t>
      </w:r>
    </w:p>
    <w:p>
      <w:pPr>
        <w:spacing w:before="156" w:line="278" w:lineRule="auto"/>
        <w:ind w:left="2538" w:right="277" w:firstLine="0"/>
        <w:jc w:val="left"/>
        <w:rPr>
          <w:b/>
          <w:sz w:val="21"/>
        </w:rPr>
      </w:pPr>
      <w:r>
        <w:rPr>
          <w:b/>
          <w:spacing w:val="-2"/>
          <w:sz w:val="21"/>
        </w:rPr>
        <w:t>重大疾病住院医疗费用保险金和重大疾病特殊门诊医疗费用保险金的累计给付之和以本合同约定的重大疾病医疗基本保险金额为限。</w:t>
      </w:r>
    </w:p>
    <w:p>
      <w:pPr>
        <w:spacing w:before="156" w:line="278" w:lineRule="auto"/>
        <w:ind w:left="2538" w:right="280" w:firstLine="0"/>
        <w:jc w:val="both"/>
        <w:rPr>
          <w:b/>
          <w:sz w:val="21"/>
        </w:rPr>
      </w:pPr>
      <w:r>
        <w:rPr>
          <w:b/>
          <w:spacing w:val="-2"/>
          <w:sz w:val="21"/>
        </w:rPr>
        <w:t>同一保单年度内，如果被保险人发生多次治疗的，应该按照治疗先后顺序申请理赔相应的保险金。如果被保险人因未按治疗顺序申请保险金而导致此前已付保险金多于应付保险金的，则我们将在当次理赔时扣除此前多付金额。</w:t>
      </w:r>
    </w:p>
    <w:p>
      <w:pPr>
        <w:pStyle w:val="8"/>
        <w:numPr>
          <w:ilvl w:val="2"/>
          <w:numId w:val="4"/>
        </w:numPr>
        <w:tabs>
          <w:tab w:val="left" w:pos="1008"/>
        </w:tabs>
        <w:spacing w:before="130" w:after="0" w:line="312" w:lineRule="exact"/>
        <w:ind w:left="2538" w:right="274" w:hanging="2326"/>
        <w:jc w:val="both"/>
        <w:rPr>
          <w:sz w:val="21"/>
        </w:rPr>
      </w:pPr>
      <w:r>
        <w:rPr>
          <w:b/>
          <w:spacing w:val="22"/>
          <w:position w:val="-5"/>
          <w:sz w:val="21"/>
        </w:rPr>
        <w:t xml:space="preserve">年度免赔额  </w:t>
      </w:r>
      <w:r>
        <w:rPr>
          <w:sz w:val="21"/>
        </w:rPr>
        <w:t>年度免赔额指一个保险期间内的免赔额，即被保险人自行承担，本合同不予赔</w:t>
      </w:r>
      <w:r>
        <w:rPr>
          <w:spacing w:val="-2"/>
          <w:sz w:val="21"/>
        </w:rPr>
        <w:t>偿的医疗费用部分。一般医疗保险金和重大疾病医疗保险金共用年度免赔额。</w:t>
      </w:r>
      <w:r>
        <w:rPr>
          <w:spacing w:val="-4"/>
          <w:sz w:val="21"/>
        </w:rPr>
        <w:t>公费医疗或</w:t>
      </w:r>
      <w:r>
        <w:rPr>
          <w:b/>
          <w:spacing w:val="-4"/>
          <w:sz w:val="21"/>
        </w:rPr>
        <w:t>社会医疗保险</w:t>
      </w:r>
      <w:r>
        <w:rPr>
          <w:spacing w:val="-4"/>
          <w:sz w:val="21"/>
        </w:rPr>
        <w:t>（见</w:t>
      </w:r>
      <w:r>
        <w:rPr>
          <w:rFonts w:ascii="Times New Roman" w:eastAsia="Times New Roman"/>
          <w:spacing w:val="-4"/>
          <w:sz w:val="21"/>
        </w:rPr>
        <w:t>9.18</w:t>
      </w:r>
      <w:r>
        <w:rPr>
          <w:spacing w:val="-4"/>
          <w:sz w:val="21"/>
        </w:rPr>
        <w:t>）报销部分不可用于抵扣年度免赔额；通过其</w:t>
      </w:r>
    </w:p>
    <w:p>
      <w:pPr>
        <w:pStyle w:val="4"/>
        <w:spacing w:before="41"/>
      </w:pPr>
      <w:r>
        <w:rPr>
          <w:spacing w:val="-3"/>
        </w:rPr>
        <w:t>他途径获得的医疗费用补偿以及个人自付部分可用于抵扣年度免赔额。</w:t>
      </w:r>
    </w:p>
    <w:p>
      <w:pPr>
        <w:pStyle w:val="4"/>
        <w:spacing w:before="42" w:line="278" w:lineRule="auto"/>
        <w:ind w:right="275"/>
        <w:jc w:val="both"/>
      </w:pPr>
      <w:r>
        <w:rPr>
          <w:spacing w:val="-2"/>
        </w:rPr>
        <w:t>被保险人自确诊本合同所定义的重大疾病之日起，所发生的符合本合同约定的与该重大疾病治疗相关的医疗费用，我们按照第</w:t>
      </w:r>
      <w:r>
        <w:rPr>
          <w:rFonts w:ascii="Times New Roman" w:eastAsia="Times New Roman"/>
          <w:spacing w:val="-2"/>
        </w:rPr>
        <w:t>2.3.1</w:t>
      </w:r>
      <w:r>
        <w:rPr>
          <w:spacing w:val="-2"/>
        </w:rPr>
        <w:t>和</w:t>
      </w:r>
      <w:r>
        <w:rPr>
          <w:rFonts w:ascii="Times New Roman" w:eastAsia="Times New Roman"/>
          <w:spacing w:val="-2"/>
        </w:rPr>
        <w:t>2.3.2</w:t>
      </w:r>
      <w:r>
        <w:rPr>
          <w:spacing w:val="-2"/>
        </w:rPr>
        <w:t>条的约定，给付一般医疗保险金和重大疾病医疗保险金，且不受免赔额限制。</w:t>
      </w:r>
    </w:p>
    <w:p>
      <w:pPr>
        <w:pStyle w:val="4"/>
        <w:spacing w:line="278" w:lineRule="auto"/>
        <w:ind w:right="275"/>
        <w:jc w:val="both"/>
      </w:pPr>
      <w:r>
        <w:rPr>
          <w:spacing w:val="-2"/>
        </w:rPr>
        <w:t>如被保险人以参加社会医疗保险身份或参加公费医疗身份投保，年度免赔额为人民币</w:t>
      </w:r>
      <w:r>
        <w:rPr>
          <w:rFonts w:ascii="Times New Roman" w:eastAsia="Times New Roman"/>
          <w:spacing w:val="-2"/>
        </w:rPr>
        <w:t>1</w:t>
      </w:r>
      <w:r>
        <w:rPr>
          <w:spacing w:val="-2"/>
        </w:rPr>
        <w:t>万元；如被保险人以未参加社会医疗保险身份或未参加公费医疗身份投保，年度免赔额为人民币</w:t>
      </w:r>
      <w:r>
        <w:rPr>
          <w:rFonts w:ascii="Times New Roman" w:eastAsia="Times New Roman"/>
          <w:spacing w:val="-2"/>
        </w:rPr>
        <w:t>2</w:t>
      </w:r>
      <w:r>
        <w:rPr>
          <w:spacing w:val="-2"/>
        </w:rPr>
        <w:t>万元。</w:t>
      </w:r>
    </w:p>
    <w:p>
      <w:pPr>
        <w:pStyle w:val="8"/>
        <w:numPr>
          <w:ilvl w:val="2"/>
          <w:numId w:val="4"/>
        </w:numPr>
        <w:tabs>
          <w:tab w:val="left" w:pos="1008"/>
        </w:tabs>
        <w:spacing w:before="131" w:after="0" w:line="312" w:lineRule="exact"/>
        <w:ind w:left="2538" w:right="275" w:hanging="2326"/>
        <w:jc w:val="both"/>
        <w:rPr>
          <w:sz w:val="21"/>
        </w:rPr>
      </w:pPr>
      <w:r>
        <w:rPr>
          <w:b/>
          <w:position w:val="-5"/>
          <w:sz w:val="21"/>
        </w:rPr>
        <w:t>赔付比例</w:t>
      </w:r>
      <w:r>
        <w:rPr>
          <w:b/>
          <w:spacing w:val="80"/>
          <w:w w:val="150"/>
          <w:position w:val="-5"/>
          <w:sz w:val="21"/>
        </w:rPr>
        <w:t xml:space="preserve">   </w:t>
      </w:r>
      <w:r>
        <w:rPr>
          <w:sz w:val="21"/>
        </w:rPr>
        <w:t>如被保险人以参加社会医疗保险身份或参加公费医疗身份投保，但本次就诊时</w:t>
      </w:r>
      <w:r>
        <w:rPr>
          <w:spacing w:val="-4"/>
          <w:sz w:val="21"/>
        </w:rPr>
        <w:t>被保险人未使用社会医疗保险或未使用公费医疗，则本次赔付比例为</w:t>
      </w:r>
      <w:r>
        <w:rPr>
          <w:rFonts w:ascii="Times New Roman" w:eastAsia="Times New Roman"/>
          <w:spacing w:val="-4"/>
          <w:sz w:val="21"/>
        </w:rPr>
        <w:t>60%</w:t>
      </w:r>
      <w:r>
        <w:rPr>
          <w:spacing w:val="-4"/>
          <w:sz w:val="21"/>
        </w:rPr>
        <w:t>；其他</w:t>
      </w:r>
      <w:r>
        <w:rPr>
          <w:spacing w:val="-2"/>
          <w:sz w:val="21"/>
        </w:rPr>
        <w:t>情况下赔付比例为</w:t>
      </w:r>
      <w:r>
        <w:rPr>
          <w:rFonts w:ascii="Times New Roman" w:eastAsia="Times New Roman"/>
          <w:spacing w:val="-2"/>
          <w:sz w:val="21"/>
        </w:rPr>
        <w:t>100%</w:t>
      </w:r>
      <w:r>
        <w:rPr>
          <w:spacing w:val="-2"/>
          <w:sz w:val="21"/>
        </w:rPr>
        <w:t>。</w:t>
      </w:r>
    </w:p>
    <w:p>
      <w:pPr>
        <w:pStyle w:val="4"/>
        <w:spacing w:before="3"/>
        <w:ind w:left="0"/>
        <w:rPr>
          <w:sz w:val="10"/>
        </w:rPr>
      </w:pPr>
    </w:p>
    <w:p>
      <w:pPr>
        <w:spacing w:after="0"/>
        <w:rPr>
          <w:sz w:val="10"/>
        </w:rPr>
        <w:sectPr>
          <w:pgSz w:w="11910" w:h="16840"/>
          <w:pgMar w:top="1080" w:right="940" w:bottom="1180" w:left="920" w:header="0" w:footer="981" w:gutter="0"/>
          <w:cols w:space="720" w:num="1"/>
        </w:sectPr>
      </w:pPr>
    </w:p>
    <w:p>
      <w:pPr>
        <w:pStyle w:val="8"/>
        <w:numPr>
          <w:ilvl w:val="2"/>
          <w:numId w:val="4"/>
        </w:numPr>
        <w:tabs>
          <w:tab w:val="left" w:pos="1007"/>
          <w:tab w:val="left" w:pos="1008"/>
        </w:tabs>
        <w:spacing w:before="88" w:after="0" w:line="240" w:lineRule="auto"/>
        <w:ind w:left="1007" w:right="0" w:hanging="796"/>
        <w:jc w:val="left"/>
        <w:rPr>
          <w:b/>
          <w:sz w:val="21"/>
        </w:rPr>
      </w:pPr>
      <w:r>
        <w:rPr>
          <w:b/>
          <w:spacing w:val="-2"/>
          <w:sz w:val="21"/>
        </w:rPr>
        <w:t>保险金计算方</w:t>
      </w:r>
    </w:p>
    <w:p>
      <w:pPr>
        <w:spacing w:before="91"/>
        <w:ind w:left="0" w:right="75" w:firstLine="0"/>
        <w:jc w:val="center"/>
        <w:rPr>
          <w:b/>
          <w:sz w:val="21"/>
        </w:rPr>
      </w:pPr>
      <w:r>
        <w:rPr>
          <w:b/>
          <w:w w:val="100"/>
          <w:sz w:val="21"/>
        </w:rPr>
        <w:t>法</w:t>
      </w:r>
    </w:p>
    <w:p>
      <w:pPr>
        <w:pStyle w:val="4"/>
        <w:spacing w:before="79" w:line="278" w:lineRule="auto"/>
        <w:ind w:left="195" w:right="277"/>
      </w:pPr>
      <w:r>
        <w:br w:type="column"/>
      </w:r>
      <w:r>
        <w:rPr>
          <w:spacing w:val="-2"/>
        </w:rPr>
        <w:t>在保险期间内，对被保险人发生的符合第</w:t>
      </w:r>
      <w:r>
        <w:rPr>
          <w:rFonts w:ascii="Times New Roman" w:eastAsia="Times New Roman"/>
          <w:spacing w:val="-2"/>
        </w:rPr>
        <w:t>2.3.1</w:t>
      </w:r>
      <w:r>
        <w:rPr>
          <w:spacing w:val="-2"/>
        </w:rPr>
        <w:t>和</w:t>
      </w:r>
      <w:r>
        <w:rPr>
          <w:rFonts w:ascii="Times New Roman" w:eastAsia="Times New Roman"/>
          <w:spacing w:val="-2"/>
        </w:rPr>
        <w:t>2.3.2</w:t>
      </w:r>
      <w:r>
        <w:rPr>
          <w:spacing w:val="-2"/>
        </w:rPr>
        <w:t>条规定的医疗费用，我们按照如下公式计算每次就诊应当给付的金额：</w:t>
      </w:r>
    </w:p>
    <w:p>
      <w:pPr>
        <w:pStyle w:val="4"/>
        <w:spacing w:before="93" w:line="278" w:lineRule="auto"/>
        <w:ind w:left="195" w:right="275"/>
      </w:pPr>
      <w:r>
        <w:t xml:space="preserve">一次就诊应当给付的金额 = （被保险人本次发生的医疗费用的有效金额 </w:t>
      </w:r>
      <w:r>
        <w:rPr>
          <w:rFonts w:ascii="Times New Roman" w:hAnsi="Times New Roman" w:eastAsia="Times New Roman"/>
          <w:spacing w:val="20"/>
        </w:rPr>
        <w:t xml:space="preserve">– </w:t>
      </w:r>
      <w:r>
        <w:t>年度免赔额余额）× 赔付比例</w:t>
      </w:r>
    </w:p>
    <w:p>
      <w:pPr>
        <w:pStyle w:val="4"/>
        <w:spacing w:before="94" w:line="278" w:lineRule="auto"/>
        <w:ind w:left="195" w:right="277"/>
        <w:jc w:val="both"/>
      </w:pPr>
      <w:r>
        <w:rPr>
          <w:spacing w:val="-2"/>
        </w:rPr>
        <w:t>一次就诊指一次住院或一次门诊。一次住院指被保险人因疾病或意外伤害住院治疗，自入院日起至出院日止之期间；但如果因同一原因再次住院，且前次出</w:t>
      </w:r>
      <w:r>
        <w:t>院与下次入院间隔未超过</w:t>
      </w:r>
      <w:r>
        <w:rPr>
          <w:rFonts w:ascii="Times New Roman" w:eastAsia="Times New Roman"/>
        </w:rPr>
        <w:t>30</w:t>
      </w:r>
      <w:r>
        <w:rPr>
          <w:spacing w:val="-1"/>
        </w:rPr>
        <w:t>日，视为同一次住院。一次门诊指被保险人在一日</w:t>
      </w:r>
    </w:p>
    <w:p>
      <w:pPr>
        <w:pStyle w:val="4"/>
        <w:spacing w:line="266" w:lineRule="exact"/>
        <w:ind w:left="195"/>
      </w:pPr>
      <w:r>
        <w:rPr>
          <w:spacing w:val="-2"/>
        </w:rPr>
        <w:t>（零时起至二十四时止）</w:t>
      </w:r>
      <w:r>
        <w:rPr>
          <w:spacing w:val="-3"/>
        </w:rPr>
        <w:t>在同一所医院同一个科室的就诊。</w:t>
      </w:r>
    </w:p>
    <w:p>
      <w:pPr>
        <w:pStyle w:val="4"/>
        <w:spacing w:before="136" w:line="278" w:lineRule="auto"/>
        <w:ind w:left="195" w:right="274"/>
        <w:jc w:val="both"/>
      </w:pPr>
      <w:r>
        <w:rPr>
          <w:spacing w:val="1"/>
          <w:w w:val="100"/>
        </w:rPr>
        <w:t>被保险人本次发生的医疗费用的有效金额=被保险人本次就诊发生的属于保险</w:t>
      </w:r>
      <w:r>
        <w:rPr>
          <w:spacing w:val="-5"/>
          <w:w w:val="100"/>
        </w:rPr>
        <w:t>责任范围内需个人支付的、合理且必要的医疗费用</w:t>
      </w:r>
      <w:r>
        <w:rPr>
          <w:spacing w:val="-2"/>
        </w:rPr>
        <w:t xml:space="preserve"> </w:t>
      </w:r>
      <w:r>
        <w:rPr>
          <w:w w:val="100"/>
        </w:rPr>
        <w:t>-</w:t>
      </w:r>
      <w:r>
        <w:t xml:space="preserve"> </w:t>
      </w:r>
      <w:r>
        <w:rPr>
          <w:spacing w:val="-3"/>
          <w:w w:val="100"/>
        </w:rPr>
        <w:t>公费医疗或社会医疗保险已报销的费用</w:t>
      </w:r>
      <w:r>
        <w:rPr>
          <w:spacing w:val="1"/>
        </w:rPr>
        <w:t xml:space="preserve"> </w:t>
      </w:r>
      <w:r>
        <w:rPr>
          <w:spacing w:val="-3"/>
          <w:w w:val="100"/>
        </w:rPr>
        <w:t>-其他途径获得的补偿、赔偿或者给付的费用</w:t>
      </w:r>
    </w:p>
    <w:p>
      <w:pPr>
        <w:pStyle w:val="4"/>
        <w:spacing w:before="94" w:line="362" w:lineRule="auto"/>
        <w:ind w:left="195" w:right="1199"/>
      </w:pPr>
      <w:r>
        <w:rPr>
          <w:spacing w:val="-2"/>
        </w:rPr>
        <w:t>年度免赔额余额指该保单年度免赔额经前次就诊抵扣后剩余的额度。举例说明：</w:t>
      </w:r>
    </w:p>
    <w:p>
      <w:pPr>
        <w:pStyle w:val="4"/>
        <w:spacing w:line="278" w:lineRule="auto"/>
        <w:ind w:left="195" w:right="274"/>
        <w:jc w:val="both"/>
      </w:pPr>
      <w:r>
        <w:rPr>
          <w:spacing w:val="-2"/>
        </w:rPr>
        <w:t>被保险人小王在某个保单年度初的年度免赔额余额为</w:t>
      </w:r>
      <w:r>
        <w:rPr>
          <w:rFonts w:ascii="Times New Roman" w:eastAsia="Times New Roman"/>
          <w:spacing w:val="-2"/>
        </w:rPr>
        <w:t>10000</w:t>
      </w:r>
      <w:r>
        <w:rPr>
          <w:spacing w:val="-2"/>
        </w:rPr>
        <w:t>元，在该保单年度内小王因意外事故住院治疗并发生符合本合同约定的医疗费用</w:t>
      </w:r>
      <w:r>
        <w:rPr>
          <w:rFonts w:ascii="Times New Roman" w:eastAsia="Times New Roman"/>
          <w:spacing w:val="-2"/>
        </w:rPr>
        <w:t>8000</w:t>
      </w:r>
      <w:r>
        <w:rPr>
          <w:spacing w:val="-2"/>
        </w:rPr>
        <w:t>元，其中社保报销</w:t>
      </w:r>
      <w:r>
        <w:rPr>
          <w:rFonts w:ascii="Times New Roman" w:eastAsia="Times New Roman"/>
          <w:spacing w:val="-2"/>
        </w:rPr>
        <w:t>3000</w:t>
      </w:r>
      <w:r>
        <w:rPr>
          <w:spacing w:val="-2"/>
        </w:rPr>
        <w:t>元，其所在单位报销</w:t>
      </w:r>
      <w:r>
        <w:rPr>
          <w:rFonts w:ascii="Times New Roman" w:eastAsia="Times New Roman"/>
          <w:spacing w:val="-2"/>
        </w:rPr>
        <w:t>3000</w:t>
      </w:r>
      <w:r>
        <w:rPr>
          <w:spacing w:val="-2"/>
        </w:rPr>
        <w:t>元。</w:t>
      </w:r>
    </w:p>
    <w:p>
      <w:pPr>
        <w:pStyle w:val="4"/>
        <w:spacing w:before="89" w:line="278" w:lineRule="auto"/>
        <w:ind w:left="195" w:right="274"/>
        <w:jc w:val="both"/>
      </w:pPr>
      <w:r>
        <w:rPr>
          <w:spacing w:val="4"/>
          <w:w w:val="100"/>
        </w:rPr>
        <w:t>本次医疗费用的有效金额为</w:t>
      </w:r>
      <w:r>
        <w:rPr>
          <w:rFonts w:ascii="Times New Roman" w:eastAsia="Times New Roman"/>
          <w:w w:val="100"/>
        </w:rPr>
        <w:t>2</w:t>
      </w:r>
      <w:r>
        <w:rPr>
          <w:rFonts w:ascii="Times New Roman" w:eastAsia="Times New Roman"/>
          <w:spacing w:val="-3"/>
          <w:w w:val="100"/>
        </w:rPr>
        <w:t>0</w:t>
      </w:r>
      <w:r>
        <w:rPr>
          <w:rFonts w:ascii="Times New Roman" w:eastAsia="Times New Roman"/>
          <w:w w:val="100"/>
        </w:rPr>
        <w:t>0</w:t>
      </w:r>
      <w:r>
        <w:rPr>
          <w:rFonts w:ascii="Times New Roman" w:eastAsia="Times New Roman"/>
          <w:spacing w:val="5"/>
          <w:w w:val="100"/>
        </w:rPr>
        <w:t>0</w:t>
      </w:r>
      <w:r>
        <w:rPr>
          <w:spacing w:val="4"/>
          <w:w w:val="100"/>
        </w:rPr>
        <w:t>元，本次理赔对应的年度免赔额余额为</w:t>
      </w:r>
      <w:r>
        <w:rPr>
          <w:rFonts w:ascii="Times New Roman" w:eastAsia="Times New Roman"/>
          <w:w w:val="100"/>
        </w:rPr>
        <w:t>100</w:t>
      </w:r>
      <w:r>
        <w:rPr>
          <w:rFonts w:ascii="Times New Roman" w:eastAsia="Times New Roman"/>
          <w:spacing w:val="-3"/>
          <w:w w:val="100"/>
        </w:rPr>
        <w:t>0</w:t>
      </w:r>
      <w:r>
        <w:rPr>
          <w:rFonts w:ascii="Times New Roman" w:eastAsia="Times New Roman"/>
          <w:w w:val="100"/>
        </w:rPr>
        <w:t>0</w:t>
      </w:r>
      <w:r>
        <w:rPr>
          <w:spacing w:val="-4"/>
          <w:w w:val="100"/>
        </w:rPr>
        <w:t>元，因为有效金额小于免赔额余额，我们赔付的金额为</w:t>
      </w:r>
      <w:r>
        <w:rPr>
          <w:rFonts w:ascii="Times New Roman" w:eastAsia="Times New Roman"/>
          <w:spacing w:val="-3"/>
          <w:w w:val="100"/>
        </w:rPr>
        <w:t>0</w:t>
      </w:r>
      <w:r>
        <w:rPr>
          <w:spacing w:val="-3"/>
          <w:w w:val="100"/>
        </w:rPr>
        <w:t>元，本次理赔后的年度免赔额余额为</w:t>
      </w:r>
      <w:r>
        <w:rPr>
          <w:rFonts w:ascii="Times New Roman" w:eastAsia="Times New Roman"/>
          <w:w w:val="100"/>
        </w:rPr>
        <w:t>5</w:t>
      </w:r>
      <w:r>
        <w:rPr>
          <w:rFonts w:ascii="Times New Roman" w:eastAsia="Times New Roman"/>
          <w:spacing w:val="-3"/>
          <w:w w:val="100"/>
        </w:rPr>
        <w:t>0</w:t>
      </w:r>
      <w:r>
        <w:rPr>
          <w:rFonts w:ascii="Times New Roman" w:eastAsia="Times New Roman"/>
          <w:w w:val="100"/>
        </w:rPr>
        <w:t>0</w:t>
      </w:r>
      <w:r>
        <w:rPr>
          <w:rFonts w:ascii="Times New Roman" w:eastAsia="Times New Roman"/>
          <w:spacing w:val="-1"/>
          <w:w w:val="100"/>
        </w:rPr>
        <w:t>0</w:t>
      </w:r>
      <w:r>
        <w:rPr>
          <w:spacing w:val="-70"/>
          <w:w w:val="100"/>
        </w:rPr>
        <w:t>元</w:t>
      </w:r>
      <w:r>
        <w:rPr>
          <w:w w:val="100"/>
        </w:rPr>
        <w:t>（</w:t>
      </w:r>
      <w:r>
        <w:rPr>
          <w:rFonts w:ascii="Times New Roman" w:eastAsia="Times New Roman"/>
          <w:spacing w:val="-2"/>
          <w:w w:val="100"/>
        </w:rPr>
        <w:t>=</w:t>
      </w:r>
      <w:r>
        <w:rPr>
          <w:spacing w:val="-3"/>
          <w:w w:val="100"/>
        </w:rPr>
        <w:t>上次免赔额余额</w:t>
      </w:r>
      <w:r>
        <w:rPr>
          <w:rFonts w:ascii="Times New Roman" w:eastAsia="Times New Roman"/>
          <w:w w:val="100"/>
        </w:rPr>
        <w:t>1</w:t>
      </w:r>
      <w:r>
        <w:rPr>
          <w:rFonts w:ascii="Times New Roman" w:eastAsia="Times New Roman"/>
          <w:spacing w:val="-3"/>
          <w:w w:val="100"/>
        </w:rPr>
        <w:t>0</w:t>
      </w:r>
      <w:r>
        <w:rPr>
          <w:rFonts w:ascii="Times New Roman" w:eastAsia="Times New Roman"/>
          <w:w w:val="100"/>
        </w:rPr>
        <w:t>00</w:t>
      </w:r>
      <w:r>
        <w:rPr>
          <w:rFonts w:ascii="Times New Roman" w:eastAsia="Times New Roman"/>
          <w:spacing w:val="-3"/>
          <w:w w:val="100"/>
        </w:rPr>
        <w:t>0</w:t>
      </w:r>
      <w:r>
        <w:rPr>
          <w:w w:val="100"/>
        </w:rPr>
        <w:t>元</w:t>
      </w:r>
      <w:r>
        <w:rPr>
          <w:rFonts w:ascii="Times New Roman" w:eastAsia="Times New Roman"/>
          <w:spacing w:val="-4"/>
          <w:w w:val="100"/>
        </w:rPr>
        <w:t>-</w:t>
      </w:r>
      <w:r>
        <w:rPr>
          <w:spacing w:val="-2"/>
          <w:w w:val="100"/>
        </w:rPr>
        <w:t>单位已报销的</w:t>
      </w:r>
      <w:r>
        <w:rPr>
          <w:rFonts w:ascii="Times New Roman" w:eastAsia="Times New Roman"/>
          <w:w w:val="100"/>
        </w:rPr>
        <w:t>300</w:t>
      </w:r>
      <w:r>
        <w:rPr>
          <w:rFonts w:ascii="Times New Roman" w:eastAsia="Times New Roman"/>
          <w:spacing w:val="-3"/>
          <w:w w:val="100"/>
        </w:rPr>
        <w:t>0</w:t>
      </w:r>
      <w:r>
        <w:rPr>
          <w:w w:val="100"/>
        </w:rPr>
        <w:t>元</w:t>
      </w:r>
      <w:r>
        <w:rPr>
          <w:rFonts w:ascii="Times New Roman" w:eastAsia="Times New Roman"/>
          <w:spacing w:val="-4"/>
          <w:w w:val="100"/>
        </w:rPr>
        <w:t>-</w:t>
      </w:r>
      <w:r>
        <w:rPr>
          <w:spacing w:val="-2"/>
          <w:w w:val="100"/>
        </w:rPr>
        <w:t>小王所承</w:t>
      </w:r>
      <w:r>
        <w:rPr>
          <w:w w:val="100"/>
        </w:rPr>
        <w:t>担的</w:t>
      </w:r>
      <w:r>
        <w:rPr>
          <w:rFonts w:ascii="Times New Roman" w:eastAsia="Times New Roman"/>
          <w:w w:val="100"/>
        </w:rPr>
        <w:t>2</w:t>
      </w:r>
      <w:r>
        <w:rPr>
          <w:rFonts w:ascii="Times New Roman" w:eastAsia="Times New Roman"/>
          <w:spacing w:val="-3"/>
          <w:w w:val="100"/>
        </w:rPr>
        <w:t>0</w:t>
      </w:r>
      <w:r>
        <w:rPr>
          <w:rFonts w:ascii="Times New Roman" w:eastAsia="Times New Roman"/>
          <w:w w:val="100"/>
        </w:rPr>
        <w:t>0</w:t>
      </w:r>
      <w:r>
        <w:rPr>
          <w:rFonts w:ascii="Times New Roman" w:eastAsia="Times New Roman"/>
          <w:spacing w:val="-1"/>
          <w:w w:val="100"/>
        </w:rPr>
        <w:t>0</w:t>
      </w:r>
      <w:r>
        <w:rPr>
          <w:spacing w:val="-3"/>
          <w:w w:val="100"/>
        </w:rPr>
        <w:t>元</w:t>
      </w:r>
      <w:r>
        <w:rPr>
          <w:w w:val="100"/>
        </w:rPr>
        <w:t>）。</w:t>
      </w:r>
    </w:p>
    <w:p>
      <w:pPr>
        <w:spacing w:after="0" w:line="278" w:lineRule="auto"/>
        <w:jc w:val="both"/>
        <w:sectPr>
          <w:type w:val="continuous"/>
          <w:pgSz w:w="11910" w:h="16840"/>
          <w:pgMar w:top="1100" w:right="940" w:bottom="1180" w:left="920" w:header="0" w:footer="981" w:gutter="0"/>
          <w:cols w:equalWidth="0" w:num="2">
            <w:col w:w="2304" w:space="40"/>
            <w:col w:w="7706"/>
          </w:cols>
        </w:sectPr>
      </w:pPr>
    </w:p>
    <w:p>
      <w:pPr>
        <w:pStyle w:val="8"/>
        <w:numPr>
          <w:ilvl w:val="2"/>
          <w:numId w:val="4"/>
        </w:numPr>
        <w:tabs>
          <w:tab w:val="left" w:pos="1008"/>
        </w:tabs>
        <w:spacing w:before="64" w:after="0" w:line="228" w:lineRule="auto"/>
        <w:ind w:left="2538" w:right="167" w:hanging="2326"/>
        <w:jc w:val="both"/>
        <w:rPr>
          <w:sz w:val="21"/>
        </w:rPr>
      </w:pPr>
      <w:r>
        <w:rPr>
          <w:b/>
          <w:position w:val="-5"/>
          <w:sz w:val="21"/>
        </w:rPr>
        <w:t>补偿原则</w:t>
      </w:r>
      <w:r>
        <w:rPr>
          <w:b/>
          <w:spacing w:val="535"/>
          <w:position w:val="-5"/>
          <w:sz w:val="21"/>
        </w:rPr>
        <w:t xml:space="preserve"> </w:t>
      </w:r>
      <w:r>
        <w:rPr>
          <w:sz w:val="21"/>
        </w:rPr>
        <w:t>本合同适用医疗费用补偿原则。若被保险人已从其他途径（包括社会医疗保险、</w:t>
      </w:r>
      <w:r>
        <w:rPr>
          <w:spacing w:val="-2"/>
          <w:sz w:val="21"/>
        </w:rPr>
        <w:t>公费医疗、工作单位、其他商业医疗保险保障计划等）获得医疗费用补偿，则</w:t>
      </w:r>
    </w:p>
    <w:p>
      <w:pPr>
        <w:pStyle w:val="4"/>
        <w:spacing w:before="46" w:line="278" w:lineRule="auto"/>
        <w:ind w:right="282"/>
        <w:jc w:val="both"/>
      </w:pPr>
      <w:r>
        <w:rPr>
          <w:spacing w:val="-2"/>
        </w:rPr>
        <w:t>我们仅对被保险人实际发生的医疗费用扣除其所获医疗费用补偿后的余额按照本合同的约定进行赔付。社保卡个人账户部分支出视为个人支付，不属于已获得的医疗费用补偿。</w:t>
      </w:r>
    </w:p>
    <w:p>
      <w:pPr>
        <w:pStyle w:val="8"/>
        <w:numPr>
          <w:ilvl w:val="1"/>
          <w:numId w:val="3"/>
        </w:numPr>
        <w:tabs>
          <w:tab w:val="left" w:pos="1008"/>
        </w:tabs>
        <w:spacing w:before="146" w:after="0" w:line="278" w:lineRule="auto"/>
        <w:ind w:left="2538" w:right="282" w:hanging="2326"/>
        <w:jc w:val="both"/>
        <w:rPr>
          <w:sz w:val="21"/>
        </w:rPr>
      </w:pPr>
      <w:r>
        <w:rPr>
          <w:b/>
          <w:sz w:val="21"/>
        </w:rPr>
        <w:t>责任免除</w:t>
      </w:r>
      <w:r>
        <w:rPr>
          <w:b/>
          <w:spacing w:val="580"/>
          <w:sz w:val="21"/>
        </w:rPr>
        <w:t xml:space="preserve"> </w:t>
      </w:r>
      <w:r>
        <w:rPr>
          <w:color w:val="000000"/>
          <w:sz w:val="21"/>
          <w:shd w:val="clear" w:color="auto" w:fill="D9D9D9"/>
        </w:rPr>
        <w:t>因下列情形之一导致被保险人发生医疗费用支出的，我们不承担给付保险金的</w:t>
      </w:r>
      <w:r>
        <w:rPr>
          <w:color w:val="000000"/>
          <w:spacing w:val="13965"/>
          <w:sz w:val="21"/>
          <w:shd w:val="clear" w:color="auto" w:fill="D9D9D9"/>
        </w:rPr>
        <w:t xml:space="preserve"> </w:t>
      </w:r>
      <w:r>
        <w:rPr>
          <w:color w:val="000000"/>
          <w:spacing w:val="-4"/>
          <w:sz w:val="21"/>
          <w:shd w:val="clear" w:color="auto" w:fill="D9D9D9"/>
        </w:rPr>
        <w:t>责任：</w:t>
      </w:r>
    </w:p>
    <w:p>
      <w:pPr>
        <w:pStyle w:val="8"/>
        <w:numPr>
          <w:ilvl w:val="2"/>
          <w:numId w:val="3"/>
        </w:numPr>
        <w:tabs>
          <w:tab w:val="left" w:pos="2699"/>
        </w:tabs>
        <w:spacing w:before="0" w:after="0" w:line="269" w:lineRule="exact"/>
        <w:ind w:left="2698" w:right="0" w:hanging="161"/>
        <w:jc w:val="left"/>
        <w:rPr>
          <w:sz w:val="21"/>
        </w:rPr>
      </w:pPr>
      <w:r>
        <w:rPr>
          <w:color w:val="000000"/>
          <w:spacing w:val="-3"/>
          <w:sz w:val="21"/>
          <w:shd w:val="clear" w:color="auto" w:fill="D9D9D9"/>
        </w:rPr>
        <w:t>投保人对被保险人的故意杀害、故意伤害；</w:t>
      </w:r>
    </w:p>
    <w:p>
      <w:pPr>
        <w:pStyle w:val="8"/>
        <w:numPr>
          <w:ilvl w:val="2"/>
          <w:numId w:val="3"/>
        </w:numPr>
        <w:tabs>
          <w:tab w:val="left" w:pos="2699"/>
        </w:tabs>
        <w:spacing w:before="43" w:after="0" w:line="278" w:lineRule="auto"/>
        <w:ind w:left="2538" w:right="277" w:firstLine="0"/>
        <w:jc w:val="left"/>
        <w:rPr>
          <w:sz w:val="21"/>
        </w:rPr>
      </w:pPr>
      <w:r>
        <w:rPr>
          <w:color w:val="000000"/>
          <w:spacing w:val="-4"/>
          <w:sz w:val="21"/>
          <w:shd w:val="clear" w:color="auto" w:fill="D9D9D9"/>
        </w:rPr>
        <w:t>被保险人故意自伤、故意犯罪或者抗拒依法采取的刑事强制措施或自杀，</w:t>
      </w:r>
      <w:r>
        <w:rPr>
          <w:color w:val="000000"/>
          <w:spacing w:val="-4"/>
          <w:sz w:val="21"/>
        </w:rPr>
        <w:t>但被</w:t>
      </w:r>
      <w:r>
        <w:rPr>
          <w:color w:val="000000"/>
          <w:spacing w:val="-2"/>
          <w:sz w:val="21"/>
        </w:rPr>
        <w:t>保险人自杀时为无民事行为能力人的除外；</w:t>
      </w:r>
    </w:p>
    <w:p>
      <w:pPr>
        <w:pStyle w:val="8"/>
        <w:numPr>
          <w:ilvl w:val="2"/>
          <w:numId w:val="3"/>
        </w:numPr>
        <w:tabs>
          <w:tab w:val="left" w:pos="2699"/>
        </w:tabs>
        <w:spacing w:before="0" w:after="0" w:line="269" w:lineRule="exact"/>
        <w:ind w:left="2698" w:right="0" w:hanging="161"/>
        <w:jc w:val="left"/>
        <w:rPr>
          <w:sz w:val="21"/>
        </w:rPr>
      </w:pPr>
      <w:r>
        <w:rPr>
          <w:color w:val="000000"/>
          <w:spacing w:val="-6"/>
          <w:sz w:val="21"/>
          <w:shd w:val="clear" w:color="auto" w:fill="D9D9D9"/>
        </w:rPr>
        <w:t>被保险人斗殴、</w:t>
      </w:r>
      <w:r>
        <w:rPr>
          <w:b/>
          <w:color w:val="000000"/>
          <w:spacing w:val="-6"/>
          <w:sz w:val="21"/>
          <w:shd w:val="clear" w:color="auto" w:fill="D9D9D9"/>
        </w:rPr>
        <w:t>醉酒</w:t>
      </w:r>
      <w:r>
        <w:rPr>
          <w:color w:val="000000"/>
          <w:spacing w:val="-6"/>
          <w:sz w:val="21"/>
          <w:shd w:val="clear" w:color="auto" w:fill="D9D9D9"/>
        </w:rPr>
        <w:t>（</w:t>
      </w:r>
      <w:r>
        <w:rPr>
          <w:color w:val="000000"/>
          <w:spacing w:val="-22"/>
          <w:sz w:val="21"/>
          <w:shd w:val="clear" w:color="auto" w:fill="D9D9D9"/>
        </w:rPr>
        <w:t xml:space="preserve">见 </w:t>
      </w:r>
      <w:r>
        <w:rPr>
          <w:rFonts w:ascii="Times New Roman" w:eastAsia="Times New Roman"/>
          <w:color w:val="000000"/>
          <w:spacing w:val="12"/>
          <w:sz w:val="21"/>
          <w:shd w:val="clear" w:color="auto" w:fill="D9D9D9"/>
        </w:rPr>
        <w:t>9.1</w:t>
      </w:r>
      <w:r>
        <w:rPr>
          <w:rFonts w:ascii="Times New Roman" w:eastAsia="Times New Roman"/>
          <w:color w:val="000000"/>
          <w:spacing w:val="10"/>
          <w:sz w:val="21"/>
          <w:shd w:val="clear" w:color="auto" w:fill="D9D9D9"/>
        </w:rPr>
        <w:t>9</w:t>
      </w:r>
      <w:r>
        <w:rPr>
          <w:color w:val="000000"/>
          <w:spacing w:val="-94"/>
          <w:sz w:val="21"/>
          <w:shd w:val="clear" w:color="auto" w:fill="D9D9D9"/>
        </w:rPr>
        <w:t>）</w:t>
      </w:r>
      <w:r>
        <w:rPr>
          <w:color w:val="000000"/>
          <w:spacing w:val="-6"/>
          <w:sz w:val="21"/>
          <w:shd w:val="clear" w:color="auto" w:fill="D9D9D9"/>
        </w:rPr>
        <w:t>，主动吸食或注射</w:t>
      </w:r>
      <w:r>
        <w:rPr>
          <w:b/>
          <w:color w:val="000000"/>
          <w:spacing w:val="-6"/>
          <w:sz w:val="21"/>
          <w:shd w:val="clear" w:color="auto" w:fill="D9D9D9"/>
        </w:rPr>
        <w:t>毒品</w:t>
      </w:r>
      <w:r>
        <w:rPr>
          <w:color w:val="000000"/>
          <w:spacing w:val="-6"/>
          <w:sz w:val="21"/>
          <w:shd w:val="clear" w:color="auto" w:fill="D9D9D9"/>
        </w:rPr>
        <w:t>（</w:t>
      </w:r>
      <w:r>
        <w:rPr>
          <w:color w:val="000000"/>
          <w:spacing w:val="-22"/>
          <w:sz w:val="21"/>
          <w:shd w:val="clear" w:color="auto" w:fill="D9D9D9"/>
        </w:rPr>
        <w:t xml:space="preserve">见 </w:t>
      </w:r>
      <w:r>
        <w:rPr>
          <w:rFonts w:ascii="Times New Roman" w:eastAsia="Times New Roman"/>
          <w:color w:val="000000"/>
          <w:spacing w:val="12"/>
          <w:sz w:val="21"/>
          <w:shd w:val="clear" w:color="auto" w:fill="D9D9D9"/>
        </w:rPr>
        <w:t>9.2</w:t>
      </w:r>
      <w:r>
        <w:rPr>
          <w:rFonts w:ascii="Times New Roman" w:eastAsia="Times New Roman"/>
          <w:color w:val="000000"/>
          <w:spacing w:val="9"/>
          <w:sz w:val="21"/>
          <w:shd w:val="clear" w:color="auto" w:fill="D9D9D9"/>
        </w:rPr>
        <w:t>0</w:t>
      </w:r>
      <w:r>
        <w:rPr>
          <w:color w:val="000000"/>
          <w:spacing w:val="-94"/>
          <w:sz w:val="21"/>
          <w:shd w:val="clear" w:color="auto" w:fill="D9D9D9"/>
        </w:rPr>
        <w:t>）</w:t>
      </w:r>
      <w:r>
        <w:rPr>
          <w:color w:val="000000"/>
          <w:spacing w:val="9"/>
          <w:sz w:val="21"/>
          <w:shd w:val="clear" w:color="auto" w:fill="D9D9D9"/>
        </w:rPr>
        <w:t>；</w:t>
      </w:r>
    </w:p>
    <w:p>
      <w:pPr>
        <w:pStyle w:val="8"/>
        <w:numPr>
          <w:ilvl w:val="2"/>
          <w:numId w:val="3"/>
        </w:numPr>
        <w:tabs>
          <w:tab w:val="left" w:pos="2699"/>
        </w:tabs>
        <w:spacing w:before="44" w:after="0" w:line="278" w:lineRule="auto"/>
        <w:ind w:left="2538" w:right="275" w:firstLine="0"/>
        <w:jc w:val="left"/>
        <w:rPr>
          <w:sz w:val="21"/>
        </w:rPr>
      </w:pPr>
      <w:r>
        <w:rPr>
          <w:color w:val="000000"/>
          <w:spacing w:val="-8"/>
          <w:sz w:val="21"/>
          <w:shd w:val="clear" w:color="auto" w:fill="D9D9D9"/>
        </w:rPr>
        <w:t>被保险人</w:t>
      </w:r>
      <w:r>
        <w:rPr>
          <w:b/>
          <w:color w:val="000000"/>
          <w:spacing w:val="-8"/>
          <w:sz w:val="21"/>
          <w:shd w:val="clear" w:color="auto" w:fill="D9D9D9"/>
        </w:rPr>
        <w:t>酒后驾驶</w:t>
      </w:r>
      <w:r>
        <w:rPr>
          <w:color w:val="000000"/>
          <w:spacing w:val="-8"/>
          <w:sz w:val="21"/>
          <w:shd w:val="clear" w:color="auto" w:fill="D9D9D9"/>
        </w:rPr>
        <w:t>（</w:t>
      </w:r>
      <w:r>
        <w:rPr>
          <w:color w:val="000000"/>
          <w:spacing w:val="-31"/>
          <w:sz w:val="21"/>
          <w:shd w:val="clear" w:color="auto" w:fill="D9D9D9"/>
        </w:rPr>
        <w:t xml:space="preserve">见 </w:t>
      </w:r>
      <w:r>
        <w:rPr>
          <w:rFonts w:ascii="Times New Roman" w:eastAsia="Times New Roman"/>
          <w:color w:val="000000"/>
          <w:spacing w:val="14"/>
          <w:sz w:val="21"/>
          <w:shd w:val="clear" w:color="auto" w:fill="D9D9D9"/>
        </w:rPr>
        <w:t>9</w:t>
      </w:r>
      <w:r>
        <w:rPr>
          <w:rFonts w:ascii="Times New Roman" w:eastAsia="Times New Roman"/>
          <w:color w:val="000000"/>
          <w:spacing w:val="11"/>
          <w:sz w:val="21"/>
          <w:shd w:val="clear" w:color="auto" w:fill="D9D9D9"/>
        </w:rPr>
        <w:t>.</w:t>
      </w:r>
      <w:r>
        <w:rPr>
          <w:rFonts w:ascii="Times New Roman" w:eastAsia="Times New Roman"/>
          <w:color w:val="000000"/>
          <w:spacing w:val="14"/>
          <w:sz w:val="21"/>
          <w:shd w:val="clear" w:color="auto" w:fill="D9D9D9"/>
        </w:rPr>
        <w:t>21</w:t>
      </w:r>
      <w:r>
        <w:rPr>
          <w:color w:val="000000"/>
          <w:spacing w:val="-92"/>
          <w:sz w:val="21"/>
          <w:shd w:val="clear" w:color="auto" w:fill="D9D9D9"/>
        </w:rPr>
        <w:t>）</w:t>
      </w:r>
      <w:r>
        <w:rPr>
          <w:color w:val="000000"/>
          <w:spacing w:val="-10"/>
          <w:sz w:val="21"/>
          <w:shd w:val="clear" w:color="auto" w:fill="D9D9D9"/>
        </w:rPr>
        <w:t>，</w:t>
      </w:r>
      <w:r>
        <w:rPr>
          <w:b/>
          <w:color w:val="000000"/>
          <w:spacing w:val="-8"/>
          <w:sz w:val="21"/>
          <w:shd w:val="clear" w:color="auto" w:fill="D9D9D9"/>
        </w:rPr>
        <w:t>无合法有效驾驶证驾驶</w:t>
      </w:r>
      <w:r>
        <w:rPr>
          <w:color w:val="000000"/>
          <w:spacing w:val="-8"/>
          <w:sz w:val="21"/>
          <w:shd w:val="clear" w:color="auto" w:fill="D9D9D9"/>
        </w:rPr>
        <w:t>（</w:t>
      </w:r>
      <w:r>
        <w:rPr>
          <w:color w:val="000000"/>
          <w:spacing w:val="-30"/>
          <w:sz w:val="21"/>
          <w:shd w:val="clear" w:color="auto" w:fill="D9D9D9"/>
        </w:rPr>
        <w:t xml:space="preserve">见 </w:t>
      </w:r>
      <w:r>
        <w:rPr>
          <w:rFonts w:ascii="Times New Roman" w:eastAsia="Times New Roman"/>
          <w:color w:val="000000"/>
          <w:spacing w:val="14"/>
          <w:sz w:val="21"/>
          <w:shd w:val="clear" w:color="auto" w:fill="D9D9D9"/>
        </w:rPr>
        <w:t>9</w:t>
      </w:r>
      <w:r>
        <w:rPr>
          <w:rFonts w:ascii="Times New Roman" w:eastAsia="Times New Roman"/>
          <w:color w:val="000000"/>
          <w:spacing w:val="11"/>
          <w:sz w:val="21"/>
          <w:shd w:val="clear" w:color="auto" w:fill="D9D9D9"/>
        </w:rPr>
        <w:t>.</w:t>
      </w:r>
      <w:r>
        <w:rPr>
          <w:rFonts w:ascii="Times New Roman" w:eastAsia="Times New Roman"/>
          <w:color w:val="000000"/>
          <w:spacing w:val="13"/>
          <w:sz w:val="21"/>
          <w:shd w:val="clear" w:color="auto" w:fill="D9D9D9"/>
        </w:rPr>
        <w:t>2</w:t>
      </w:r>
      <w:r>
        <w:rPr>
          <w:rFonts w:ascii="Times New Roman" w:eastAsia="Times New Roman"/>
          <w:color w:val="000000"/>
          <w:spacing w:val="14"/>
          <w:sz w:val="21"/>
          <w:shd w:val="clear" w:color="auto" w:fill="D9D9D9"/>
        </w:rPr>
        <w:t>2</w:t>
      </w:r>
      <w:r>
        <w:rPr>
          <w:color w:val="000000"/>
          <w:spacing w:val="-92"/>
          <w:sz w:val="21"/>
          <w:shd w:val="clear" w:color="auto" w:fill="D9D9D9"/>
        </w:rPr>
        <w:t>）</w:t>
      </w:r>
      <w:r>
        <w:rPr>
          <w:color w:val="000000"/>
          <w:spacing w:val="-10"/>
          <w:sz w:val="21"/>
          <w:shd w:val="clear" w:color="auto" w:fill="D9D9D9"/>
        </w:rPr>
        <w:t>，或驾驶</w:t>
      </w:r>
      <w:r>
        <w:rPr>
          <w:b/>
          <w:color w:val="000000"/>
          <w:spacing w:val="-8"/>
          <w:sz w:val="21"/>
          <w:shd w:val="clear" w:color="auto" w:fill="D9D9D9"/>
        </w:rPr>
        <w:t>无有</w:t>
      </w:r>
      <w:r>
        <w:rPr>
          <w:b/>
          <w:color w:val="000000"/>
          <w:spacing w:val="14074"/>
          <w:sz w:val="21"/>
          <w:shd w:val="clear" w:color="auto" w:fill="D9D9D9"/>
        </w:rPr>
        <w:t xml:space="preserve"> </w:t>
      </w:r>
      <w:r>
        <w:rPr>
          <w:b/>
          <w:color w:val="000000"/>
          <w:sz w:val="21"/>
          <w:shd w:val="clear" w:color="auto" w:fill="D9D9D9"/>
        </w:rPr>
        <w:t>效行驶证</w:t>
      </w:r>
      <w:r>
        <w:rPr>
          <w:color w:val="000000"/>
          <w:sz w:val="21"/>
          <w:shd w:val="clear" w:color="auto" w:fill="D9D9D9"/>
        </w:rPr>
        <w:t>（</w:t>
      </w:r>
      <w:r>
        <w:rPr>
          <w:color w:val="000000"/>
          <w:spacing w:val="-13"/>
          <w:sz w:val="21"/>
          <w:shd w:val="clear" w:color="auto" w:fill="D9D9D9"/>
        </w:rPr>
        <w:t xml:space="preserve">见 </w:t>
      </w:r>
      <w:r>
        <w:rPr>
          <w:rFonts w:ascii="Times New Roman" w:eastAsia="Times New Roman"/>
          <w:color w:val="000000"/>
          <w:sz w:val="21"/>
          <w:shd w:val="clear" w:color="auto" w:fill="D9D9D9"/>
        </w:rPr>
        <w:t>9.23</w:t>
      </w:r>
      <w:r>
        <w:rPr>
          <w:color w:val="000000"/>
          <w:sz w:val="21"/>
          <w:shd w:val="clear" w:color="auto" w:fill="D9D9D9"/>
        </w:rPr>
        <w:t>）的</w:t>
      </w:r>
      <w:r>
        <w:rPr>
          <w:b/>
          <w:color w:val="000000"/>
          <w:sz w:val="21"/>
          <w:shd w:val="clear" w:color="auto" w:fill="D9D9D9"/>
        </w:rPr>
        <w:t>机动车</w:t>
      </w:r>
      <w:r>
        <w:rPr>
          <w:color w:val="000000"/>
          <w:sz w:val="21"/>
          <w:shd w:val="clear" w:color="auto" w:fill="D9D9D9"/>
        </w:rPr>
        <w:t>（</w:t>
      </w:r>
      <w:r>
        <w:rPr>
          <w:color w:val="000000"/>
          <w:spacing w:val="-14"/>
          <w:sz w:val="21"/>
          <w:shd w:val="clear" w:color="auto" w:fill="D9D9D9"/>
        </w:rPr>
        <w:t xml:space="preserve">见 </w:t>
      </w:r>
      <w:r>
        <w:rPr>
          <w:rFonts w:ascii="Times New Roman" w:eastAsia="Times New Roman"/>
          <w:color w:val="000000"/>
          <w:spacing w:val="18"/>
          <w:sz w:val="21"/>
          <w:shd w:val="clear" w:color="auto" w:fill="D9D9D9"/>
        </w:rPr>
        <w:t>9.2</w:t>
      </w:r>
      <w:r>
        <w:rPr>
          <w:rFonts w:ascii="Times New Roman" w:eastAsia="Times New Roman"/>
          <w:color w:val="000000"/>
          <w:spacing w:val="15"/>
          <w:sz w:val="21"/>
          <w:shd w:val="clear" w:color="auto" w:fill="D9D9D9"/>
        </w:rPr>
        <w:t>4</w:t>
      </w:r>
      <w:r>
        <w:rPr>
          <w:color w:val="000000"/>
          <w:spacing w:val="-88"/>
          <w:sz w:val="21"/>
          <w:shd w:val="clear" w:color="auto" w:fill="D9D9D9"/>
        </w:rPr>
        <w:t>）</w:t>
      </w:r>
      <w:r>
        <w:rPr>
          <w:color w:val="000000"/>
          <w:spacing w:val="15"/>
          <w:sz w:val="21"/>
          <w:shd w:val="clear" w:color="auto" w:fill="D9D9D9"/>
        </w:rPr>
        <w:t>；</w:t>
      </w:r>
    </w:p>
    <w:p>
      <w:pPr>
        <w:pStyle w:val="8"/>
        <w:numPr>
          <w:ilvl w:val="2"/>
          <w:numId w:val="3"/>
        </w:numPr>
        <w:tabs>
          <w:tab w:val="left" w:pos="2699"/>
        </w:tabs>
        <w:spacing w:before="0" w:after="0" w:line="269" w:lineRule="exact"/>
        <w:ind w:left="2698" w:right="0" w:hanging="161"/>
        <w:jc w:val="left"/>
        <w:rPr>
          <w:sz w:val="21"/>
        </w:rPr>
      </w:pPr>
      <w:r>
        <w:rPr>
          <w:color w:val="000000"/>
          <w:spacing w:val="-2"/>
          <w:sz w:val="21"/>
          <w:shd w:val="clear" w:color="auto" w:fill="D9D9D9"/>
        </w:rPr>
        <w:t>被保险人</w:t>
      </w:r>
      <w:r>
        <w:rPr>
          <w:b/>
          <w:color w:val="000000"/>
          <w:spacing w:val="-2"/>
          <w:sz w:val="21"/>
          <w:shd w:val="clear" w:color="auto" w:fill="D9D9D9"/>
        </w:rPr>
        <w:t>感染艾滋病病毒或患艾滋病</w:t>
      </w:r>
      <w:r>
        <w:rPr>
          <w:color w:val="000000"/>
          <w:spacing w:val="-2"/>
          <w:sz w:val="21"/>
          <w:shd w:val="clear" w:color="auto" w:fill="D9D9D9"/>
        </w:rPr>
        <w:t>（</w:t>
      </w:r>
      <w:r>
        <w:rPr>
          <w:color w:val="000000"/>
          <w:spacing w:val="-10"/>
          <w:sz w:val="21"/>
          <w:shd w:val="clear" w:color="auto" w:fill="D9D9D9"/>
        </w:rPr>
        <w:t xml:space="preserve">见 </w:t>
      </w:r>
      <w:r>
        <w:rPr>
          <w:rFonts w:ascii="Times New Roman" w:eastAsia="Times New Roman"/>
          <w:color w:val="000000"/>
          <w:spacing w:val="-2"/>
          <w:sz w:val="21"/>
          <w:shd w:val="clear" w:color="auto" w:fill="D9D9D9"/>
        </w:rPr>
        <w:t>9.25</w:t>
      </w:r>
      <w:r>
        <w:rPr>
          <w:color w:val="000000"/>
          <w:spacing w:val="-2"/>
          <w:sz w:val="21"/>
          <w:shd w:val="clear" w:color="auto" w:fill="D9D9D9"/>
        </w:rPr>
        <w:t>）</w:t>
      </w:r>
      <w:r>
        <w:rPr>
          <w:color w:val="000000"/>
          <w:spacing w:val="-3"/>
          <w:sz w:val="21"/>
          <w:shd w:val="clear" w:color="auto" w:fill="D9D9D9"/>
        </w:rPr>
        <w:t>期间因疾病导致的；</w:t>
      </w:r>
    </w:p>
    <w:p>
      <w:pPr>
        <w:pStyle w:val="8"/>
        <w:numPr>
          <w:ilvl w:val="2"/>
          <w:numId w:val="3"/>
        </w:numPr>
        <w:tabs>
          <w:tab w:val="left" w:pos="2699"/>
        </w:tabs>
        <w:spacing w:before="43" w:after="0" w:line="240" w:lineRule="auto"/>
        <w:ind w:left="2698" w:right="0" w:hanging="161"/>
        <w:jc w:val="left"/>
        <w:rPr>
          <w:sz w:val="21"/>
        </w:rPr>
      </w:pPr>
      <w:r>
        <w:rPr>
          <w:color w:val="000000"/>
          <w:spacing w:val="-3"/>
          <w:sz w:val="21"/>
          <w:shd w:val="clear" w:color="auto" w:fill="D9D9D9"/>
        </w:rPr>
        <w:t>战争、军事冲突、暴乱或武装叛乱；</w:t>
      </w:r>
    </w:p>
    <w:p>
      <w:pPr>
        <w:pStyle w:val="8"/>
        <w:numPr>
          <w:ilvl w:val="2"/>
          <w:numId w:val="3"/>
        </w:numPr>
        <w:tabs>
          <w:tab w:val="left" w:pos="2699"/>
        </w:tabs>
        <w:spacing w:before="42" w:after="0" w:line="240" w:lineRule="auto"/>
        <w:ind w:left="2698" w:right="0" w:hanging="161"/>
        <w:jc w:val="left"/>
        <w:rPr>
          <w:sz w:val="21"/>
        </w:rPr>
      </w:pPr>
      <w:r>
        <w:rPr>
          <w:color w:val="000000"/>
          <w:spacing w:val="-3"/>
          <w:sz w:val="21"/>
          <w:shd w:val="clear" w:color="auto" w:fill="D9D9D9"/>
        </w:rPr>
        <w:t>核爆炸、核辐射或核污染；</w:t>
      </w:r>
    </w:p>
    <w:p>
      <w:pPr>
        <w:pStyle w:val="8"/>
        <w:numPr>
          <w:ilvl w:val="2"/>
          <w:numId w:val="3"/>
        </w:numPr>
        <w:tabs>
          <w:tab w:val="left" w:pos="2699"/>
        </w:tabs>
        <w:spacing w:before="43" w:after="0" w:line="278" w:lineRule="auto"/>
        <w:ind w:left="2538" w:right="275" w:firstLine="0"/>
        <w:jc w:val="left"/>
        <w:rPr>
          <w:sz w:val="21"/>
        </w:rPr>
      </w:pPr>
      <w:r>
        <w:rPr>
          <w:b/>
          <w:color w:val="000000"/>
          <w:spacing w:val="-8"/>
          <w:sz w:val="21"/>
          <w:shd w:val="clear" w:color="auto" w:fill="D9D9D9"/>
        </w:rPr>
        <w:t>遗传性疾病</w:t>
      </w:r>
      <w:r>
        <w:rPr>
          <w:color w:val="000000"/>
          <w:spacing w:val="-8"/>
          <w:sz w:val="21"/>
          <w:shd w:val="clear" w:color="auto" w:fill="D9D9D9"/>
        </w:rPr>
        <w:t>（</w:t>
      </w:r>
      <w:r>
        <w:rPr>
          <w:color w:val="000000"/>
          <w:spacing w:val="-31"/>
          <w:sz w:val="21"/>
          <w:shd w:val="clear" w:color="auto" w:fill="D9D9D9"/>
        </w:rPr>
        <w:t xml:space="preserve">见 </w:t>
      </w:r>
      <w:r>
        <w:rPr>
          <w:rFonts w:ascii="Times New Roman" w:eastAsia="Times New Roman"/>
          <w:color w:val="000000"/>
          <w:spacing w:val="14"/>
          <w:sz w:val="21"/>
          <w:shd w:val="clear" w:color="auto" w:fill="D9D9D9"/>
        </w:rPr>
        <w:t>9.</w:t>
      </w:r>
      <w:r>
        <w:rPr>
          <w:rFonts w:ascii="Times New Roman" w:eastAsia="Times New Roman"/>
          <w:color w:val="000000"/>
          <w:spacing w:val="11"/>
          <w:sz w:val="21"/>
          <w:shd w:val="clear" w:color="auto" w:fill="D9D9D9"/>
        </w:rPr>
        <w:t>2</w:t>
      </w:r>
      <w:r>
        <w:rPr>
          <w:rFonts w:ascii="Times New Roman" w:eastAsia="Times New Roman"/>
          <w:color w:val="000000"/>
          <w:spacing w:val="14"/>
          <w:sz w:val="21"/>
          <w:shd w:val="clear" w:color="auto" w:fill="D9D9D9"/>
        </w:rPr>
        <w:t>6</w:t>
      </w:r>
      <w:r>
        <w:rPr>
          <w:color w:val="000000"/>
          <w:spacing w:val="-94"/>
          <w:sz w:val="21"/>
          <w:shd w:val="clear" w:color="auto" w:fill="D9D9D9"/>
        </w:rPr>
        <w:t>）</w:t>
      </w:r>
      <w:r>
        <w:rPr>
          <w:color w:val="000000"/>
          <w:spacing w:val="-8"/>
          <w:sz w:val="21"/>
          <w:shd w:val="clear" w:color="auto" w:fill="D9D9D9"/>
        </w:rPr>
        <w:t>、</w:t>
      </w:r>
      <w:r>
        <w:rPr>
          <w:b/>
          <w:color w:val="000000"/>
          <w:spacing w:val="-8"/>
          <w:sz w:val="21"/>
          <w:shd w:val="clear" w:color="auto" w:fill="D9D9D9"/>
        </w:rPr>
        <w:t>先天性畸形、变形或染色体异常</w:t>
      </w:r>
      <w:r>
        <w:rPr>
          <w:color w:val="000000"/>
          <w:spacing w:val="-8"/>
          <w:sz w:val="21"/>
          <w:shd w:val="clear" w:color="auto" w:fill="D9D9D9"/>
        </w:rPr>
        <w:t>（</w:t>
      </w:r>
      <w:r>
        <w:rPr>
          <w:color w:val="000000"/>
          <w:spacing w:val="-31"/>
          <w:sz w:val="21"/>
          <w:shd w:val="clear" w:color="auto" w:fill="D9D9D9"/>
        </w:rPr>
        <w:t xml:space="preserve">见 </w:t>
      </w:r>
      <w:r>
        <w:rPr>
          <w:rFonts w:ascii="Times New Roman" w:eastAsia="Times New Roman"/>
          <w:color w:val="000000"/>
          <w:spacing w:val="14"/>
          <w:sz w:val="21"/>
          <w:shd w:val="clear" w:color="auto" w:fill="D9D9D9"/>
        </w:rPr>
        <w:t>9</w:t>
      </w:r>
      <w:r>
        <w:rPr>
          <w:rFonts w:ascii="Times New Roman" w:eastAsia="Times New Roman"/>
          <w:color w:val="000000"/>
          <w:spacing w:val="11"/>
          <w:sz w:val="21"/>
          <w:shd w:val="clear" w:color="auto" w:fill="D9D9D9"/>
        </w:rPr>
        <w:t>.</w:t>
      </w:r>
      <w:r>
        <w:rPr>
          <w:rFonts w:ascii="Times New Roman" w:eastAsia="Times New Roman"/>
          <w:color w:val="000000"/>
          <w:spacing w:val="13"/>
          <w:sz w:val="21"/>
          <w:shd w:val="clear" w:color="auto" w:fill="D9D9D9"/>
        </w:rPr>
        <w:t>2</w:t>
      </w:r>
      <w:r>
        <w:rPr>
          <w:rFonts w:ascii="Times New Roman" w:eastAsia="Times New Roman"/>
          <w:color w:val="000000"/>
          <w:spacing w:val="14"/>
          <w:sz w:val="21"/>
          <w:shd w:val="clear" w:color="auto" w:fill="D9D9D9"/>
        </w:rPr>
        <w:t>7</w:t>
      </w:r>
      <w:r>
        <w:rPr>
          <w:color w:val="000000"/>
          <w:spacing w:val="-94"/>
          <w:sz w:val="21"/>
          <w:shd w:val="clear" w:color="auto" w:fill="D9D9D9"/>
        </w:rPr>
        <w:t>）</w:t>
      </w:r>
      <w:r>
        <w:rPr>
          <w:color w:val="000000"/>
          <w:spacing w:val="-8"/>
          <w:sz w:val="21"/>
          <w:shd w:val="clear" w:color="auto" w:fill="D9D9D9"/>
        </w:rPr>
        <w:t>、</w:t>
      </w:r>
      <w:r>
        <w:rPr>
          <w:b/>
          <w:color w:val="000000"/>
          <w:spacing w:val="-8"/>
          <w:sz w:val="21"/>
          <w:shd w:val="clear" w:color="auto" w:fill="D9D9D9"/>
        </w:rPr>
        <w:t>精神和行</w:t>
      </w:r>
      <w:r>
        <w:rPr>
          <w:b/>
          <w:color w:val="000000"/>
          <w:spacing w:val="14074"/>
          <w:sz w:val="21"/>
          <w:shd w:val="clear" w:color="auto" w:fill="D9D9D9"/>
        </w:rPr>
        <w:t xml:space="preserve"> </w:t>
      </w:r>
      <w:r>
        <w:rPr>
          <w:b/>
          <w:color w:val="000000"/>
          <w:sz w:val="21"/>
          <w:shd w:val="clear" w:color="auto" w:fill="D9D9D9"/>
        </w:rPr>
        <w:t>为障碍</w:t>
      </w:r>
      <w:r>
        <w:rPr>
          <w:color w:val="000000"/>
          <w:sz w:val="21"/>
          <w:shd w:val="clear" w:color="auto" w:fill="D9D9D9"/>
        </w:rPr>
        <w:t>（</w:t>
      </w:r>
      <w:r>
        <w:rPr>
          <w:color w:val="000000"/>
          <w:spacing w:val="-21"/>
          <w:sz w:val="21"/>
          <w:shd w:val="clear" w:color="auto" w:fill="D9D9D9"/>
        </w:rPr>
        <w:t xml:space="preserve">见 </w:t>
      </w:r>
      <w:r>
        <w:rPr>
          <w:rFonts w:ascii="Times New Roman" w:eastAsia="Times New Roman"/>
          <w:color w:val="000000"/>
          <w:spacing w:val="18"/>
          <w:sz w:val="21"/>
          <w:shd w:val="clear" w:color="auto" w:fill="D9D9D9"/>
        </w:rPr>
        <w:t>9.2</w:t>
      </w:r>
      <w:r>
        <w:rPr>
          <w:rFonts w:ascii="Times New Roman" w:eastAsia="Times New Roman"/>
          <w:color w:val="000000"/>
          <w:spacing w:val="15"/>
          <w:sz w:val="21"/>
          <w:shd w:val="clear" w:color="auto" w:fill="D9D9D9"/>
        </w:rPr>
        <w:t>8</w:t>
      </w:r>
      <w:r>
        <w:rPr>
          <w:color w:val="000000"/>
          <w:spacing w:val="-88"/>
          <w:sz w:val="21"/>
          <w:shd w:val="clear" w:color="auto" w:fill="D9D9D9"/>
        </w:rPr>
        <w:t>）</w:t>
      </w:r>
      <w:r>
        <w:rPr>
          <w:color w:val="000000"/>
          <w:spacing w:val="18"/>
          <w:sz w:val="21"/>
          <w:shd w:val="clear" w:color="auto" w:fill="D9D9D9"/>
        </w:rPr>
        <w:t>；</w:t>
      </w:r>
    </w:p>
    <w:p>
      <w:pPr>
        <w:pStyle w:val="8"/>
        <w:numPr>
          <w:ilvl w:val="2"/>
          <w:numId w:val="3"/>
        </w:numPr>
        <w:tabs>
          <w:tab w:val="left" w:pos="2699"/>
        </w:tabs>
        <w:spacing w:before="0" w:after="0" w:line="278" w:lineRule="auto"/>
        <w:ind w:left="2538" w:right="169" w:firstLine="0"/>
        <w:jc w:val="left"/>
        <w:rPr>
          <w:sz w:val="21"/>
        </w:rPr>
      </w:pPr>
      <w:r>
        <w:rPr>
          <w:color w:val="000000"/>
          <w:spacing w:val="-6"/>
          <w:sz w:val="21"/>
          <w:shd w:val="clear" w:color="auto" w:fill="D9D9D9"/>
        </w:rPr>
        <w:t>被保险人从事</w:t>
      </w:r>
      <w:r>
        <w:rPr>
          <w:b/>
          <w:color w:val="000000"/>
          <w:spacing w:val="-6"/>
          <w:sz w:val="21"/>
          <w:shd w:val="clear" w:color="auto" w:fill="D9D9D9"/>
        </w:rPr>
        <w:t>潜水</w:t>
      </w:r>
      <w:r>
        <w:rPr>
          <w:color w:val="000000"/>
          <w:spacing w:val="-6"/>
          <w:sz w:val="21"/>
          <w:shd w:val="clear" w:color="auto" w:fill="D9D9D9"/>
        </w:rPr>
        <w:t>（</w:t>
      </w:r>
      <w:r>
        <w:rPr>
          <w:color w:val="000000"/>
          <w:spacing w:val="-23"/>
          <w:sz w:val="21"/>
          <w:shd w:val="clear" w:color="auto" w:fill="D9D9D9"/>
        </w:rPr>
        <w:t xml:space="preserve">见 </w:t>
      </w:r>
      <w:r>
        <w:rPr>
          <w:rFonts w:ascii="Times New Roman" w:eastAsia="Times New Roman"/>
          <w:color w:val="000000"/>
          <w:spacing w:val="13"/>
          <w:sz w:val="21"/>
          <w:shd w:val="clear" w:color="auto" w:fill="D9D9D9"/>
        </w:rPr>
        <w:t>9</w:t>
      </w:r>
      <w:r>
        <w:rPr>
          <w:rFonts w:ascii="Times New Roman" w:eastAsia="Times New Roman"/>
          <w:color w:val="000000"/>
          <w:spacing w:val="16"/>
          <w:sz w:val="21"/>
          <w:shd w:val="clear" w:color="auto" w:fill="D9D9D9"/>
        </w:rPr>
        <w:t>.</w:t>
      </w:r>
      <w:r>
        <w:rPr>
          <w:rFonts w:ascii="Times New Roman" w:eastAsia="Times New Roman"/>
          <w:color w:val="000000"/>
          <w:spacing w:val="15"/>
          <w:sz w:val="21"/>
          <w:shd w:val="clear" w:color="auto" w:fill="D9D9D9"/>
        </w:rPr>
        <w:t>2</w:t>
      </w:r>
      <w:r>
        <w:rPr>
          <w:rFonts w:ascii="Times New Roman" w:eastAsia="Times New Roman"/>
          <w:color w:val="000000"/>
          <w:spacing w:val="16"/>
          <w:sz w:val="21"/>
          <w:shd w:val="clear" w:color="auto" w:fill="D9D9D9"/>
        </w:rPr>
        <w:t>9</w:t>
      </w:r>
      <w:r>
        <w:rPr>
          <w:color w:val="000000"/>
          <w:spacing w:val="-90"/>
          <w:sz w:val="21"/>
          <w:shd w:val="clear" w:color="auto" w:fill="D9D9D9"/>
        </w:rPr>
        <w:t>）</w:t>
      </w:r>
      <w:r>
        <w:rPr>
          <w:color w:val="000000"/>
          <w:spacing w:val="-6"/>
          <w:sz w:val="21"/>
          <w:shd w:val="clear" w:color="auto" w:fill="D9D9D9"/>
        </w:rPr>
        <w:t>、跳伞、</w:t>
      </w:r>
      <w:r>
        <w:rPr>
          <w:b/>
          <w:color w:val="000000"/>
          <w:spacing w:val="-6"/>
          <w:sz w:val="21"/>
          <w:shd w:val="clear" w:color="auto" w:fill="D9D9D9"/>
        </w:rPr>
        <w:t>攀岩</w:t>
      </w:r>
      <w:r>
        <w:rPr>
          <w:color w:val="000000"/>
          <w:spacing w:val="-6"/>
          <w:sz w:val="21"/>
          <w:shd w:val="clear" w:color="auto" w:fill="D9D9D9"/>
        </w:rPr>
        <w:t>（</w:t>
      </w:r>
      <w:r>
        <w:rPr>
          <w:color w:val="000000"/>
          <w:spacing w:val="-23"/>
          <w:sz w:val="21"/>
          <w:shd w:val="clear" w:color="auto" w:fill="D9D9D9"/>
        </w:rPr>
        <w:t xml:space="preserve">见 </w:t>
      </w:r>
      <w:r>
        <w:rPr>
          <w:rFonts w:ascii="Times New Roman" w:eastAsia="Times New Roman"/>
          <w:color w:val="000000"/>
          <w:spacing w:val="15"/>
          <w:sz w:val="21"/>
          <w:shd w:val="clear" w:color="auto" w:fill="D9D9D9"/>
        </w:rPr>
        <w:t>9.3</w:t>
      </w:r>
      <w:r>
        <w:rPr>
          <w:rFonts w:ascii="Times New Roman" w:eastAsia="Times New Roman"/>
          <w:color w:val="000000"/>
          <w:spacing w:val="12"/>
          <w:sz w:val="21"/>
          <w:shd w:val="clear" w:color="auto" w:fill="D9D9D9"/>
        </w:rPr>
        <w:t>0</w:t>
      </w:r>
      <w:r>
        <w:rPr>
          <w:color w:val="000000"/>
          <w:spacing w:val="-91"/>
          <w:sz w:val="21"/>
          <w:shd w:val="clear" w:color="auto" w:fill="D9D9D9"/>
        </w:rPr>
        <w:t>）</w:t>
      </w:r>
      <w:r>
        <w:rPr>
          <w:color w:val="000000"/>
          <w:spacing w:val="-6"/>
          <w:sz w:val="21"/>
          <w:shd w:val="clear" w:color="auto" w:fill="D9D9D9"/>
        </w:rPr>
        <w:t>、蹦极、驾驶滑翔机或滑</w:t>
      </w:r>
      <w:r>
        <w:rPr>
          <w:color w:val="000000"/>
          <w:spacing w:val="14175"/>
          <w:sz w:val="21"/>
          <w:shd w:val="clear" w:color="auto" w:fill="D9D9D9"/>
        </w:rPr>
        <w:t xml:space="preserve"> </w:t>
      </w:r>
      <w:r>
        <w:rPr>
          <w:color w:val="000000"/>
          <w:spacing w:val="-12"/>
          <w:sz w:val="21"/>
          <w:shd w:val="clear" w:color="auto" w:fill="D9D9D9"/>
        </w:rPr>
        <w:t>翔伞、</w:t>
      </w:r>
      <w:r>
        <w:rPr>
          <w:b/>
          <w:color w:val="000000"/>
          <w:spacing w:val="-12"/>
          <w:sz w:val="21"/>
          <w:shd w:val="clear" w:color="auto" w:fill="D9D9D9"/>
        </w:rPr>
        <w:t>探险</w:t>
      </w:r>
      <w:r>
        <w:rPr>
          <w:color w:val="000000"/>
          <w:spacing w:val="-12"/>
          <w:sz w:val="21"/>
          <w:shd w:val="clear" w:color="auto" w:fill="D9D9D9"/>
        </w:rPr>
        <w:t>（</w:t>
      </w:r>
      <w:r>
        <w:rPr>
          <w:color w:val="000000"/>
          <w:spacing w:val="-24"/>
          <w:sz w:val="21"/>
          <w:shd w:val="clear" w:color="auto" w:fill="D9D9D9"/>
        </w:rPr>
        <w:t xml:space="preserve">见 </w:t>
      </w:r>
      <w:r>
        <w:rPr>
          <w:rFonts w:ascii="Times New Roman" w:eastAsia="Times New Roman"/>
          <w:color w:val="000000"/>
          <w:spacing w:val="9"/>
          <w:sz w:val="21"/>
          <w:shd w:val="clear" w:color="auto" w:fill="D9D9D9"/>
        </w:rPr>
        <w:t>9.3</w:t>
      </w:r>
      <w:r>
        <w:rPr>
          <w:rFonts w:ascii="Times New Roman" w:eastAsia="Times New Roman"/>
          <w:color w:val="000000"/>
          <w:spacing w:val="6"/>
          <w:sz w:val="21"/>
          <w:shd w:val="clear" w:color="auto" w:fill="D9D9D9"/>
        </w:rPr>
        <w:t>1</w:t>
      </w:r>
      <w:r>
        <w:rPr>
          <w:color w:val="000000"/>
          <w:spacing w:val="-97"/>
          <w:sz w:val="21"/>
          <w:shd w:val="clear" w:color="auto" w:fill="D9D9D9"/>
        </w:rPr>
        <w:t>）</w:t>
      </w:r>
      <w:r>
        <w:rPr>
          <w:color w:val="000000"/>
          <w:spacing w:val="-12"/>
          <w:sz w:val="21"/>
          <w:shd w:val="clear" w:color="auto" w:fill="D9D9D9"/>
        </w:rPr>
        <w:t>、摔跤、</w:t>
      </w:r>
      <w:r>
        <w:rPr>
          <w:b/>
          <w:color w:val="000000"/>
          <w:spacing w:val="-12"/>
          <w:sz w:val="21"/>
          <w:shd w:val="clear" w:color="auto" w:fill="D9D9D9"/>
        </w:rPr>
        <w:t>武术比赛</w:t>
      </w:r>
      <w:r>
        <w:rPr>
          <w:color w:val="000000"/>
          <w:spacing w:val="-12"/>
          <w:sz w:val="21"/>
          <w:shd w:val="clear" w:color="auto" w:fill="D9D9D9"/>
        </w:rPr>
        <w:t>（</w:t>
      </w:r>
      <w:r>
        <w:rPr>
          <w:color w:val="000000"/>
          <w:spacing w:val="-25"/>
          <w:sz w:val="21"/>
          <w:shd w:val="clear" w:color="auto" w:fill="D9D9D9"/>
        </w:rPr>
        <w:t xml:space="preserve">见 </w:t>
      </w:r>
      <w:r>
        <w:rPr>
          <w:rFonts w:ascii="Times New Roman" w:eastAsia="Times New Roman"/>
          <w:color w:val="000000"/>
          <w:spacing w:val="9"/>
          <w:sz w:val="21"/>
          <w:shd w:val="clear" w:color="auto" w:fill="D9D9D9"/>
        </w:rPr>
        <w:t>9.32</w:t>
      </w:r>
      <w:r>
        <w:rPr>
          <w:color w:val="000000"/>
          <w:spacing w:val="-99"/>
          <w:sz w:val="21"/>
          <w:shd w:val="clear" w:color="auto" w:fill="D9D9D9"/>
        </w:rPr>
        <w:t>）</w:t>
      </w:r>
      <w:r>
        <w:rPr>
          <w:color w:val="000000"/>
          <w:spacing w:val="-12"/>
          <w:sz w:val="21"/>
          <w:shd w:val="clear" w:color="auto" w:fill="D9D9D9"/>
        </w:rPr>
        <w:t>、</w:t>
      </w:r>
      <w:r>
        <w:rPr>
          <w:b/>
          <w:color w:val="000000"/>
          <w:spacing w:val="-12"/>
          <w:sz w:val="21"/>
          <w:shd w:val="clear" w:color="auto" w:fill="D9D9D9"/>
        </w:rPr>
        <w:t>特技表演</w:t>
      </w:r>
      <w:r>
        <w:rPr>
          <w:color w:val="000000"/>
          <w:spacing w:val="-12"/>
          <w:sz w:val="21"/>
          <w:shd w:val="clear" w:color="auto" w:fill="D9D9D9"/>
        </w:rPr>
        <w:t>（</w:t>
      </w:r>
      <w:r>
        <w:rPr>
          <w:color w:val="000000"/>
          <w:spacing w:val="-24"/>
          <w:sz w:val="21"/>
          <w:shd w:val="clear" w:color="auto" w:fill="D9D9D9"/>
        </w:rPr>
        <w:t xml:space="preserve">见 </w:t>
      </w:r>
      <w:r>
        <w:rPr>
          <w:rFonts w:ascii="Times New Roman" w:eastAsia="Times New Roman"/>
          <w:color w:val="000000"/>
          <w:spacing w:val="9"/>
          <w:sz w:val="21"/>
          <w:shd w:val="clear" w:color="auto" w:fill="D9D9D9"/>
        </w:rPr>
        <w:t>9.3</w:t>
      </w:r>
      <w:r>
        <w:rPr>
          <w:rFonts w:ascii="Times New Roman" w:eastAsia="Times New Roman"/>
          <w:color w:val="000000"/>
          <w:spacing w:val="6"/>
          <w:sz w:val="21"/>
          <w:shd w:val="clear" w:color="auto" w:fill="D9D9D9"/>
        </w:rPr>
        <w:t>3</w:t>
      </w:r>
      <w:r>
        <w:rPr>
          <w:color w:val="000000"/>
          <w:spacing w:val="-97"/>
          <w:sz w:val="21"/>
          <w:shd w:val="clear" w:color="auto" w:fill="D9D9D9"/>
        </w:rPr>
        <w:t>）</w:t>
      </w:r>
      <w:r>
        <w:rPr>
          <w:color w:val="000000"/>
          <w:spacing w:val="-12"/>
          <w:sz w:val="21"/>
          <w:shd w:val="clear" w:color="auto" w:fill="D9D9D9"/>
        </w:rPr>
        <w:t>、赛马、</w:t>
      </w:r>
      <w:r>
        <w:rPr>
          <w:color w:val="000000"/>
          <w:spacing w:val="-2"/>
          <w:sz w:val="21"/>
          <w:shd w:val="clear" w:color="auto" w:fill="D9D9D9"/>
        </w:rPr>
        <w:t>赛车等高风险运动；</w:t>
      </w:r>
    </w:p>
    <w:p>
      <w:pPr>
        <w:pStyle w:val="8"/>
        <w:numPr>
          <w:ilvl w:val="2"/>
          <w:numId w:val="3"/>
        </w:numPr>
        <w:tabs>
          <w:tab w:val="left" w:pos="2804"/>
        </w:tabs>
        <w:spacing w:before="0" w:after="0" w:line="278" w:lineRule="auto"/>
        <w:ind w:left="2538" w:right="277" w:firstLine="0"/>
        <w:jc w:val="left"/>
        <w:rPr>
          <w:sz w:val="21"/>
        </w:rPr>
      </w:pPr>
      <w:r>
        <w:rPr>
          <w:color w:val="000000"/>
          <w:spacing w:val="-2"/>
          <w:sz w:val="21"/>
          <w:shd w:val="clear" w:color="auto" w:fill="D9D9D9"/>
        </w:rPr>
        <w:t>被保险人在本合同生效前已存在的疾病（或症状）或其复发所致，</w:t>
      </w:r>
      <w:r>
        <w:rPr>
          <w:color w:val="000000"/>
          <w:spacing w:val="-2"/>
          <w:sz w:val="21"/>
        </w:rPr>
        <w:t>但在投保单上告知并经我们同意承保的，不在此限；</w:t>
      </w:r>
    </w:p>
    <w:p>
      <w:pPr>
        <w:pStyle w:val="8"/>
        <w:numPr>
          <w:ilvl w:val="2"/>
          <w:numId w:val="3"/>
        </w:numPr>
        <w:tabs>
          <w:tab w:val="left" w:pos="2797"/>
        </w:tabs>
        <w:spacing w:before="0" w:after="0" w:line="278" w:lineRule="auto"/>
        <w:ind w:left="2538" w:right="274" w:firstLine="0"/>
        <w:jc w:val="left"/>
        <w:rPr>
          <w:sz w:val="21"/>
        </w:rPr>
      </w:pPr>
      <w:r>
        <w:rPr>
          <w:color w:val="000000"/>
          <w:spacing w:val="-2"/>
          <w:sz w:val="21"/>
          <w:shd w:val="clear" w:color="auto" w:fill="D9D9D9"/>
        </w:rPr>
        <w:t>被保险人怀孕（含宫外孕</w:t>
      </w:r>
      <w:r>
        <w:rPr>
          <w:color w:val="000000"/>
          <w:spacing w:val="-106"/>
          <w:sz w:val="21"/>
          <w:shd w:val="clear" w:color="auto" w:fill="D9D9D9"/>
        </w:rPr>
        <w:t>）</w:t>
      </w:r>
      <w:r>
        <w:rPr>
          <w:color w:val="000000"/>
          <w:spacing w:val="-2"/>
          <w:sz w:val="21"/>
          <w:shd w:val="clear" w:color="auto" w:fill="D9D9D9"/>
        </w:rPr>
        <w:t>、产前产后检查、流产、堕胎、分娩（含难产</w:t>
      </w:r>
      <w:r>
        <w:rPr>
          <w:color w:val="000000"/>
          <w:spacing w:val="-106"/>
          <w:sz w:val="21"/>
          <w:shd w:val="clear" w:color="auto" w:fill="D9D9D9"/>
        </w:rPr>
        <w:t>）</w:t>
      </w:r>
      <w:r>
        <w:rPr>
          <w:color w:val="000000"/>
          <w:spacing w:val="-2"/>
          <w:sz w:val="21"/>
          <w:shd w:val="clear" w:color="auto" w:fill="D9D9D9"/>
        </w:rPr>
        <w:t>、</w:t>
      </w:r>
      <w:r>
        <w:rPr>
          <w:color w:val="000000"/>
          <w:spacing w:val="13965"/>
          <w:sz w:val="21"/>
          <w:shd w:val="clear" w:color="auto" w:fill="D9D9D9"/>
        </w:rPr>
        <w:t xml:space="preserve"> </w:t>
      </w:r>
      <w:r>
        <w:rPr>
          <w:color w:val="000000"/>
          <w:spacing w:val="-2"/>
          <w:sz w:val="21"/>
          <w:shd w:val="clear" w:color="auto" w:fill="D9D9D9"/>
        </w:rPr>
        <w:t>避孕、节育（含绝育</w:t>
      </w:r>
      <w:r>
        <w:rPr>
          <w:color w:val="000000"/>
          <w:spacing w:val="-106"/>
          <w:sz w:val="21"/>
          <w:shd w:val="clear" w:color="auto" w:fill="D9D9D9"/>
        </w:rPr>
        <w:t>）</w:t>
      </w:r>
      <w:r>
        <w:rPr>
          <w:color w:val="000000"/>
          <w:spacing w:val="-2"/>
          <w:sz w:val="21"/>
          <w:shd w:val="clear" w:color="auto" w:fill="D9D9D9"/>
        </w:rPr>
        <w:t>、不孕不育治疗、人工受孕以及由此导致的并发症；</w:t>
      </w:r>
    </w:p>
    <w:p>
      <w:pPr>
        <w:pStyle w:val="8"/>
        <w:numPr>
          <w:ilvl w:val="2"/>
          <w:numId w:val="3"/>
        </w:numPr>
        <w:tabs>
          <w:tab w:val="left" w:pos="2804"/>
        </w:tabs>
        <w:spacing w:before="0" w:after="0" w:line="278" w:lineRule="auto"/>
        <w:ind w:left="2538" w:right="277" w:firstLine="0"/>
        <w:jc w:val="left"/>
        <w:rPr>
          <w:sz w:val="21"/>
        </w:rPr>
      </w:pPr>
      <w:r>
        <w:rPr>
          <w:color w:val="000000"/>
          <w:spacing w:val="-2"/>
          <w:sz w:val="21"/>
          <w:shd w:val="clear" w:color="auto" w:fill="D9D9D9"/>
        </w:rPr>
        <w:t>美容、矫形、变性手术、以器官捐献为目的的医疗行为、非意外事故所致的</w:t>
      </w:r>
      <w:r>
        <w:rPr>
          <w:color w:val="000000"/>
          <w:spacing w:val="13965"/>
          <w:sz w:val="21"/>
          <w:shd w:val="clear" w:color="auto" w:fill="D9D9D9"/>
        </w:rPr>
        <w:t xml:space="preserve"> </w:t>
      </w:r>
      <w:r>
        <w:rPr>
          <w:color w:val="000000"/>
          <w:spacing w:val="-2"/>
          <w:sz w:val="21"/>
          <w:shd w:val="clear" w:color="auto" w:fill="D9D9D9"/>
        </w:rPr>
        <w:t>整容手术及前述手术的并发症；</w:t>
      </w:r>
    </w:p>
    <w:p>
      <w:pPr>
        <w:pStyle w:val="8"/>
        <w:numPr>
          <w:ilvl w:val="2"/>
          <w:numId w:val="3"/>
        </w:numPr>
        <w:tabs>
          <w:tab w:val="left" w:pos="2804"/>
        </w:tabs>
        <w:spacing w:before="0" w:after="0" w:line="269" w:lineRule="exact"/>
        <w:ind w:left="2803" w:right="0" w:hanging="266"/>
        <w:jc w:val="left"/>
        <w:rPr>
          <w:sz w:val="21"/>
        </w:rPr>
      </w:pPr>
      <w:r>
        <w:rPr>
          <w:color w:val="000000"/>
          <w:spacing w:val="-2"/>
          <w:sz w:val="21"/>
          <w:shd w:val="clear" w:color="auto" w:fill="D9D9D9"/>
        </w:rPr>
        <w:t>牙科疾病及相关治疗，视力矫正手术，</w:t>
      </w:r>
      <w:r>
        <w:rPr>
          <w:color w:val="000000"/>
          <w:spacing w:val="-3"/>
          <w:sz w:val="21"/>
        </w:rPr>
        <w:t>但因意外所致的不受此限；</w:t>
      </w:r>
    </w:p>
    <w:p>
      <w:pPr>
        <w:pStyle w:val="8"/>
        <w:numPr>
          <w:ilvl w:val="2"/>
          <w:numId w:val="3"/>
        </w:numPr>
        <w:tabs>
          <w:tab w:val="left" w:pos="2804"/>
        </w:tabs>
        <w:spacing w:before="43" w:after="0" w:line="278" w:lineRule="auto"/>
        <w:ind w:left="2538" w:right="277" w:firstLine="0"/>
        <w:jc w:val="left"/>
        <w:rPr>
          <w:sz w:val="21"/>
        </w:rPr>
      </w:pPr>
      <w:r>
        <w:rPr>
          <w:color w:val="000000"/>
          <w:spacing w:val="-6"/>
          <w:sz w:val="21"/>
          <w:shd w:val="clear" w:color="auto" w:fill="D9D9D9"/>
        </w:rPr>
        <w:t>被保险人因身体检查、预防、</w:t>
      </w:r>
      <w:r>
        <w:rPr>
          <w:b/>
          <w:color w:val="000000"/>
          <w:spacing w:val="-6"/>
          <w:sz w:val="21"/>
          <w:shd w:val="clear" w:color="auto" w:fill="D9D9D9"/>
        </w:rPr>
        <w:t>康复治疗</w:t>
      </w:r>
      <w:r>
        <w:rPr>
          <w:color w:val="000000"/>
          <w:spacing w:val="-6"/>
          <w:sz w:val="21"/>
          <w:shd w:val="clear" w:color="auto" w:fill="D9D9D9"/>
        </w:rPr>
        <w:t>（</w:t>
      </w:r>
      <w:r>
        <w:rPr>
          <w:color w:val="000000"/>
          <w:spacing w:val="-28"/>
          <w:sz w:val="21"/>
          <w:shd w:val="clear" w:color="auto" w:fill="D9D9D9"/>
        </w:rPr>
        <w:t xml:space="preserve">见 </w:t>
      </w:r>
      <w:r>
        <w:rPr>
          <w:rFonts w:ascii="Times New Roman" w:eastAsia="Times New Roman"/>
          <w:color w:val="000000"/>
          <w:spacing w:val="16"/>
          <w:sz w:val="21"/>
          <w:shd w:val="clear" w:color="auto" w:fill="D9D9D9"/>
        </w:rPr>
        <w:t>9.3</w:t>
      </w:r>
      <w:r>
        <w:rPr>
          <w:rFonts w:ascii="Times New Roman" w:eastAsia="Times New Roman"/>
          <w:color w:val="000000"/>
          <w:spacing w:val="13"/>
          <w:sz w:val="21"/>
          <w:shd w:val="clear" w:color="auto" w:fill="D9D9D9"/>
        </w:rPr>
        <w:t>4</w:t>
      </w:r>
      <w:r>
        <w:rPr>
          <w:color w:val="000000"/>
          <w:spacing w:val="-92"/>
          <w:sz w:val="21"/>
          <w:shd w:val="clear" w:color="auto" w:fill="D9D9D9"/>
        </w:rPr>
        <w:t>）</w:t>
      </w:r>
      <w:r>
        <w:rPr>
          <w:color w:val="000000"/>
          <w:spacing w:val="-6"/>
          <w:sz w:val="21"/>
          <w:shd w:val="clear" w:color="auto" w:fill="D9D9D9"/>
        </w:rPr>
        <w:t>、保健性、心理治疗或非疾</w:t>
      </w:r>
      <w:r>
        <w:rPr>
          <w:color w:val="000000"/>
          <w:spacing w:val="13965"/>
          <w:sz w:val="21"/>
          <w:shd w:val="clear" w:color="auto" w:fill="D9D9D9"/>
        </w:rPr>
        <w:t xml:space="preserve"> </w:t>
      </w:r>
      <w:r>
        <w:rPr>
          <w:color w:val="000000"/>
          <w:spacing w:val="-2"/>
          <w:sz w:val="21"/>
          <w:shd w:val="clear" w:color="auto" w:fill="D9D9D9"/>
        </w:rPr>
        <w:t>病治疗类项目发生的医疗费用；眼镜、义眼、义肢、助听器等康复性器具；</w:t>
      </w:r>
      <w:r>
        <w:rPr>
          <w:color w:val="000000"/>
          <w:spacing w:val="80"/>
          <w:sz w:val="21"/>
        </w:rPr>
        <w:t xml:space="preserve"> </w:t>
      </w:r>
      <w:r>
        <w:rPr>
          <w:rFonts w:ascii="Times New Roman" w:eastAsia="Times New Roman"/>
          <w:color w:val="000000"/>
          <w:spacing w:val="-2"/>
          <w:sz w:val="21"/>
          <w:shd w:val="clear" w:color="auto" w:fill="D9D9D9"/>
        </w:rPr>
        <w:t>15.</w:t>
      </w:r>
      <w:r>
        <w:rPr>
          <w:color w:val="000000"/>
          <w:spacing w:val="-2"/>
          <w:sz w:val="21"/>
          <w:shd w:val="clear" w:color="auto" w:fill="D9D9D9"/>
        </w:rPr>
        <w:t>被保险人患性病；</w:t>
      </w:r>
    </w:p>
    <w:p>
      <w:pPr>
        <w:pStyle w:val="8"/>
        <w:numPr>
          <w:ilvl w:val="0"/>
          <w:numId w:val="7"/>
        </w:numPr>
        <w:tabs>
          <w:tab w:val="left" w:pos="2804"/>
        </w:tabs>
        <w:spacing w:before="0" w:after="0" w:line="269" w:lineRule="exact"/>
        <w:ind w:left="2803" w:right="0" w:hanging="266"/>
        <w:jc w:val="left"/>
        <w:rPr>
          <w:sz w:val="21"/>
        </w:rPr>
      </w:pPr>
      <w:r>
        <w:rPr>
          <w:color w:val="000000"/>
          <w:spacing w:val="-3"/>
          <w:sz w:val="21"/>
          <w:shd w:val="clear" w:color="auto" w:fill="D9D9D9"/>
        </w:rPr>
        <w:t>不符合国家《临床技术操作规范》的治疗、医疗意外或医疗事故；</w:t>
      </w:r>
    </w:p>
    <w:p>
      <w:pPr>
        <w:pStyle w:val="8"/>
        <w:numPr>
          <w:ilvl w:val="0"/>
          <w:numId w:val="7"/>
        </w:numPr>
        <w:tabs>
          <w:tab w:val="left" w:pos="2804"/>
        </w:tabs>
        <w:spacing w:before="43" w:after="0" w:line="278" w:lineRule="auto"/>
        <w:ind w:left="2538" w:right="278" w:firstLine="0"/>
        <w:jc w:val="left"/>
        <w:rPr>
          <w:sz w:val="21"/>
        </w:rPr>
      </w:pPr>
      <w:r>
        <w:rPr>
          <w:color w:val="000000"/>
          <w:spacing w:val="-2"/>
          <w:sz w:val="21"/>
          <w:shd w:val="clear" w:color="auto" w:fill="D9D9D9"/>
        </w:rPr>
        <w:t>未经科学或者医学认可的试验性或者研究性治疗及其产生的后果所产生的费</w:t>
      </w:r>
      <w:r>
        <w:rPr>
          <w:color w:val="000000"/>
          <w:spacing w:val="80"/>
          <w:w w:val="150"/>
          <w:sz w:val="21"/>
          <w:shd w:val="clear" w:color="auto" w:fill="D9D9D9"/>
        </w:rPr>
        <w:t xml:space="preserve">                                       </w:t>
      </w:r>
      <w:r>
        <w:rPr>
          <w:color w:val="000000"/>
          <w:spacing w:val="-6"/>
          <w:sz w:val="21"/>
          <w:shd w:val="clear" w:color="auto" w:fill="D9D9D9"/>
        </w:rPr>
        <w:t>用。</w:t>
      </w:r>
    </w:p>
    <w:p>
      <w:pPr>
        <w:pStyle w:val="4"/>
        <w:spacing w:line="278" w:lineRule="auto"/>
        <w:ind w:right="275"/>
      </w:pPr>
      <w:r>
        <w:rPr>
          <w:color w:val="000000"/>
          <w:spacing w:val="-2"/>
          <w:shd w:val="clear" w:color="auto" w:fill="D9D9D9"/>
        </w:rPr>
        <w:t>发生上述情形导致被保险人发生医疗费用的</w:t>
      </w:r>
      <w:r>
        <w:rPr>
          <w:rFonts w:ascii="Times New Roman" w:eastAsia="Times New Roman"/>
          <w:color w:val="000000"/>
          <w:spacing w:val="-2"/>
          <w:shd w:val="clear" w:color="auto" w:fill="D9D9D9"/>
        </w:rPr>
        <w:t>,</w:t>
      </w:r>
      <w:r>
        <w:rPr>
          <w:color w:val="000000"/>
          <w:spacing w:val="-2"/>
          <w:shd w:val="clear" w:color="auto" w:fill="D9D9D9"/>
        </w:rPr>
        <w:t>我们不承担给付保险金的责任，</w:t>
      </w:r>
      <w:r>
        <w:rPr>
          <w:color w:val="000000"/>
          <w:spacing w:val="-2"/>
        </w:rPr>
        <w:t>我们对该被保险人的保险责任继续有效。</w:t>
      </w:r>
    </w:p>
    <w:p>
      <w:pPr>
        <w:pStyle w:val="8"/>
        <w:numPr>
          <w:ilvl w:val="1"/>
          <w:numId w:val="3"/>
        </w:numPr>
        <w:tabs>
          <w:tab w:val="left" w:pos="1008"/>
        </w:tabs>
        <w:spacing w:before="170" w:after="0" w:line="278" w:lineRule="auto"/>
        <w:ind w:left="2538" w:right="169" w:hanging="2326"/>
        <w:jc w:val="both"/>
        <w:rPr>
          <w:sz w:val="21"/>
        </w:rPr>
      </w:pPr>
      <w:r>
        <w:rPr>
          <w:b/>
          <w:spacing w:val="5"/>
          <w:sz w:val="21"/>
        </w:rPr>
        <w:t xml:space="preserve">其他免责条款 </w:t>
      </w:r>
      <w:r>
        <w:rPr>
          <w:sz w:val="21"/>
        </w:rPr>
        <w:t>除</w:t>
      </w:r>
      <w:r>
        <w:rPr>
          <w:rFonts w:ascii="Times New Roman" w:hAnsi="Times New Roman" w:eastAsia="Times New Roman"/>
          <w:sz w:val="21"/>
        </w:rPr>
        <w:t>“2.4</w:t>
      </w:r>
      <w:r>
        <w:rPr>
          <w:rFonts w:ascii="Times New Roman" w:hAnsi="Times New Roman" w:eastAsia="Times New Roman"/>
          <w:spacing w:val="-13"/>
          <w:sz w:val="21"/>
        </w:rPr>
        <w:t xml:space="preserve"> </w:t>
      </w:r>
      <w:r>
        <w:rPr>
          <w:sz w:val="21"/>
        </w:rPr>
        <w:t>责任免除</w:t>
      </w:r>
      <w:r>
        <w:rPr>
          <w:rFonts w:ascii="Times New Roman" w:hAnsi="Times New Roman" w:eastAsia="Times New Roman"/>
          <w:sz w:val="21"/>
        </w:rPr>
        <w:t>”</w:t>
      </w:r>
      <w:r>
        <w:rPr>
          <w:spacing w:val="-2"/>
          <w:sz w:val="21"/>
        </w:rPr>
        <w:t xml:space="preserve">外，本合同中还有一些免除本公司责任的条款，详见 </w:t>
      </w:r>
      <w:r>
        <w:rPr>
          <w:rFonts w:ascii="Times New Roman" w:hAnsi="Times New Roman" w:eastAsia="Times New Roman"/>
          <w:sz w:val="21"/>
        </w:rPr>
        <w:t>1.5</w:t>
      </w:r>
      <w:r>
        <w:rPr>
          <w:sz w:val="21"/>
        </w:rPr>
        <w:t>、</w:t>
      </w:r>
      <w:r>
        <w:rPr>
          <w:rFonts w:ascii="Times New Roman" w:hAnsi="Times New Roman" w:eastAsia="Times New Roman"/>
          <w:sz w:val="21"/>
        </w:rPr>
        <w:t>2.2</w:t>
      </w:r>
      <w:r>
        <w:rPr>
          <w:sz w:val="21"/>
        </w:rPr>
        <w:t xml:space="preserve">、 </w:t>
      </w:r>
      <w:r>
        <w:rPr>
          <w:rFonts w:ascii="Times New Roman" w:hAnsi="Times New Roman" w:eastAsia="Times New Roman"/>
          <w:sz w:val="21"/>
        </w:rPr>
        <w:t>2.3</w:t>
      </w:r>
      <w:r>
        <w:rPr>
          <w:sz w:val="21"/>
        </w:rPr>
        <w:t>、</w:t>
      </w:r>
      <w:r>
        <w:rPr>
          <w:rFonts w:ascii="Times New Roman" w:hAnsi="Times New Roman" w:eastAsia="Times New Roman"/>
          <w:sz w:val="21"/>
        </w:rPr>
        <w:t>3.2</w:t>
      </w:r>
      <w:r>
        <w:rPr>
          <w:sz w:val="21"/>
        </w:rPr>
        <w:t>、</w:t>
      </w:r>
      <w:r>
        <w:rPr>
          <w:rFonts w:ascii="Times New Roman" w:hAnsi="Times New Roman" w:eastAsia="Times New Roman"/>
          <w:sz w:val="21"/>
        </w:rPr>
        <w:t>6.1</w:t>
      </w:r>
      <w:r>
        <w:rPr>
          <w:sz w:val="21"/>
        </w:rPr>
        <w:t>、</w:t>
      </w:r>
      <w:r>
        <w:rPr>
          <w:rFonts w:ascii="Times New Roman" w:hAnsi="Times New Roman" w:eastAsia="Times New Roman"/>
          <w:sz w:val="21"/>
        </w:rPr>
        <w:t>7.1</w:t>
      </w:r>
      <w:r>
        <w:rPr>
          <w:sz w:val="21"/>
        </w:rPr>
        <w:t>、</w:t>
      </w:r>
      <w:r>
        <w:rPr>
          <w:rFonts w:ascii="Times New Roman" w:hAnsi="Times New Roman" w:eastAsia="Times New Roman"/>
          <w:sz w:val="21"/>
        </w:rPr>
        <w:t>7.2</w:t>
      </w:r>
      <w:r>
        <w:rPr>
          <w:sz w:val="21"/>
        </w:rPr>
        <w:t>、</w:t>
      </w:r>
      <w:r>
        <w:rPr>
          <w:rFonts w:ascii="Times New Roman" w:hAnsi="Times New Roman" w:eastAsia="Times New Roman"/>
          <w:sz w:val="21"/>
        </w:rPr>
        <w:t>8</w:t>
      </w:r>
      <w:r>
        <w:rPr>
          <w:sz w:val="21"/>
        </w:rPr>
        <w:t>、</w:t>
      </w:r>
      <w:r>
        <w:rPr>
          <w:rFonts w:ascii="Times New Roman" w:hAnsi="Times New Roman" w:eastAsia="Times New Roman"/>
          <w:sz w:val="21"/>
        </w:rPr>
        <w:t>9.6</w:t>
      </w:r>
      <w:r>
        <w:rPr>
          <w:sz w:val="21"/>
        </w:rPr>
        <w:t>、</w:t>
      </w:r>
      <w:r>
        <w:rPr>
          <w:rFonts w:ascii="Times New Roman" w:hAnsi="Times New Roman" w:eastAsia="Times New Roman"/>
          <w:sz w:val="21"/>
        </w:rPr>
        <w:t>9.7</w:t>
      </w:r>
      <w:r>
        <w:rPr>
          <w:sz w:val="21"/>
        </w:rPr>
        <w:t>、</w:t>
      </w:r>
      <w:r>
        <w:rPr>
          <w:rFonts w:ascii="Times New Roman" w:hAnsi="Times New Roman" w:eastAsia="Times New Roman"/>
          <w:sz w:val="21"/>
        </w:rPr>
        <w:t>9.9</w:t>
      </w:r>
      <w:r>
        <w:rPr>
          <w:rFonts w:ascii="Times New Roman" w:hAnsi="Times New Roman" w:eastAsia="Times New Roman"/>
          <w:spacing w:val="-14"/>
          <w:sz w:val="21"/>
        </w:rPr>
        <w:t xml:space="preserve"> </w:t>
      </w:r>
      <w:r>
        <w:rPr>
          <w:spacing w:val="-27"/>
          <w:sz w:val="21"/>
        </w:rPr>
        <w:t xml:space="preserve">和 </w:t>
      </w:r>
      <w:r>
        <w:rPr>
          <w:rFonts w:ascii="Times New Roman" w:hAnsi="Times New Roman" w:eastAsia="Times New Roman"/>
          <w:sz w:val="21"/>
        </w:rPr>
        <w:t>9.17</w:t>
      </w:r>
      <w:r>
        <w:rPr>
          <w:rFonts w:ascii="Times New Roman" w:hAnsi="Times New Roman" w:eastAsia="Times New Roman"/>
          <w:spacing w:val="-13"/>
          <w:sz w:val="21"/>
        </w:rPr>
        <w:t xml:space="preserve"> </w:t>
      </w:r>
      <w:r>
        <w:rPr>
          <w:sz w:val="21"/>
        </w:rPr>
        <w:t>中</w:t>
      </w:r>
      <w:r>
        <w:rPr>
          <w:color w:val="000000"/>
          <w:sz w:val="21"/>
          <w:shd w:val="clear" w:color="auto" w:fill="D9D9D9"/>
        </w:rPr>
        <w:t>灰色底纹背景字体</w:t>
      </w:r>
      <w:r>
        <w:rPr>
          <w:color w:val="000000"/>
          <w:sz w:val="21"/>
        </w:rPr>
        <w:t>的内容。</w:t>
      </w:r>
    </w:p>
    <w:p>
      <w:pPr>
        <w:pStyle w:val="3"/>
        <w:numPr>
          <w:ilvl w:val="0"/>
          <w:numId w:val="6"/>
        </w:numPr>
        <w:tabs>
          <w:tab w:val="left" w:pos="1007"/>
          <w:tab w:val="left" w:pos="1008"/>
        </w:tabs>
        <w:spacing w:before="152" w:after="0" w:line="240" w:lineRule="auto"/>
        <w:ind w:left="1007" w:right="0" w:hanging="796"/>
        <w:jc w:val="left"/>
        <w:rPr>
          <w:rFonts w:ascii="Times New Roman" w:eastAsia="Times New Roman"/>
        </w:rPr>
      </w:pPr>
      <w:r>
        <w:rPr>
          <w:w w:val="95"/>
        </w:rPr>
        <w:t>保险金的申</w:t>
      </w:r>
      <w:r>
        <w:rPr>
          <w:spacing w:val="-10"/>
          <w:w w:val="95"/>
        </w:rPr>
        <w:t>请</w:t>
      </w:r>
    </w:p>
    <w:p>
      <w:pPr>
        <w:pStyle w:val="4"/>
        <w:spacing w:before="4"/>
        <w:ind w:left="0"/>
        <w:rPr>
          <w:b/>
          <w:sz w:val="10"/>
        </w:rPr>
      </w:pPr>
      <w:r>
        <w:drawing>
          <wp:anchor distT="0" distB="0" distL="0" distR="0" simplePos="0" relativeHeight="251660288" behindDoc="0" locked="0" layoutInCell="1" allowOverlap="1">
            <wp:simplePos x="0" y="0"/>
            <wp:positionH relativeFrom="page">
              <wp:posOffset>650240</wp:posOffset>
            </wp:positionH>
            <wp:positionV relativeFrom="paragraph">
              <wp:posOffset>99060</wp:posOffset>
            </wp:positionV>
            <wp:extent cx="6252845" cy="12065"/>
            <wp:effectExtent l="0" t="0" r="0" b="0"/>
            <wp:wrapTopAndBottom/>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a:picLocks noChangeAspect="1"/>
                    </pic:cNvPicPr>
                  </pic:nvPicPr>
                  <pic:blipFill>
                    <a:blip r:embed="rId9" cstate="print"/>
                    <a:stretch>
                      <a:fillRect/>
                    </a:stretch>
                  </pic:blipFill>
                  <pic:spPr>
                    <a:xfrm>
                      <a:off x="0" y="0"/>
                      <a:ext cx="6252550" cy="12287"/>
                    </a:xfrm>
                    <a:prstGeom prst="rect">
                      <a:avLst/>
                    </a:prstGeom>
                  </pic:spPr>
                </pic:pic>
              </a:graphicData>
            </a:graphic>
          </wp:anchor>
        </w:drawing>
      </w:r>
    </w:p>
    <w:p>
      <w:pPr>
        <w:pStyle w:val="8"/>
        <w:numPr>
          <w:ilvl w:val="1"/>
          <w:numId w:val="6"/>
        </w:numPr>
        <w:tabs>
          <w:tab w:val="left" w:pos="1007"/>
          <w:tab w:val="left" w:pos="1008"/>
          <w:tab w:val="left" w:pos="2538"/>
        </w:tabs>
        <w:spacing w:before="171" w:after="0" w:line="240" w:lineRule="auto"/>
        <w:ind w:left="1007" w:right="0" w:hanging="796"/>
        <w:jc w:val="left"/>
        <w:rPr>
          <w:sz w:val="21"/>
        </w:rPr>
      </w:pPr>
      <w:r>
        <w:rPr>
          <w:b/>
          <w:sz w:val="21"/>
        </w:rPr>
        <w:t>受益</w:t>
      </w:r>
      <w:r>
        <w:rPr>
          <w:b/>
          <w:spacing w:val="-10"/>
          <w:sz w:val="21"/>
        </w:rPr>
        <w:t>人</w:t>
      </w:r>
      <w:r>
        <w:rPr>
          <w:b/>
          <w:sz w:val="21"/>
        </w:rPr>
        <w:tab/>
      </w:r>
      <w:r>
        <w:rPr>
          <w:spacing w:val="-2"/>
          <w:sz w:val="21"/>
        </w:rPr>
        <w:t>本合同的一般医疗保险金和重大疾病医疗保险金的受益人为被保险人本人</w:t>
      </w:r>
      <w:r>
        <w:rPr>
          <w:spacing w:val="-10"/>
          <w:sz w:val="21"/>
        </w:rPr>
        <w:t>。</w:t>
      </w:r>
    </w:p>
    <w:p>
      <w:pPr>
        <w:spacing w:after="0" w:line="240" w:lineRule="auto"/>
        <w:jc w:val="left"/>
        <w:rPr>
          <w:sz w:val="21"/>
        </w:rPr>
        <w:sectPr>
          <w:pgSz w:w="11910" w:h="16840"/>
          <w:pgMar w:top="1080" w:right="940" w:bottom="1180" w:left="920" w:header="0" w:footer="981" w:gutter="0"/>
          <w:cols w:space="720" w:num="1"/>
        </w:sectPr>
      </w:pPr>
    </w:p>
    <w:p>
      <w:pPr>
        <w:pStyle w:val="8"/>
        <w:numPr>
          <w:ilvl w:val="1"/>
          <w:numId w:val="6"/>
        </w:numPr>
        <w:tabs>
          <w:tab w:val="left" w:pos="1008"/>
        </w:tabs>
        <w:spacing w:before="57" w:after="0" w:line="240" w:lineRule="auto"/>
        <w:ind w:left="1007" w:right="0" w:hanging="796"/>
        <w:jc w:val="both"/>
        <w:rPr>
          <w:sz w:val="21"/>
        </w:rPr>
      </w:pPr>
      <w:r>
        <w:rPr>
          <w:b/>
          <w:spacing w:val="18"/>
          <w:sz w:val="21"/>
        </w:rPr>
        <w:t xml:space="preserve">保险事故通知 </w:t>
      </w:r>
      <w:r>
        <w:rPr>
          <w:spacing w:val="-3"/>
          <w:sz w:val="21"/>
        </w:rPr>
        <w:t xml:space="preserve">您、被保险人或受益人知道保险事故后应当在 </w:t>
      </w:r>
      <w:r>
        <w:rPr>
          <w:rFonts w:ascii="Times New Roman" w:eastAsia="Times New Roman"/>
          <w:sz w:val="21"/>
        </w:rPr>
        <w:t>10</w:t>
      </w:r>
      <w:r>
        <w:rPr>
          <w:rFonts w:ascii="Times New Roman" w:eastAsia="Times New Roman"/>
          <w:spacing w:val="-7"/>
          <w:sz w:val="21"/>
        </w:rPr>
        <w:t xml:space="preserve"> </w:t>
      </w:r>
      <w:r>
        <w:rPr>
          <w:spacing w:val="-2"/>
          <w:sz w:val="21"/>
        </w:rPr>
        <w:t>日内通知我们。</w:t>
      </w:r>
    </w:p>
    <w:p>
      <w:pPr>
        <w:pStyle w:val="4"/>
        <w:spacing w:before="43" w:line="278" w:lineRule="auto"/>
        <w:ind w:right="279"/>
        <w:jc w:val="both"/>
      </w:pPr>
      <w:r>
        <w:rPr>
          <w:color w:val="000000"/>
          <w:spacing w:val="-2"/>
          <w:shd w:val="clear" w:color="auto" w:fill="D9D9D9"/>
        </w:rPr>
        <w:t>如果您、被保险人或受益人故意或者因重大过失未及时通知，致使保险事故的</w:t>
      </w:r>
      <w:r>
        <w:rPr>
          <w:color w:val="000000"/>
          <w:spacing w:val="40"/>
          <w:shd w:val="clear" w:color="auto" w:fill="D9D9D9"/>
        </w:rPr>
        <w:t xml:space="preserve"> </w:t>
      </w:r>
      <w:r>
        <w:rPr>
          <w:color w:val="000000"/>
          <w:spacing w:val="-2"/>
          <w:shd w:val="clear" w:color="auto" w:fill="D9D9D9"/>
        </w:rPr>
        <w:t>性质、原因、损失程度等难以确定的，我们对无法确定的部分，不承担给付保险金的责任，</w:t>
      </w:r>
      <w:r>
        <w:rPr>
          <w:color w:val="000000"/>
          <w:spacing w:val="-2"/>
        </w:rPr>
        <w:t>但我们通过其他途径已经及时知道或者应当及时知道保险事故发生或者虽未及时通知但不影响我们确定保险事故的性质、原因、损失程度的除</w:t>
      </w:r>
      <w:r>
        <w:rPr>
          <w:color w:val="000000"/>
          <w:spacing w:val="-6"/>
        </w:rPr>
        <w:t>外。</w:t>
      </w:r>
    </w:p>
    <w:p>
      <w:pPr>
        <w:pStyle w:val="4"/>
        <w:spacing w:before="1"/>
        <w:ind w:left="0"/>
        <w:rPr>
          <w:sz w:val="16"/>
        </w:rPr>
      </w:pPr>
    </w:p>
    <w:p>
      <w:pPr>
        <w:pStyle w:val="8"/>
        <w:numPr>
          <w:ilvl w:val="1"/>
          <w:numId w:val="6"/>
        </w:numPr>
        <w:tabs>
          <w:tab w:val="left" w:pos="1007"/>
          <w:tab w:val="left" w:pos="1008"/>
          <w:tab w:val="left" w:pos="2538"/>
        </w:tabs>
        <w:spacing w:before="0" w:after="0" w:line="278" w:lineRule="auto"/>
        <w:ind w:left="2538" w:right="275" w:hanging="2326"/>
        <w:jc w:val="left"/>
        <w:rPr>
          <w:sz w:val="21"/>
        </w:rPr>
      </w:pPr>
      <w:r>
        <w:rPr>
          <w:b/>
          <w:spacing w:val="-2"/>
          <w:sz w:val="21"/>
        </w:rPr>
        <w:t>保险金申请</w:t>
      </w:r>
      <w:r>
        <w:rPr>
          <w:b/>
          <w:sz w:val="21"/>
        </w:rPr>
        <w:tab/>
      </w:r>
      <w:r>
        <w:rPr>
          <w:rFonts w:ascii="Times New Roman" w:eastAsia="Times New Roman"/>
          <w:spacing w:val="-2"/>
          <w:sz w:val="21"/>
        </w:rPr>
        <w:t>1.</w:t>
      </w:r>
      <w:r>
        <w:rPr>
          <w:spacing w:val="-2"/>
          <w:sz w:val="21"/>
        </w:rPr>
        <w:t>在申请一般医疗保险金和重大疾病医疗保险金时</w:t>
      </w:r>
      <w:r>
        <w:rPr>
          <w:spacing w:val="-73"/>
          <w:sz w:val="21"/>
        </w:rPr>
        <w:t>，</w:t>
      </w:r>
      <w:r>
        <w:rPr>
          <w:spacing w:val="-2"/>
          <w:sz w:val="21"/>
        </w:rPr>
        <w:t>受益人须填写保险金给付申请书，并须提供下列证明和资料：</w:t>
      </w:r>
    </w:p>
    <w:p>
      <w:pPr>
        <w:pStyle w:val="8"/>
        <w:numPr>
          <w:ilvl w:val="2"/>
          <w:numId w:val="6"/>
        </w:numPr>
        <w:tabs>
          <w:tab w:val="left" w:pos="3069"/>
        </w:tabs>
        <w:spacing w:before="0" w:after="0" w:line="269" w:lineRule="exact"/>
        <w:ind w:left="3068" w:right="0" w:hanging="531"/>
        <w:jc w:val="left"/>
        <w:rPr>
          <w:sz w:val="21"/>
        </w:rPr>
      </w:pPr>
      <w:r>
        <w:rPr>
          <w:spacing w:val="-3"/>
          <w:sz w:val="21"/>
        </w:rPr>
        <w:t>保险合同或其他有效的保险凭证；</w:t>
      </w:r>
    </w:p>
    <w:p>
      <w:pPr>
        <w:pStyle w:val="8"/>
        <w:numPr>
          <w:ilvl w:val="2"/>
          <w:numId w:val="6"/>
        </w:numPr>
        <w:tabs>
          <w:tab w:val="left" w:pos="3069"/>
        </w:tabs>
        <w:spacing w:before="43" w:after="0" w:line="240" w:lineRule="auto"/>
        <w:ind w:left="3068" w:right="0" w:hanging="531"/>
        <w:jc w:val="left"/>
        <w:rPr>
          <w:sz w:val="21"/>
        </w:rPr>
      </w:pPr>
      <w:r>
        <w:rPr>
          <w:spacing w:val="-3"/>
          <w:sz w:val="21"/>
        </w:rPr>
        <w:t>受益人的有效身份证件；</w:t>
      </w:r>
    </w:p>
    <w:p>
      <w:pPr>
        <w:pStyle w:val="8"/>
        <w:numPr>
          <w:ilvl w:val="2"/>
          <w:numId w:val="6"/>
        </w:numPr>
        <w:tabs>
          <w:tab w:val="left" w:pos="3069"/>
        </w:tabs>
        <w:spacing w:before="43" w:after="0" w:line="278" w:lineRule="auto"/>
        <w:ind w:left="2538" w:right="275" w:firstLine="0"/>
        <w:jc w:val="left"/>
        <w:rPr>
          <w:sz w:val="21"/>
        </w:rPr>
      </w:pPr>
      <w:r>
        <w:rPr>
          <w:spacing w:val="-2"/>
          <w:sz w:val="21"/>
        </w:rPr>
        <w:t>就诊医院出具的诊断证明、完整的门诊及住院病历、出院小结、检查检验报告等完整的就诊资料；</w:t>
      </w:r>
    </w:p>
    <w:p>
      <w:pPr>
        <w:pStyle w:val="8"/>
        <w:numPr>
          <w:ilvl w:val="2"/>
          <w:numId w:val="6"/>
        </w:numPr>
        <w:tabs>
          <w:tab w:val="left" w:pos="3069"/>
        </w:tabs>
        <w:spacing w:before="0" w:after="0" w:line="240" w:lineRule="auto"/>
        <w:ind w:left="3068" w:right="0" w:hanging="531"/>
        <w:jc w:val="left"/>
        <w:rPr>
          <w:sz w:val="21"/>
        </w:rPr>
      </w:pPr>
      <w:r>
        <w:rPr>
          <w:spacing w:val="-3"/>
          <w:sz w:val="21"/>
        </w:rPr>
        <w:t>医院出具的医疗费用原始发票、医疗费用结算清单；</w:t>
      </w:r>
    </w:p>
    <w:p>
      <w:pPr>
        <w:pStyle w:val="8"/>
        <w:numPr>
          <w:ilvl w:val="2"/>
          <w:numId w:val="6"/>
        </w:numPr>
        <w:tabs>
          <w:tab w:val="left" w:pos="3069"/>
        </w:tabs>
        <w:spacing w:before="43" w:after="0" w:line="240" w:lineRule="auto"/>
        <w:ind w:left="3068" w:right="0" w:hanging="531"/>
        <w:jc w:val="left"/>
        <w:rPr>
          <w:sz w:val="21"/>
        </w:rPr>
      </w:pPr>
      <w:r>
        <w:rPr>
          <w:spacing w:val="-3"/>
          <w:sz w:val="21"/>
        </w:rPr>
        <w:t>与确认保险事故的性质、原因等有关的其他证明和资料。</w:t>
      </w:r>
    </w:p>
    <w:p>
      <w:pPr>
        <w:pStyle w:val="8"/>
        <w:numPr>
          <w:ilvl w:val="0"/>
          <w:numId w:val="8"/>
        </w:numPr>
        <w:tabs>
          <w:tab w:val="left" w:pos="2699"/>
        </w:tabs>
        <w:spacing w:before="43" w:after="0" w:line="240" w:lineRule="auto"/>
        <w:ind w:left="2698" w:right="0" w:hanging="161"/>
        <w:jc w:val="left"/>
        <w:rPr>
          <w:sz w:val="21"/>
        </w:rPr>
      </w:pPr>
      <w:r>
        <w:rPr>
          <w:spacing w:val="-3"/>
          <w:sz w:val="21"/>
        </w:rPr>
        <w:t>保险金作为被保险人遗产时，必须提供可证明合法继承权的相关权利文件。</w:t>
      </w:r>
    </w:p>
    <w:p>
      <w:pPr>
        <w:pStyle w:val="8"/>
        <w:numPr>
          <w:ilvl w:val="0"/>
          <w:numId w:val="8"/>
        </w:numPr>
        <w:tabs>
          <w:tab w:val="left" w:pos="2699"/>
        </w:tabs>
        <w:spacing w:before="43" w:after="0" w:line="240" w:lineRule="auto"/>
        <w:ind w:left="2698" w:right="0" w:hanging="161"/>
        <w:jc w:val="left"/>
        <w:rPr>
          <w:sz w:val="21"/>
        </w:rPr>
      </w:pPr>
      <w:r>
        <w:rPr>
          <w:spacing w:val="-3"/>
          <w:sz w:val="21"/>
        </w:rPr>
        <w:t>若委托他人办理申请保险金，还须提供授权委托书及受托人身份证件等材料。</w:t>
      </w:r>
    </w:p>
    <w:p>
      <w:pPr>
        <w:pStyle w:val="8"/>
        <w:numPr>
          <w:ilvl w:val="0"/>
          <w:numId w:val="8"/>
        </w:numPr>
        <w:tabs>
          <w:tab w:val="left" w:pos="2699"/>
        </w:tabs>
        <w:spacing w:before="43" w:after="0" w:line="278" w:lineRule="auto"/>
        <w:ind w:left="2538" w:right="275" w:firstLine="0"/>
        <w:jc w:val="left"/>
        <w:rPr>
          <w:sz w:val="21"/>
        </w:rPr>
      </w:pPr>
      <w:r>
        <w:rPr>
          <w:spacing w:val="-8"/>
          <w:sz w:val="21"/>
        </w:rPr>
        <w:t>以上证明和资料不完整的，我们将及时一次性通知受益人补充提供有关证明和</w:t>
      </w:r>
      <w:r>
        <w:rPr>
          <w:spacing w:val="-4"/>
          <w:sz w:val="21"/>
        </w:rPr>
        <w:t>资料。</w:t>
      </w:r>
    </w:p>
    <w:p>
      <w:pPr>
        <w:pStyle w:val="8"/>
        <w:numPr>
          <w:ilvl w:val="1"/>
          <w:numId w:val="6"/>
        </w:numPr>
        <w:tabs>
          <w:tab w:val="left" w:pos="1008"/>
        </w:tabs>
        <w:spacing w:before="170" w:after="0" w:line="278" w:lineRule="auto"/>
        <w:ind w:left="2538" w:right="274" w:hanging="2326"/>
        <w:jc w:val="both"/>
        <w:rPr>
          <w:sz w:val="21"/>
        </w:rPr>
      </w:pPr>
      <w:r>
        <w:rPr>
          <w:b/>
          <w:spacing w:val="58"/>
          <w:sz w:val="21"/>
        </w:rPr>
        <w:t xml:space="preserve">保险金给付 </w:t>
      </w:r>
      <w:r>
        <w:rPr>
          <w:spacing w:val="-1"/>
          <w:sz w:val="21"/>
        </w:rPr>
        <w:t xml:space="preserve">我们在收到保险金给付申请书及合同约定的证明和资料后，将在 </w:t>
      </w:r>
      <w:r>
        <w:rPr>
          <w:rFonts w:ascii="Times New Roman" w:eastAsia="Times New Roman"/>
          <w:sz w:val="21"/>
        </w:rPr>
        <w:t>5</w:t>
      </w:r>
      <w:r>
        <w:rPr>
          <w:rFonts w:ascii="Times New Roman" w:eastAsia="Times New Roman"/>
          <w:spacing w:val="36"/>
          <w:sz w:val="21"/>
        </w:rPr>
        <w:t xml:space="preserve"> </w:t>
      </w:r>
      <w:r>
        <w:rPr>
          <w:sz w:val="21"/>
        </w:rPr>
        <w:t>日内作出核</w:t>
      </w:r>
      <w:r>
        <w:rPr>
          <w:spacing w:val="-5"/>
          <w:sz w:val="21"/>
        </w:rPr>
        <w:t xml:space="preserve">定；情形复杂的，在 </w:t>
      </w:r>
      <w:r>
        <w:rPr>
          <w:rFonts w:ascii="Times New Roman" w:eastAsia="Times New Roman"/>
          <w:spacing w:val="-2"/>
          <w:sz w:val="21"/>
        </w:rPr>
        <w:t>30</w:t>
      </w:r>
      <w:r>
        <w:rPr>
          <w:rFonts w:ascii="Times New Roman" w:eastAsia="Times New Roman"/>
          <w:spacing w:val="-5"/>
          <w:sz w:val="21"/>
        </w:rPr>
        <w:t xml:space="preserve"> </w:t>
      </w:r>
      <w:r>
        <w:rPr>
          <w:spacing w:val="-2"/>
          <w:sz w:val="21"/>
        </w:rPr>
        <w:t xml:space="preserve">日内作出核定。对属于保险责任的，我们在与受益人达成给付保险金的协议后 </w:t>
      </w:r>
      <w:r>
        <w:rPr>
          <w:rFonts w:ascii="Times New Roman" w:eastAsia="Times New Roman"/>
          <w:sz w:val="21"/>
        </w:rPr>
        <w:t xml:space="preserve">10 </w:t>
      </w:r>
      <w:r>
        <w:rPr>
          <w:sz w:val="21"/>
        </w:rPr>
        <w:t>日内，履行给付保险金义务。</w:t>
      </w:r>
    </w:p>
    <w:p>
      <w:pPr>
        <w:pStyle w:val="4"/>
        <w:spacing w:line="278" w:lineRule="auto"/>
        <w:ind w:right="275"/>
        <w:jc w:val="both"/>
      </w:pPr>
      <w:r>
        <w:rPr>
          <w:spacing w:val="-2"/>
        </w:rPr>
        <w:t xml:space="preserve">对不属于保险责任的，我们自作出核定之日起 </w:t>
      </w:r>
      <w:r>
        <w:rPr>
          <w:rFonts w:ascii="Times New Roman" w:eastAsia="Times New Roman"/>
        </w:rPr>
        <w:t>3</w:t>
      </w:r>
      <w:r>
        <w:rPr>
          <w:rFonts w:ascii="Times New Roman" w:eastAsia="Times New Roman"/>
          <w:spacing w:val="29"/>
        </w:rPr>
        <w:t xml:space="preserve"> </w:t>
      </w:r>
      <w:r>
        <w:t>日内向受益人发出拒绝给付保</w:t>
      </w:r>
      <w:r>
        <w:rPr>
          <w:spacing w:val="-2"/>
        </w:rPr>
        <w:t>险金通知书并说明理由。</w:t>
      </w:r>
    </w:p>
    <w:p>
      <w:pPr>
        <w:pStyle w:val="4"/>
        <w:spacing w:line="278" w:lineRule="auto"/>
        <w:ind w:right="274"/>
        <w:jc w:val="both"/>
      </w:pPr>
      <w:r>
        <w:rPr>
          <w:spacing w:val="-3"/>
        </w:rPr>
        <w:t xml:space="preserve">我们在收到保险金给付申请书及有关证明和资料之日起 </w:t>
      </w:r>
      <w:r>
        <w:rPr>
          <w:rFonts w:ascii="Times New Roman" w:eastAsia="Times New Roman"/>
          <w:spacing w:val="-2"/>
        </w:rPr>
        <w:t>60</w:t>
      </w:r>
      <w:r>
        <w:rPr>
          <w:rFonts w:ascii="Times New Roman" w:eastAsia="Times New Roman"/>
          <w:spacing w:val="-5"/>
        </w:rPr>
        <w:t xml:space="preserve"> </w:t>
      </w:r>
      <w:r>
        <w:rPr>
          <w:spacing w:val="-2"/>
        </w:rPr>
        <w:t>日内，对给付保险金的数额不能确定的，根据已有证明和资料可以确定的数额先予支付；我们最终确定给付保险金的数额后，将支付相应的差额。</w:t>
      </w:r>
    </w:p>
    <w:p>
      <w:pPr>
        <w:pStyle w:val="8"/>
        <w:numPr>
          <w:ilvl w:val="1"/>
          <w:numId w:val="6"/>
        </w:numPr>
        <w:tabs>
          <w:tab w:val="left" w:pos="1008"/>
        </w:tabs>
        <w:spacing w:before="170" w:after="0" w:line="278" w:lineRule="auto"/>
        <w:ind w:left="2538" w:right="275" w:hanging="2326"/>
        <w:jc w:val="both"/>
        <w:rPr>
          <w:sz w:val="21"/>
        </w:rPr>
      </w:pPr>
      <w:r>
        <w:rPr>
          <w:b/>
          <w:sz w:val="21"/>
        </w:rPr>
        <w:t>诉讼时效</w:t>
      </w:r>
      <w:r>
        <w:rPr>
          <w:b/>
          <w:spacing w:val="80"/>
          <w:w w:val="150"/>
          <w:sz w:val="21"/>
        </w:rPr>
        <w:t xml:space="preserve">   </w:t>
      </w:r>
      <w:r>
        <w:rPr>
          <w:sz w:val="21"/>
        </w:rPr>
        <w:t>被保险人或受益人向我们申请给付一般医疗保险金和重大疾病医疗保险金的诉</w:t>
      </w:r>
      <w:r>
        <w:rPr>
          <w:spacing w:val="-3"/>
          <w:sz w:val="21"/>
        </w:rPr>
        <w:t xml:space="preserve">讼时效期间为 </w:t>
      </w:r>
      <w:r>
        <w:rPr>
          <w:rFonts w:ascii="Times New Roman" w:eastAsia="Times New Roman"/>
          <w:sz w:val="21"/>
        </w:rPr>
        <w:t xml:space="preserve">2 </w:t>
      </w:r>
      <w:r>
        <w:rPr>
          <w:sz w:val="21"/>
        </w:rPr>
        <w:t>年，自其知道或者应当知道保险事故发生之日起计算。</w:t>
      </w:r>
    </w:p>
    <w:p>
      <w:pPr>
        <w:pStyle w:val="3"/>
        <w:numPr>
          <w:ilvl w:val="0"/>
          <w:numId w:val="9"/>
        </w:numPr>
        <w:tabs>
          <w:tab w:val="left" w:pos="1007"/>
          <w:tab w:val="left" w:pos="1008"/>
        </w:tabs>
        <w:spacing w:before="150" w:after="0" w:line="240" w:lineRule="auto"/>
        <w:ind w:left="1007" w:right="0" w:hanging="796"/>
        <w:jc w:val="left"/>
      </w:pPr>
      <w:r>
        <w:rPr>
          <w:w w:val="95"/>
        </w:rPr>
        <w:t>保险费的交</w:t>
      </w:r>
      <w:r>
        <w:rPr>
          <w:spacing w:val="-10"/>
          <w:w w:val="95"/>
        </w:rPr>
        <w:t>纳</w:t>
      </w:r>
    </w:p>
    <w:p>
      <w:pPr>
        <w:pStyle w:val="4"/>
        <w:spacing w:before="3"/>
        <w:ind w:left="0"/>
        <w:rPr>
          <w:b/>
          <w:sz w:val="10"/>
        </w:rPr>
      </w:pPr>
      <w:r>
        <w:drawing>
          <wp:anchor distT="0" distB="0" distL="0" distR="0" simplePos="0" relativeHeight="251660288" behindDoc="0" locked="0" layoutInCell="1" allowOverlap="1">
            <wp:simplePos x="0" y="0"/>
            <wp:positionH relativeFrom="page">
              <wp:posOffset>650240</wp:posOffset>
            </wp:positionH>
            <wp:positionV relativeFrom="paragraph">
              <wp:posOffset>98425</wp:posOffset>
            </wp:positionV>
            <wp:extent cx="6203950" cy="12065"/>
            <wp:effectExtent l="0" t="0" r="0" b="0"/>
            <wp:wrapTopAndBottom/>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png"/>
                    <pic:cNvPicPr>
                      <a:picLocks noChangeAspect="1"/>
                    </pic:cNvPicPr>
                  </pic:nvPicPr>
                  <pic:blipFill>
                    <a:blip r:embed="rId11" cstate="print"/>
                    <a:stretch>
                      <a:fillRect/>
                    </a:stretch>
                  </pic:blipFill>
                  <pic:spPr>
                    <a:xfrm>
                      <a:off x="0" y="0"/>
                      <a:ext cx="6203693" cy="12191"/>
                    </a:xfrm>
                    <a:prstGeom prst="rect">
                      <a:avLst/>
                    </a:prstGeom>
                  </pic:spPr>
                </pic:pic>
              </a:graphicData>
            </a:graphic>
          </wp:anchor>
        </w:drawing>
      </w:r>
    </w:p>
    <w:p>
      <w:pPr>
        <w:pStyle w:val="8"/>
        <w:numPr>
          <w:ilvl w:val="1"/>
          <w:numId w:val="9"/>
        </w:numPr>
        <w:tabs>
          <w:tab w:val="left" w:pos="1008"/>
        </w:tabs>
        <w:spacing w:before="174" w:after="0" w:line="278" w:lineRule="auto"/>
        <w:ind w:left="2538" w:right="275" w:hanging="2326"/>
        <w:jc w:val="both"/>
        <w:rPr>
          <w:sz w:val="21"/>
        </w:rPr>
      </w:pPr>
      <w:r>
        <w:rPr>
          <w:b/>
          <w:spacing w:val="11"/>
          <w:sz w:val="21"/>
        </w:rPr>
        <w:t xml:space="preserve">保险费的交纳 </w:t>
      </w:r>
      <w:r>
        <w:rPr>
          <w:sz w:val="21"/>
        </w:rPr>
        <w:t>本合同的交费方式为一次交清。保险费率根据投保时被保险人的年龄、基本保</w:t>
      </w:r>
      <w:r>
        <w:rPr>
          <w:spacing w:val="-2"/>
          <w:sz w:val="21"/>
        </w:rPr>
        <w:t>险金额及被保险人是否拥有社会医疗保险等因素确定，并在保险单上载明。</w:t>
      </w:r>
    </w:p>
    <w:p>
      <w:pPr>
        <w:pStyle w:val="8"/>
        <w:numPr>
          <w:ilvl w:val="1"/>
          <w:numId w:val="9"/>
        </w:numPr>
        <w:tabs>
          <w:tab w:val="left" w:pos="1008"/>
        </w:tabs>
        <w:spacing w:before="170" w:after="0" w:line="278" w:lineRule="auto"/>
        <w:ind w:left="2538" w:right="275" w:hanging="2326"/>
        <w:jc w:val="both"/>
        <w:rPr>
          <w:sz w:val="21"/>
        </w:rPr>
      </w:pPr>
      <w:r>
        <w:rPr>
          <w:b/>
          <w:spacing w:val="11"/>
          <w:sz w:val="21"/>
        </w:rPr>
        <w:t xml:space="preserve">保险费率调整 </w:t>
      </w:r>
      <w:r>
        <w:rPr>
          <w:sz w:val="21"/>
        </w:rPr>
        <w:t>续保费率会随着被保险人的年龄增长而变化。同时，我们会检视我们的整体理</w:t>
      </w:r>
      <w:r>
        <w:rPr>
          <w:spacing w:val="-2"/>
          <w:sz w:val="21"/>
        </w:rPr>
        <w:t>赔经验，根据定价基础与实际经验的偏差程度，决定是否调整保险费率及其调整幅度。保险费率的调整针对本产品所有被保险人，或属于同一投保年龄、同一投保区域等某一类人群的被保险人。</w:t>
      </w:r>
    </w:p>
    <w:p>
      <w:pPr>
        <w:pStyle w:val="4"/>
        <w:spacing w:line="278" w:lineRule="auto"/>
        <w:ind w:right="275"/>
      </w:pPr>
      <w:r>
        <w:rPr>
          <w:spacing w:val="-2"/>
        </w:rPr>
        <w:t>我们不会因为本合同被保险人的健康状况变化或者使用保险情况而单独调整本合同被保险人的续保费率。</w:t>
      </w:r>
    </w:p>
    <w:p>
      <w:pPr>
        <w:pStyle w:val="4"/>
        <w:spacing w:line="278" w:lineRule="auto"/>
        <w:ind w:right="167"/>
      </w:pPr>
      <w:r>
        <w:rPr>
          <w:spacing w:val="-2"/>
        </w:rPr>
        <w:t>我们进行保险费率调整后，您须按调整后续保当时的保险费率支付续期保险费，保险费率调整前您已经支付的保险费不受影响。</w:t>
      </w:r>
    </w:p>
    <w:p>
      <w:pPr>
        <w:spacing w:before="0"/>
        <w:ind w:left="2538" w:right="0" w:firstLine="0"/>
        <w:jc w:val="left"/>
        <w:rPr>
          <w:b/>
          <w:sz w:val="21"/>
        </w:rPr>
      </w:pPr>
      <w:r>
        <w:rPr>
          <w:b/>
          <w:spacing w:val="-3"/>
          <w:sz w:val="21"/>
        </w:rPr>
        <w:t>如果您不同意费率调整，我们将不再为您续保本合同。</w:t>
      </w:r>
    </w:p>
    <w:p>
      <w:pPr>
        <w:pStyle w:val="4"/>
        <w:spacing w:before="6"/>
        <w:ind w:left="0"/>
        <w:rPr>
          <w:b/>
          <w:sz w:val="9"/>
        </w:rPr>
      </w:pPr>
    </w:p>
    <w:p>
      <w:pPr>
        <w:pStyle w:val="3"/>
        <w:numPr>
          <w:ilvl w:val="0"/>
          <w:numId w:val="9"/>
        </w:numPr>
        <w:tabs>
          <w:tab w:val="left" w:pos="1007"/>
          <w:tab w:val="left" w:pos="1008"/>
        </w:tabs>
        <w:spacing w:before="74" w:after="0" w:line="240" w:lineRule="auto"/>
        <w:ind w:left="1007" w:right="0" w:hanging="796"/>
        <w:jc w:val="left"/>
      </w:pPr>
      <w:r>
        <w:rPr>
          <w:spacing w:val="-3"/>
          <w:w w:val="95"/>
        </w:rPr>
        <w:t>合同解除</w:t>
      </w:r>
    </w:p>
    <w:p>
      <w:pPr>
        <w:pStyle w:val="4"/>
        <w:spacing w:before="3"/>
        <w:ind w:left="0"/>
        <w:rPr>
          <w:b/>
          <w:sz w:val="10"/>
        </w:rPr>
      </w:pPr>
      <w:r>
        <w:drawing>
          <wp:anchor distT="0" distB="0" distL="0" distR="0" simplePos="0" relativeHeight="251660288" behindDoc="0" locked="0" layoutInCell="1" allowOverlap="1">
            <wp:simplePos x="0" y="0"/>
            <wp:positionH relativeFrom="page">
              <wp:posOffset>650240</wp:posOffset>
            </wp:positionH>
            <wp:positionV relativeFrom="paragraph">
              <wp:posOffset>98425</wp:posOffset>
            </wp:positionV>
            <wp:extent cx="6107430" cy="12065"/>
            <wp:effectExtent l="0" t="0" r="0" b="0"/>
            <wp:wrapTopAndBottom/>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pic:cNvPicPr>
                      <a:picLocks noChangeAspect="1"/>
                    </pic:cNvPicPr>
                  </pic:nvPicPr>
                  <pic:blipFill>
                    <a:blip r:embed="rId9" cstate="print"/>
                    <a:stretch>
                      <a:fillRect/>
                    </a:stretch>
                  </pic:blipFill>
                  <pic:spPr>
                    <a:xfrm>
                      <a:off x="0" y="0"/>
                      <a:ext cx="6107142" cy="12001"/>
                    </a:xfrm>
                    <a:prstGeom prst="rect">
                      <a:avLst/>
                    </a:prstGeom>
                  </pic:spPr>
                </pic:pic>
              </a:graphicData>
            </a:graphic>
          </wp:anchor>
        </w:drawing>
      </w:r>
    </w:p>
    <w:p>
      <w:pPr>
        <w:spacing w:after="0"/>
        <w:rPr>
          <w:sz w:val="10"/>
        </w:rPr>
        <w:sectPr>
          <w:pgSz w:w="11910" w:h="16840"/>
          <w:pgMar w:top="1080" w:right="940" w:bottom="1180" w:left="920" w:header="0" w:footer="981" w:gutter="0"/>
          <w:cols w:space="720" w:num="1"/>
        </w:sectPr>
      </w:pPr>
    </w:p>
    <w:p>
      <w:pPr>
        <w:pStyle w:val="8"/>
        <w:numPr>
          <w:ilvl w:val="1"/>
          <w:numId w:val="9"/>
        </w:numPr>
        <w:tabs>
          <w:tab w:val="left" w:pos="1007"/>
          <w:tab w:val="left" w:pos="1008"/>
        </w:tabs>
        <w:spacing w:before="57" w:after="0" w:line="278" w:lineRule="auto"/>
        <w:ind w:left="1007" w:right="0" w:hanging="795"/>
        <w:jc w:val="left"/>
        <w:rPr>
          <w:b/>
          <w:sz w:val="21"/>
        </w:rPr>
      </w:pPr>
      <w:r>
        <w:rPr>
          <w:b/>
          <w:spacing w:val="-2"/>
          <w:sz w:val="21"/>
        </w:rPr>
        <w:t>您解除合同的手续及风险</w:t>
      </w: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ind w:left="0"/>
        <w:rPr>
          <w:b/>
          <w:sz w:val="20"/>
        </w:rPr>
      </w:pPr>
    </w:p>
    <w:p>
      <w:pPr>
        <w:pStyle w:val="4"/>
        <w:spacing w:before="9"/>
        <w:ind w:left="0"/>
        <w:rPr>
          <w:b/>
          <w:sz w:val="26"/>
        </w:rPr>
      </w:pPr>
    </w:p>
    <w:p>
      <w:pPr>
        <w:pStyle w:val="3"/>
        <w:numPr>
          <w:ilvl w:val="0"/>
          <w:numId w:val="9"/>
        </w:numPr>
        <w:tabs>
          <w:tab w:val="left" w:pos="1007"/>
          <w:tab w:val="left" w:pos="1008"/>
        </w:tabs>
        <w:spacing w:before="0" w:after="0" w:line="240" w:lineRule="auto"/>
        <w:ind w:left="1007" w:right="0" w:hanging="796"/>
        <w:jc w:val="left"/>
      </w:pPr>
      <w:r>
        <w:rPr>
          <w:spacing w:val="-3"/>
          <w:w w:val="95"/>
        </w:rPr>
        <w:t>如实告知</w:t>
      </w:r>
    </w:p>
    <w:p>
      <w:pPr>
        <w:pStyle w:val="4"/>
        <w:spacing w:before="57" w:line="278" w:lineRule="auto"/>
        <w:ind w:left="212" w:right="276"/>
        <w:jc w:val="both"/>
      </w:pPr>
      <w:r>
        <w:br w:type="column"/>
      </w:r>
      <w:r>
        <w:rPr>
          <w:spacing w:val="-2"/>
        </w:rPr>
        <w:t>在本合同保险期间内，除本合同另有约定外，您可以以书面或双方认可的其他方式通知要求解除保险合同。您要求解除本合同时，请填写解除合同申请并向我们提供下列资料：</w:t>
      </w:r>
    </w:p>
    <w:p>
      <w:pPr>
        <w:pStyle w:val="8"/>
        <w:numPr>
          <w:ilvl w:val="0"/>
          <w:numId w:val="10"/>
        </w:numPr>
        <w:tabs>
          <w:tab w:val="left" w:pos="477"/>
        </w:tabs>
        <w:spacing w:before="0" w:after="0" w:line="240" w:lineRule="auto"/>
        <w:ind w:left="476" w:right="0" w:hanging="265"/>
        <w:jc w:val="both"/>
        <w:rPr>
          <w:sz w:val="21"/>
        </w:rPr>
      </w:pPr>
      <w:r>
        <w:rPr>
          <w:spacing w:val="-3"/>
          <w:sz w:val="21"/>
        </w:rPr>
        <w:t>保险合同或其他有效的保险凭证；</w:t>
      </w:r>
    </w:p>
    <w:p>
      <w:pPr>
        <w:pStyle w:val="8"/>
        <w:numPr>
          <w:ilvl w:val="0"/>
          <w:numId w:val="10"/>
        </w:numPr>
        <w:tabs>
          <w:tab w:val="left" w:pos="477"/>
        </w:tabs>
        <w:spacing w:before="43" w:after="0" w:line="240" w:lineRule="auto"/>
        <w:ind w:left="476" w:right="0" w:hanging="265"/>
        <w:jc w:val="both"/>
        <w:rPr>
          <w:sz w:val="21"/>
        </w:rPr>
      </w:pPr>
      <w:r>
        <w:rPr>
          <w:spacing w:val="-3"/>
          <w:sz w:val="21"/>
        </w:rPr>
        <w:t>您的有效身份证件。</w:t>
      </w:r>
    </w:p>
    <w:p>
      <w:pPr>
        <w:pStyle w:val="4"/>
        <w:spacing w:before="43" w:line="278" w:lineRule="auto"/>
        <w:ind w:left="212" w:right="282"/>
      </w:pPr>
      <w:r>
        <w:rPr>
          <w:spacing w:val="-2"/>
        </w:rPr>
        <w:t>如您委托他人以书面或双方认可的其他方式办理申请解除本合同，还须提供授权委托书及受托人身份证件。</w:t>
      </w:r>
    </w:p>
    <w:p>
      <w:pPr>
        <w:spacing w:before="0" w:line="278" w:lineRule="auto"/>
        <w:ind w:left="212" w:right="277" w:firstLine="0"/>
        <w:jc w:val="both"/>
        <w:rPr>
          <w:b/>
          <w:sz w:val="21"/>
        </w:rPr>
      </w:pPr>
      <w:r>
        <w:rPr>
          <w:b/>
          <w:spacing w:val="-2"/>
          <w:sz w:val="21"/>
        </w:rPr>
        <w:t>自我们收到解除合同申请时起，本合同终止。</w:t>
      </w:r>
      <w:r>
        <w:rPr>
          <w:spacing w:val="-2"/>
          <w:sz w:val="21"/>
        </w:rPr>
        <w:t>我们自收到解除合同申请及完整</w:t>
      </w:r>
      <w:r>
        <w:rPr>
          <w:spacing w:val="-6"/>
          <w:sz w:val="21"/>
        </w:rPr>
        <w:t xml:space="preserve">的资料之日起 </w:t>
      </w:r>
      <w:r>
        <w:rPr>
          <w:rFonts w:ascii="Times New Roman" w:eastAsia="Times New Roman"/>
          <w:spacing w:val="-2"/>
          <w:sz w:val="21"/>
        </w:rPr>
        <w:t>10</w:t>
      </w:r>
      <w:r>
        <w:rPr>
          <w:rFonts w:ascii="Times New Roman" w:eastAsia="Times New Roman"/>
          <w:spacing w:val="-11"/>
          <w:sz w:val="21"/>
        </w:rPr>
        <w:t xml:space="preserve"> </w:t>
      </w:r>
      <w:r>
        <w:rPr>
          <w:spacing w:val="-2"/>
          <w:sz w:val="21"/>
        </w:rPr>
        <w:t>日内向您退还本合同的</w:t>
      </w:r>
      <w:r>
        <w:rPr>
          <w:b/>
          <w:spacing w:val="-2"/>
          <w:sz w:val="21"/>
        </w:rPr>
        <w:t>未到期净保费</w:t>
      </w:r>
      <w:r>
        <w:rPr>
          <w:spacing w:val="-2"/>
          <w:sz w:val="21"/>
        </w:rPr>
        <w:t>（</w:t>
      </w:r>
      <w:r>
        <w:rPr>
          <w:spacing w:val="-13"/>
          <w:sz w:val="21"/>
        </w:rPr>
        <w:t xml:space="preserve">见 </w:t>
      </w:r>
      <w:r>
        <w:rPr>
          <w:rFonts w:ascii="Times New Roman" w:eastAsia="Times New Roman"/>
          <w:spacing w:val="19"/>
          <w:sz w:val="21"/>
        </w:rPr>
        <w:t>9.3</w:t>
      </w:r>
      <w:r>
        <w:rPr>
          <w:rFonts w:ascii="Times New Roman" w:eastAsia="Times New Roman"/>
          <w:spacing w:val="16"/>
          <w:sz w:val="21"/>
        </w:rPr>
        <w:t>5</w:t>
      </w:r>
      <w:r>
        <w:rPr>
          <w:spacing w:val="-87"/>
          <w:sz w:val="21"/>
        </w:rPr>
        <w:t>）</w:t>
      </w:r>
      <w:r>
        <w:rPr>
          <w:spacing w:val="-2"/>
          <w:sz w:val="21"/>
        </w:rPr>
        <w:t>。</w:t>
      </w:r>
      <w:r>
        <w:rPr>
          <w:b/>
          <w:spacing w:val="-2"/>
          <w:sz w:val="21"/>
        </w:rPr>
        <w:t>您犹豫期后解除保险合同会遭受一定损失。</w:t>
      </w:r>
    </w:p>
    <w:p>
      <w:pPr>
        <w:spacing w:after="0" w:line="278" w:lineRule="auto"/>
        <w:jc w:val="both"/>
        <w:rPr>
          <w:sz w:val="21"/>
        </w:rPr>
        <w:sectPr>
          <w:pgSz w:w="11910" w:h="16840"/>
          <w:pgMar w:top="1080" w:right="940" w:bottom="1180" w:left="920" w:header="0" w:footer="981" w:gutter="0"/>
          <w:cols w:equalWidth="0" w:num="2">
            <w:col w:w="2275" w:space="51"/>
            <w:col w:w="7724"/>
          </w:cols>
        </w:sectPr>
      </w:pPr>
    </w:p>
    <w:p>
      <w:pPr>
        <w:pStyle w:val="4"/>
        <w:spacing w:before="2" w:after="1"/>
        <w:ind w:left="0"/>
        <w:rPr>
          <w:b/>
          <w:sz w:val="12"/>
        </w:rPr>
      </w:pPr>
    </w:p>
    <w:p>
      <w:pPr>
        <w:pStyle w:val="4"/>
        <w:spacing w:line="20" w:lineRule="exact"/>
        <w:ind w:left="104"/>
        <w:rPr>
          <w:sz w:val="2"/>
        </w:rPr>
      </w:pPr>
      <w:r>
        <w:rPr>
          <w:sz w:val="2"/>
        </w:rPr>
        <w:drawing>
          <wp:inline distT="0" distB="0" distL="0" distR="0">
            <wp:extent cx="6252210" cy="12065"/>
            <wp:effectExtent l="0" t="0" r="0" b="0"/>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6.png"/>
                    <pic:cNvPicPr>
                      <a:picLocks noChangeAspect="1"/>
                    </pic:cNvPicPr>
                  </pic:nvPicPr>
                  <pic:blipFill>
                    <a:blip r:embed="rId12" cstate="print"/>
                    <a:stretch>
                      <a:fillRect/>
                    </a:stretch>
                  </pic:blipFill>
                  <pic:spPr>
                    <a:xfrm>
                      <a:off x="0" y="0"/>
                      <a:ext cx="6252276" cy="12287"/>
                    </a:xfrm>
                    <a:prstGeom prst="rect">
                      <a:avLst/>
                    </a:prstGeom>
                  </pic:spPr>
                </pic:pic>
              </a:graphicData>
            </a:graphic>
          </wp:inline>
        </w:drawing>
      </w:r>
    </w:p>
    <w:p>
      <w:pPr>
        <w:pStyle w:val="4"/>
        <w:spacing w:before="5"/>
        <w:ind w:left="0"/>
        <w:rPr>
          <w:b/>
          <w:sz w:val="7"/>
        </w:rPr>
      </w:pPr>
    </w:p>
    <w:p>
      <w:pPr>
        <w:spacing w:after="0"/>
        <w:rPr>
          <w:sz w:val="7"/>
        </w:rPr>
        <w:sectPr>
          <w:type w:val="continuous"/>
          <w:pgSz w:w="11910" w:h="16840"/>
          <w:pgMar w:top="1100" w:right="940" w:bottom="1180" w:left="920" w:header="0" w:footer="981" w:gutter="0"/>
          <w:cols w:space="720" w:num="1"/>
        </w:sectPr>
      </w:pPr>
    </w:p>
    <w:p>
      <w:pPr>
        <w:pStyle w:val="8"/>
        <w:numPr>
          <w:ilvl w:val="1"/>
          <w:numId w:val="9"/>
        </w:numPr>
        <w:tabs>
          <w:tab w:val="left" w:pos="1007"/>
          <w:tab w:val="left" w:pos="1008"/>
        </w:tabs>
        <w:spacing w:before="78" w:after="0" w:line="278" w:lineRule="auto"/>
        <w:ind w:left="1007" w:right="0" w:hanging="795"/>
        <w:jc w:val="left"/>
        <w:rPr>
          <w:b/>
          <w:sz w:val="21"/>
        </w:rPr>
      </w:pPr>
      <w:r>
        <w:rPr>
          <w:b/>
          <w:spacing w:val="-2"/>
          <w:sz w:val="21"/>
        </w:rPr>
        <w:t>明确说明与如</w:t>
      </w:r>
      <w:r>
        <w:rPr>
          <w:b/>
          <w:spacing w:val="-4"/>
          <w:sz w:val="21"/>
        </w:rPr>
        <w:t>实告知</w:t>
      </w:r>
    </w:p>
    <w:p>
      <w:pPr>
        <w:pStyle w:val="4"/>
        <w:spacing w:before="78"/>
        <w:ind w:left="212"/>
      </w:pPr>
      <w:r>
        <w:br w:type="column"/>
      </w:r>
      <w:r>
        <w:rPr>
          <w:spacing w:val="-3"/>
        </w:rPr>
        <w:t>订立本合同时，我们应向您说明本合同的内容。</w:t>
      </w:r>
    </w:p>
    <w:p>
      <w:pPr>
        <w:pStyle w:val="4"/>
        <w:spacing w:before="43" w:line="278" w:lineRule="auto"/>
        <w:ind w:left="212" w:right="276"/>
        <w:jc w:val="both"/>
      </w:pPr>
      <w:r>
        <w:rPr>
          <w:spacing w:val="-2"/>
        </w:rPr>
        <w:t>对保险条款中免除我们责任的条款，我们在订立合同时应当在投保单、保险单或者其他有效的保险凭证上作出足以引起您注意的提示，并对该条款的内容以书面或者口头形式向您作出明确说明，未作提示或者明确说明的，该条款不产</w:t>
      </w:r>
      <w:r>
        <w:rPr>
          <w:spacing w:val="-4"/>
        </w:rPr>
        <w:t>生效力。</w:t>
      </w:r>
    </w:p>
    <w:p>
      <w:pPr>
        <w:pStyle w:val="4"/>
        <w:spacing w:line="269" w:lineRule="exact"/>
        <w:ind w:left="212"/>
      </w:pPr>
      <w:r>
        <w:rPr>
          <w:spacing w:val="-3"/>
        </w:rPr>
        <w:t>我们就您和被保险人的有关情况提出询问，您应当如实告知。</w:t>
      </w:r>
    </w:p>
    <w:p>
      <w:pPr>
        <w:spacing w:before="43" w:line="278" w:lineRule="auto"/>
        <w:ind w:left="212" w:right="280" w:firstLine="0"/>
        <w:jc w:val="left"/>
        <w:rPr>
          <w:b/>
          <w:sz w:val="21"/>
        </w:rPr>
      </w:pPr>
      <w:r>
        <w:rPr>
          <w:b/>
          <w:spacing w:val="-2"/>
          <w:sz w:val="21"/>
        </w:rPr>
        <w:t>如果您故意或者因重大过失未履行前款规定的如实告知义务，足以影响我们决定是否同意承保或者提高保险费率的，我们有权解除本合同。</w:t>
      </w:r>
    </w:p>
    <w:tbl>
      <w:tblPr>
        <w:tblStyle w:val="5"/>
        <w:tblW w:w="0" w:type="auto"/>
        <w:tblInd w:w="22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0"/>
        <w:gridCol w:w="3151"/>
        <w:gridCol w:w="32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7226" w:type="dxa"/>
            <w:gridSpan w:val="3"/>
            <w:tcBorders>
              <w:bottom w:val="single" w:color="FFFFFF" w:sz="8" w:space="0"/>
            </w:tcBorders>
            <w:shd w:val="clear" w:color="auto" w:fill="D2D2D2"/>
          </w:tcPr>
          <w:p>
            <w:pPr>
              <w:pStyle w:val="9"/>
              <w:rPr>
                <w:sz w:val="21"/>
              </w:rPr>
            </w:pPr>
            <w:r>
              <w:rPr>
                <w:spacing w:val="-1"/>
                <w:sz w:val="21"/>
              </w:rPr>
              <w:t>如果您故意不履行如实告知义务，对于本合同解除前发生的保险事故，我们不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3991" w:type="dxa"/>
            <w:gridSpan w:val="2"/>
            <w:tcBorders>
              <w:top w:val="single" w:color="FFFFFF" w:sz="8" w:space="0"/>
              <w:bottom w:val="single" w:color="FFFFFF" w:sz="8" w:space="0"/>
            </w:tcBorders>
            <w:shd w:val="clear" w:color="auto" w:fill="D2D2D2"/>
          </w:tcPr>
          <w:p>
            <w:pPr>
              <w:pStyle w:val="9"/>
              <w:spacing w:line="268" w:lineRule="exact"/>
              <w:ind w:right="-15"/>
              <w:rPr>
                <w:sz w:val="21"/>
              </w:rPr>
            </w:pPr>
            <w:r>
              <w:rPr>
                <w:spacing w:val="-3"/>
                <w:sz w:val="21"/>
              </w:rPr>
              <w:t>承担给付保险金的责任，并不退还保险费。</w:t>
            </w:r>
          </w:p>
        </w:tc>
        <w:tc>
          <w:tcPr>
            <w:tcW w:w="3235" w:type="dxa"/>
            <w:tcBorders>
              <w:top w:val="single" w:color="FFFFFF" w:sz="8" w:space="0"/>
              <w:bottom w:val="single" w:color="FFFFFF" w:sz="8" w:space="0"/>
            </w:tcBorders>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1" w:hRule="atLeast"/>
        </w:trPr>
        <w:tc>
          <w:tcPr>
            <w:tcW w:w="7226" w:type="dxa"/>
            <w:gridSpan w:val="3"/>
            <w:tcBorders>
              <w:top w:val="single" w:color="FFFFFF" w:sz="8" w:space="0"/>
              <w:bottom w:val="single" w:color="FFFFFF" w:sz="8" w:space="0"/>
            </w:tcBorders>
            <w:shd w:val="clear" w:color="auto" w:fill="D2D2D2"/>
          </w:tcPr>
          <w:p>
            <w:pPr>
              <w:pStyle w:val="9"/>
              <w:spacing w:line="268" w:lineRule="exact"/>
              <w:rPr>
                <w:sz w:val="21"/>
              </w:rPr>
            </w:pPr>
            <w:r>
              <w:rPr>
                <w:spacing w:val="-1"/>
                <w:sz w:val="21"/>
              </w:rPr>
              <w:t>如果您因重大过失未履行如实告知义务，对保险事故的发生有严重影响的，对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7226" w:type="dxa"/>
            <w:gridSpan w:val="3"/>
            <w:tcBorders>
              <w:top w:val="single" w:color="FFFFFF" w:sz="8" w:space="0"/>
              <w:bottom w:val="single" w:color="FFFFFF" w:sz="8" w:space="0"/>
            </w:tcBorders>
            <w:shd w:val="clear" w:color="auto" w:fill="D2D2D2"/>
          </w:tcPr>
          <w:p>
            <w:pPr>
              <w:pStyle w:val="9"/>
              <w:spacing w:line="268" w:lineRule="exact"/>
              <w:rPr>
                <w:sz w:val="21"/>
              </w:rPr>
            </w:pPr>
            <w:r>
              <w:rPr>
                <w:spacing w:val="-1"/>
                <w:sz w:val="21"/>
              </w:rPr>
              <w:t>于本合同解除前发生的保险事故，我们不承担给付保险金的责任，但应当退还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840" w:type="dxa"/>
            <w:tcBorders>
              <w:top w:val="single" w:color="FFFFFF" w:sz="8" w:space="0"/>
            </w:tcBorders>
            <w:shd w:val="clear" w:color="auto" w:fill="D2D2D2"/>
          </w:tcPr>
          <w:p>
            <w:pPr>
              <w:pStyle w:val="9"/>
              <w:spacing w:line="268" w:lineRule="exact"/>
              <w:ind w:right="-15"/>
              <w:rPr>
                <w:sz w:val="21"/>
              </w:rPr>
            </w:pPr>
            <w:r>
              <w:rPr>
                <w:spacing w:val="-4"/>
                <w:sz w:val="21"/>
              </w:rPr>
              <w:t>保险费。</w:t>
            </w:r>
          </w:p>
        </w:tc>
        <w:tc>
          <w:tcPr>
            <w:tcW w:w="6386" w:type="dxa"/>
            <w:gridSpan w:val="2"/>
            <w:tcBorders>
              <w:top w:val="single" w:color="FFFFFF" w:sz="8" w:space="0"/>
            </w:tcBorders>
          </w:tcPr>
          <w:p>
            <w:pPr>
              <w:pStyle w:val="9"/>
              <w:rPr>
                <w:rFonts w:ascii="Times New Roman"/>
                <w:sz w:val="20"/>
              </w:rPr>
            </w:pPr>
          </w:p>
        </w:tc>
      </w:tr>
    </w:tbl>
    <w:p>
      <w:pPr>
        <w:pStyle w:val="4"/>
        <w:spacing w:before="19" w:line="278" w:lineRule="auto"/>
        <w:ind w:left="212" w:right="282"/>
      </w:pPr>
      <w:r>
        <w:rPr>
          <w:spacing w:val="-2"/>
        </w:rPr>
        <w:t>我们在合同订立时已经知道您未如实告知的情况的，我们不得解除合同；发生保险事故的，我们承担给付保险金的责任。</w:t>
      </w:r>
    </w:p>
    <w:p>
      <w:pPr>
        <w:spacing w:after="0" w:line="278" w:lineRule="auto"/>
        <w:sectPr>
          <w:type w:val="continuous"/>
          <w:pgSz w:w="11910" w:h="16840"/>
          <w:pgMar w:top="1100" w:right="940" w:bottom="1180" w:left="920" w:header="0" w:footer="981" w:gutter="0"/>
          <w:cols w:equalWidth="0" w:num="2">
            <w:col w:w="2275" w:space="51"/>
            <w:col w:w="7724"/>
          </w:cols>
        </w:sectPr>
      </w:pPr>
    </w:p>
    <w:p>
      <w:pPr>
        <w:pStyle w:val="8"/>
        <w:numPr>
          <w:ilvl w:val="1"/>
          <w:numId w:val="9"/>
        </w:numPr>
        <w:tabs>
          <w:tab w:val="left" w:pos="1007"/>
          <w:tab w:val="left" w:pos="1008"/>
        </w:tabs>
        <w:spacing w:before="170" w:after="0" w:line="278" w:lineRule="auto"/>
        <w:ind w:left="1007" w:right="0" w:hanging="795"/>
        <w:jc w:val="left"/>
        <w:rPr>
          <w:b/>
          <w:sz w:val="21"/>
        </w:rPr>
      </w:pPr>
      <w:r>
        <w:rPr>
          <w:b/>
          <w:spacing w:val="-2"/>
          <w:sz w:val="21"/>
        </w:rPr>
        <w:t>本公司合同解除权的限制</w:t>
      </w:r>
    </w:p>
    <w:p>
      <w:pPr>
        <w:pStyle w:val="4"/>
        <w:spacing w:before="170" w:line="278" w:lineRule="auto"/>
        <w:ind w:left="212" w:right="274"/>
      </w:pPr>
      <w:r>
        <w:br w:type="column"/>
      </w:r>
      <w:r>
        <w:rPr>
          <w:spacing w:val="-4"/>
        </w:rPr>
        <w:t xml:space="preserve">前条规定的合同解除权，自我们知道有解除事由之日起，超过 </w:t>
      </w:r>
      <w:r>
        <w:rPr>
          <w:rFonts w:ascii="Times New Roman" w:eastAsia="Times New Roman"/>
          <w:spacing w:val="-2"/>
        </w:rPr>
        <w:t xml:space="preserve">30 </w:t>
      </w:r>
      <w:r>
        <w:rPr>
          <w:spacing w:val="-2"/>
        </w:rPr>
        <w:t>日不行使而消</w:t>
      </w:r>
      <w:r>
        <w:rPr>
          <w:spacing w:val="-6"/>
        </w:rPr>
        <w:t>灭。</w:t>
      </w:r>
    </w:p>
    <w:p>
      <w:pPr>
        <w:spacing w:after="0" w:line="278" w:lineRule="auto"/>
        <w:sectPr>
          <w:type w:val="continuous"/>
          <w:pgSz w:w="11910" w:h="16840"/>
          <w:pgMar w:top="1100" w:right="940" w:bottom="1180" w:left="920" w:header="0" w:footer="981" w:gutter="0"/>
          <w:cols w:equalWidth="0" w:num="2">
            <w:col w:w="2275" w:space="51"/>
            <w:col w:w="7724"/>
          </w:cols>
        </w:sectPr>
      </w:pPr>
    </w:p>
    <w:p>
      <w:pPr>
        <w:pStyle w:val="3"/>
        <w:numPr>
          <w:ilvl w:val="0"/>
          <w:numId w:val="11"/>
        </w:numPr>
        <w:tabs>
          <w:tab w:val="left" w:pos="1007"/>
          <w:tab w:val="left" w:pos="1008"/>
        </w:tabs>
        <w:spacing w:before="153" w:after="0" w:line="240" w:lineRule="auto"/>
        <w:ind w:left="1007" w:right="0" w:hanging="796"/>
        <w:jc w:val="left"/>
      </w:pPr>
      <w:r>
        <w:rPr>
          <w:w w:val="95"/>
        </w:rPr>
        <w:t>其他需要关</w:t>
      </w:r>
      <w:r>
        <w:rPr>
          <w:spacing w:val="-3"/>
          <w:w w:val="95"/>
        </w:rPr>
        <w:t>注的事项</w:t>
      </w:r>
    </w:p>
    <w:p>
      <w:pPr>
        <w:pStyle w:val="4"/>
        <w:spacing w:before="3"/>
        <w:ind w:left="0"/>
        <w:rPr>
          <w:b/>
          <w:sz w:val="10"/>
        </w:rPr>
      </w:pPr>
      <w:r>
        <w:drawing>
          <wp:anchor distT="0" distB="0" distL="0" distR="0" simplePos="0" relativeHeight="251660288" behindDoc="0" locked="0" layoutInCell="1" allowOverlap="1">
            <wp:simplePos x="0" y="0"/>
            <wp:positionH relativeFrom="page">
              <wp:posOffset>650240</wp:posOffset>
            </wp:positionH>
            <wp:positionV relativeFrom="paragraph">
              <wp:posOffset>98425</wp:posOffset>
            </wp:positionV>
            <wp:extent cx="6252210" cy="12065"/>
            <wp:effectExtent l="0" t="0" r="0" b="0"/>
            <wp:wrapTopAndBottom/>
            <wp:docPr id="1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png"/>
                    <pic:cNvPicPr>
                      <a:picLocks noChangeAspect="1"/>
                    </pic:cNvPicPr>
                  </pic:nvPicPr>
                  <pic:blipFill>
                    <a:blip r:embed="rId9" cstate="print"/>
                    <a:stretch>
                      <a:fillRect/>
                    </a:stretch>
                  </pic:blipFill>
                  <pic:spPr>
                    <a:xfrm>
                      <a:off x="0" y="0"/>
                      <a:ext cx="6252160" cy="12287"/>
                    </a:xfrm>
                    <a:prstGeom prst="rect">
                      <a:avLst/>
                    </a:prstGeom>
                  </pic:spPr>
                </pic:pic>
              </a:graphicData>
            </a:graphic>
          </wp:anchor>
        </w:drawing>
      </w:r>
    </w:p>
    <w:p>
      <w:pPr>
        <w:pStyle w:val="4"/>
        <w:spacing w:before="6"/>
        <w:ind w:left="0"/>
        <w:rPr>
          <w:b/>
          <w:sz w:val="7"/>
        </w:rPr>
      </w:pPr>
    </w:p>
    <w:p>
      <w:pPr>
        <w:spacing w:after="0"/>
        <w:rPr>
          <w:sz w:val="7"/>
        </w:rPr>
        <w:sectPr>
          <w:type w:val="continuous"/>
          <w:pgSz w:w="11910" w:h="16840"/>
          <w:pgMar w:top="1100" w:right="940" w:bottom="1180" w:left="920" w:header="0" w:footer="981" w:gutter="0"/>
          <w:cols w:space="720" w:num="1"/>
        </w:sectPr>
      </w:pPr>
    </w:p>
    <w:p>
      <w:pPr>
        <w:pStyle w:val="8"/>
        <w:numPr>
          <w:ilvl w:val="1"/>
          <w:numId w:val="11"/>
        </w:numPr>
        <w:tabs>
          <w:tab w:val="left" w:pos="1007"/>
          <w:tab w:val="left" w:pos="1008"/>
        </w:tabs>
        <w:spacing w:before="78" w:after="0" w:line="278" w:lineRule="auto"/>
        <w:ind w:left="1007" w:right="0" w:hanging="795"/>
        <w:jc w:val="left"/>
        <w:rPr>
          <w:b/>
          <w:sz w:val="21"/>
        </w:rPr>
      </w:pPr>
      <w:r>
        <w:rPr>
          <w:b/>
          <w:spacing w:val="-2"/>
          <w:sz w:val="21"/>
        </w:rPr>
        <w:t>职业或工种变</w:t>
      </w:r>
      <w:r>
        <w:rPr>
          <w:b/>
          <w:spacing w:val="-10"/>
          <w:sz w:val="21"/>
        </w:rPr>
        <w:t>更</w:t>
      </w:r>
    </w:p>
    <w:p>
      <w:pPr>
        <w:pStyle w:val="4"/>
        <w:spacing w:before="78" w:line="278" w:lineRule="auto"/>
        <w:ind w:left="212" w:right="167"/>
      </w:pPr>
      <w:r>
        <w:br w:type="column"/>
      </w:r>
      <w:r>
        <w:rPr>
          <w:spacing w:val="-11"/>
          <w:w w:val="100"/>
        </w:rPr>
        <w:t>被保险人变更其职业或工种的，您或被保险人应于</w:t>
      </w:r>
      <w:r>
        <w:rPr>
          <w:spacing w:val="-62"/>
        </w:rPr>
        <w:t xml:space="preserve"> </w:t>
      </w:r>
      <w:r>
        <w:rPr>
          <w:rFonts w:ascii="Times New Roman" w:eastAsia="Times New Roman"/>
          <w:spacing w:val="-3"/>
          <w:w w:val="100"/>
        </w:rPr>
        <w:t>1</w:t>
      </w:r>
      <w:r>
        <w:rPr>
          <w:rFonts w:ascii="Times New Roman" w:eastAsia="Times New Roman"/>
          <w:w w:val="100"/>
        </w:rPr>
        <w:t>0</w:t>
      </w:r>
      <w:r>
        <w:rPr>
          <w:rFonts w:ascii="Times New Roman" w:eastAsia="Times New Roman"/>
          <w:spacing w:val="-10"/>
        </w:rPr>
        <w:t xml:space="preserve"> </w:t>
      </w:r>
      <w:r>
        <w:rPr>
          <w:spacing w:val="-3"/>
          <w:w w:val="100"/>
        </w:rPr>
        <w:t>日内以书面形式通知我们。</w:t>
      </w:r>
      <w:r>
        <w:rPr>
          <w:w w:val="100"/>
        </w:rPr>
        <w:t>若按我们的职业分类，被保险人变更的职业或工种在拒保范围内的，自被保险人职业变更之日起，本合同终止，我们向您退还职业变更之日本合同的未到期</w:t>
      </w:r>
      <w:r>
        <w:rPr>
          <w:spacing w:val="-1"/>
          <w:w w:val="100"/>
        </w:rPr>
        <w:t>净保费。</w:t>
      </w:r>
    </w:p>
    <w:p>
      <w:pPr>
        <w:pStyle w:val="4"/>
        <w:spacing w:line="278" w:lineRule="auto"/>
        <w:ind w:left="212" w:right="167"/>
      </w:pPr>
      <w:r>
        <w:rPr>
          <w:color w:val="000000"/>
          <w:spacing w:val="-4"/>
          <w:w w:val="100"/>
          <w:shd w:val="clear" w:color="auto" w:fill="D9D9D9"/>
        </w:rPr>
        <w:t xml:space="preserve">被保险人变更其职业或工种但未按前款规定通知我们的，若按我们的职业分类，                                                                                                                                        </w:t>
      </w:r>
      <w:r>
        <w:rPr>
          <w:color w:val="000000"/>
          <w:w w:val="100"/>
          <w:shd w:val="clear" w:color="auto" w:fill="D9D9D9"/>
        </w:rPr>
        <w:t>被保险人变更的职业或工种在拒保范围内的，我们对被保险人职业变更后发生</w:t>
      </w:r>
      <w:r>
        <w:rPr>
          <w:color w:val="000000"/>
          <w:spacing w:val="-5"/>
          <w:w w:val="100"/>
          <w:shd w:val="clear" w:color="auto" w:fill="D9D9D9"/>
        </w:rPr>
        <w:t>的保险事故不承担保险责任，</w:t>
      </w:r>
      <w:r>
        <w:rPr>
          <w:color w:val="000000"/>
          <w:spacing w:val="-3"/>
          <w:w w:val="100"/>
        </w:rPr>
        <w:t>但向您退还职业变更之日本合同的未到期净保费。</w:t>
      </w:r>
    </w:p>
    <w:p>
      <w:pPr>
        <w:spacing w:after="0" w:line="278" w:lineRule="auto"/>
        <w:sectPr>
          <w:type w:val="continuous"/>
          <w:pgSz w:w="11910" w:h="16840"/>
          <w:pgMar w:top="1100" w:right="940" w:bottom="1180" w:left="920" w:header="0" w:footer="981" w:gutter="0"/>
          <w:cols w:equalWidth="0" w:num="2">
            <w:col w:w="2275" w:space="51"/>
            <w:col w:w="7724"/>
          </w:cols>
        </w:sectPr>
      </w:pPr>
    </w:p>
    <w:p>
      <w:pPr>
        <w:pStyle w:val="8"/>
        <w:numPr>
          <w:ilvl w:val="1"/>
          <w:numId w:val="11"/>
        </w:numPr>
        <w:tabs>
          <w:tab w:val="left" w:pos="1007"/>
          <w:tab w:val="left" w:pos="1008"/>
          <w:tab w:val="left" w:pos="2538"/>
        </w:tabs>
        <w:spacing w:before="168" w:after="0" w:line="278" w:lineRule="auto"/>
        <w:ind w:left="2538" w:right="282" w:hanging="2326"/>
        <w:jc w:val="left"/>
        <w:rPr>
          <w:sz w:val="21"/>
        </w:rPr>
      </w:pPr>
      <w:r>
        <w:rPr>
          <w:b/>
          <w:spacing w:val="-4"/>
          <w:sz w:val="21"/>
        </w:rPr>
        <w:t>年龄错误</w:t>
      </w:r>
      <w:r>
        <w:rPr>
          <w:b/>
          <w:sz w:val="21"/>
        </w:rPr>
        <w:tab/>
      </w:r>
      <w:r>
        <w:rPr>
          <w:spacing w:val="-2"/>
          <w:sz w:val="21"/>
        </w:rPr>
        <w:t>您在申请投保时，应填明与有效身份证件相符的被保险人的出生日期，如果发生错误按照下列方式办理：</w:t>
      </w:r>
    </w:p>
    <w:p>
      <w:pPr>
        <w:pStyle w:val="4"/>
        <w:spacing w:line="278" w:lineRule="auto"/>
        <w:ind w:right="171"/>
      </w:pPr>
      <w:r>
        <w:rPr>
          <w:rFonts w:ascii="Times New Roman" w:hAnsi="Times New Roman" w:eastAsia="Times New Roman"/>
          <w:color w:val="000000"/>
          <w:w w:val="100"/>
          <w:shd w:val="clear" w:color="auto" w:fill="D2D2D2"/>
        </w:rPr>
        <w:t>1.</w:t>
      </w:r>
      <w:r>
        <w:rPr>
          <w:rFonts w:ascii="Times New Roman" w:hAnsi="Times New Roman" w:eastAsia="Times New Roman"/>
          <w:color w:val="000000"/>
          <w:w w:val="100"/>
          <w:position w:val="-5"/>
        </w:rPr>
        <w:drawing>
          <wp:inline distT="0" distB="0" distL="0" distR="0">
            <wp:extent cx="66675" cy="173990"/>
            <wp:effectExtent l="0" t="0" r="0" b="0"/>
            <wp:docPr id="2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7.png"/>
                    <pic:cNvPicPr>
                      <a:picLocks noChangeAspect="1"/>
                    </pic:cNvPicPr>
                  </pic:nvPicPr>
                  <pic:blipFill>
                    <a:blip r:embed="rId13" cstate="print"/>
                    <a:stretch>
                      <a:fillRect/>
                    </a:stretch>
                  </pic:blipFill>
                  <pic:spPr>
                    <a:xfrm>
                      <a:off x="0" y="0"/>
                      <a:ext cx="67056" cy="174040"/>
                    </a:xfrm>
                    <a:prstGeom prst="rect">
                      <a:avLst/>
                    </a:prstGeom>
                  </pic:spPr>
                </pic:pic>
              </a:graphicData>
            </a:graphic>
          </wp:inline>
        </w:drawing>
      </w:r>
      <w:r>
        <w:rPr>
          <w:color w:val="000000"/>
          <w:w w:val="100"/>
          <w:shd w:val="clear" w:color="auto" w:fill="D2D2D2"/>
        </w:rPr>
        <w:t>您申报的被保险人年</w:t>
      </w:r>
      <w:r>
        <w:rPr>
          <w:color w:val="000000"/>
          <w:spacing w:val="-3"/>
          <w:w w:val="100"/>
          <w:shd w:val="clear" w:color="auto" w:fill="D2D2D2"/>
        </w:rPr>
        <w:t>龄</w:t>
      </w:r>
      <w:r>
        <w:rPr>
          <w:color w:val="000000"/>
          <w:w w:val="100"/>
          <w:shd w:val="clear" w:color="auto" w:fill="D2D2D2"/>
        </w:rPr>
        <w:t>不真实，并且其真实年</w:t>
      </w:r>
      <w:r>
        <w:rPr>
          <w:color w:val="000000"/>
          <w:spacing w:val="-3"/>
          <w:w w:val="100"/>
          <w:shd w:val="clear" w:color="auto" w:fill="D2D2D2"/>
        </w:rPr>
        <w:t>龄</w:t>
      </w:r>
      <w:r>
        <w:rPr>
          <w:color w:val="000000"/>
          <w:w w:val="100"/>
          <w:shd w:val="clear" w:color="auto" w:fill="D2D2D2"/>
        </w:rPr>
        <w:t>不符合本合同约定投保</w:t>
      </w:r>
      <w:r>
        <w:rPr>
          <w:color w:val="000000"/>
          <w:spacing w:val="-3"/>
          <w:w w:val="100"/>
          <w:shd w:val="clear" w:color="auto" w:fill="D2D2D2"/>
        </w:rPr>
        <w:t>年</w:t>
      </w:r>
      <w:r>
        <w:rPr>
          <w:color w:val="000000"/>
          <w:w w:val="100"/>
          <w:shd w:val="clear" w:color="auto" w:fill="D2D2D2"/>
        </w:rPr>
        <w:t xml:space="preserve">龄                                                                                                                                        </w:t>
      </w:r>
      <w:r>
        <w:rPr>
          <w:color w:val="000000"/>
          <w:spacing w:val="-5"/>
          <w:w w:val="100"/>
          <w:shd w:val="clear" w:color="auto" w:fill="D2D2D2"/>
        </w:rPr>
        <w:t>限制的，我们有权解除本合同。对于解除本合同的，本合同自解除之日起终止，</w:t>
      </w:r>
      <w:r>
        <w:rPr>
          <w:color w:val="000000"/>
          <w:w w:val="100"/>
          <w:shd w:val="clear" w:color="auto" w:fill="D2D2D2"/>
        </w:rPr>
        <w:t>我们向您退还本合同终止时的未到期净保费。对于本合同解除前发生的保险事故，我们不承担给付保险金的责任。</w:t>
      </w:r>
      <w:r>
        <w:rPr>
          <w:color w:val="000000"/>
          <w:w w:val="100"/>
        </w:rPr>
        <w:t>我们行使合同解除权适用“本公司合同解</w:t>
      </w:r>
    </w:p>
    <w:p>
      <w:pPr>
        <w:spacing w:after="0" w:line="278" w:lineRule="auto"/>
        <w:sectPr>
          <w:type w:val="continuous"/>
          <w:pgSz w:w="11910" w:h="16840"/>
          <w:pgMar w:top="1100" w:right="940" w:bottom="1180" w:left="920" w:header="0" w:footer="981" w:gutter="0"/>
          <w:cols w:space="720" w:num="1"/>
        </w:sectPr>
      </w:pPr>
    </w:p>
    <w:p>
      <w:pPr>
        <w:pStyle w:val="4"/>
        <w:spacing w:before="57"/>
      </w:pPr>
      <w:r>
        <w:rPr>
          <w:spacing w:val="-3"/>
        </w:rPr>
        <w:t>除权的限制”的规定。</w:t>
      </w:r>
    </w:p>
    <w:p>
      <w:pPr>
        <w:pStyle w:val="8"/>
        <w:numPr>
          <w:ilvl w:val="0"/>
          <w:numId w:val="12"/>
        </w:numPr>
        <w:tabs>
          <w:tab w:val="left" w:pos="2803"/>
        </w:tabs>
        <w:spacing w:before="43" w:after="0" w:line="278" w:lineRule="auto"/>
        <w:ind w:left="2538" w:right="278" w:firstLine="0"/>
        <w:jc w:val="both"/>
        <w:rPr>
          <w:sz w:val="21"/>
        </w:rPr>
      </w:pPr>
      <w:r>
        <w:rPr>
          <w:spacing w:val="-2"/>
          <w:sz w:val="21"/>
        </w:rPr>
        <w:t>您申报的被保险人年龄不真实，致使您实付保险费少于应付保险费的，我们有权更正并要求您补交保险费。</w:t>
      </w:r>
      <w:r>
        <w:rPr>
          <w:b/>
          <w:spacing w:val="-2"/>
          <w:sz w:val="21"/>
        </w:rPr>
        <w:t>若已经发生保险事故，在给付保险金时按实付保险费和应付保险费的比例给付</w:t>
      </w:r>
      <w:r>
        <w:rPr>
          <w:spacing w:val="-2"/>
          <w:sz w:val="21"/>
        </w:rPr>
        <w:t>。</w:t>
      </w:r>
    </w:p>
    <w:p>
      <w:pPr>
        <w:pStyle w:val="8"/>
        <w:numPr>
          <w:ilvl w:val="0"/>
          <w:numId w:val="12"/>
        </w:numPr>
        <w:tabs>
          <w:tab w:val="left" w:pos="2803"/>
        </w:tabs>
        <w:spacing w:before="0" w:after="0" w:line="278" w:lineRule="auto"/>
        <w:ind w:left="2538" w:right="278" w:firstLine="0"/>
        <w:jc w:val="both"/>
        <w:rPr>
          <w:sz w:val="21"/>
        </w:rPr>
      </w:pPr>
      <w:r>
        <w:rPr>
          <w:spacing w:val="-2"/>
          <w:sz w:val="21"/>
        </w:rPr>
        <w:t>您申报的被保险人年龄不真实，致使您实付保险费多于应付保险费的，我们会将多收的保险费无息退还给您。</w:t>
      </w:r>
    </w:p>
    <w:p>
      <w:pPr>
        <w:pStyle w:val="8"/>
        <w:numPr>
          <w:ilvl w:val="1"/>
          <w:numId w:val="11"/>
        </w:numPr>
        <w:tabs>
          <w:tab w:val="left" w:pos="1008"/>
        </w:tabs>
        <w:spacing w:before="170" w:after="0" w:line="278" w:lineRule="auto"/>
        <w:ind w:left="2538" w:right="282" w:hanging="2326"/>
        <w:jc w:val="both"/>
        <w:rPr>
          <w:sz w:val="21"/>
        </w:rPr>
      </w:pPr>
      <w:r>
        <w:rPr>
          <w:b/>
          <w:spacing w:val="11"/>
          <w:sz w:val="21"/>
        </w:rPr>
        <w:t xml:space="preserve">合同内容变更 </w:t>
      </w:r>
      <w:r>
        <w:rPr>
          <w:sz w:val="21"/>
        </w:rPr>
        <w:t>在本合同有效期间内，除本合同另有约定外，经您与我们协商一致，可以变更</w:t>
      </w:r>
      <w:r>
        <w:rPr>
          <w:spacing w:val="-2"/>
          <w:sz w:val="21"/>
        </w:rPr>
        <w:t>本合同的有关内容。您提出变更申请后，应当由我们在原保险单或者其他有效的保险凭证上批注或者附贴批单，或由您与我们订立书面的变更协议后，该变</w:t>
      </w:r>
      <w:r>
        <w:rPr>
          <w:spacing w:val="-4"/>
          <w:sz w:val="21"/>
        </w:rPr>
        <w:t>更生效。</w:t>
      </w:r>
    </w:p>
    <w:p>
      <w:pPr>
        <w:spacing w:after="0" w:line="278" w:lineRule="auto"/>
        <w:jc w:val="both"/>
        <w:rPr>
          <w:sz w:val="21"/>
        </w:rPr>
        <w:sectPr>
          <w:pgSz w:w="11910" w:h="16840"/>
          <w:pgMar w:top="1080" w:right="940" w:bottom="1180" w:left="920" w:header="0" w:footer="981" w:gutter="0"/>
          <w:cols w:space="720" w:num="1"/>
        </w:sectPr>
      </w:pPr>
    </w:p>
    <w:p>
      <w:pPr>
        <w:pStyle w:val="8"/>
        <w:numPr>
          <w:ilvl w:val="1"/>
          <w:numId w:val="11"/>
        </w:numPr>
        <w:tabs>
          <w:tab w:val="left" w:pos="1007"/>
          <w:tab w:val="left" w:pos="1008"/>
        </w:tabs>
        <w:spacing w:before="171" w:after="0" w:line="278" w:lineRule="auto"/>
        <w:ind w:left="1007" w:right="0" w:hanging="795"/>
        <w:jc w:val="left"/>
        <w:rPr>
          <w:b/>
          <w:sz w:val="21"/>
        </w:rPr>
      </w:pPr>
      <w:r>
        <w:rPr>
          <w:b/>
          <w:spacing w:val="-2"/>
          <w:sz w:val="21"/>
        </w:rPr>
        <w:t>通讯方式变更</w:t>
      </w:r>
      <w:r>
        <w:rPr>
          <w:b/>
          <w:spacing w:val="-4"/>
          <w:sz w:val="21"/>
        </w:rPr>
        <w:t>的通知</w:t>
      </w:r>
    </w:p>
    <w:p>
      <w:pPr>
        <w:pStyle w:val="4"/>
        <w:spacing w:before="171" w:line="278" w:lineRule="auto"/>
        <w:ind w:left="212" w:right="275"/>
        <w:jc w:val="both"/>
      </w:pPr>
      <w:r>
        <w:br w:type="column"/>
      </w:r>
      <w:r>
        <w:rPr>
          <w:spacing w:val="-2"/>
        </w:rPr>
        <w:t>为了保障您的合法权益，您的住所、通讯地址或电话等联系方式变更时，请及时以书面或双方认可的其他方式通知我们。若您未以书面或双方认可的其他方式通知我们，我们按本合同载明的最后住所、通讯地址或电话、手机短信等联系方式所发送的有关通知，均视为已送达给您。</w:t>
      </w:r>
    </w:p>
    <w:p>
      <w:pPr>
        <w:spacing w:after="0" w:line="278" w:lineRule="auto"/>
        <w:jc w:val="both"/>
        <w:sectPr>
          <w:type w:val="continuous"/>
          <w:pgSz w:w="11910" w:h="16840"/>
          <w:pgMar w:top="1100" w:right="940" w:bottom="1180" w:left="920" w:header="0" w:footer="981" w:gutter="0"/>
          <w:cols w:equalWidth="0" w:num="2">
            <w:col w:w="2275" w:space="51"/>
            <w:col w:w="7724"/>
          </w:cols>
        </w:sectPr>
      </w:pPr>
    </w:p>
    <w:p>
      <w:pPr>
        <w:pStyle w:val="8"/>
        <w:numPr>
          <w:ilvl w:val="1"/>
          <w:numId w:val="11"/>
        </w:numPr>
        <w:tabs>
          <w:tab w:val="left" w:pos="1007"/>
          <w:tab w:val="left" w:pos="1008"/>
          <w:tab w:val="left" w:pos="2538"/>
        </w:tabs>
        <w:spacing w:before="170" w:after="0" w:line="278" w:lineRule="auto"/>
        <w:ind w:left="2538" w:right="278" w:hanging="2326"/>
        <w:jc w:val="left"/>
        <w:rPr>
          <w:sz w:val="21"/>
        </w:rPr>
      </w:pPr>
      <w:r>
        <w:rPr>
          <w:b/>
          <w:spacing w:val="-4"/>
          <w:sz w:val="21"/>
        </w:rPr>
        <w:t>争议处理</w:t>
      </w:r>
      <w:r>
        <w:rPr>
          <w:b/>
          <w:sz w:val="21"/>
        </w:rPr>
        <w:tab/>
      </w:r>
      <w:r>
        <w:rPr>
          <w:spacing w:val="-2"/>
          <w:sz w:val="21"/>
        </w:rPr>
        <w:t>本合同履行过程中，双方发生争议时，应当协商解决，协商不成的，由当事人约定从下列两种方式中选择一种：</w:t>
      </w:r>
    </w:p>
    <w:p>
      <w:pPr>
        <w:pStyle w:val="8"/>
        <w:numPr>
          <w:ilvl w:val="2"/>
          <w:numId w:val="11"/>
        </w:numPr>
        <w:tabs>
          <w:tab w:val="left" w:pos="2803"/>
        </w:tabs>
        <w:spacing w:before="0" w:after="0" w:line="269" w:lineRule="exact"/>
        <w:ind w:left="2802" w:right="0" w:hanging="265"/>
        <w:jc w:val="left"/>
        <w:rPr>
          <w:rFonts w:ascii="Times New Roman" w:eastAsia="Times New Roman"/>
          <w:sz w:val="21"/>
        </w:rPr>
      </w:pPr>
      <w:r>
        <w:rPr>
          <w:spacing w:val="-3"/>
          <w:sz w:val="21"/>
        </w:rPr>
        <w:t>提交双方共同选择的仲裁委员会仲裁；</w:t>
      </w:r>
    </w:p>
    <w:p>
      <w:pPr>
        <w:pStyle w:val="8"/>
        <w:numPr>
          <w:ilvl w:val="2"/>
          <w:numId w:val="11"/>
        </w:numPr>
        <w:tabs>
          <w:tab w:val="left" w:pos="2803"/>
        </w:tabs>
        <w:spacing w:before="43" w:after="0" w:line="240" w:lineRule="auto"/>
        <w:ind w:left="2802" w:right="0" w:hanging="265"/>
        <w:jc w:val="left"/>
        <w:rPr>
          <w:rFonts w:ascii="Times New Roman" w:eastAsia="Times New Roman"/>
          <w:sz w:val="21"/>
        </w:rPr>
      </w:pPr>
      <w:r>
        <w:rPr>
          <w:spacing w:val="-3"/>
          <w:sz w:val="21"/>
        </w:rPr>
        <w:t>依法向被告所在地人民法院或其他有管辖权的人民法院起诉。</w:t>
      </w:r>
    </w:p>
    <w:p>
      <w:pPr>
        <w:pStyle w:val="4"/>
        <w:spacing w:before="6"/>
        <w:ind w:left="0"/>
        <w:rPr>
          <w:sz w:val="10"/>
        </w:rPr>
      </w:pPr>
    </w:p>
    <w:p>
      <w:pPr>
        <w:spacing w:after="0"/>
        <w:rPr>
          <w:sz w:val="10"/>
        </w:rPr>
        <w:sectPr>
          <w:type w:val="continuous"/>
          <w:pgSz w:w="11910" w:h="16840"/>
          <w:pgMar w:top="1100" w:right="940" w:bottom="1180" w:left="920" w:header="0" w:footer="981" w:gutter="0"/>
          <w:cols w:space="720" w:num="1"/>
        </w:sectPr>
      </w:pPr>
    </w:p>
    <w:p>
      <w:pPr>
        <w:pStyle w:val="8"/>
        <w:numPr>
          <w:ilvl w:val="1"/>
          <w:numId w:val="11"/>
        </w:numPr>
        <w:tabs>
          <w:tab w:val="left" w:pos="1007"/>
          <w:tab w:val="left" w:pos="1008"/>
        </w:tabs>
        <w:spacing w:before="79" w:after="0" w:line="278" w:lineRule="auto"/>
        <w:ind w:left="1007" w:right="175" w:hanging="795"/>
        <w:jc w:val="left"/>
        <w:rPr>
          <w:b/>
          <w:sz w:val="21"/>
        </w:rPr>
      </w:pPr>
      <w:r>
        <w:rPr>
          <w:b/>
          <w:spacing w:val="-2"/>
          <w:sz w:val="21"/>
        </w:rPr>
        <w:t>身体检查与保险事故鉴定</w:t>
      </w:r>
    </w:p>
    <w:p>
      <w:pPr>
        <w:pStyle w:val="4"/>
        <w:ind w:left="0"/>
        <w:rPr>
          <w:b/>
          <w:sz w:val="20"/>
        </w:rPr>
      </w:pPr>
    </w:p>
    <w:p>
      <w:pPr>
        <w:pStyle w:val="4"/>
        <w:ind w:left="0"/>
        <w:rPr>
          <w:b/>
          <w:sz w:val="20"/>
        </w:rPr>
      </w:pPr>
    </w:p>
    <w:p>
      <w:pPr>
        <w:pStyle w:val="4"/>
        <w:spacing w:before="7"/>
        <w:ind w:left="0"/>
        <w:rPr>
          <w:b/>
          <w:sz w:val="20"/>
        </w:rPr>
      </w:pPr>
    </w:p>
    <w:p>
      <w:pPr>
        <w:pStyle w:val="3"/>
        <w:numPr>
          <w:ilvl w:val="0"/>
          <w:numId w:val="11"/>
        </w:numPr>
        <w:tabs>
          <w:tab w:val="left" w:pos="1007"/>
          <w:tab w:val="left" w:pos="1008"/>
        </w:tabs>
        <w:spacing w:before="1" w:after="0" w:line="240" w:lineRule="auto"/>
        <w:ind w:left="1007" w:right="0" w:hanging="796"/>
        <w:jc w:val="left"/>
      </w:pPr>
      <w:r>
        <w:rPr>
          <w:w w:val="95"/>
        </w:rPr>
        <w:t>重大疾病定</w:t>
      </w:r>
      <w:r>
        <w:rPr>
          <w:spacing w:val="-10"/>
          <w:w w:val="95"/>
        </w:rPr>
        <w:t>义</w:t>
      </w:r>
    </w:p>
    <w:p>
      <w:pPr>
        <w:pStyle w:val="4"/>
        <w:spacing w:before="79" w:line="278" w:lineRule="auto"/>
        <w:ind w:left="46" w:right="277"/>
        <w:jc w:val="both"/>
      </w:pPr>
      <w:r>
        <w:br w:type="column"/>
      </w:r>
      <w:r>
        <w:rPr>
          <w:spacing w:val="-2"/>
        </w:rPr>
        <w:t>保险金受益人申请本合同保险金时，我们有权要求尸检或要求被保险人做身体检查或提供有关的检验报告，费用由我们承担。发生保险事故的，您和我们均可以委托保险公估机构等依法设立的独立评估机构或者具有相关专业知识的人员，对保险事故进行评估和鉴定。</w:t>
      </w:r>
    </w:p>
    <w:p>
      <w:pPr>
        <w:spacing w:after="0" w:line="278" w:lineRule="auto"/>
        <w:jc w:val="both"/>
        <w:sectPr>
          <w:type w:val="continuous"/>
          <w:pgSz w:w="11910" w:h="16840"/>
          <w:pgMar w:top="1100" w:right="940" w:bottom="1180" w:left="920" w:header="0" w:footer="981" w:gutter="0"/>
          <w:cols w:equalWidth="0" w:num="2">
            <w:col w:w="2453" w:space="40"/>
            <w:col w:w="7557"/>
          </w:cols>
        </w:sectPr>
      </w:pPr>
    </w:p>
    <w:p>
      <w:pPr>
        <w:pStyle w:val="4"/>
        <w:spacing w:before="1"/>
        <w:ind w:left="0"/>
        <w:rPr>
          <w:sz w:val="12"/>
        </w:rPr>
      </w:pPr>
    </w:p>
    <w:p>
      <w:pPr>
        <w:pStyle w:val="4"/>
        <w:spacing w:line="20" w:lineRule="exact"/>
        <w:ind w:left="104"/>
        <w:rPr>
          <w:sz w:val="2"/>
        </w:rPr>
      </w:pPr>
      <w:r>
        <w:rPr>
          <w:sz w:val="2"/>
        </w:rPr>
        <w:drawing>
          <wp:inline distT="0" distB="0" distL="0" distR="0">
            <wp:extent cx="6252210" cy="12065"/>
            <wp:effectExtent l="0" t="0" r="0" b="0"/>
            <wp:docPr id="2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3.png"/>
                    <pic:cNvPicPr>
                      <a:picLocks noChangeAspect="1"/>
                    </pic:cNvPicPr>
                  </pic:nvPicPr>
                  <pic:blipFill>
                    <a:blip r:embed="rId9" cstate="print"/>
                    <a:stretch>
                      <a:fillRect/>
                    </a:stretch>
                  </pic:blipFill>
                  <pic:spPr>
                    <a:xfrm>
                      <a:off x="0" y="0"/>
                      <a:ext cx="6252355" cy="12287"/>
                    </a:xfrm>
                    <a:prstGeom prst="rect">
                      <a:avLst/>
                    </a:prstGeom>
                  </pic:spPr>
                </pic:pic>
              </a:graphicData>
            </a:graphic>
          </wp:inline>
        </w:drawing>
      </w:r>
    </w:p>
    <w:p>
      <w:pPr>
        <w:pStyle w:val="4"/>
        <w:spacing w:before="9"/>
        <w:ind w:left="0"/>
        <w:rPr>
          <w:sz w:val="7"/>
        </w:rPr>
      </w:pPr>
    </w:p>
    <w:p>
      <w:pPr>
        <w:pStyle w:val="4"/>
        <w:spacing w:before="72" w:line="278" w:lineRule="auto"/>
        <w:ind w:left="1007" w:right="273"/>
      </w:pPr>
      <w:r>
        <w:rPr>
          <w:spacing w:val="-5"/>
        </w:rPr>
        <w:t>本合同所指重大疾病是指被保险人首次发生符合下列定义的疾病，或首次接受符合下列定义的手</w:t>
      </w:r>
      <w:r>
        <w:t>术。该疾病或手术应当由</w:t>
      </w:r>
      <w:r>
        <w:rPr>
          <w:b/>
        </w:rPr>
        <w:t>专科医生</w:t>
      </w:r>
      <w:r>
        <w:t>（</w:t>
      </w:r>
      <w:r>
        <w:rPr>
          <w:spacing w:val="-21"/>
        </w:rPr>
        <w:t xml:space="preserve">见 </w:t>
      </w:r>
      <w:r>
        <w:rPr>
          <w:rFonts w:ascii="Times New Roman" w:eastAsia="Times New Roman"/>
        </w:rPr>
        <w:t>9.36</w:t>
      </w:r>
      <w:r>
        <w:t>）明确诊断。</w:t>
      </w:r>
    </w:p>
    <w:p>
      <w:pPr>
        <w:pStyle w:val="4"/>
        <w:spacing w:line="278" w:lineRule="auto"/>
        <w:ind w:left="1007" w:right="316"/>
      </w:pPr>
      <w:r>
        <w:rPr>
          <w:spacing w:val="-5"/>
        </w:rPr>
        <w:t xml:space="preserve">本合同所保障的重大疾病共 </w:t>
      </w:r>
      <w:r>
        <w:rPr>
          <w:rFonts w:ascii="Times New Roman" w:eastAsia="Times New Roman"/>
        </w:rPr>
        <w:t>25</w:t>
      </w:r>
      <w:r>
        <w:rPr>
          <w:rFonts w:ascii="Times New Roman" w:eastAsia="Times New Roman"/>
          <w:spacing w:val="-14"/>
        </w:rPr>
        <w:t xml:space="preserve"> </w:t>
      </w:r>
      <w:r>
        <w:t>种，采用中国保险行业协会颁布的《重大疾病保险的疾病定义使</w:t>
      </w:r>
      <w:r>
        <w:rPr>
          <w:spacing w:val="-2"/>
        </w:rPr>
        <w:t>用规范》中的疾病定义。</w:t>
      </w:r>
    </w:p>
    <w:p>
      <w:pPr>
        <w:pStyle w:val="8"/>
        <w:numPr>
          <w:ilvl w:val="1"/>
          <w:numId w:val="11"/>
        </w:numPr>
        <w:tabs>
          <w:tab w:val="left" w:pos="1008"/>
        </w:tabs>
        <w:spacing w:before="170" w:after="0" w:line="278" w:lineRule="auto"/>
        <w:ind w:left="2538" w:right="177" w:hanging="2326"/>
        <w:jc w:val="both"/>
        <w:rPr>
          <w:sz w:val="21"/>
        </w:rPr>
      </w:pPr>
      <w:r>
        <w:rPr>
          <w:b/>
          <w:w w:val="100"/>
          <w:sz w:val="21"/>
        </w:rPr>
        <w:t>恶性肿瘤</w:t>
      </w:r>
      <w:r>
        <w:rPr>
          <w:b/>
          <w:spacing w:val="8"/>
          <w:sz w:val="21"/>
        </w:rPr>
        <w:t xml:space="preserve">      </w:t>
      </w:r>
      <w:r>
        <w:rPr>
          <w:w w:val="100"/>
          <w:sz w:val="21"/>
        </w:rPr>
        <w:t>指恶性细胞不受控制的进行性增长和扩散，浸润和破坏周围正常组织，可以经血管、淋巴管和体腔扩散转移到身体其它部位的疾病。经病理学检查结果明确</w:t>
      </w:r>
      <w:r>
        <w:rPr>
          <w:spacing w:val="8"/>
          <w:w w:val="100"/>
          <w:sz w:val="21"/>
        </w:rPr>
        <w:t>诊断，临床诊断属于世界卫生组织《疾病和有关健康问题的国际统计分类》</w:t>
      </w:r>
    </w:p>
    <w:p>
      <w:pPr>
        <w:pStyle w:val="4"/>
      </w:pPr>
      <w:r>
        <w:pict>
          <v:shape id="docshape3" o:spid="_x0000_s1027" o:spt="202" type="#_x0000_t202" style="position:absolute;left:0pt;margin-left:172.9pt;margin-top:14.45pt;height:14.8pt;width:126.15pt;mso-position-horizontal-relative:page;mso-wrap-distance-bottom:0pt;mso-wrap-distance-top:0pt;z-index:-251648000;mso-width-relative:page;mso-height-relative:page;" fillcolor="#D2D2D2" filled="t" stroked="f" coordsize="21600,21600">
            <v:path/>
            <v:fill on="t" focussize="0,0"/>
            <v:stroke on="f" joinstyle="miter"/>
            <v:imagedata o:title=""/>
            <o:lock v:ext="edit"/>
            <v:textbox inset="0mm,0mm,0mm,0mm">
              <w:txbxContent>
                <w:p>
                  <w:pPr>
                    <w:pStyle w:val="4"/>
                    <w:spacing w:before="23"/>
                    <w:ind w:left="0"/>
                    <w:rPr>
                      <w:color w:val="000000"/>
                    </w:rPr>
                  </w:pPr>
                  <w:r>
                    <w:rPr>
                      <w:color w:val="000000"/>
                      <w:spacing w:val="-3"/>
                    </w:rPr>
                    <w:t>下列疾病不在保障范围内：</w:t>
                  </w:r>
                </w:p>
              </w:txbxContent>
            </v:textbox>
            <w10:wrap type="topAndBottom"/>
          </v:shape>
        </w:pict>
      </w:r>
      <w:r>
        <w:rPr>
          <w:spacing w:val="-2"/>
        </w:rPr>
        <w:t>（</w:t>
      </w:r>
      <w:r>
        <w:rPr>
          <w:rFonts w:ascii="Times New Roman" w:eastAsia="Times New Roman"/>
          <w:spacing w:val="-2"/>
        </w:rPr>
        <w:t>ICD</w:t>
      </w:r>
      <w:r>
        <w:rPr>
          <w:spacing w:val="-2"/>
        </w:rPr>
        <w:t>-</w:t>
      </w:r>
      <w:r>
        <w:rPr>
          <w:rFonts w:ascii="Times New Roman" w:eastAsia="Times New Roman"/>
          <w:spacing w:val="-2"/>
        </w:rPr>
        <w:t>10</w:t>
      </w:r>
      <w:r>
        <w:rPr>
          <w:spacing w:val="-2"/>
        </w:rPr>
        <w:t>）</w:t>
      </w:r>
      <w:r>
        <w:rPr>
          <w:spacing w:val="-4"/>
        </w:rPr>
        <w:t>的恶性肿瘤范畴。</w:t>
      </w:r>
    </w:p>
    <w:p>
      <w:pPr>
        <w:pStyle w:val="8"/>
        <w:numPr>
          <w:ilvl w:val="2"/>
          <w:numId w:val="11"/>
        </w:numPr>
        <w:tabs>
          <w:tab w:val="left" w:pos="2699"/>
        </w:tabs>
        <w:spacing w:before="39" w:after="0" w:line="240" w:lineRule="auto"/>
        <w:ind w:left="2698" w:right="0" w:hanging="161"/>
        <w:jc w:val="left"/>
        <w:rPr>
          <w:rFonts w:ascii="Times New Roman" w:eastAsia="Times New Roman"/>
          <w:sz w:val="19"/>
        </w:rPr>
      </w:pPr>
      <w:r>
        <w:rPr>
          <w:color w:val="000000"/>
          <w:spacing w:val="-4"/>
          <w:sz w:val="21"/>
          <w:shd w:val="clear" w:color="auto" w:fill="D2D2D2"/>
        </w:rPr>
        <w:t>原位癌；</w:t>
      </w:r>
    </w:p>
    <w:p>
      <w:pPr>
        <w:pStyle w:val="8"/>
        <w:numPr>
          <w:ilvl w:val="2"/>
          <w:numId w:val="11"/>
        </w:numPr>
        <w:tabs>
          <w:tab w:val="left" w:pos="2699"/>
        </w:tabs>
        <w:spacing w:before="43" w:after="0" w:line="240" w:lineRule="auto"/>
        <w:ind w:left="2698" w:right="0" w:hanging="161"/>
        <w:jc w:val="left"/>
        <w:rPr>
          <w:rFonts w:ascii="Times New Roman" w:eastAsia="Times New Roman"/>
          <w:sz w:val="19"/>
        </w:rPr>
      </w:pPr>
      <w:r>
        <w:rPr>
          <w:color w:val="000000"/>
          <w:spacing w:val="16"/>
          <w:sz w:val="21"/>
          <w:shd w:val="clear" w:color="auto" w:fill="D2D2D2"/>
        </w:rPr>
        <w:t>相当于</w:t>
      </w:r>
      <w:r>
        <w:rPr>
          <w:rFonts w:ascii="Times New Roman" w:eastAsia="Times New Roman"/>
          <w:color w:val="000000"/>
          <w:sz w:val="21"/>
          <w:shd w:val="clear" w:color="auto" w:fill="D2D2D2"/>
        </w:rPr>
        <w:t>Binet</w:t>
      </w:r>
      <w:r>
        <w:rPr>
          <w:rFonts w:ascii="Times New Roman" w:eastAsia="Times New Roman"/>
          <w:color w:val="000000"/>
          <w:spacing w:val="27"/>
          <w:sz w:val="21"/>
          <w:shd w:val="clear" w:color="auto" w:fill="D2D2D2"/>
        </w:rPr>
        <w:t xml:space="preserve"> </w:t>
      </w:r>
      <w:r>
        <w:rPr>
          <w:color w:val="000000"/>
          <w:spacing w:val="12"/>
          <w:sz w:val="21"/>
          <w:shd w:val="clear" w:color="auto" w:fill="D2D2D2"/>
        </w:rPr>
        <w:t>分期方案</w:t>
      </w:r>
      <w:r>
        <w:rPr>
          <w:rFonts w:ascii="Times New Roman" w:eastAsia="Times New Roman"/>
          <w:color w:val="000000"/>
          <w:sz w:val="21"/>
          <w:shd w:val="clear" w:color="auto" w:fill="D2D2D2"/>
        </w:rPr>
        <w:t>A</w:t>
      </w:r>
      <w:r>
        <w:rPr>
          <w:rFonts w:ascii="Times New Roman" w:eastAsia="Times New Roman"/>
          <w:color w:val="000000"/>
          <w:spacing w:val="-9"/>
          <w:sz w:val="21"/>
          <w:shd w:val="clear" w:color="auto" w:fill="D2D2D2"/>
        </w:rPr>
        <w:t xml:space="preserve"> </w:t>
      </w:r>
      <w:r>
        <w:rPr>
          <w:color w:val="000000"/>
          <w:spacing w:val="-1"/>
          <w:sz w:val="21"/>
          <w:shd w:val="clear" w:color="auto" w:fill="D2D2D2"/>
        </w:rPr>
        <w:t>期程度的慢性淋巴细胞白血病；</w:t>
      </w:r>
    </w:p>
    <w:p>
      <w:pPr>
        <w:pStyle w:val="8"/>
        <w:numPr>
          <w:ilvl w:val="2"/>
          <w:numId w:val="11"/>
        </w:numPr>
        <w:tabs>
          <w:tab w:val="left" w:pos="2699"/>
        </w:tabs>
        <w:spacing w:before="43" w:after="0" w:line="240" w:lineRule="auto"/>
        <w:ind w:left="2698" w:right="0" w:hanging="161"/>
        <w:jc w:val="left"/>
        <w:rPr>
          <w:rFonts w:ascii="Times New Roman" w:eastAsia="Times New Roman"/>
          <w:sz w:val="19"/>
        </w:rPr>
      </w:pPr>
      <w:r>
        <w:rPr>
          <w:color w:val="000000"/>
          <w:spacing w:val="16"/>
          <w:sz w:val="21"/>
          <w:shd w:val="clear" w:color="auto" w:fill="D2D2D2"/>
        </w:rPr>
        <w:t>相当于</w:t>
      </w:r>
      <w:r>
        <w:rPr>
          <w:rFonts w:ascii="Times New Roman" w:eastAsia="Times New Roman"/>
          <w:color w:val="000000"/>
          <w:sz w:val="21"/>
          <w:shd w:val="clear" w:color="auto" w:fill="D2D2D2"/>
        </w:rPr>
        <w:t>Ann</w:t>
      </w:r>
      <w:r>
        <w:rPr>
          <w:rFonts w:ascii="Times New Roman" w:eastAsia="Times New Roman"/>
          <w:color w:val="000000"/>
          <w:spacing w:val="35"/>
          <w:sz w:val="21"/>
          <w:shd w:val="clear" w:color="auto" w:fill="D2D2D2"/>
        </w:rPr>
        <w:t xml:space="preserve"> </w:t>
      </w:r>
      <w:r>
        <w:rPr>
          <w:rFonts w:ascii="Times New Roman" w:eastAsia="Times New Roman"/>
          <w:color w:val="000000"/>
          <w:sz w:val="21"/>
          <w:shd w:val="clear" w:color="auto" w:fill="D2D2D2"/>
        </w:rPr>
        <w:t>Arbor</w:t>
      </w:r>
      <w:r>
        <w:rPr>
          <w:rFonts w:ascii="Times New Roman" w:eastAsia="Times New Roman"/>
          <w:color w:val="000000"/>
          <w:spacing w:val="43"/>
          <w:sz w:val="21"/>
          <w:shd w:val="clear" w:color="auto" w:fill="D2D2D2"/>
        </w:rPr>
        <w:t xml:space="preserve"> </w:t>
      </w:r>
      <w:r>
        <w:rPr>
          <w:color w:val="000000"/>
          <w:spacing w:val="-11"/>
          <w:sz w:val="21"/>
          <w:shd w:val="clear" w:color="auto" w:fill="D2D2D2"/>
        </w:rPr>
        <w:t xml:space="preserve">分期方案 </w:t>
      </w:r>
      <w:r>
        <w:rPr>
          <w:rFonts w:ascii="Times New Roman" w:eastAsia="Times New Roman"/>
          <w:color w:val="000000"/>
          <w:sz w:val="21"/>
          <w:shd w:val="clear" w:color="auto" w:fill="D2D2D2"/>
        </w:rPr>
        <w:t>I</w:t>
      </w:r>
      <w:r>
        <w:rPr>
          <w:rFonts w:ascii="Times New Roman" w:eastAsia="Times New Roman"/>
          <w:color w:val="000000"/>
          <w:spacing w:val="-7"/>
          <w:sz w:val="21"/>
          <w:shd w:val="clear" w:color="auto" w:fill="D2D2D2"/>
        </w:rPr>
        <w:t xml:space="preserve"> </w:t>
      </w:r>
      <w:r>
        <w:rPr>
          <w:color w:val="000000"/>
          <w:spacing w:val="-1"/>
          <w:sz w:val="21"/>
          <w:shd w:val="clear" w:color="auto" w:fill="D2D2D2"/>
        </w:rPr>
        <w:t>期程度的何杰金氏病；</w:t>
      </w:r>
    </w:p>
    <w:p>
      <w:pPr>
        <w:pStyle w:val="8"/>
        <w:numPr>
          <w:ilvl w:val="2"/>
          <w:numId w:val="11"/>
        </w:numPr>
        <w:tabs>
          <w:tab w:val="left" w:pos="2699"/>
        </w:tabs>
        <w:spacing w:before="43" w:after="0" w:line="240" w:lineRule="auto"/>
        <w:ind w:left="2698" w:right="0" w:hanging="161"/>
        <w:jc w:val="left"/>
        <w:rPr>
          <w:rFonts w:ascii="Times New Roman" w:eastAsia="Times New Roman"/>
          <w:sz w:val="19"/>
        </w:rPr>
      </w:pPr>
      <w:r>
        <w:rPr>
          <w:color w:val="000000"/>
          <w:spacing w:val="-2"/>
          <w:sz w:val="21"/>
          <w:shd w:val="clear" w:color="auto" w:fill="D2D2D2"/>
        </w:rPr>
        <w:t>皮肤癌（不包括恶性黑色素瘤及已发生转移的皮肤癌</w:t>
      </w:r>
      <w:r>
        <w:rPr>
          <w:color w:val="000000"/>
          <w:spacing w:val="-113"/>
          <w:sz w:val="21"/>
          <w:shd w:val="clear" w:color="auto" w:fill="D2D2D2"/>
        </w:rPr>
        <w:t>）</w:t>
      </w:r>
      <w:r>
        <w:rPr>
          <w:color w:val="000000"/>
          <w:spacing w:val="-5"/>
          <w:sz w:val="21"/>
          <w:shd w:val="clear" w:color="auto" w:fill="D2D2D2"/>
        </w:rPr>
        <w:t>；</w:t>
      </w:r>
    </w:p>
    <w:p>
      <w:pPr>
        <w:pStyle w:val="8"/>
        <w:numPr>
          <w:ilvl w:val="2"/>
          <w:numId w:val="11"/>
        </w:numPr>
        <w:tabs>
          <w:tab w:val="left" w:pos="2699"/>
        </w:tabs>
        <w:spacing w:before="43" w:after="0" w:line="240" w:lineRule="auto"/>
        <w:ind w:left="2698" w:right="0" w:hanging="161"/>
        <w:jc w:val="left"/>
        <w:rPr>
          <w:rFonts w:ascii="Times New Roman" w:eastAsia="Times New Roman"/>
          <w:sz w:val="19"/>
        </w:rPr>
      </w:pPr>
      <w:r>
        <w:rPr>
          <w:rFonts w:ascii="Times New Roman" w:eastAsia="Times New Roman"/>
          <w:color w:val="000000"/>
          <w:spacing w:val="-2"/>
          <w:sz w:val="21"/>
          <w:shd w:val="clear" w:color="auto" w:fill="D2D2D2"/>
        </w:rPr>
        <w:t>TNM</w:t>
      </w:r>
      <w:r>
        <w:rPr>
          <w:rFonts w:ascii="Times New Roman" w:eastAsia="Times New Roman"/>
          <w:color w:val="000000"/>
          <w:spacing w:val="2"/>
          <w:sz w:val="21"/>
          <w:shd w:val="clear" w:color="auto" w:fill="D2D2D2"/>
        </w:rPr>
        <w:t xml:space="preserve"> </w:t>
      </w:r>
      <w:r>
        <w:rPr>
          <w:color w:val="000000"/>
          <w:spacing w:val="-13"/>
          <w:sz w:val="21"/>
          <w:shd w:val="clear" w:color="auto" w:fill="D2D2D2"/>
        </w:rPr>
        <w:t xml:space="preserve">分期为 </w:t>
      </w:r>
      <w:r>
        <w:rPr>
          <w:rFonts w:ascii="Times New Roman" w:eastAsia="Times New Roman"/>
          <w:color w:val="000000"/>
          <w:spacing w:val="-2"/>
          <w:sz w:val="21"/>
          <w:shd w:val="clear" w:color="auto" w:fill="D2D2D2"/>
        </w:rPr>
        <w:t>T1N0M0</w:t>
      </w:r>
      <w:r>
        <w:rPr>
          <w:rFonts w:ascii="Times New Roman" w:eastAsia="Times New Roman"/>
          <w:color w:val="000000"/>
          <w:spacing w:val="4"/>
          <w:sz w:val="21"/>
          <w:shd w:val="clear" w:color="auto" w:fill="D2D2D2"/>
        </w:rPr>
        <w:t xml:space="preserve"> </w:t>
      </w:r>
      <w:r>
        <w:rPr>
          <w:color w:val="000000"/>
          <w:spacing w:val="-3"/>
          <w:sz w:val="21"/>
          <w:shd w:val="clear" w:color="auto" w:fill="D2D2D2"/>
        </w:rPr>
        <w:t>期或更轻分期的前列腺癌；</w:t>
      </w:r>
    </w:p>
    <w:p>
      <w:pPr>
        <w:pStyle w:val="8"/>
        <w:numPr>
          <w:ilvl w:val="2"/>
          <w:numId w:val="11"/>
        </w:numPr>
        <w:tabs>
          <w:tab w:val="left" w:pos="2699"/>
        </w:tabs>
        <w:spacing w:before="43" w:after="0" w:line="240" w:lineRule="auto"/>
        <w:ind w:left="2698" w:right="0" w:hanging="161"/>
        <w:jc w:val="left"/>
        <w:rPr>
          <w:rFonts w:ascii="Times New Roman" w:eastAsia="Times New Roman"/>
          <w:sz w:val="19"/>
        </w:rPr>
      </w:pPr>
      <w:r>
        <w:rPr>
          <w:color w:val="000000"/>
          <w:spacing w:val="-3"/>
          <w:sz w:val="21"/>
          <w:shd w:val="clear" w:color="auto" w:fill="D2D2D2"/>
        </w:rPr>
        <w:t>感染艾滋病病毒或患艾滋病期间所患恶性肿瘤。</w:t>
      </w:r>
    </w:p>
    <w:p>
      <w:pPr>
        <w:pStyle w:val="4"/>
        <w:spacing w:before="12"/>
        <w:ind w:left="0"/>
      </w:pPr>
    </w:p>
    <w:p>
      <w:pPr>
        <w:pStyle w:val="8"/>
        <w:numPr>
          <w:ilvl w:val="1"/>
          <w:numId w:val="11"/>
        </w:numPr>
        <w:tabs>
          <w:tab w:val="left" w:pos="1007"/>
          <w:tab w:val="left" w:pos="1008"/>
        </w:tabs>
        <w:spacing w:before="0" w:after="0" w:line="278" w:lineRule="auto"/>
        <w:ind w:left="2538" w:right="282" w:hanging="2326"/>
        <w:jc w:val="left"/>
        <w:rPr>
          <w:sz w:val="21"/>
        </w:rPr>
      </w:pPr>
      <w:r>
        <w:rPr>
          <w:b/>
          <w:spacing w:val="11"/>
          <w:sz w:val="21"/>
        </w:rPr>
        <w:t xml:space="preserve">急性心肌梗塞 </w:t>
      </w:r>
      <w:r>
        <w:rPr>
          <w:sz w:val="21"/>
        </w:rPr>
        <w:t>指因冠状动脉阻塞导致的相应区域供血不足造成部分心肌坏死。须满足下列至</w:t>
      </w:r>
      <w:r>
        <w:rPr>
          <w:spacing w:val="-2"/>
          <w:sz w:val="21"/>
        </w:rPr>
        <w:t>少三项条件：</w:t>
      </w:r>
    </w:p>
    <w:p>
      <w:pPr>
        <w:pStyle w:val="8"/>
        <w:numPr>
          <w:ilvl w:val="2"/>
          <w:numId w:val="11"/>
        </w:numPr>
        <w:tabs>
          <w:tab w:val="left" w:pos="2706"/>
        </w:tabs>
        <w:spacing w:before="0" w:after="0" w:line="274" w:lineRule="exact"/>
        <w:ind w:left="2705" w:right="0" w:hanging="168"/>
        <w:jc w:val="left"/>
        <w:rPr>
          <w:rFonts w:ascii="Times New Roman" w:eastAsia="Times New Roman"/>
          <w:sz w:val="19"/>
        </w:rPr>
      </w:pPr>
      <w:r>
        <w:rPr>
          <w:spacing w:val="-3"/>
          <w:sz w:val="21"/>
        </w:rPr>
        <w:t>典型临床表现，例如急性胸痛等；</w:t>
      </w:r>
    </w:p>
    <w:p>
      <w:pPr>
        <w:spacing w:after="0" w:line="274" w:lineRule="exact"/>
        <w:jc w:val="left"/>
        <w:rPr>
          <w:rFonts w:ascii="Times New Roman" w:eastAsia="Times New Roman"/>
          <w:sz w:val="19"/>
        </w:rPr>
        <w:sectPr>
          <w:type w:val="continuous"/>
          <w:pgSz w:w="11910" w:h="16840"/>
          <w:pgMar w:top="1100" w:right="940" w:bottom="1180" w:left="920" w:header="0" w:footer="981" w:gutter="0"/>
          <w:cols w:space="720" w:num="1"/>
        </w:sect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2"/>
        <w:gridCol w:w="1743"/>
        <w:gridCol w:w="73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08" w:hRule="atLeast"/>
        </w:trPr>
        <w:tc>
          <w:tcPr>
            <w:tcW w:w="2375" w:type="dxa"/>
            <w:gridSpan w:val="2"/>
          </w:tcPr>
          <w:p>
            <w:pPr>
              <w:pStyle w:val="9"/>
              <w:rPr>
                <w:rFonts w:ascii="Times New Roman"/>
                <w:sz w:val="20"/>
              </w:rPr>
            </w:pPr>
          </w:p>
        </w:tc>
        <w:tc>
          <w:tcPr>
            <w:tcW w:w="7387" w:type="dxa"/>
          </w:tcPr>
          <w:p>
            <w:pPr>
              <w:pStyle w:val="9"/>
              <w:numPr>
                <w:ilvl w:val="0"/>
                <w:numId w:val="13"/>
              </w:numPr>
              <w:tabs>
                <w:tab w:val="left" w:pos="168"/>
              </w:tabs>
              <w:spacing w:before="0" w:after="0" w:line="273" w:lineRule="exact"/>
              <w:ind w:left="167" w:right="0" w:hanging="168"/>
              <w:jc w:val="left"/>
              <w:rPr>
                <w:sz w:val="21"/>
              </w:rPr>
            </w:pPr>
            <w:r>
              <w:rPr>
                <w:spacing w:val="-3"/>
                <w:sz w:val="21"/>
              </w:rPr>
              <w:t>新近的心电图改变提示急性心肌梗塞；</w:t>
            </w:r>
          </w:p>
          <w:p>
            <w:pPr>
              <w:pStyle w:val="9"/>
              <w:numPr>
                <w:ilvl w:val="0"/>
                <w:numId w:val="13"/>
              </w:numPr>
              <w:tabs>
                <w:tab w:val="left" w:pos="168"/>
              </w:tabs>
              <w:spacing w:before="29" w:after="0" w:line="240" w:lineRule="auto"/>
              <w:ind w:left="167" w:right="0" w:hanging="168"/>
              <w:jc w:val="left"/>
              <w:rPr>
                <w:sz w:val="21"/>
              </w:rPr>
            </w:pPr>
            <w:r>
              <w:rPr>
                <w:spacing w:val="-3"/>
                <w:sz w:val="21"/>
              </w:rPr>
              <w:t>心肌酶或肌钙蛋白有诊断意义的升高，或呈符合急性心肌梗塞的动态性变化；</w:t>
            </w:r>
          </w:p>
          <w:p>
            <w:pPr>
              <w:pStyle w:val="9"/>
              <w:numPr>
                <w:ilvl w:val="0"/>
                <w:numId w:val="13"/>
              </w:numPr>
              <w:tabs>
                <w:tab w:val="left" w:pos="168"/>
              </w:tabs>
              <w:spacing w:before="29" w:after="0" w:line="240" w:lineRule="auto"/>
              <w:ind w:left="167" w:right="0" w:hanging="168"/>
              <w:jc w:val="left"/>
              <w:rPr>
                <w:sz w:val="21"/>
              </w:rPr>
            </w:pPr>
            <w:r>
              <w:rPr>
                <w:spacing w:val="-2"/>
                <w:sz w:val="21"/>
              </w:rPr>
              <w:t>发病</w:t>
            </w:r>
            <w:r>
              <w:rPr>
                <w:rFonts w:ascii="Times New Roman" w:eastAsia="Times New Roman"/>
                <w:spacing w:val="-2"/>
                <w:sz w:val="21"/>
              </w:rPr>
              <w:t>90</w:t>
            </w:r>
            <w:r>
              <w:rPr>
                <w:spacing w:val="-2"/>
                <w:sz w:val="21"/>
              </w:rPr>
              <w:t>日后，经检查证实左心室功能降低，如左心室射血分数低于</w:t>
            </w:r>
            <w:r>
              <w:rPr>
                <w:rFonts w:ascii="Times New Roman" w:eastAsia="Times New Roman"/>
                <w:spacing w:val="-2"/>
                <w:sz w:val="21"/>
              </w:rPr>
              <w:t>50%</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32" w:type="dxa"/>
          </w:tcPr>
          <w:p>
            <w:pPr>
              <w:pStyle w:val="9"/>
              <w:spacing w:before="111"/>
              <w:ind w:left="50"/>
              <w:rPr>
                <w:rFonts w:ascii="Times New Roman"/>
                <w:b/>
                <w:sz w:val="21"/>
              </w:rPr>
            </w:pPr>
            <w:r>
              <w:rPr>
                <w:rFonts w:ascii="Times New Roman"/>
                <w:b/>
                <w:spacing w:val="-5"/>
                <w:sz w:val="21"/>
              </w:rPr>
              <w:t>8.3</w:t>
            </w:r>
          </w:p>
        </w:tc>
        <w:tc>
          <w:tcPr>
            <w:tcW w:w="1743" w:type="dxa"/>
          </w:tcPr>
          <w:p>
            <w:pPr>
              <w:pStyle w:val="9"/>
              <w:spacing w:before="97"/>
              <w:ind w:left="212"/>
              <w:rPr>
                <w:b/>
                <w:sz w:val="21"/>
              </w:rPr>
            </w:pPr>
            <w:r>
              <w:rPr>
                <w:b/>
                <w:spacing w:val="-2"/>
                <w:sz w:val="21"/>
              </w:rPr>
              <w:t>脑中风后遗症</w:t>
            </w:r>
          </w:p>
        </w:tc>
        <w:tc>
          <w:tcPr>
            <w:tcW w:w="7387" w:type="dxa"/>
          </w:tcPr>
          <w:p>
            <w:pPr>
              <w:pStyle w:val="9"/>
              <w:spacing w:before="97"/>
              <w:rPr>
                <w:sz w:val="21"/>
              </w:rPr>
            </w:pPr>
            <w:r>
              <w:rPr>
                <w:spacing w:val="-1"/>
                <w:sz w:val="21"/>
              </w:rPr>
              <w:t>指因脑血管的突发病变引起脑血管出血、栓塞或梗塞，并导致神经系统永久性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spacing w:before="17"/>
              <w:rPr>
                <w:sz w:val="21"/>
              </w:rPr>
            </w:pPr>
            <w:r>
              <w:rPr>
                <w:spacing w:val="-2"/>
                <w:sz w:val="21"/>
              </w:rPr>
              <w:t xml:space="preserve">的功能障碍。神经系统永久性的功能障碍，指疾病确诊 </w:t>
            </w:r>
            <w:r>
              <w:rPr>
                <w:rFonts w:ascii="Times New Roman" w:eastAsia="Times New Roman"/>
                <w:sz w:val="21"/>
              </w:rPr>
              <w:t>180</w:t>
            </w:r>
            <w:r>
              <w:rPr>
                <w:rFonts w:ascii="Times New Roman" w:eastAsia="Times New Roman"/>
                <w:spacing w:val="13"/>
                <w:sz w:val="21"/>
              </w:rPr>
              <w:t xml:space="preserve"> </w:t>
            </w:r>
            <w:r>
              <w:rPr>
                <w:spacing w:val="-2"/>
                <w:sz w:val="21"/>
              </w:rPr>
              <w:t>日后，仍遗留下列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0"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spacing w:before="14" w:line="256" w:lineRule="exact"/>
              <w:rPr>
                <w:sz w:val="21"/>
              </w:rPr>
            </w:pPr>
            <w:r>
              <w:rPr>
                <w:spacing w:val="-3"/>
                <w:sz w:val="21"/>
              </w:rPr>
              <w:t>一种或一种以上障碍：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3"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numPr>
                <w:ilvl w:val="0"/>
                <w:numId w:val="14"/>
              </w:numPr>
              <w:tabs>
                <w:tab w:val="left" w:pos="168"/>
              </w:tabs>
              <w:spacing w:before="26" w:after="0" w:line="240" w:lineRule="auto"/>
              <w:ind w:left="167" w:right="0" w:hanging="168"/>
              <w:jc w:val="left"/>
              <w:rPr>
                <w:sz w:val="21"/>
              </w:rPr>
            </w:pPr>
            <w:r>
              <w:rPr>
                <w:spacing w:val="-2"/>
                <w:sz w:val="21"/>
              </w:rPr>
              <w:t>一肢或一肢以上</w:t>
            </w:r>
            <w:r>
              <w:rPr>
                <w:b/>
                <w:spacing w:val="-2"/>
                <w:sz w:val="21"/>
              </w:rPr>
              <w:t>肢体机能完全丧失</w:t>
            </w:r>
            <w:r>
              <w:rPr>
                <w:spacing w:val="-2"/>
                <w:sz w:val="21"/>
              </w:rPr>
              <w:t>（见</w:t>
            </w:r>
            <w:r>
              <w:rPr>
                <w:rFonts w:ascii="Times New Roman" w:eastAsia="Times New Roman"/>
                <w:spacing w:val="16"/>
                <w:sz w:val="21"/>
              </w:rPr>
              <w:t>9.</w:t>
            </w:r>
            <w:r>
              <w:rPr>
                <w:rFonts w:ascii="Times New Roman" w:eastAsia="Times New Roman"/>
                <w:spacing w:val="13"/>
                <w:sz w:val="21"/>
              </w:rPr>
              <w:t>3</w:t>
            </w:r>
            <w:r>
              <w:rPr>
                <w:rFonts w:ascii="Times New Roman" w:eastAsia="Times New Roman"/>
                <w:spacing w:val="16"/>
                <w:sz w:val="21"/>
              </w:rPr>
              <w:t>7</w:t>
            </w:r>
            <w:r>
              <w:rPr>
                <w:spacing w:val="-90"/>
                <w:sz w:val="21"/>
              </w:rPr>
              <w:t>）</w:t>
            </w:r>
            <w:r>
              <w:rPr>
                <w:spacing w:val="16"/>
                <w:sz w:val="21"/>
              </w:rPr>
              <w:t>；</w:t>
            </w:r>
          </w:p>
          <w:p>
            <w:pPr>
              <w:pStyle w:val="9"/>
              <w:numPr>
                <w:ilvl w:val="0"/>
                <w:numId w:val="14"/>
              </w:numPr>
              <w:tabs>
                <w:tab w:val="left" w:pos="168"/>
              </w:tabs>
              <w:spacing w:before="29" w:after="0" w:line="240" w:lineRule="auto"/>
              <w:ind w:left="167" w:right="0" w:hanging="168"/>
              <w:jc w:val="left"/>
              <w:rPr>
                <w:sz w:val="21"/>
              </w:rPr>
            </w:pPr>
            <w:r>
              <w:rPr>
                <w:b/>
                <w:spacing w:val="-2"/>
                <w:sz w:val="21"/>
              </w:rPr>
              <w:t>语言能力或咀嚼吞咽能力完全丧失</w:t>
            </w:r>
            <w:r>
              <w:rPr>
                <w:spacing w:val="-2"/>
                <w:sz w:val="21"/>
              </w:rPr>
              <w:t>（见</w:t>
            </w:r>
            <w:r>
              <w:rPr>
                <w:rFonts w:ascii="Times New Roman" w:eastAsia="Times New Roman"/>
                <w:spacing w:val="16"/>
                <w:sz w:val="21"/>
              </w:rPr>
              <w:t>9.</w:t>
            </w:r>
            <w:r>
              <w:rPr>
                <w:rFonts w:ascii="Times New Roman" w:eastAsia="Times New Roman"/>
                <w:spacing w:val="13"/>
                <w:sz w:val="21"/>
              </w:rPr>
              <w:t>3</w:t>
            </w:r>
            <w:r>
              <w:rPr>
                <w:rFonts w:ascii="Times New Roman" w:eastAsia="Times New Roman"/>
                <w:spacing w:val="16"/>
                <w:sz w:val="21"/>
              </w:rPr>
              <w:t>8</w:t>
            </w:r>
            <w:r>
              <w:rPr>
                <w:spacing w:val="-90"/>
                <w:sz w:val="21"/>
              </w:rPr>
              <w:t>）</w:t>
            </w:r>
            <w:r>
              <w:rPr>
                <w:spacing w:val="16"/>
                <w:sz w:val="21"/>
              </w:rPr>
              <w:t>；</w:t>
            </w:r>
          </w:p>
          <w:p>
            <w:pPr>
              <w:pStyle w:val="9"/>
              <w:numPr>
                <w:ilvl w:val="0"/>
                <w:numId w:val="14"/>
              </w:numPr>
              <w:tabs>
                <w:tab w:val="left" w:pos="168"/>
              </w:tabs>
              <w:spacing w:before="29" w:after="0" w:line="240" w:lineRule="auto"/>
              <w:ind w:left="167" w:right="0" w:hanging="168"/>
              <w:jc w:val="left"/>
              <w:rPr>
                <w:sz w:val="21"/>
              </w:rPr>
            </w:pPr>
            <w:r>
              <w:rPr>
                <w:spacing w:val="-4"/>
                <w:sz w:val="21"/>
              </w:rPr>
              <w:t>自主生活能力完全丧失，无法独立完成</w:t>
            </w:r>
            <w:r>
              <w:rPr>
                <w:b/>
                <w:spacing w:val="-4"/>
                <w:sz w:val="21"/>
              </w:rPr>
              <w:t>六项基本日常生活活动</w:t>
            </w:r>
            <w:r>
              <w:rPr>
                <w:spacing w:val="-4"/>
                <w:sz w:val="21"/>
              </w:rPr>
              <w:t>（见</w:t>
            </w:r>
            <w:r>
              <w:rPr>
                <w:rFonts w:ascii="Times New Roman" w:eastAsia="Times New Roman"/>
                <w:spacing w:val="-4"/>
                <w:sz w:val="21"/>
              </w:rPr>
              <w:t>9.39</w:t>
            </w:r>
            <w:r>
              <w:rPr>
                <w:spacing w:val="-4"/>
                <w:sz w:val="21"/>
              </w:rPr>
              <w:t>）</w:t>
            </w:r>
            <w:r>
              <w:rPr>
                <w:spacing w:val="-7"/>
                <w:sz w:val="21"/>
              </w:rPr>
              <w:t>中的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spacing w:before="8"/>
              <w:rPr>
                <w:sz w:val="21"/>
              </w:rPr>
            </w:pPr>
            <w:r>
              <w:rPr>
                <w:spacing w:val="-4"/>
                <w:sz w:val="21"/>
              </w:rPr>
              <w:t>三项或三项以上。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8" w:hRule="atLeast"/>
        </w:trPr>
        <w:tc>
          <w:tcPr>
            <w:tcW w:w="632" w:type="dxa"/>
          </w:tcPr>
          <w:p>
            <w:pPr>
              <w:pStyle w:val="9"/>
              <w:spacing w:before="124"/>
              <w:ind w:left="50"/>
              <w:rPr>
                <w:rFonts w:ascii="Times New Roman"/>
                <w:b/>
                <w:sz w:val="21"/>
              </w:rPr>
            </w:pPr>
            <w:r>
              <w:rPr>
                <w:rFonts w:ascii="Times New Roman"/>
                <w:b/>
                <w:spacing w:val="-5"/>
                <w:sz w:val="21"/>
              </w:rPr>
              <w:t>8.4</w:t>
            </w:r>
          </w:p>
        </w:tc>
        <w:tc>
          <w:tcPr>
            <w:tcW w:w="1743" w:type="dxa"/>
          </w:tcPr>
          <w:p>
            <w:pPr>
              <w:pStyle w:val="9"/>
              <w:spacing w:before="110"/>
              <w:ind w:left="212"/>
              <w:rPr>
                <w:b/>
                <w:sz w:val="21"/>
              </w:rPr>
            </w:pPr>
            <w:r>
              <w:rPr>
                <w:b/>
                <w:spacing w:val="-2"/>
                <w:sz w:val="21"/>
              </w:rPr>
              <w:t>重大器官移植</w:t>
            </w:r>
          </w:p>
        </w:tc>
        <w:tc>
          <w:tcPr>
            <w:tcW w:w="7387" w:type="dxa"/>
          </w:tcPr>
          <w:p>
            <w:pPr>
              <w:pStyle w:val="9"/>
              <w:spacing w:before="110"/>
              <w:rPr>
                <w:sz w:val="21"/>
              </w:rPr>
            </w:pPr>
            <w:r>
              <w:rPr>
                <w:spacing w:val="-1"/>
                <w:sz w:val="21"/>
              </w:rPr>
              <w:t>重大器官移植术，指因相应器官功能衰竭，已经实施了肾脏、肝脏、心脏或肺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632" w:type="dxa"/>
          </w:tcPr>
          <w:p>
            <w:pPr>
              <w:pStyle w:val="9"/>
              <w:rPr>
                <w:rFonts w:ascii="Times New Roman"/>
                <w:sz w:val="20"/>
              </w:rPr>
            </w:pPr>
          </w:p>
        </w:tc>
        <w:tc>
          <w:tcPr>
            <w:tcW w:w="1743" w:type="dxa"/>
          </w:tcPr>
          <w:p>
            <w:pPr>
              <w:pStyle w:val="9"/>
              <w:spacing w:before="14"/>
              <w:ind w:left="212"/>
              <w:rPr>
                <w:b/>
                <w:sz w:val="21"/>
              </w:rPr>
            </w:pPr>
            <w:r>
              <w:rPr>
                <w:b/>
                <w:spacing w:val="-2"/>
                <w:sz w:val="21"/>
              </w:rPr>
              <w:t>术或造血干细</w:t>
            </w:r>
          </w:p>
        </w:tc>
        <w:tc>
          <w:tcPr>
            <w:tcW w:w="7387" w:type="dxa"/>
          </w:tcPr>
          <w:p>
            <w:pPr>
              <w:pStyle w:val="9"/>
              <w:spacing w:before="14"/>
              <w:rPr>
                <w:sz w:val="21"/>
              </w:rPr>
            </w:pPr>
            <w:r>
              <w:rPr>
                <w:spacing w:val="-1"/>
                <w:sz w:val="21"/>
              </w:rPr>
              <w:t>脏的异体移植手术。造血干细胞移植术，指因造血功能损害或造血系统恶性肿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632" w:type="dxa"/>
          </w:tcPr>
          <w:p>
            <w:pPr>
              <w:pStyle w:val="9"/>
              <w:rPr>
                <w:rFonts w:ascii="Times New Roman"/>
                <w:sz w:val="20"/>
              </w:rPr>
            </w:pPr>
          </w:p>
        </w:tc>
        <w:tc>
          <w:tcPr>
            <w:tcW w:w="1743" w:type="dxa"/>
          </w:tcPr>
          <w:p>
            <w:pPr>
              <w:pStyle w:val="9"/>
              <w:spacing w:before="22" w:line="261" w:lineRule="exact"/>
              <w:ind w:left="212"/>
              <w:rPr>
                <w:b/>
                <w:sz w:val="21"/>
              </w:rPr>
            </w:pPr>
            <w:r>
              <w:rPr>
                <w:b/>
                <w:spacing w:val="-3"/>
                <w:sz w:val="21"/>
              </w:rPr>
              <w:t>胞移植术</w:t>
            </w:r>
          </w:p>
        </w:tc>
        <w:tc>
          <w:tcPr>
            <w:tcW w:w="7387" w:type="dxa"/>
          </w:tcPr>
          <w:p>
            <w:pPr>
              <w:pStyle w:val="9"/>
              <w:spacing w:before="22" w:line="261" w:lineRule="exact"/>
              <w:rPr>
                <w:sz w:val="21"/>
              </w:rPr>
            </w:pPr>
            <w:r>
              <w:rPr>
                <w:sz w:val="21"/>
              </w:rPr>
              <w:t>瘤，已经实施了造血干细胞（</w:t>
            </w:r>
            <w:r>
              <w:rPr>
                <w:spacing w:val="-1"/>
                <w:sz w:val="21"/>
              </w:rPr>
              <w:t>包括骨髓造血干细胞、外周血造血干细胞和脐血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8"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spacing w:before="8"/>
              <w:rPr>
                <w:sz w:val="24"/>
              </w:rPr>
            </w:pPr>
            <w:r>
              <w:rPr>
                <w:spacing w:val="-2"/>
                <w:sz w:val="21"/>
              </w:rPr>
              <w:t>造血干细胞）的异体移植手术</w:t>
            </w:r>
            <w:r>
              <w:rPr>
                <w:spacing w:val="-10"/>
                <w:sz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4" w:hRule="atLeast"/>
        </w:trPr>
        <w:tc>
          <w:tcPr>
            <w:tcW w:w="632" w:type="dxa"/>
          </w:tcPr>
          <w:p>
            <w:pPr>
              <w:pStyle w:val="9"/>
              <w:spacing w:before="118"/>
              <w:ind w:left="50"/>
              <w:rPr>
                <w:rFonts w:ascii="Times New Roman"/>
                <w:b/>
                <w:sz w:val="21"/>
              </w:rPr>
            </w:pPr>
            <w:r>
              <w:rPr>
                <w:rFonts w:ascii="Times New Roman"/>
                <w:b/>
                <w:spacing w:val="-5"/>
                <w:sz w:val="21"/>
              </w:rPr>
              <w:t>8.5</w:t>
            </w:r>
          </w:p>
        </w:tc>
        <w:tc>
          <w:tcPr>
            <w:tcW w:w="1743" w:type="dxa"/>
          </w:tcPr>
          <w:p>
            <w:pPr>
              <w:pStyle w:val="9"/>
              <w:spacing w:before="105"/>
              <w:ind w:left="212"/>
              <w:rPr>
                <w:b/>
                <w:sz w:val="21"/>
              </w:rPr>
            </w:pPr>
            <w:r>
              <w:rPr>
                <w:b/>
                <w:spacing w:val="-2"/>
                <w:sz w:val="21"/>
              </w:rPr>
              <w:t>冠状动脉搭桥</w:t>
            </w:r>
          </w:p>
        </w:tc>
        <w:tc>
          <w:tcPr>
            <w:tcW w:w="7387" w:type="dxa"/>
          </w:tcPr>
          <w:p>
            <w:pPr>
              <w:pStyle w:val="9"/>
              <w:spacing w:before="105"/>
              <w:rPr>
                <w:sz w:val="21"/>
              </w:rPr>
            </w:pPr>
            <w:r>
              <w:rPr>
                <w:spacing w:val="-3"/>
                <w:sz w:val="21"/>
              </w:rPr>
              <w:t>指为治疗严重的冠心病，实际实施了开胸进行的冠状动脉血管旁路移植的手术。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2" w:type="dxa"/>
          </w:tcPr>
          <w:p>
            <w:pPr>
              <w:pStyle w:val="9"/>
              <w:rPr>
                <w:rFonts w:ascii="Times New Roman"/>
                <w:sz w:val="20"/>
              </w:rPr>
            </w:pPr>
          </w:p>
        </w:tc>
        <w:tc>
          <w:tcPr>
            <w:tcW w:w="1743" w:type="dxa"/>
          </w:tcPr>
          <w:p>
            <w:pPr>
              <w:pStyle w:val="9"/>
              <w:spacing w:before="22"/>
              <w:ind w:left="212"/>
              <w:rPr>
                <w:b/>
                <w:sz w:val="21"/>
              </w:rPr>
            </w:pPr>
            <w:r>
              <w:rPr>
                <w:b/>
                <w:sz w:val="21"/>
              </w:rPr>
              <w:t>术（</w:t>
            </w:r>
            <w:r>
              <w:rPr>
                <w:b/>
                <w:spacing w:val="-3"/>
                <w:sz w:val="21"/>
              </w:rPr>
              <w:t>或称冠状</w:t>
            </w:r>
          </w:p>
        </w:tc>
        <w:tc>
          <w:tcPr>
            <w:tcW w:w="7387" w:type="dxa"/>
            <w:shd w:val="clear" w:color="auto" w:fill="D2D2D2"/>
          </w:tcPr>
          <w:p>
            <w:pPr>
              <w:pStyle w:val="9"/>
              <w:spacing w:before="22"/>
              <w:rPr>
                <w:sz w:val="21"/>
              </w:rPr>
            </w:pPr>
            <w:r>
              <w:rPr>
                <w:spacing w:val="-1"/>
                <w:sz w:val="21"/>
              </w:rPr>
              <w:t>冠状动脉支架植入术、心导管球囊扩张术、激光射频技术及其它非开胸的介入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5" w:hRule="atLeast"/>
        </w:trPr>
        <w:tc>
          <w:tcPr>
            <w:tcW w:w="632" w:type="dxa"/>
          </w:tcPr>
          <w:p>
            <w:pPr>
              <w:pStyle w:val="9"/>
              <w:rPr>
                <w:rFonts w:ascii="Times New Roman"/>
                <w:sz w:val="20"/>
              </w:rPr>
            </w:pPr>
          </w:p>
        </w:tc>
        <w:tc>
          <w:tcPr>
            <w:tcW w:w="1743" w:type="dxa"/>
          </w:tcPr>
          <w:p>
            <w:pPr>
              <w:pStyle w:val="9"/>
              <w:spacing w:before="23" w:line="252" w:lineRule="exact"/>
              <w:ind w:left="212"/>
              <w:rPr>
                <w:b/>
                <w:sz w:val="21"/>
              </w:rPr>
            </w:pPr>
            <w:r>
              <w:rPr>
                <w:b/>
                <w:spacing w:val="-2"/>
                <w:sz w:val="21"/>
              </w:rPr>
              <w:t>动脉旁路移植</w:t>
            </w:r>
          </w:p>
        </w:tc>
        <w:tc>
          <w:tcPr>
            <w:tcW w:w="7387" w:type="dxa"/>
          </w:tcPr>
          <w:p>
            <w:pPr>
              <w:pStyle w:val="9"/>
              <w:spacing w:before="23" w:line="252" w:lineRule="exact"/>
              <w:rPr>
                <w:sz w:val="21"/>
              </w:rPr>
            </w:pPr>
            <w:r>
              <w:rPr>
                <w:spacing w:val="-3"/>
                <w:sz w:val="21"/>
              </w:rPr>
              <w:t>手术、腔镜手术不在保障范围内。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1" w:hRule="atLeast"/>
        </w:trPr>
        <w:tc>
          <w:tcPr>
            <w:tcW w:w="632" w:type="dxa"/>
          </w:tcPr>
          <w:p>
            <w:pPr>
              <w:pStyle w:val="9"/>
              <w:rPr>
                <w:rFonts w:ascii="Times New Roman"/>
                <w:sz w:val="20"/>
              </w:rPr>
            </w:pPr>
          </w:p>
        </w:tc>
        <w:tc>
          <w:tcPr>
            <w:tcW w:w="1743" w:type="dxa"/>
          </w:tcPr>
          <w:p>
            <w:pPr>
              <w:pStyle w:val="9"/>
              <w:spacing w:before="39"/>
              <w:ind w:left="212"/>
              <w:rPr>
                <w:b/>
                <w:sz w:val="21"/>
              </w:rPr>
            </w:pPr>
            <w:r>
              <w:rPr>
                <w:b/>
                <w:sz w:val="21"/>
              </w:rPr>
              <w:t>术</w:t>
            </w:r>
            <w:r>
              <w:rPr>
                <w:b/>
                <w:spacing w:val="-10"/>
                <w:sz w:val="21"/>
              </w:rPr>
              <w:t>）</w:t>
            </w:r>
          </w:p>
        </w:tc>
        <w:tc>
          <w:tcPr>
            <w:tcW w:w="7387" w:type="dxa"/>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8" w:hRule="atLeast"/>
        </w:trPr>
        <w:tc>
          <w:tcPr>
            <w:tcW w:w="632" w:type="dxa"/>
          </w:tcPr>
          <w:p>
            <w:pPr>
              <w:pStyle w:val="9"/>
              <w:spacing w:before="124"/>
              <w:ind w:left="50"/>
              <w:rPr>
                <w:rFonts w:ascii="Times New Roman"/>
                <w:b/>
                <w:sz w:val="21"/>
              </w:rPr>
            </w:pPr>
            <w:r>
              <w:rPr>
                <w:rFonts w:ascii="Times New Roman"/>
                <w:b/>
                <w:spacing w:val="-5"/>
                <w:sz w:val="21"/>
              </w:rPr>
              <w:t>8.6</w:t>
            </w:r>
          </w:p>
        </w:tc>
        <w:tc>
          <w:tcPr>
            <w:tcW w:w="1743" w:type="dxa"/>
          </w:tcPr>
          <w:p>
            <w:pPr>
              <w:pStyle w:val="9"/>
              <w:spacing w:before="110"/>
              <w:ind w:left="212"/>
              <w:rPr>
                <w:b/>
                <w:sz w:val="21"/>
              </w:rPr>
            </w:pPr>
            <w:r>
              <w:rPr>
                <w:b/>
                <w:spacing w:val="-2"/>
                <w:sz w:val="21"/>
              </w:rPr>
              <w:t>终末期肾病</w:t>
            </w:r>
          </w:p>
        </w:tc>
        <w:tc>
          <w:tcPr>
            <w:tcW w:w="7387" w:type="dxa"/>
          </w:tcPr>
          <w:p>
            <w:pPr>
              <w:pStyle w:val="9"/>
              <w:spacing w:before="110"/>
              <w:rPr>
                <w:sz w:val="21"/>
              </w:rPr>
            </w:pPr>
            <w:r>
              <w:rPr>
                <w:spacing w:val="-4"/>
                <w:sz w:val="21"/>
              </w:rPr>
              <w:t xml:space="preserve">指双肾功能慢性不可逆性衰竭，达到尿毒症期，经诊断后已经进行了至少 </w:t>
            </w:r>
            <w:r>
              <w:rPr>
                <w:rFonts w:ascii="Times New Roman" w:eastAsia="Times New Roman"/>
                <w:spacing w:val="-2"/>
                <w:sz w:val="21"/>
              </w:rPr>
              <w:t>90</w:t>
            </w:r>
            <w:r>
              <w:rPr>
                <w:rFonts w:ascii="Times New Roman" w:eastAsia="Times New Roman"/>
                <w:spacing w:val="-1"/>
                <w:sz w:val="21"/>
              </w:rPr>
              <w:t xml:space="preserve"> </w:t>
            </w:r>
            <w:r>
              <w:rPr>
                <w:spacing w:val="-10"/>
                <w:sz w:val="21"/>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632" w:type="dxa"/>
          </w:tcPr>
          <w:p>
            <w:pPr>
              <w:pStyle w:val="9"/>
              <w:rPr>
                <w:rFonts w:ascii="Times New Roman"/>
                <w:sz w:val="20"/>
              </w:rPr>
            </w:pPr>
          </w:p>
        </w:tc>
        <w:tc>
          <w:tcPr>
            <w:tcW w:w="1743" w:type="dxa"/>
          </w:tcPr>
          <w:p>
            <w:pPr>
              <w:pStyle w:val="9"/>
              <w:spacing w:before="14"/>
              <w:ind w:left="212"/>
              <w:rPr>
                <w:b/>
                <w:sz w:val="21"/>
              </w:rPr>
            </w:pPr>
            <w:r>
              <w:rPr>
                <w:b/>
                <w:sz w:val="21"/>
              </w:rPr>
              <w:t>（</w:t>
            </w:r>
            <w:r>
              <w:rPr>
                <w:b/>
                <w:spacing w:val="-2"/>
                <w:sz w:val="21"/>
              </w:rPr>
              <w:t>或称慢性肾</w:t>
            </w:r>
          </w:p>
        </w:tc>
        <w:tc>
          <w:tcPr>
            <w:tcW w:w="7387" w:type="dxa"/>
          </w:tcPr>
          <w:p>
            <w:pPr>
              <w:pStyle w:val="9"/>
              <w:spacing w:before="14"/>
              <w:rPr>
                <w:sz w:val="21"/>
              </w:rPr>
            </w:pPr>
            <w:r>
              <w:rPr>
                <w:spacing w:val="-3"/>
                <w:sz w:val="21"/>
              </w:rPr>
              <w:t>的规律性透析治疗或实施了肾脏移植手术。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2" w:type="dxa"/>
          </w:tcPr>
          <w:p>
            <w:pPr>
              <w:pStyle w:val="9"/>
              <w:rPr>
                <w:rFonts w:ascii="Times New Roman"/>
                <w:sz w:val="20"/>
              </w:rPr>
            </w:pPr>
          </w:p>
        </w:tc>
        <w:tc>
          <w:tcPr>
            <w:tcW w:w="1743" w:type="dxa"/>
          </w:tcPr>
          <w:p>
            <w:pPr>
              <w:pStyle w:val="9"/>
              <w:spacing w:before="22"/>
              <w:ind w:left="212"/>
              <w:rPr>
                <w:b/>
                <w:sz w:val="21"/>
              </w:rPr>
            </w:pPr>
            <w:r>
              <w:rPr>
                <w:b/>
                <w:spacing w:val="-2"/>
                <w:sz w:val="21"/>
              </w:rPr>
              <w:t>功能衰竭尿毒</w:t>
            </w:r>
          </w:p>
        </w:tc>
        <w:tc>
          <w:tcPr>
            <w:tcW w:w="7387" w:type="dxa"/>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3" w:hRule="atLeast"/>
        </w:trPr>
        <w:tc>
          <w:tcPr>
            <w:tcW w:w="632" w:type="dxa"/>
          </w:tcPr>
          <w:p>
            <w:pPr>
              <w:pStyle w:val="9"/>
              <w:rPr>
                <w:rFonts w:ascii="Times New Roman"/>
                <w:sz w:val="20"/>
              </w:rPr>
            </w:pPr>
          </w:p>
        </w:tc>
        <w:tc>
          <w:tcPr>
            <w:tcW w:w="1743" w:type="dxa"/>
          </w:tcPr>
          <w:p>
            <w:pPr>
              <w:pStyle w:val="9"/>
              <w:spacing w:before="22"/>
              <w:ind w:left="212"/>
              <w:rPr>
                <w:b/>
                <w:sz w:val="21"/>
              </w:rPr>
            </w:pPr>
            <w:r>
              <w:rPr>
                <w:b/>
                <w:sz w:val="21"/>
              </w:rPr>
              <w:t>症期</w:t>
            </w:r>
            <w:r>
              <w:rPr>
                <w:b/>
                <w:spacing w:val="-10"/>
                <w:sz w:val="21"/>
              </w:rPr>
              <w:t>）</w:t>
            </w:r>
          </w:p>
        </w:tc>
        <w:tc>
          <w:tcPr>
            <w:tcW w:w="7387" w:type="dxa"/>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8" w:hRule="atLeast"/>
        </w:trPr>
        <w:tc>
          <w:tcPr>
            <w:tcW w:w="632" w:type="dxa"/>
          </w:tcPr>
          <w:p>
            <w:pPr>
              <w:pStyle w:val="9"/>
              <w:spacing w:before="124"/>
              <w:ind w:left="50"/>
              <w:rPr>
                <w:rFonts w:ascii="Times New Roman"/>
                <w:b/>
                <w:sz w:val="21"/>
              </w:rPr>
            </w:pPr>
            <w:r>
              <w:rPr>
                <w:rFonts w:ascii="Times New Roman"/>
                <w:b/>
                <w:spacing w:val="-5"/>
                <w:sz w:val="21"/>
              </w:rPr>
              <w:t>8.7</w:t>
            </w:r>
          </w:p>
        </w:tc>
        <w:tc>
          <w:tcPr>
            <w:tcW w:w="1743" w:type="dxa"/>
          </w:tcPr>
          <w:p>
            <w:pPr>
              <w:pStyle w:val="9"/>
              <w:spacing w:before="110"/>
              <w:ind w:left="212"/>
              <w:rPr>
                <w:b/>
                <w:sz w:val="21"/>
              </w:rPr>
            </w:pPr>
            <w:r>
              <w:rPr>
                <w:b/>
                <w:spacing w:val="-2"/>
                <w:sz w:val="21"/>
              </w:rPr>
              <w:t>多个肢体缺失</w:t>
            </w:r>
          </w:p>
        </w:tc>
        <w:tc>
          <w:tcPr>
            <w:tcW w:w="7387" w:type="dxa"/>
          </w:tcPr>
          <w:p>
            <w:pPr>
              <w:pStyle w:val="9"/>
              <w:spacing w:before="110"/>
              <w:rPr>
                <w:sz w:val="21"/>
              </w:rPr>
            </w:pPr>
            <w:r>
              <w:rPr>
                <w:sz w:val="21"/>
              </w:rPr>
              <w:t>指因疾病或意外伤害导致两个或两个以上肢体自腕关节或踝关节近端（</w:t>
            </w:r>
            <w:r>
              <w:rPr>
                <w:spacing w:val="-4"/>
                <w:sz w:val="21"/>
              </w:rPr>
              <w:t>靠近躯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4"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spacing w:before="14"/>
              <w:rPr>
                <w:sz w:val="21"/>
              </w:rPr>
            </w:pPr>
            <w:r>
              <w:rPr>
                <w:spacing w:val="-2"/>
                <w:sz w:val="21"/>
              </w:rPr>
              <w:t>干端）</w:t>
            </w:r>
            <w:r>
              <w:rPr>
                <w:spacing w:val="-4"/>
                <w:sz w:val="21"/>
              </w:rPr>
              <w:t>以上完全性断离。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632" w:type="dxa"/>
          </w:tcPr>
          <w:p>
            <w:pPr>
              <w:pStyle w:val="9"/>
              <w:spacing w:before="123"/>
              <w:ind w:left="50"/>
              <w:rPr>
                <w:rFonts w:ascii="Times New Roman"/>
                <w:b/>
                <w:sz w:val="21"/>
              </w:rPr>
            </w:pPr>
            <w:r>
              <w:rPr>
                <w:rFonts w:ascii="Times New Roman"/>
                <w:b/>
                <w:spacing w:val="-5"/>
                <w:sz w:val="21"/>
              </w:rPr>
              <w:t>8.8</w:t>
            </w:r>
          </w:p>
        </w:tc>
        <w:tc>
          <w:tcPr>
            <w:tcW w:w="1743" w:type="dxa"/>
          </w:tcPr>
          <w:p>
            <w:pPr>
              <w:pStyle w:val="9"/>
              <w:spacing w:before="109"/>
              <w:ind w:left="212"/>
              <w:rPr>
                <w:b/>
                <w:sz w:val="21"/>
              </w:rPr>
            </w:pPr>
            <w:r>
              <w:rPr>
                <w:b/>
                <w:spacing w:val="-2"/>
                <w:sz w:val="21"/>
              </w:rPr>
              <w:t>急性或亚急性</w:t>
            </w:r>
          </w:p>
        </w:tc>
        <w:tc>
          <w:tcPr>
            <w:tcW w:w="7387" w:type="dxa"/>
          </w:tcPr>
          <w:p>
            <w:pPr>
              <w:pStyle w:val="9"/>
              <w:spacing w:before="109"/>
              <w:rPr>
                <w:sz w:val="21"/>
              </w:rPr>
            </w:pPr>
            <w:r>
              <w:rPr>
                <w:spacing w:val="-1"/>
                <w:sz w:val="21"/>
              </w:rPr>
              <w:t>指因肝炎病毒感染引起肝脏组织弥漫性坏死，导致急性肝功能衰竭，且经血清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0" w:hRule="atLeast"/>
        </w:trPr>
        <w:tc>
          <w:tcPr>
            <w:tcW w:w="632" w:type="dxa"/>
          </w:tcPr>
          <w:p>
            <w:pPr>
              <w:pStyle w:val="9"/>
              <w:rPr>
                <w:rFonts w:ascii="Times New Roman"/>
                <w:sz w:val="20"/>
              </w:rPr>
            </w:pPr>
          </w:p>
        </w:tc>
        <w:tc>
          <w:tcPr>
            <w:tcW w:w="1743" w:type="dxa"/>
          </w:tcPr>
          <w:p>
            <w:pPr>
              <w:pStyle w:val="9"/>
              <w:spacing w:before="14" w:line="256" w:lineRule="exact"/>
              <w:ind w:left="212"/>
              <w:rPr>
                <w:b/>
                <w:sz w:val="21"/>
              </w:rPr>
            </w:pPr>
            <w:r>
              <w:rPr>
                <w:b/>
                <w:spacing w:val="-3"/>
                <w:sz w:val="21"/>
              </w:rPr>
              <w:t>重症肝炎</w:t>
            </w:r>
          </w:p>
        </w:tc>
        <w:tc>
          <w:tcPr>
            <w:tcW w:w="7387" w:type="dxa"/>
          </w:tcPr>
          <w:p>
            <w:pPr>
              <w:pStyle w:val="9"/>
              <w:spacing w:before="14" w:line="256" w:lineRule="exact"/>
              <w:rPr>
                <w:b/>
                <w:sz w:val="21"/>
              </w:rPr>
            </w:pPr>
            <w:r>
              <w:rPr>
                <w:spacing w:val="-2"/>
                <w:sz w:val="21"/>
              </w:rPr>
              <w:t>学或病毒学检查证实，</w:t>
            </w:r>
            <w:r>
              <w:rPr>
                <w:b/>
                <w:spacing w:val="-3"/>
                <w:sz w:val="21"/>
              </w:rPr>
              <w:t>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57"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numPr>
                <w:ilvl w:val="0"/>
                <w:numId w:val="15"/>
              </w:numPr>
              <w:tabs>
                <w:tab w:val="left" w:pos="168"/>
              </w:tabs>
              <w:spacing w:before="26" w:after="0" w:line="240" w:lineRule="auto"/>
              <w:ind w:left="167" w:right="0" w:hanging="168"/>
              <w:jc w:val="left"/>
              <w:rPr>
                <w:sz w:val="21"/>
              </w:rPr>
            </w:pPr>
            <w:r>
              <w:rPr>
                <w:spacing w:val="-3"/>
                <w:sz w:val="21"/>
              </w:rPr>
              <w:t>重度黄疸或黄疸迅速加重；</w:t>
            </w:r>
          </w:p>
          <w:p>
            <w:pPr>
              <w:pStyle w:val="9"/>
              <w:numPr>
                <w:ilvl w:val="0"/>
                <w:numId w:val="15"/>
              </w:numPr>
              <w:tabs>
                <w:tab w:val="left" w:pos="168"/>
              </w:tabs>
              <w:spacing w:before="29" w:after="0" w:line="240" w:lineRule="auto"/>
              <w:ind w:left="167" w:right="0" w:hanging="168"/>
              <w:jc w:val="left"/>
              <w:rPr>
                <w:sz w:val="21"/>
              </w:rPr>
            </w:pPr>
            <w:r>
              <w:rPr>
                <w:spacing w:val="-4"/>
                <w:sz w:val="21"/>
              </w:rPr>
              <w:t>肝性脑病；</w:t>
            </w:r>
          </w:p>
          <w:p>
            <w:pPr>
              <w:pStyle w:val="9"/>
              <w:numPr>
                <w:ilvl w:val="0"/>
                <w:numId w:val="15"/>
              </w:numPr>
              <w:tabs>
                <w:tab w:val="left" w:pos="168"/>
              </w:tabs>
              <w:spacing w:before="29" w:after="0" w:line="240" w:lineRule="auto"/>
              <w:ind w:left="167" w:right="0" w:hanging="168"/>
              <w:jc w:val="left"/>
              <w:rPr>
                <w:sz w:val="21"/>
              </w:rPr>
            </w:pPr>
            <w:r>
              <w:rPr>
                <w:rFonts w:ascii="Times New Roman" w:eastAsia="Times New Roman"/>
                <w:spacing w:val="-2"/>
                <w:sz w:val="21"/>
              </w:rPr>
              <w:t>B</w:t>
            </w:r>
            <w:r>
              <w:rPr>
                <w:spacing w:val="-3"/>
                <w:sz w:val="21"/>
              </w:rPr>
              <w:t>超或其它影像学检查显示肝脏体积急速萎缩；</w:t>
            </w:r>
          </w:p>
          <w:p>
            <w:pPr>
              <w:pStyle w:val="9"/>
              <w:numPr>
                <w:ilvl w:val="0"/>
                <w:numId w:val="15"/>
              </w:numPr>
              <w:tabs>
                <w:tab w:val="left" w:pos="168"/>
              </w:tabs>
              <w:spacing w:before="29" w:after="0" w:line="240" w:lineRule="auto"/>
              <w:ind w:left="167" w:right="0" w:hanging="168"/>
              <w:jc w:val="left"/>
              <w:rPr>
                <w:sz w:val="21"/>
              </w:rPr>
            </w:pPr>
            <w:r>
              <w:rPr>
                <w:spacing w:val="-3"/>
                <w:sz w:val="21"/>
              </w:rPr>
              <w:t>肝功能指标进行性恶化。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32" w:type="dxa"/>
          </w:tcPr>
          <w:p>
            <w:pPr>
              <w:pStyle w:val="9"/>
              <w:spacing w:before="111"/>
              <w:ind w:left="50"/>
              <w:rPr>
                <w:rFonts w:ascii="Times New Roman"/>
                <w:b/>
                <w:sz w:val="21"/>
              </w:rPr>
            </w:pPr>
            <w:r>
              <w:rPr>
                <w:rFonts w:ascii="Times New Roman"/>
                <w:b/>
                <w:spacing w:val="-5"/>
                <w:sz w:val="21"/>
              </w:rPr>
              <w:t>8.9</w:t>
            </w:r>
          </w:p>
        </w:tc>
        <w:tc>
          <w:tcPr>
            <w:tcW w:w="1743" w:type="dxa"/>
          </w:tcPr>
          <w:p>
            <w:pPr>
              <w:pStyle w:val="9"/>
              <w:spacing w:before="97"/>
              <w:ind w:left="212"/>
              <w:rPr>
                <w:b/>
                <w:sz w:val="21"/>
              </w:rPr>
            </w:pPr>
            <w:r>
              <w:rPr>
                <w:b/>
                <w:spacing w:val="-2"/>
                <w:sz w:val="21"/>
              </w:rPr>
              <w:t>良性脑肿瘤</w:t>
            </w:r>
          </w:p>
        </w:tc>
        <w:tc>
          <w:tcPr>
            <w:tcW w:w="7387" w:type="dxa"/>
          </w:tcPr>
          <w:p>
            <w:pPr>
              <w:pStyle w:val="9"/>
              <w:spacing w:before="97"/>
              <w:rPr>
                <w:sz w:val="21"/>
              </w:rPr>
            </w:pPr>
            <w:r>
              <w:rPr>
                <w:spacing w:val="-1"/>
                <w:sz w:val="21"/>
              </w:rPr>
              <w:t>指脑的良性肿瘤，已经引起颅内压增高，临床表现为视神经乳头水肿、精神症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spacing w:before="17"/>
              <w:rPr>
                <w:sz w:val="21"/>
              </w:rPr>
            </w:pPr>
            <w:r>
              <w:rPr>
                <w:spacing w:val="-2"/>
                <w:sz w:val="21"/>
              </w:rPr>
              <w:t>状、癫痫及运动感觉障碍等，并危及生命。须由头颅断层扫描(</w:t>
            </w:r>
            <w:r>
              <w:rPr>
                <w:rFonts w:ascii="Times New Roman" w:eastAsia="Times New Roman"/>
                <w:spacing w:val="-2"/>
                <w:sz w:val="21"/>
              </w:rPr>
              <w:t>CT</w:t>
            </w:r>
            <w:r>
              <w:rPr>
                <w:spacing w:val="-4"/>
                <w:sz w:val="21"/>
              </w:rPr>
              <w:t>)、核磁共振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spacing w:before="17"/>
              <w:rPr>
                <w:b/>
                <w:sz w:val="21"/>
              </w:rPr>
            </w:pPr>
            <w:r>
              <w:rPr>
                <w:spacing w:val="-2"/>
                <w:sz w:val="21"/>
              </w:rPr>
              <w:t>检查(</w:t>
            </w:r>
            <w:r>
              <w:rPr>
                <w:rFonts w:ascii="Times New Roman" w:eastAsia="Times New Roman"/>
                <w:spacing w:val="-2"/>
                <w:sz w:val="21"/>
              </w:rPr>
              <w:t>MRI</w:t>
            </w:r>
            <w:r>
              <w:rPr>
                <w:spacing w:val="-2"/>
                <w:sz w:val="21"/>
              </w:rPr>
              <w:t>)或正电子发射断层扫描(</w:t>
            </w:r>
            <w:r>
              <w:rPr>
                <w:rFonts w:ascii="Times New Roman" w:eastAsia="Times New Roman"/>
                <w:spacing w:val="-2"/>
                <w:sz w:val="21"/>
              </w:rPr>
              <w:t>PET</w:t>
            </w:r>
            <w:r>
              <w:rPr>
                <w:spacing w:val="-9"/>
                <w:sz w:val="21"/>
              </w:rPr>
              <w:t>)等影像学检查证实，</w:t>
            </w:r>
            <w:r>
              <w:rPr>
                <w:b/>
                <w:spacing w:val="-3"/>
                <w:sz w:val="21"/>
              </w:rPr>
              <w:t>并须满足下列至少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0"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spacing w:before="14" w:line="256" w:lineRule="exact"/>
              <w:rPr>
                <w:b/>
                <w:sz w:val="21"/>
              </w:rPr>
            </w:pPr>
            <w:r>
              <w:rPr>
                <w:b/>
                <w:spacing w:val="-2"/>
                <w:sz w:val="21"/>
              </w:rPr>
              <w:t>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1"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numPr>
                <w:ilvl w:val="0"/>
                <w:numId w:val="16"/>
              </w:numPr>
              <w:tabs>
                <w:tab w:val="left" w:pos="168"/>
              </w:tabs>
              <w:spacing w:before="26" w:after="0" w:line="240" w:lineRule="auto"/>
              <w:ind w:left="167" w:right="0" w:hanging="168"/>
              <w:jc w:val="left"/>
              <w:rPr>
                <w:sz w:val="21"/>
              </w:rPr>
            </w:pPr>
            <w:r>
              <w:rPr>
                <w:spacing w:val="-3"/>
                <w:sz w:val="21"/>
              </w:rPr>
              <w:t>实际实施了开颅进行的脑肿瘤完全切除或部分切除的手术；</w:t>
            </w:r>
          </w:p>
          <w:p>
            <w:pPr>
              <w:pStyle w:val="9"/>
              <w:numPr>
                <w:ilvl w:val="0"/>
                <w:numId w:val="16"/>
              </w:numPr>
              <w:tabs>
                <w:tab w:val="left" w:pos="168"/>
              </w:tabs>
              <w:spacing w:before="29" w:after="0" w:line="240" w:lineRule="auto"/>
              <w:ind w:left="167" w:right="0" w:hanging="168"/>
              <w:jc w:val="left"/>
              <w:rPr>
                <w:sz w:val="21"/>
              </w:rPr>
            </w:pPr>
            <w:r>
              <w:rPr>
                <w:spacing w:val="-3"/>
                <w:sz w:val="21"/>
              </w:rPr>
              <w:t>实际实施了对脑肿瘤进行的放射治疗。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spacing w:before="8"/>
              <w:rPr>
                <w:sz w:val="21"/>
              </w:rPr>
            </w:pPr>
            <w:r>
              <w:rPr>
                <w:color w:val="000000"/>
                <w:spacing w:val="-3"/>
                <w:sz w:val="21"/>
                <w:shd w:val="clear" w:color="auto" w:fill="D2D2D2"/>
              </w:rPr>
              <w:t>脑垂体瘤、脑囊肿、脑血管性疾病不在保障范围内。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4" w:hRule="atLeast"/>
        </w:trPr>
        <w:tc>
          <w:tcPr>
            <w:tcW w:w="632" w:type="dxa"/>
          </w:tcPr>
          <w:p>
            <w:pPr>
              <w:pStyle w:val="9"/>
              <w:spacing w:before="124"/>
              <w:ind w:left="50"/>
              <w:rPr>
                <w:rFonts w:ascii="Times New Roman"/>
                <w:b/>
                <w:sz w:val="21"/>
              </w:rPr>
            </w:pPr>
            <w:r>
              <w:rPr>
                <w:rFonts w:ascii="Times New Roman"/>
                <w:b/>
                <w:spacing w:val="-4"/>
                <w:sz w:val="21"/>
              </w:rPr>
              <w:t>8.10</w:t>
            </w:r>
          </w:p>
        </w:tc>
        <w:tc>
          <w:tcPr>
            <w:tcW w:w="1743" w:type="dxa"/>
          </w:tcPr>
          <w:p>
            <w:pPr>
              <w:pStyle w:val="9"/>
              <w:spacing w:before="110" w:line="264" w:lineRule="exact"/>
              <w:ind w:left="212"/>
              <w:rPr>
                <w:b/>
                <w:sz w:val="21"/>
              </w:rPr>
            </w:pPr>
            <w:r>
              <w:rPr>
                <w:b/>
                <w:spacing w:val="-2"/>
                <w:sz w:val="21"/>
              </w:rPr>
              <w:t>慢性肝功能衰</w:t>
            </w:r>
          </w:p>
        </w:tc>
        <w:tc>
          <w:tcPr>
            <w:tcW w:w="7387" w:type="dxa"/>
          </w:tcPr>
          <w:p>
            <w:pPr>
              <w:pStyle w:val="9"/>
              <w:spacing w:before="110" w:line="264" w:lineRule="exact"/>
              <w:rPr>
                <w:sz w:val="21"/>
              </w:rPr>
            </w:pPr>
            <w:r>
              <w:rPr>
                <w:spacing w:val="-3"/>
                <w:sz w:val="21"/>
              </w:rPr>
              <w:t>指因慢性肝脏疾病导致肝功能衰竭。须满足下列全部条件：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30" w:hRule="atLeast"/>
        </w:trPr>
        <w:tc>
          <w:tcPr>
            <w:tcW w:w="632" w:type="dxa"/>
          </w:tcPr>
          <w:p>
            <w:pPr>
              <w:pStyle w:val="9"/>
              <w:rPr>
                <w:rFonts w:ascii="Times New Roman"/>
                <w:sz w:val="20"/>
              </w:rPr>
            </w:pPr>
          </w:p>
        </w:tc>
        <w:tc>
          <w:tcPr>
            <w:tcW w:w="1743" w:type="dxa"/>
          </w:tcPr>
          <w:p>
            <w:pPr>
              <w:pStyle w:val="9"/>
              <w:spacing w:before="27"/>
              <w:ind w:left="212"/>
              <w:rPr>
                <w:b/>
                <w:sz w:val="21"/>
              </w:rPr>
            </w:pPr>
            <w:r>
              <w:rPr>
                <w:b/>
                <w:spacing w:val="-2"/>
                <w:sz w:val="21"/>
              </w:rPr>
              <w:t>竭失代偿期</w:t>
            </w:r>
          </w:p>
        </w:tc>
        <w:tc>
          <w:tcPr>
            <w:tcW w:w="7387" w:type="dxa"/>
          </w:tcPr>
          <w:p>
            <w:pPr>
              <w:pStyle w:val="9"/>
              <w:numPr>
                <w:ilvl w:val="0"/>
                <w:numId w:val="17"/>
              </w:numPr>
              <w:tabs>
                <w:tab w:val="left" w:pos="168"/>
              </w:tabs>
              <w:spacing w:before="18" w:after="0" w:line="240" w:lineRule="auto"/>
              <w:ind w:left="167" w:right="0" w:hanging="168"/>
              <w:jc w:val="left"/>
              <w:rPr>
                <w:sz w:val="21"/>
              </w:rPr>
            </w:pPr>
            <w:r>
              <w:rPr>
                <w:spacing w:val="-4"/>
                <w:sz w:val="21"/>
              </w:rPr>
              <w:t>持续性黄疸；</w:t>
            </w:r>
          </w:p>
          <w:p>
            <w:pPr>
              <w:pStyle w:val="9"/>
              <w:numPr>
                <w:ilvl w:val="0"/>
                <w:numId w:val="17"/>
              </w:numPr>
              <w:tabs>
                <w:tab w:val="left" w:pos="168"/>
              </w:tabs>
              <w:spacing w:before="29" w:after="0" w:line="240" w:lineRule="auto"/>
              <w:ind w:left="167" w:right="0" w:hanging="168"/>
              <w:jc w:val="left"/>
              <w:rPr>
                <w:sz w:val="21"/>
              </w:rPr>
            </w:pPr>
            <w:r>
              <w:rPr>
                <w:spacing w:val="-5"/>
                <w:sz w:val="21"/>
              </w:rPr>
              <w:t>腹水；</w:t>
            </w:r>
          </w:p>
          <w:p>
            <w:pPr>
              <w:pStyle w:val="9"/>
              <w:numPr>
                <w:ilvl w:val="0"/>
                <w:numId w:val="17"/>
              </w:numPr>
              <w:tabs>
                <w:tab w:val="left" w:pos="168"/>
              </w:tabs>
              <w:spacing w:before="29" w:after="0" w:line="240" w:lineRule="auto"/>
              <w:ind w:left="167" w:right="0" w:hanging="168"/>
              <w:jc w:val="left"/>
              <w:rPr>
                <w:sz w:val="21"/>
              </w:rPr>
            </w:pPr>
            <w:r>
              <w:rPr>
                <w:spacing w:val="-4"/>
                <w:sz w:val="21"/>
              </w:rPr>
              <w:t>肝性脑病；</w:t>
            </w:r>
          </w:p>
          <w:p>
            <w:pPr>
              <w:pStyle w:val="9"/>
              <w:numPr>
                <w:ilvl w:val="0"/>
                <w:numId w:val="17"/>
              </w:numPr>
              <w:tabs>
                <w:tab w:val="left" w:pos="168"/>
              </w:tabs>
              <w:spacing w:before="29" w:after="0" w:line="256" w:lineRule="exact"/>
              <w:ind w:left="167" w:right="0" w:hanging="168"/>
              <w:jc w:val="left"/>
              <w:rPr>
                <w:sz w:val="21"/>
              </w:rPr>
            </w:pPr>
            <w:r>
              <w:rPr>
                <w:spacing w:val="-3"/>
                <w:sz w:val="21"/>
              </w:rPr>
              <w:t>充血性脾肿大伴脾功能亢进或食管胃底静脉曲张。</w:t>
            </w:r>
          </w:p>
        </w:tc>
      </w:tr>
    </w:tbl>
    <w:p>
      <w:pPr>
        <w:rPr>
          <w:sz w:val="2"/>
          <w:szCs w:val="2"/>
        </w:rPr>
      </w:pPr>
      <w:r>
        <w:drawing>
          <wp:anchor distT="0" distB="0" distL="0" distR="0" simplePos="0" relativeHeight="251664384" behindDoc="1" locked="0" layoutInCell="1" allowOverlap="1">
            <wp:simplePos x="0" y="0"/>
            <wp:positionH relativeFrom="page">
              <wp:posOffset>2195830</wp:posOffset>
            </wp:positionH>
            <wp:positionV relativeFrom="page">
              <wp:posOffset>4015740</wp:posOffset>
            </wp:positionV>
            <wp:extent cx="4591685" cy="385445"/>
            <wp:effectExtent l="0" t="0" r="0" b="0"/>
            <wp:wrapNone/>
            <wp:docPr id="2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8.png"/>
                    <pic:cNvPicPr>
                      <a:picLocks noChangeAspect="1"/>
                    </pic:cNvPicPr>
                  </pic:nvPicPr>
                  <pic:blipFill>
                    <a:blip r:embed="rId14" cstate="print"/>
                    <a:stretch>
                      <a:fillRect/>
                    </a:stretch>
                  </pic:blipFill>
                  <pic:spPr>
                    <a:xfrm>
                      <a:off x="0" y="0"/>
                      <a:ext cx="4591920" cy="385762"/>
                    </a:xfrm>
                    <a:prstGeom prst="rect">
                      <a:avLst/>
                    </a:prstGeom>
                  </pic:spPr>
                </pic:pic>
              </a:graphicData>
            </a:graphic>
          </wp:anchor>
        </w:drawing>
      </w:r>
    </w:p>
    <w:p>
      <w:pPr>
        <w:spacing w:after="0"/>
        <w:rPr>
          <w:sz w:val="2"/>
          <w:szCs w:val="2"/>
        </w:rPr>
        <w:sectPr>
          <w:pgSz w:w="11910" w:h="16840"/>
          <w:pgMar w:top="1140" w:right="940" w:bottom="1180" w:left="920" w:header="0" w:footer="981" w:gutter="0"/>
          <w:cols w:space="720" w:num="1"/>
        </w:sect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2"/>
        <w:gridCol w:w="1611"/>
        <w:gridCol w:w="75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3"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spacing w:line="241" w:lineRule="exact"/>
              <w:ind w:left="132"/>
              <w:rPr>
                <w:sz w:val="21"/>
              </w:rPr>
            </w:pPr>
            <w:r>
              <w:rPr>
                <w:color w:val="000000"/>
                <w:spacing w:val="-3"/>
                <w:sz w:val="21"/>
                <w:shd w:val="clear" w:color="auto" w:fill="D2D2D2"/>
              </w:rPr>
              <w:t>因酗酒或药物滥用导致的肝功能衰竭不在保障范围内。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632" w:type="dxa"/>
          </w:tcPr>
          <w:p>
            <w:pPr>
              <w:pStyle w:val="9"/>
              <w:spacing w:before="124"/>
              <w:ind w:left="50"/>
              <w:rPr>
                <w:rFonts w:ascii="Times New Roman"/>
                <w:b/>
                <w:sz w:val="21"/>
              </w:rPr>
            </w:pPr>
            <w:r>
              <w:rPr>
                <w:rFonts w:ascii="Times New Roman"/>
                <w:b/>
                <w:spacing w:val="-4"/>
                <w:sz w:val="21"/>
              </w:rPr>
              <w:t>8.11</w:t>
            </w:r>
          </w:p>
        </w:tc>
        <w:tc>
          <w:tcPr>
            <w:tcW w:w="1611" w:type="dxa"/>
          </w:tcPr>
          <w:p>
            <w:pPr>
              <w:pStyle w:val="9"/>
              <w:spacing w:before="110"/>
              <w:ind w:left="212"/>
              <w:rPr>
                <w:b/>
                <w:sz w:val="21"/>
              </w:rPr>
            </w:pPr>
            <w:r>
              <w:rPr>
                <w:b/>
                <w:spacing w:val="-2"/>
                <w:sz w:val="21"/>
              </w:rPr>
              <w:t>脑炎后遗症或</w:t>
            </w:r>
          </w:p>
        </w:tc>
        <w:tc>
          <w:tcPr>
            <w:tcW w:w="7519" w:type="dxa"/>
          </w:tcPr>
          <w:p>
            <w:pPr>
              <w:pStyle w:val="9"/>
              <w:spacing w:before="110"/>
              <w:ind w:left="132"/>
              <w:rPr>
                <w:sz w:val="21"/>
              </w:rPr>
            </w:pPr>
            <w:r>
              <w:rPr>
                <w:spacing w:val="-1"/>
                <w:sz w:val="21"/>
              </w:rPr>
              <w:t>指因患脑炎或脑膜炎导致的神经系统永久性的功能障碍。神经系统永久性的功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32" w:type="dxa"/>
          </w:tcPr>
          <w:p>
            <w:pPr>
              <w:pStyle w:val="9"/>
              <w:rPr>
                <w:rFonts w:ascii="Times New Roman"/>
                <w:sz w:val="20"/>
              </w:rPr>
            </w:pPr>
          </w:p>
        </w:tc>
        <w:tc>
          <w:tcPr>
            <w:tcW w:w="1611" w:type="dxa"/>
          </w:tcPr>
          <w:p>
            <w:pPr>
              <w:pStyle w:val="9"/>
              <w:spacing w:before="17" w:line="264" w:lineRule="exact"/>
              <w:ind w:left="212"/>
              <w:rPr>
                <w:b/>
                <w:sz w:val="21"/>
              </w:rPr>
            </w:pPr>
            <w:r>
              <w:rPr>
                <w:b/>
                <w:spacing w:val="-2"/>
                <w:sz w:val="21"/>
              </w:rPr>
              <w:t>脑膜炎后遗症</w:t>
            </w:r>
          </w:p>
        </w:tc>
        <w:tc>
          <w:tcPr>
            <w:tcW w:w="7519" w:type="dxa"/>
          </w:tcPr>
          <w:p>
            <w:pPr>
              <w:pStyle w:val="9"/>
              <w:spacing w:before="17" w:line="264" w:lineRule="exact"/>
              <w:ind w:left="132"/>
              <w:rPr>
                <w:b/>
                <w:sz w:val="21"/>
              </w:rPr>
            </w:pPr>
            <w:r>
              <w:rPr>
                <w:spacing w:val="-2"/>
                <w:sz w:val="21"/>
              </w:rPr>
              <w:t>能障碍，指疾病确诊</w:t>
            </w:r>
            <w:r>
              <w:rPr>
                <w:rFonts w:ascii="Times New Roman" w:eastAsia="Times New Roman"/>
                <w:spacing w:val="-2"/>
                <w:sz w:val="21"/>
              </w:rPr>
              <w:t>180</w:t>
            </w:r>
            <w:r>
              <w:rPr>
                <w:spacing w:val="-2"/>
                <w:sz w:val="21"/>
              </w:rPr>
              <w:t>日后，</w:t>
            </w:r>
            <w:r>
              <w:rPr>
                <w:b/>
                <w:spacing w:val="-3"/>
                <w:sz w:val="21"/>
              </w:rPr>
              <w:t>仍遗留下列一种或一种以上障碍：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55"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numPr>
                <w:ilvl w:val="0"/>
                <w:numId w:val="18"/>
              </w:numPr>
              <w:tabs>
                <w:tab w:val="left" w:pos="300"/>
              </w:tabs>
              <w:spacing w:before="18" w:after="0" w:line="240" w:lineRule="auto"/>
              <w:ind w:left="299" w:right="0" w:hanging="168"/>
              <w:jc w:val="left"/>
              <w:rPr>
                <w:sz w:val="21"/>
              </w:rPr>
            </w:pPr>
            <w:r>
              <w:rPr>
                <w:spacing w:val="-3"/>
                <w:sz w:val="21"/>
              </w:rPr>
              <w:t>一肢或一肢以上肢体机能完全丧失；</w:t>
            </w:r>
          </w:p>
          <w:p>
            <w:pPr>
              <w:pStyle w:val="9"/>
              <w:numPr>
                <w:ilvl w:val="0"/>
                <w:numId w:val="18"/>
              </w:numPr>
              <w:tabs>
                <w:tab w:val="left" w:pos="300"/>
              </w:tabs>
              <w:spacing w:before="29" w:after="0" w:line="240" w:lineRule="auto"/>
              <w:ind w:left="299" w:right="0" w:hanging="168"/>
              <w:jc w:val="left"/>
              <w:rPr>
                <w:sz w:val="21"/>
              </w:rPr>
            </w:pPr>
            <w:r>
              <w:rPr>
                <w:spacing w:val="-3"/>
                <w:sz w:val="21"/>
              </w:rPr>
              <w:t>语言能力或咀嚼吞咽能力完全丧失；</w:t>
            </w:r>
          </w:p>
          <w:p>
            <w:pPr>
              <w:pStyle w:val="9"/>
              <w:numPr>
                <w:ilvl w:val="0"/>
                <w:numId w:val="18"/>
              </w:numPr>
              <w:tabs>
                <w:tab w:val="left" w:pos="300"/>
              </w:tabs>
              <w:spacing w:before="29" w:after="0" w:line="240" w:lineRule="auto"/>
              <w:ind w:left="299" w:right="0" w:hanging="168"/>
              <w:jc w:val="left"/>
              <w:rPr>
                <w:sz w:val="21"/>
              </w:rPr>
            </w:pPr>
            <w:r>
              <w:rPr>
                <w:spacing w:val="-10"/>
                <w:sz w:val="21"/>
              </w:rPr>
              <w:t>自主生活能力完全丧失，无法独立完成六项基本日常生活活动中的三项或三项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spacing w:before="8"/>
              <w:ind w:left="132"/>
              <w:rPr>
                <w:sz w:val="21"/>
              </w:rPr>
            </w:pPr>
            <w:r>
              <w:rPr>
                <w:spacing w:val="-4"/>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632" w:type="dxa"/>
          </w:tcPr>
          <w:p>
            <w:pPr>
              <w:pStyle w:val="9"/>
              <w:spacing w:before="124"/>
              <w:ind w:left="50"/>
              <w:rPr>
                <w:rFonts w:ascii="Times New Roman"/>
                <w:b/>
                <w:sz w:val="21"/>
              </w:rPr>
            </w:pPr>
            <w:r>
              <w:rPr>
                <w:rFonts w:ascii="Times New Roman"/>
                <w:b/>
                <w:spacing w:val="-4"/>
                <w:sz w:val="21"/>
              </w:rPr>
              <w:t>8.12</w:t>
            </w:r>
          </w:p>
        </w:tc>
        <w:tc>
          <w:tcPr>
            <w:tcW w:w="1611" w:type="dxa"/>
          </w:tcPr>
          <w:p>
            <w:pPr>
              <w:pStyle w:val="9"/>
              <w:spacing w:before="110"/>
              <w:ind w:left="212"/>
              <w:rPr>
                <w:b/>
                <w:sz w:val="21"/>
              </w:rPr>
            </w:pPr>
            <w:r>
              <w:rPr>
                <w:b/>
                <w:spacing w:val="-3"/>
                <w:sz w:val="21"/>
              </w:rPr>
              <w:t>深度昏迷</w:t>
            </w:r>
          </w:p>
        </w:tc>
        <w:tc>
          <w:tcPr>
            <w:tcW w:w="7519" w:type="dxa"/>
          </w:tcPr>
          <w:p>
            <w:pPr>
              <w:pStyle w:val="9"/>
              <w:spacing w:before="110"/>
              <w:ind w:left="132"/>
              <w:rPr>
                <w:sz w:val="21"/>
              </w:rPr>
            </w:pPr>
            <w:r>
              <w:rPr>
                <w:spacing w:val="-1"/>
                <w:sz w:val="21"/>
              </w:rPr>
              <w:t>指因疾病或意外伤害导致意识丧失,对外界刺激和体内需求均无反应,昏迷程度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spacing w:before="17"/>
              <w:ind w:left="132"/>
              <w:rPr>
                <w:sz w:val="21"/>
              </w:rPr>
            </w:pPr>
            <w:r>
              <w:rPr>
                <w:spacing w:val="-2"/>
                <w:sz w:val="21"/>
              </w:rPr>
              <w:t>按照格拉斯哥昏迷分级(</w:t>
            </w:r>
            <w:r>
              <w:rPr>
                <w:rFonts w:ascii="Times New Roman" w:eastAsia="Times New Roman"/>
                <w:spacing w:val="-2"/>
                <w:sz w:val="21"/>
              </w:rPr>
              <w:t>Glasgow</w:t>
            </w:r>
            <w:r>
              <w:rPr>
                <w:rFonts w:ascii="Times New Roman" w:eastAsia="Times New Roman"/>
                <w:spacing w:val="38"/>
                <w:sz w:val="21"/>
              </w:rPr>
              <w:t xml:space="preserve"> </w:t>
            </w:r>
            <w:r>
              <w:rPr>
                <w:rFonts w:ascii="Times New Roman" w:eastAsia="Times New Roman"/>
                <w:spacing w:val="-2"/>
                <w:sz w:val="21"/>
              </w:rPr>
              <w:t>coma</w:t>
            </w:r>
            <w:r>
              <w:rPr>
                <w:rFonts w:ascii="Times New Roman" w:eastAsia="Times New Roman"/>
                <w:spacing w:val="38"/>
                <w:sz w:val="21"/>
              </w:rPr>
              <w:t xml:space="preserve"> </w:t>
            </w:r>
            <w:r>
              <w:rPr>
                <w:rFonts w:ascii="Times New Roman" w:eastAsia="Times New Roman"/>
                <w:spacing w:val="-2"/>
                <w:sz w:val="21"/>
              </w:rPr>
              <w:t>scale</w:t>
            </w:r>
            <w:r>
              <w:rPr>
                <w:spacing w:val="-2"/>
                <w:sz w:val="21"/>
              </w:rPr>
              <w:t>)结果为</w:t>
            </w:r>
            <w:r>
              <w:rPr>
                <w:rFonts w:ascii="Times New Roman" w:eastAsia="Times New Roman"/>
                <w:spacing w:val="-2"/>
                <w:sz w:val="21"/>
              </w:rPr>
              <w:t>5</w:t>
            </w:r>
            <w:r>
              <w:rPr>
                <w:spacing w:val="-2"/>
                <w:sz w:val="21"/>
              </w:rPr>
              <w:t>分或</w:t>
            </w:r>
            <w:r>
              <w:rPr>
                <w:rFonts w:ascii="Times New Roman" w:eastAsia="Times New Roman"/>
                <w:spacing w:val="-2"/>
                <w:sz w:val="21"/>
              </w:rPr>
              <w:t>5</w:t>
            </w:r>
            <w:r>
              <w:rPr>
                <w:spacing w:val="-3"/>
                <w:sz w:val="21"/>
              </w:rPr>
              <w:t>分以下，且已经持续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spacing w:before="17"/>
              <w:ind w:left="132"/>
              <w:rPr>
                <w:sz w:val="21"/>
              </w:rPr>
            </w:pPr>
            <w:r>
              <w:rPr>
                <w:spacing w:val="-2"/>
                <w:sz w:val="21"/>
              </w:rPr>
              <w:t>使用呼吸机及其它生命维持系统</w:t>
            </w:r>
            <w:r>
              <w:rPr>
                <w:rFonts w:ascii="Times New Roman" w:eastAsia="Times New Roman"/>
                <w:spacing w:val="-2"/>
                <w:sz w:val="21"/>
              </w:rPr>
              <w:t>96</w:t>
            </w:r>
            <w:r>
              <w:rPr>
                <w:spacing w:val="-4"/>
                <w:sz w:val="21"/>
              </w:rPr>
              <w:t>小时以上。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6"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spacing w:before="14"/>
              <w:ind w:left="132"/>
              <w:rPr>
                <w:sz w:val="21"/>
              </w:rPr>
            </w:pPr>
            <w:r>
              <w:rPr>
                <w:color w:val="000000"/>
                <w:spacing w:val="-3"/>
                <w:sz w:val="21"/>
                <w:shd w:val="clear" w:color="auto" w:fill="D2D2D2"/>
              </w:rPr>
              <w:t>因酗酒或药物滥用导致的深度昏迷不在保障范围内。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632" w:type="dxa"/>
          </w:tcPr>
          <w:p>
            <w:pPr>
              <w:pStyle w:val="9"/>
              <w:spacing w:before="124"/>
              <w:ind w:left="50"/>
              <w:rPr>
                <w:rFonts w:ascii="Times New Roman"/>
                <w:b/>
                <w:sz w:val="21"/>
              </w:rPr>
            </w:pPr>
            <w:r>
              <w:rPr>
                <w:rFonts w:ascii="Times New Roman"/>
                <w:b/>
                <w:spacing w:val="-4"/>
                <w:sz w:val="21"/>
              </w:rPr>
              <w:t>8.13</w:t>
            </w:r>
          </w:p>
        </w:tc>
        <w:tc>
          <w:tcPr>
            <w:tcW w:w="1611" w:type="dxa"/>
          </w:tcPr>
          <w:p>
            <w:pPr>
              <w:pStyle w:val="9"/>
              <w:spacing w:before="110"/>
              <w:ind w:left="212"/>
              <w:rPr>
                <w:b/>
                <w:sz w:val="21"/>
              </w:rPr>
            </w:pPr>
            <w:r>
              <w:rPr>
                <w:b/>
                <w:spacing w:val="-3"/>
                <w:sz w:val="21"/>
              </w:rPr>
              <w:t>双耳失聪</w:t>
            </w:r>
          </w:p>
        </w:tc>
        <w:tc>
          <w:tcPr>
            <w:tcW w:w="7519" w:type="dxa"/>
          </w:tcPr>
          <w:p>
            <w:pPr>
              <w:pStyle w:val="9"/>
              <w:spacing w:before="110"/>
              <w:ind w:left="132"/>
              <w:rPr>
                <w:sz w:val="21"/>
              </w:rPr>
            </w:pPr>
            <w:r>
              <w:rPr>
                <w:spacing w:val="-2"/>
                <w:sz w:val="21"/>
              </w:rPr>
              <w:t>指因疾病或意外伤害导致双耳听力</w:t>
            </w:r>
            <w:r>
              <w:rPr>
                <w:b/>
                <w:spacing w:val="-2"/>
                <w:sz w:val="21"/>
              </w:rPr>
              <w:t>永久不可逆</w:t>
            </w:r>
            <w:r>
              <w:rPr>
                <w:spacing w:val="-2"/>
                <w:sz w:val="21"/>
              </w:rPr>
              <w:t>（见</w:t>
            </w:r>
            <w:r>
              <w:rPr>
                <w:rFonts w:ascii="Times New Roman" w:eastAsia="Times New Roman"/>
                <w:spacing w:val="-2"/>
                <w:sz w:val="21"/>
              </w:rPr>
              <w:t>9.40</w:t>
            </w:r>
            <w:r>
              <w:rPr>
                <w:spacing w:val="-2"/>
                <w:sz w:val="21"/>
              </w:rPr>
              <w:t>）性丧失，在</w:t>
            </w:r>
            <w:r>
              <w:rPr>
                <w:rFonts w:ascii="Times New Roman" w:eastAsia="Times New Roman"/>
                <w:spacing w:val="-2"/>
                <w:sz w:val="21"/>
              </w:rPr>
              <w:t>500</w:t>
            </w:r>
            <w:r>
              <w:rPr>
                <w:spacing w:val="-5"/>
                <w:sz w:val="21"/>
              </w:rPr>
              <w:t>赫兹、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632" w:type="dxa"/>
          </w:tcPr>
          <w:p>
            <w:pPr>
              <w:pStyle w:val="9"/>
              <w:rPr>
                <w:rFonts w:ascii="Times New Roman"/>
                <w:sz w:val="20"/>
              </w:rPr>
            </w:pPr>
          </w:p>
        </w:tc>
        <w:tc>
          <w:tcPr>
            <w:tcW w:w="1611" w:type="dxa"/>
          </w:tcPr>
          <w:p>
            <w:pPr>
              <w:pStyle w:val="9"/>
              <w:spacing w:before="17"/>
              <w:ind w:left="212"/>
              <w:rPr>
                <w:b/>
                <w:sz w:val="21"/>
              </w:rPr>
            </w:pPr>
            <w:r>
              <w:rPr>
                <w:rFonts w:ascii="Times New Roman" w:eastAsia="Times New Roman"/>
                <w:b/>
                <w:spacing w:val="-2"/>
                <w:sz w:val="21"/>
              </w:rPr>
              <w:t>-</w:t>
            </w:r>
            <w:r>
              <w:rPr>
                <w:b/>
                <w:spacing w:val="-4"/>
                <w:sz w:val="21"/>
              </w:rPr>
              <w:t>三岁始理赔</w:t>
            </w:r>
          </w:p>
        </w:tc>
        <w:tc>
          <w:tcPr>
            <w:tcW w:w="7519" w:type="dxa"/>
          </w:tcPr>
          <w:p>
            <w:pPr>
              <w:pStyle w:val="9"/>
              <w:spacing w:before="17"/>
              <w:ind w:left="132"/>
              <w:rPr>
                <w:sz w:val="21"/>
              </w:rPr>
            </w:pPr>
            <w:r>
              <w:rPr>
                <w:rFonts w:ascii="Times New Roman" w:eastAsia="Times New Roman"/>
                <w:sz w:val="21"/>
              </w:rPr>
              <w:t>1000</w:t>
            </w:r>
            <w:r>
              <w:rPr>
                <w:sz w:val="21"/>
              </w:rPr>
              <w:t>赫兹和</w:t>
            </w:r>
            <w:r>
              <w:rPr>
                <w:rFonts w:ascii="Times New Roman" w:eastAsia="Times New Roman"/>
                <w:sz w:val="21"/>
              </w:rPr>
              <w:t>2000</w:t>
            </w:r>
            <w:r>
              <w:rPr>
                <w:sz w:val="21"/>
              </w:rPr>
              <w:t>赫兹语音频率下，平均听阈大于</w:t>
            </w:r>
            <w:r>
              <w:rPr>
                <w:rFonts w:ascii="Times New Roman" w:eastAsia="Times New Roman"/>
                <w:sz w:val="21"/>
              </w:rPr>
              <w:t>90</w:t>
            </w:r>
            <w:r>
              <w:rPr>
                <w:spacing w:val="-1"/>
                <w:sz w:val="21"/>
              </w:rPr>
              <w:t>分贝，且经纯音听力测试、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spacing w:before="14" w:line="267" w:lineRule="exact"/>
              <w:ind w:left="132"/>
              <w:rPr>
                <w:sz w:val="21"/>
              </w:rPr>
            </w:pPr>
            <w:r>
              <w:rPr>
                <w:spacing w:val="-3"/>
                <w:sz w:val="21"/>
              </w:rPr>
              <w:t>声导抗检测或听觉诱发电位检测等证实。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spacing w:before="25"/>
              <w:ind w:left="132"/>
              <w:rPr>
                <w:b/>
                <w:sz w:val="21"/>
              </w:rPr>
            </w:pPr>
            <w:r>
              <w:rPr>
                <w:b/>
                <w:spacing w:val="-2"/>
                <w:sz w:val="21"/>
              </w:rPr>
              <w:t>被保险人申请理赔时年龄必须在</w:t>
            </w:r>
            <w:r>
              <w:rPr>
                <w:rFonts w:ascii="Times New Roman" w:eastAsia="Times New Roman"/>
                <w:b/>
                <w:spacing w:val="-2"/>
                <w:sz w:val="21"/>
              </w:rPr>
              <w:t>3</w:t>
            </w:r>
            <w:r>
              <w:rPr>
                <w:b/>
                <w:spacing w:val="-4"/>
                <w:sz w:val="21"/>
              </w:rPr>
              <w:t>周岁以上。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632" w:type="dxa"/>
          </w:tcPr>
          <w:p>
            <w:pPr>
              <w:pStyle w:val="9"/>
              <w:spacing w:before="116"/>
              <w:ind w:left="50"/>
              <w:rPr>
                <w:rFonts w:ascii="Times New Roman"/>
                <w:b/>
                <w:sz w:val="21"/>
              </w:rPr>
            </w:pPr>
            <w:r>
              <w:rPr>
                <w:rFonts w:ascii="Times New Roman"/>
                <w:b/>
                <w:spacing w:val="-4"/>
                <w:sz w:val="21"/>
              </w:rPr>
              <w:t>8.14</w:t>
            </w:r>
          </w:p>
        </w:tc>
        <w:tc>
          <w:tcPr>
            <w:tcW w:w="1611" w:type="dxa"/>
          </w:tcPr>
          <w:p>
            <w:pPr>
              <w:pStyle w:val="9"/>
              <w:spacing w:before="102"/>
              <w:ind w:left="212"/>
              <w:rPr>
                <w:b/>
                <w:sz w:val="21"/>
              </w:rPr>
            </w:pPr>
            <w:r>
              <w:rPr>
                <w:b/>
                <w:spacing w:val="-3"/>
                <w:sz w:val="21"/>
              </w:rPr>
              <w:t>双目失明</w:t>
            </w:r>
          </w:p>
        </w:tc>
        <w:tc>
          <w:tcPr>
            <w:tcW w:w="7519" w:type="dxa"/>
          </w:tcPr>
          <w:p>
            <w:pPr>
              <w:pStyle w:val="9"/>
              <w:spacing w:before="102"/>
              <w:ind w:left="132"/>
              <w:rPr>
                <w:sz w:val="21"/>
              </w:rPr>
            </w:pPr>
            <w:r>
              <w:rPr>
                <w:spacing w:val="-1"/>
                <w:sz w:val="21"/>
              </w:rPr>
              <w:t>指因疾病或意外伤害导致双眼视力永久不可逆性丧失，双眼中较好眼须满足下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32" w:type="dxa"/>
          </w:tcPr>
          <w:p>
            <w:pPr>
              <w:pStyle w:val="9"/>
              <w:rPr>
                <w:rFonts w:ascii="Times New Roman"/>
                <w:sz w:val="20"/>
              </w:rPr>
            </w:pPr>
          </w:p>
        </w:tc>
        <w:tc>
          <w:tcPr>
            <w:tcW w:w="1611" w:type="dxa"/>
          </w:tcPr>
          <w:p>
            <w:pPr>
              <w:pStyle w:val="9"/>
              <w:spacing w:before="17" w:line="264" w:lineRule="exact"/>
              <w:ind w:left="212"/>
              <w:rPr>
                <w:b/>
                <w:sz w:val="21"/>
              </w:rPr>
            </w:pPr>
            <w:r>
              <w:rPr>
                <w:rFonts w:ascii="Times New Roman" w:eastAsia="Times New Roman"/>
                <w:b/>
                <w:spacing w:val="-2"/>
                <w:sz w:val="21"/>
              </w:rPr>
              <w:t>-</w:t>
            </w:r>
            <w:r>
              <w:rPr>
                <w:b/>
                <w:spacing w:val="-4"/>
                <w:sz w:val="21"/>
              </w:rPr>
              <w:t>三岁始理赔</w:t>
            </w:r>
          </w:p>
        </w:tc>
        <w:tc>
          <w:tcPr>
            <w:tcW w:w="7519" w:type="dxa"/>
          </w:tcPr>
          <w:p>
            <w:pPr>
              <w:pStyle w:val="9"/>
              <w:spacing w:before="17" w:line="264" w:lineRule="exact"/>
              <w:ind w:left="132"/>
              <w:rPr>
                <w:sz w:val="21"/>
              </w:rPr>
            </w:pPr>
            <w:r>
              <w:rPr>
                <w:spacing w:val="-4"/>
                <w:sz w:val="21"/>
              </w:rPr>
              <w:t>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52"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numPr>
                <w:ilvl w:val="0"/>
                <w:numId w:val="19"/>
              </w:numPr>
              <w:tabs>
                <w:tab w:val="left" w:pos="300"/>
              </w:tabs>
              <w:spacing w:before="18" w:after="0" w:line="240" w:lineRule="auto"/>
              <w:ind w:left="299" w:right="0" w:hanging="168"/>
              <w:jc w:val="left"/>
              <w:rPr>
                <w:sz w:val="21"/>
              </w:rPr>
            </w:pPr>
            <w:r>
              <w:rPr>
                <w:spacing w:val="-4"/>
                <w:sz w:val="21"/>
              </w:rPr>
              <w:t>眼球缺失或摘除；</w:t>
            </w:r>
          </w:p>
          <w:p>
            <w:pPr>
              <w:pStyle w:val="9"/>
              <w:numPr>
                <w:ilvl w:val="0"/>
                <w:numId w:val="19"/>
              </w:numPr>
              <w:tabs>
                <w:tab w:val="left" w:pos="300"/>
              </w:tabs>
              <w:spacing w:before="29" w:after="0" w:line="240" w:lineRule="auto"/>
              <w:ind w:left="299" w:right="0" w:hanging="168"/>
              <w:jc w:val="left"/>
              <w:rPr>
                <w:sz w:val="21"/>
              </w:rPr>
            </w:pPr>
            <w:r>
              <w:rPr>
                <w:spacing w:val="-4"/>
                <w:sz w:val="21"/>
              </w:rPr>
              <w:t>矫正视力低于</w:t>
            </w:r>
            <w:r>
              <w:rPr>
                <w:rFonts w:ascii="Times New Roman" w:eastAsia="Times New Roman"/>
                <w:spacing w:val="-4"/>
                <w:sz w:val="21"/>
              </w:rPr>
              <w:t>0.02</w:t>
            </w:r>
            <w:r>
              <w:rPr>
                <w:spacing w:val="-4"/>
                <w:sz w:val="21"/>
              </w:rPr>
              <w:t>（采用国际标准视力表，如果使用其它视力表应进行换算</w:t>
            </w:r>
            <w:r>
              <w:rPr>
                <w:spacing w:val="-113"/>
                <w:sz w:val="21"/>
              </w:rPr>
              <w:t>）</w:t>
            </w:r>
            <w:r>
              <w:rPr>
                <w:spacing w:val="-5"/>
                <w:sz w:val="21"/>
              </w:rPr>
              <w:t>；</w:t>
            </w:r>
          </w:p>
          <w:p>
            <w:pPr>
              <w:pStyle w:val="9"/>
              <w:numPr>
                <w:ilvl w:val="0"/>
                <w:numId w:val="19"/>
              </w:numPr>
              <w:tabs>
                <w:tab w:val="left" w:pos="300"/>
              </w:tabs>
              <w:spacing w:before="29" w:after="0" w:line="240" w:lineRule="auto"/>
              <w:ind w:left="299" w:right="0" w:hanging="168"/>
              <w:jc w:val="left"/>
              <w:rPr>
                <w:sz w:val="21"/>
              </w:rPr>
            </w:pPr>
            <w:r>
              <w:rPr>
                <w:spacing w:val="-2"/>
                <w:sz w:val="21"/>
              </w:rPr>
              <w:t>视野半径小于</w:t>
            </w:r>
            <w:r>
              <w:rPr>
                <w:rFonts w:ascii="Times New Roman" w:eastAsia="Times New Roman"/>
                <w:spacing w:val="-2"/>
                <w:sz w:val="21"/>
              </w:rPr>
              <w:t>5</w:t>
            </w:r>
            <w:r>
              <w:rPr>
                <w:spacing w:val="-6"/>
                <w:sz w:val="21"/>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spacing w:before="12"/>
              <w:ind w:left="132"/>
              <w:rPr>
                <w:b/>
                <w:sz w:val="21"/>
              </w:rPr>
            </w:pPr>
            <w:r>
              <w:rPr>
                <w:b/>
                <w:spacing w:val="-2"/>
                <w:sz w:val="21"/>
              </w:rPr>
              <w:t>被保险人申请理赔时年龄必须在</w:t>
            </w:r>
            <w:r>
              <w:rPr>
                <w:rFonts w:ascii="Times New Roman" w:eastAsia="Times New Roman"/>
                <w:b/>
                <w:spacing w:val="-2"/>
                <w:sz w:val="21"/>
              </w:rPr>
              <w:t>3</w:t>
            </w:r>
            <w:r>
              <w:rPr>
                <w:b/>
                <w:spacing w:val="-4"/>
                <w:sz w:val="21"/>
              </w:rPr>
              <w:t>周岁以上。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632" w:type="dxa"/>
          </w:tcPr>
          <w:p>
            <w:pPr>
              <w:pStyle w:val="9"/>
              <w:spacing w:before="116"/>
              <w:ind w:left="50"/>
              <w:rPr>
                <w:rFonts w:ascii="Times New Roman"/>
                <w:b/>
                <w:sz w:val="21"/>
              </w:rPr>
            </w:pPr>
            <w:r>
              <w:rPr>
                <w:rFonts w:ascii="Times New Roman"/>
                <w:b/>
                <w:spacing w:val="-4"/>
                <w:sz w:val="21"/>
              </w:rPr>
              <w:t>8.15</w:t>
            </w:r>
          </w:p>
        </w:tc>
        <w:tc>
          <w:tcPr>
            <w:tcW w:w="1611" w:type="dxa"/>
          </w:tcPr>
          <w:p>
            <w:pPr>
              <w:pStyle w:val="9"/>
              <w:spacing w:before="102"/>
              <w:ind w:left="212"/>
              <w:rPr>
                <w:b/>
                <w:sz w:val="21"/>
              </w:rPr>
            </w:pPr>
            <w:r>
              <w:rPr>
                <w:b/>
                <w:spacing w:val="-5"/>
                <w:sz w:val="21"/>
              </w:rPr>
              <w:t>瘫痪</w:t>
            </w:r>
          </w:p>
        </w:tc>
        <w:tc>
          <w:tcPr>
            <w:tcW w:w="7519" w:type="dxa"/>
          </w:tcPr>
          <w:p>
            <w:pPr>
              <w:pStyle w:val="9"/>
              <w:spacing w:before="102"/>
              <w:ind w:left="132"/>
              <w:rPr>
                <w:sz w:val="21"/>
              </w:rPr>
            </w:pPr>
            <w:r>
              <w:rPr>
                <w:spacing w:val="-1"/>
                <w:sz w:val="21"/>
              </w:rPr>
              <w:t>指因疾病或意外伤害导致两肢或两肢以上肢体机能永久完全丧失。肢体机能永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spacing w:before="17"/>
              <w:ind w:left="132"/>
              <w:rPr>
                <w:sz w:val="21"/>
              </w:rPr>
            </w:pPr>
            <w:r>
              <w:rPr>
                <w:sz w:val="21"/>
              </w:rPr>
              <w:t>久完全丧失，指疾病确诊</w:t>
            </w:r>
            <w:r>
              <w:rPr>
                <w:rFonts w:ascii="Times New Roman" w:eastAsia="Times New Roman"/>
                <w:sz w:val="21"/>
              </w:rPr>
              <w:t>180</w:t>
            </w:r>
            <w:r>
              <w:rPr>
                <w:sz w:val="21"/>
              </w:rPr>
              <w:t>日后或意外伤害发生</w:t>
            </w:r>
            <w:r>
              <w:rPr>
                <w:rFonts w:ascii="Times New Roman" w:eastAsia="Times New Roman"/>
                <w:sz w:val="21"/>
              </w:rPr>
              <w:t>180</w:t>
            </w:r>
            <w:r>
              <w:rPr>
                <w:spacing w:val="-1"/>
                <w:sz w:val="21"/>
              </w:rPr>
              <w:t>日后，每肢三大关节中的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4"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spacing w:before="14"/>
              <w:ind w:left="132"/>
              <w:rPr>
                <w:sz w:val="21"/>
              </w:rPr>
            </w:pPr>
            <w:r>
              <w:rPr>
                <w:spacing w:val="-3"/>
                <w:sz w:val="21"/>
              </w:rPr>
              <w:t>两大关节仍然完全僵硬，或不能随意识活动。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9" w:hRule="atLeast"/>
        </w:trPr>
        <w:tc>
          <w:tcPr>
            <w:tcW w:w="632" w:type="dxa"/>
          </w:tcPr>
          <w:p>
            <w:pPr>
              <w:pStyle w:val="9"/>
              <w:spacing w:before="123"/>
              <w:ind w:left="50"/>
              <w:rPr>
                <w:rFonts w:ascii="Times New Roman"/>
                <w:b/>
                <w:sz w:val="21"/>
              </w:rPr>
            </w:pPr>
            <w:r>
              <w:rPr>
                <w:rFonts w:ascii="Times New Roman"/>
                <w:b/>
                <w:spacing w:val="-4"/>
                <w:sz w:val="21"/>
              </w:rPr>
              <w:t>8.16</w:t>
            </w:r>
          </w:p>
        </w:tc>
        <w:tc>
          <w:tcPr>
            <w:tcW w:w="1611" w:type="dxa"/>
          </w:tcPr>
          <w:p>
            <w:pPr>
              <w:pStyle w:val="9"/>
              <w:spacing w:before="109"/>
              <w:ind w:left="212"/>
              <w:rPr>
                <w:b/>
                <w:sz w:val="21"/>
              </w:rPr>
            </w:pPr>
            <w:r>
              <w:rPr>
                <w:b/>
                <w:spacing w:val="-2"/>
                <w:sz w:val="21"/>
              </w:rPr>
              <w:t>心脏瓣膜手术</w:t>
            </w:r>
          </w:p>
        </w:tc>
        <w:tc>
          <w:tcPr>
            <w:tcW w:w="7519" w:type="dxa"/>
          </w:tcPr>
          <w:p>
            <w:pPr>
              <w:pStyle w:val="9"/>
              <w:spacing w:before="109"/>
              <w:ind w:left="132"/>
              <w:rPr>
                <w:sz w:val="21"/>
              </w:rPr>
            </w:pPr>
            <w:r>
              <w:rPr>
                <w:spacing w:val="-3"/>
                <w:sz w:val="21"/>
              </w:rPr>
              <w:t>指为治疗心脏瓣膜疾病，实际实施了开胸进行的心脏瓣膜置换或修复的手术。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632" w:type="dxa"/>
          </w:tcPr>
          <w:p>
            <w:pPr>
              <w:pStyle w:val="9"/>
              <w:spacing w:before="116"/>
              <w:ind w:left="50"/>
              <w:rPr>
                <w:rFonts w:ascii="Times New Roman"/>
                <w:b/>
                <w:sz w:val="21"/>
              </w:rPr>
            </w:pPr>
            <w:r>
              <w:rPr>
                <w:rFonts w:ascii="Times New Roman"/>
                <w:b/>
                <w:spacing w:val="-4"/>
                <w:sz w:val="21"/>
              </w:rPr>
              <w:t>8.17</w:t>
            </w:r>
          </w:p>
        </w:tc>
        <w:tc>
          <w:tcPr>
            <w:tcW w:w="1611" w:type="dxa"/>
          </w:tcPr>
          <w:p>
            <w:pPr>
              <w:pStyle w:val="9"/>
              <w:spacing w:before="102"/>
              <w:ind w:left="212"/>
              <w:rPr>
                <w:b/>
                <w:sz w:val="21"/>
              </w:rPr>
            </w:pPr>
            <w:r>
              <w:rPr>
                <w:b/>
                <w:spacing w:val="-2"/>
                <w:sz w:val="21"/>
              </w:rPr>
              <w:t>严重阿尔茨海</w:t>
            </w:r>
          </w:p>
        </w:tc>
        <w:tc>
          <w:tcPr>
            <w:tcW w:w="7519" w:type="dxa"/>
          </w:tcPr>
          <w:p>
            <w:pPr>
              <w:pStyle w:val="9"/>
              <w:spacing w:before="102"/>
              <w:ind w:left="132"/>
              <w:rPr>
                <w:sz w:val="21"/>
              </w:rPr>
            </w:pPr>
            <w:r>
              <w:rPr>
                <w:spacing w:val="-1"/>
                <w:sz w:val="21"/>
              </w:rPr>
              <w:t>指因大脑进行性、不可逆性改变导致智能严重衰退或丧失，临床表现为明显的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632" w:type="dxa"/>
          </w:tcPr>
          <w:p>
            <w:pPr>
              <w:pStyle w:val="9"/>
              <w:rPr>
                <w:rFonts w:ascii="Times New Roman"/>
                <w:sz w:val="20"/>
              </w:rPr>
            </w:pPr>
          </w:p>
        </w:tc>
        <w:tc>
          <w:tcPr>
            <w:tcW w:w="1611" w:type="dxa"/>
          </w:tcPr>
          <w:p>
            <w:pPr>
              <w:pStyle w:val="9"/>
              <w:spacing w:before="14" w:line="267" w:lineRule="exact"/>
              <w:ind w:left="212"/>
              <w:rPr>
                <w:b/>
                <w:sz w:val="21"/>
              </w:rPr>
            </w:pPr>
            <w:r>
              <w:rPr>
                <w:b/>
                <w:spacing w:val="-5"/>
                <w:sz w:val="21"/>
              </w:rPr>
              <w:t>默病</w:t>
            </w:r>
          </w:p>
        </w:tc>
        <w:tc>
          <w:tcPr>
            <w:tcW w:w="7519" w:type="dxa"/>
          </w:tcPr>
          <w:p>
            <w:pPr>
              <w:pStyle w:val="9"/>
              <w:spacing w:before="14" w:line="267" w:lineRule="exact"/>
              <w:ind w:left="132"/>
              <w:rPr>
                <w:sz w:val="21"/>
              </w:rPr>
            </w:pPr>
            <w:r>
              <w:rPr>
                <w:spacing w:val="-3"/>
                <w:sz w:val="21"/>
              </w:rPr>
              <w:t>认知能力障碍、行为异常和社交能力减退，其日常生活必须持续受到他人监护。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3"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spacing w:before="25"/>
              <w:ind w:left="132"/>
              <w:rPr>
                <w:sz w:val="21"/>
              </w:rPr>
            </w:pPr>
            <w:r>
              <w:rPr>
                <w:sz w:val="21"/>
              </w:rPr>
              <w:t>须由头颅断层扫描(</w:t>
            </w:r>
            <w:r>
              <w:rPr>
                <w:rFonts w:ascii="Times New Roman" w:eastAsia="Times New Roman"/>
                <w:sz w:val="21"/>
              </w:rPr>
              <w:t>CT</w:t>
            </w:r>
            <w:r>
              <w:rPr>
                <w:sz w:val="21"/>
              </w:rPr>
              <w:t>)、核磁共振检查(</w:t>
            </w:r>
            <w:r>
              <w:rPr>
                <w:rFonts w:ascii="Times New Roman" w:eastAsia="Times New Roman"/>
                <w:sz w:val="21"/>
              </w:rPr>
              <w:t>MRI</w:t>
            </w:r>
            <w:r>
              <w:rPr>
                <w:sz w:val="21"/>
              </w:rPr>
              <w:t>)或正电子发射断层扫描(</w:t>
            </w:r>
            <w:r>
              <w:rPr>
                <w:rFonts w:ascii="Times New Roman" w:eastAsia="Times New Roman"/>
                <w:sz w:val="21"/>
              </w:rPr>
              <w:t>PET</w:t>
            </w:r>
            <w:r>
              <w:rPr>
                <w:spacing w:val="-5"/>
                <w:sz w:val="21"/>
              </w:rPr>
              <w:t>)等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spacing w:before="14"/>
              <w:ind w:left="132"/>
              <w:rPr>
                <w:sz w:val="21"/>
              </w:rPr>
            </w:pPr>
            <w:r>
              <w:rPr>
                <w:spacing w:val="-1"/>
                <w:sz w:val="21"/>
              </w:rPr>
              <w:t>影像学检查证实，且自主生活能力完全丧失，无法独立完成六项基本日常生活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spacing w:before="22"/>
              <w:ind w:left="132"/>
              <w:rPr>
                <w:sz w:val="21"/>
              </w:rPr>
            </w:pPr>
            <w:r>
              <w:rPr>
                <w:spacing w:val="-3"/>
                <w:sz w:val="21"/>
              </w:rPr>
              <w:t>活动中的三项或三项以上。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3"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spacing w:before="22"/>
              <w:ind w:left="132"/>
              <w:rPr>
                <w:sz w:val="21"/>
              </w:rPr>
            </w:pPr>
            <w:r>
              <w:rPr>
                <w:color w:val="000000"/>
                <w:spacing w:val="-3"/>
                <w:sz w:val="21"/>
                <w:shd w:val="clear" w:color="auto" w:fill="D2D2D2"/>
              </w:rPr>
              <w:t>神经官能症和精神疾病不在保障范围内。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632" w:type="dxa"/>
          </w:tcPr>
          <w:p>
            <w:pPr>
              <w:pStyle w:val="9"/>
              <w:spacing w:before="124"/>
              <w:ind w:left="50"/>
              <w:rPr>
                <w:rFonts w:ascii="Times New Roman"/>
                <w:b/>
                <w:sz w:val="21"/>
              </w:rPr>
            </w:pPr>
            <w:r>
              <w:rPr>
                <w:rFonts w:ascii="Times New Roman"/>
                <w:b/>
                <w:spacing w:val="-4"/>
                <w:sz w:val="21"/>
              </w:rPr>
              <w:t>8.18</w:t>
            </w:r>
          </w:p>
        </w:tc>
        <w:tc>
          <w:tcPr>
            <w:tcW w:w="1611" w:type="dxa"/>
          </w:tcPr>
          <w:p>
            <w:pPr>
              <w:pStyle w:val="9"/>
              <w:spacing w:before="110"/>
              <w:ind w:left="212"/>
              <w:rPr>
                <w:b/>
                <w:sz w:val="21"/>
              </w:rPr>
            </w:pPr>
            <w:r>
              <w:rPr>
                <w:b/>
                <w:spacing w:val="-2"/>
                <w:sz w:val="21"/>
              </w:rPr>
              <w:t>严重脑损伤</w:t>
            </w:r>
          </w:p>
        </w:tc>
        <w:tc>
          <w:tcPr>
            <w:tcW w:w="7519" w:type="dxa"/>
          </w:tcPr>
          <w:p>
            <w:pPr>
              <w:pStyle w:val="9"/>
              <w:spacing w:before="110"/>
              <w:ind w:left="132"/>
              <w:rPr>
                <w:sz w:val="21"/>
              </w:rPr>
            </w:pPr>
            <w:r>
              <w:rPr>
                <w:spacing w:val="-1"/>
                <w:sz w:val="21"/>
              </w:rPr>
              <w:t>指因头部遭受机械性外力，引起脑重要部位损伤，导致神经系统永久性的功能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spacing w:before="17"/>
              <w:ind w:left="132"/>
              <w:rPr>
                <w:sz w:val="21"/>
              </w:rPr>
            </w:pPr>
            <w:r>
              <w:rPr>
                <w:sz w:val="21"/>
              </w:rPr>
              <w:t>障碍。须由头颅断层扫描(</w:t>
            </w:r>
            <w:r>
              <w:rPr>
                <w:rFonts w:ascii="Times New Roman" w:eastAsia="Times New Roman"/>
                <w:sz w:val="21"/>
              </w:rPr>
              <w:t>CT</w:t>
            </w:r>
            <w:r>
              <w:rPr>
                <w:sz w:val="21"/>
              </w:rPr>
              <w:t>)、核磁共振检查(</w:t>
            </w:r>
            <w:r>
              <w:rPr>
                <w:rFonts w:ascii="Times New Roman" w:eastAsia="Times New Roman"/>
                <w:sz w:val="21"/>
              </w:rPr>
              <w:t>MRI</w:t>
            </w:r>
            <w:r>
              <w:rPr>
                <w:spacing w:val="-1"/>
                <w:sz w:val="21"/>
              </w:rPr>
              <w:t>)或正电子发射断层扫描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spacing w:before="17"/>
              <w:ind w:left="132"/>
              <w:rPr>
                <w:b/>
                <w:sz w:val="21"/>
              </w:rPr>
            </w:pPr>
            <w:r>
              <w:rPr>
                <w:spacing w:val="-2"/>
                <w:sz w:val="21"/>
              </w:rPr>
              <w:t>(</w:t>
            </w:r>
            <w:r>
              <w:rPr>
                <w:rFonts w:ascii="Times New Roman" w:eastAsia="Times New Roman"/>
                <w:spacing w:val="-2"/>
                <w:sz w:val="21"/>
              </w:rPr>
              <w:t>PET</w:t>
            </w:r>
            <w:r>
              <w:rPr>
                <w:spacing w:val="-2"/>
                <w:sz w:val="21"/>
              </w:rPr>
              <w:t>)等影像学检查证实。神经系统永久性的功能障碍，指脑损伤</w:t>
            </w:r>
            <w:r>
              <w:rPr>
                <w:rFonts w:ascii="Times New Roman" w:eastAsia="Times New Roman"/>
                <w:spacing w:val="-2"/>
                <w:sz w:val="21"/>
              </w:rPr>
              <w:t>180</w:t>
            </w:r>
            <w:r>
              <w:rPr>
                <w:spacing w:val="-2"/>
                <w:sz w:val="21"/>
              </w:rPr>
              <w:t>日后，</w:t>
            </w:r>
            <w:r>
              <w:rPr>
                <w:b/>
                <w:spacing w:val="-10"/>
                <w:sz w:val="21"/>
              </w:rPr>
              <w:t>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0"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spacing w:before="14" w:line="256" w:lineRule="exact"/>
              <w:ind w:left="132"/>
              <w:rPr>
                <w:b/>
                <w:sz w:val="21"/>
              </w:rPr>
            </w:pPr>
            <w:r>
              <w:rPr>
                <w:b/>
                <w:spacing w:val="-3"/>
                <w:sz w:val="21"/>
              </w:rPr>
              <w:t>遗留下列一种或一种以上障碍：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3"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numPr>
                <w:ilvl w:val="0"/>
                <w:numId w:val="20"/>
              </w:numPr>
              <w:tabs>
                <w:tab w:val="left" w:pos="300"/>
              </w:tabs>
              <w:spacing w:before="26" w:after="0" w:line="240" w:lineRule="auto"/>
              <w:ind w:left="299" w:right="0" w:hanging="168"/>
              <w:jc w:val="left"/>
              <w:rPr>
                <w:sz w:val="21"/>
              </w:rPr>
            </w:pPr>
            <w:r>
              <w:rPr>
                <w:spacing w:val="-3"/>
                <w:sz w:val="21"/>
              </w:rPr>
              <w:t>一肢或一肢以上肢体机能完全丧失；</w:t>
            </w:r>
          </w:p>
          <w:p>
            <w:pPr>
              <w:pStyle w:val="9"/>
              <w:numPr>
                <w:ilvl w:val="0"/>
                <w:numId w:val="20"/>
              </w:numPr>
              <w:tabs>
                <w:tab w:val="left" w:pos="300"/>
              </w:tabs>
              <w:spacing w:before="29" w:after="0" w:line="240" w:lineRule="auto"/>
              <w:ind w:left="299" w:right="0" w:hanging="168"/>
              <w:jc w:val="left"/>
              <w:rPr>
                <w:sz w:val="21"/>
              </w:rPr>
            </w:pPr>
            <w:r>
              <w:rPr>
                <w:spacing w:val="-3"/>
                <w:sz w:val="21"/>
              </w:rPr>
              <w:t>语言能力或咀嚼吞咽能力完全丧失；</w:t>
            </w:r>
          </w:p>
          <w:p>
            <w:pPr>
              <w:pStyle w:val="9"/>
              <w:numPr>
                <w:ilvl w:val="0"/>
                <w:numId w:val="20"/>
              </w:numPr>
              <w:tabs>
                <w:tab w:val="left" w:pos="300"/>
              </w:tabs>
              <w:spacing w:before="29" w:after="0" w:line="240" w:lineRule="auto"/>
              <w:ind w:left="299" w:right="0" w:hanging="168"/>
              <w:jc w:val="left"/>
              <w:rPr>
                <w:sz w:val="21"/>
              </w:rPr>
            </w:pPr>
            <w:r>
              <w:rPr>
                <w:spacing w:val="-10"/>
                <w:sz w:val="21"/>
              </w:rPr>
              <w:t>自主生活能力完全丧失，无法独立完成六项基本日常生活活动中的三项或三项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spacing w:before="8"/>
              <w:ind w:left="132"/>
              <w:rPr>
                <w:sz w:val="21"/>
              </w:rPr>
            </w:pPr>
            <w:r>
              <w:rPr>
                <w:spacing w:val="-4"/>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8" w:hRule="atLeast"/>
        </w:trPr>
        <w:tc>
          <w:tcPr>
            <w:tcW w:w="632" w:type="dxa"/>
          </w:tcPr>
          <w:p>
            <w:pPr>
              <w:pStyle w:val="9"/>
              <w:spacing w:before="124"/>
              <w:ind w:left="50"/>
              <w:rPr>
                <w:rFonts w:ascii="Times New Roman"/>
                <w:b/>
                <w:sz w:val="21"/>
              </w:rPr>
            </w:pPr>
            <w:r>
              <w:rPr>
                <w:rFonts w:ascii="Times New Roman"/>
                <w:b/>
                <w:spacing w:val="-4"/>
                <w:sz w:val="21"/>
              </w:rPr>
              <w:t>8.19</w:t>
            </w:r>
          </w:p>
        </w:tc>
        <w:tc>
          <w:tcPr>
            <w:tcW w:w="1611" w:type="dxa"/>
          </w:tcPr>
          <w:p>
            <w:pPr>
              <w:pStyle w:val="9"/>
              <w:spacing w:before="110"/>
              <w:ind w:left="212"/>
              <w:rPr>
                <w:b/>
                <w:sz w:val="21"/>
              </w:rPr>
            </w:pPr>
            <w:r>
              <w:rPr>
                <w:b/>
                <w:spacing w:val="-2"/>
                <w:sz w:val="21"/>
              </w:rPr>
              <w:t>严重帕金森病</w:t>
            </w:r>
          </w:p>
        </w:tc>
        <w:tc>
          <w:tcPr>
            <w:tcW w:w="7519" w:type="dxa"/>
          </w:tcPr>
          <w:p>
            <w:pPr>
              <w:pStyle w:val="9"/>
              <w:spacing w:before="110"/>
              <w:ind w:left="132"/>
              <w:rPr>
                <w:b/>
                <w:sz w:val="21"/>
              </w:rPr>
            </w:pPr>
            <w:r>
              <w:rPr>
                <w:sz w:val="21"/>
              </w:rPr>
              <w:t>是一种中枢神经系统的退行性疾病，临床表现为震颤麻痹、共济失调等。</w:t>
            </w:r>
            <w:r>
              <w:rPr>
                <w:b/>
                <w:spacing w:val="-5"/>
                <w:sz w:val="21"/>
              </w:rPr>
              <w:t>须满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3" w:hRule="atLeast"/>
        </w:trPr>
        <w:tc>
          <w:tcPr>
            <w:tcW w:w="632" w:type="dxa"/>
          </w:tcPr>
          <w:p>
            <w:pPr>
              <w:pStyle w:val="9"/>
              <w:rPr>
                <w:rFonts w:ascii="Times New Roman"/>
                <w:sz w:val="18"/>
              </w:rPr>
            </w:pPr>
          </w:p>
        </w:tc>
        <w:tc>
          <w:tcPr>
            <w:tcW w:w="1611" w:type="dxa"/>
          </w:tcPr>
          <w:p>
            <w:pPr>
              <w:pStyle w:val="9"/>
              <w:rPr>
                <w:rFonts w:ascii="Times New Roman"/>
                <w:sz w:val="18"/>
              </w:rPr>
            </w:pPr>
          </w:p>
        </w:tc>
        <w:tc>
          <w:tcPr>
            <w:tcW w:w="7519" w:type="dxa"/>
          </w:tcPr>
          <w:p>
            <w:pPr>
              <w:pStyle w:val="9"/>
              <w:spacing w:before="14" w:line="220" w:lineRule="exact"/>
              <w:ind w:left="132"/>
              <w:rPr>
                <w:b/>
                <w:sz w:val="21"/>
              </w:rPr>
            </w:pPr>
            <w:r>
              <w:rPr>
                <w:b/>
                <w:spacing w:val="-2"/>
                <w:sz w:val="21"/>
              </w:rPr>
              <w:t>足下列全部条件：</w:t>
            </w:r>
          </w:p>
        </w:tc>
      </w:tr>
    </w:tbl>
    <w:p>
      <w:pPr>
        <w:spacing w:after="0" w:line="220" w:lineRule="exact"/>
        <w:rPr>
          <w:sz w:val="21"/>
        </w:rPr>
        <w:sectPr>
          <w:type w:val="continuous"/>
          <w:pgSz w:w="11910" w:h="16840"/>
          <w:pgMar w:top="1160" w:right="940" w:bottom="1180" w:left="920" w:header="0" w:footer="981" w:gutter="0"/>
          <w:cols w:space="720" w:num="1"/>
        </w:sect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2"/>
        <w:gridCol w:w="1743"/>
        <w:gridCol w:w="73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2"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numPr>
                <w:ilvl w:val="0"/>
                <w:numId w:val="21"/>
              </w:numPr>
              <w:tabs>
                <w:tab w:val="left" w:pos="168"/>
              </w:tabs>
              <w:spacing w:before="0" w:after="0" w:line="273" w:lineRule="exact"/>
              <w:ind w:left="167" w:right="0" w:hanging="168"/>
              <w:jc w:val="left"/>
              <w:rPr>
                <w:sz w:val="21"/>
              </w:rPr>
            </w:pPr>
            <w:r>
              <w:rPr>
                <w:spacing w:val="-3"/>
                <w:sz w:val="21"/>
              </w:rPr>
              <w:t>药物治疗无法控制病情；</w:t>
            </w:r>
          </w:p>
          <w:p>
            <w:pPr>
              <w:pStyle w:val="9"/>
              <w:numPr>
                <w:ilvl w:val="0"/>
                <w:numId w:val="21"/>
              </w:numPr>
              <w:tabs>
                <w:tab w:val="left" w:pos="168"/>
              </w:tabs>
              <w:spacing w:before="12" w:after="0" w:line="300" w:lineRule="atLeast"/>
              <w:ind w:left="0" w:right="153" w:firstLine="0"/>
              <w:jc w:val="left"/>
              <w:rPr>
                <w:sz w:val="21"/>
              </w:rPr>
            </w:pPr>
            <w:r>
              <w:rPr>
                <w:spacing w:val="-10"/>
                <w:sz w:val="21"/>
              </w:rPr>
              <w:t>自主生活能力完全丧失，无法独立完成六项基本日常生活活动中的三项或三项</w:t>
            </w:r>
            <w:r>
              <w:rPr>
                <w:spacing w:val="-4"/>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5"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spacing w:before="22" w:line="252" w:lineRule="exact"/>
              <w:rPr>
                <w:sz w:val="21"/>
              </w:rPr>
            </w:pPr>
            <w:r>
              <w:rPr>
                <w:spacing w:val="-3"/>
                <w:sz w:val="21"/>
              </w:rPr>
              <w:t>继发性帕金森综合征不在保障范围内。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8" w:hRule="atLeast"/>
        </w:trPr>
        <w:tc>
          <w:tcPr>
            <w:tcW w:w="632" w:type="dxa"/>
          </w:tcPr>
          <w:p>
            <w:pPr>
              <w:pStyle w:val="9"/>
              <w:spacing w:before="6"/>
              <w:rPr>
                <w:sz w:val="17"/>
              </w:rPr>
            </w:pPr>
          </w:p>
          <w:p>
            <w:pPr>
              <w:pStyle w:val="9"/>
              <w:ind w:left="50"/>
              <w:rPr>
                <w:rFonts w:ascii="Times New Roman"/>
                <w:b/>
                <w:sz w:val="21"/>
              </w:rPr>
            </w:pPr>
            <w:r>
              <w:rPr>
                <w:rFonts w:ascii="Times New Roman"/>
                <w:b/>
                <w:spacing w:val="-4"/>
                <w:sz w:val="21"/>
              </w:rPr>
              <w:t>8.20</w:t>
            </w:r>
          </w:p>
        </w:tc>
        <w:tc>
          <w:tcPr>
            <w:tcW w:w="1743" w:type="dxa"/>
          </w:tcPr>
          <w:p>
            <w:pPr>
              <w:pStyle w:val="9"/>
              <w:spacing w:before="5"/>
              <w:rPr>
                <w:sz w:val="16"/>
              </w:rPr>
            </w:pPr>
          </w:p>
          <w:p>
            <w:pPr>
              <w:pStyle w:val="9"/>
              <w:ind w:left="212"/>
              <w:rPr>
                <w:b/>
                <w:sz w:val="21"/>
              </w:rPr>
            </w:pPr>
            <w:r>
              <w:rPr>
                <w:b/>
                <w:spacing w:val="-2"/>
                <w:sz w:val="21"/>
              </w:rPr>
              <w:t>严重Ⅲ度烧伤</w:t>
            </w:r>
          </w:p>
        </w:tc>
        <w:tc>
          <w:tcPr>
            <w:tcW w:w="7387" w:type="dxa"/>
          </w:tcPr>
          <w:p>
            <w:pPr>
              <w:pStyle w:val="9"/>
              <w:spacing w:before="5"/>
              <w:rPr>
                <w:sz w:val="16"/>
              </w:rPr>
            </w:pPr>
          </w:p>
          <w:p>
            <w:pPr>
              <w:pStyle w:val="9"/>
              <w:rPr>
                <w:sz w:val="21"/>
              </w:rPr>
            </w:pPr>
            <w:r>
              <w:rPr>
                <w:spacing w:val="-4"/>
                <w:sz w:val="21"/>
              </w:rPr>
              <w:t>指烧伤程度为Ⅲ度，且Ⅲ度烧伤的面积达到全身体表面积的</w:t>
            </w:r>
            <w:r>
              <w:rPr>
                <w:rFonts w:ascii="Times New Roman" w:hAnsi="Times New Roman" w:eastAsia="Times New Roman"/>
                <w:spacing w:val="-4"/>
                <w:sz w:val="21"/>
              </w:rPr>
              <w:t>20%</w:t>
            </w:r>
            <w:r>
              <w:rPr>
                <w:spacing w:val="-4"/>
                <w:sz w:val="21"/>
              </w:rPr>
              <w:t>或</w:t>
            </w:r>
            <w:r>
              <w:rPr>
                <w:rFonts w:ascii="Times New Roman" w:hAnsi="Times New Roman" w:eastAsia="Times New Roman"/>
                <w:spacing w:val="-4"/>
                <w:sz w:val="21"/>
              </w:rPr>
              <w:t>20%</w:t>
            </w:r>
            <w:r>
              <w:rPr>
                <w:spacing w:val="-6"/>
                <w:sz w:val="21"/>
              </w:rPr>
              <w:t>以上。体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5"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spacing w:before="14"/>
              <w:rPr>
                <w:sz w:val="21"/>
              </w:rPr>
            </w:pPr>
            <w:r>
              <w:rPr>
                <w:spacing w:val="-3"/>
                <w:sz w:val="21"/>
              </w:rPr>
              <w:t>表面积根据《中国新九分法》计算。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8" w:hRule="atLeast"/>
        </w:trPr>
        <w:tc>
          <w:tcPr>
            <w:tcW w:w="632" w:type="dxa"/>
          </w:tcPr>
          <w:p>
            <w:pPr>
              <w:pStyle w:val="9"/>
              <w:spacing w:before="124"/>
              <w:ind w:left="50"/>
              <w:rPr>
                <w:rFonts w:ascii="Times New Roman"/>
                <w:b/>
                <w:sz w:val="21"/>
              </w:rPr>
            </w:pPr>
            <w:r>
              <w:rPr>
                <w:rFonts w:ascii="Times New Roman"/>
                <w:b/>
                <w:spacing w:val="-4"/>
                <w:sz w:val="21"/>
              </w:rPr>
              <w:t>8.21</w:t>
            </w:r>
          </w:p>
        </w:tc>
        <w:tc>
          <w:tcPr>
            <w:tcW w:w="1743" w:type="dxa"/>
          </w:tcPr>
          <w:p>
            <w:pPr>
              <w:pStyle w:val="9"/>
              <w:spacing w:before="110"/>
              <w:ind w:left="212"/>
              <w:rPr>
                <w:b/>
                <w:sz w:val="21"/>
              </w:rPr>
            </w:pPr>
            <w:r>
              <w:rPr>
                <w:b/>
                <w:spacing w:val="-2"/>
                <w:sz w:val="21"/>
              </w:rPr>
              <w:t>严重原发性肺</w:t>
            </w:r>
          </w:p>
        </w:tc>
        <w:tc>
          <w:tcPr>
            <w:tcW w:w="7387" w:type="dxa"/>
          </w:tcPr>
          <w:p>
            <w:pPr>
              <w:pStyle w:val="9"/>
              <w:spacing w:before="110"/>
              <w:rPr>
                <w:sz w:val="21"/>
              </w:rPr>
            </w:pPr>
            <w:r>
              <w:rPr>
                <w:spacing w:val="-1"/>
                <w:sz w:val="21"/>
              </w:rPr>
              <w:t>指不明原因的肺动脉压力持续性增高，进行性发展而导致的慢性疾病，已经造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632" w:type="dxa"/>
          </w:tcPr>
          <w:p>
            <w:pPr>
              <w:pStyle w:val="9"/>
              <w:rPr>
                <w:rFonts w:ascii="Times New Roman"/>
                <w:sz w:val="20"/>
              </w:rPr>
            </w:pPr>
          </w:p>
        </w:tc>
        <w:tc>
          <w:tcPr>
            <w:tcW w:w="1743" w:type="dxa"/>
          </w:tcPr>
          <w:p>
            <w:pPr>
              <w:pStyle w:val="9"/>
              <w:spacing w:before="14" w:line="267" w:lineRule="exact"/>
              <w:ind w:left="212"/>
              <w:rPr>
                <w:b/>
                <w:sz w:val="21"/>
              </w:rPr>
            </w:pPr>
            <w:r>
              <w:rPr>
                <w:b/>
                <w:spacing w:val="-3"/>
                <w:sz w:val="21"/>
              </w:rPr>
              <w:t>动脉高压</w:t>
            </w:r>
          </w:p>
        </w:tc>
        <w:tc>
          <w:tcPr>
            <w:tcW w:w="7387" w:type="dxa"/>
          </w:tcPr>
          <w:p>
            <w:pPr>
              <w:pStyle w:val="9"/>
              <w:spacing w:before="14" w:line="267" w:lineRule="exact"/>
              <w:rPr>
                <w:sz w:val="21"/>
              </w:rPr>
            </w:pPr>
            <w:r>
              <w:rPr>
                <w:spacing w:val="-1"/>
                <w:sz w:val="21"/>
              </w:rPr>
              <w:t>成永久不可逆性的体力活动能力受限，达到美国纽约心脏病学会心功能状态分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spacing w:before="25"/>
              <w:rPr>
                <w:sz w:val="21"/>
              </w:rPr>
            </w:pPr>
            <w:r>
              <w:rPr>
                <w:spacing w:val="-2"/>
                <w:sz w:val="21"/>
              </w:rPr>
              <w:t>级</w:t>
            </w:r>
            <w:r>
              <w:rPr>
                <w:rFonts w:ascii="Times New Roman" w:eastAsia="Times New Roman"/>
                <w:spacing w:val="-2"/>
                <w:sz w:val="21"/>
              </w:rPr>
              <w:t>IV</w:t>
            </w:r>
            <w:r>
              <w:rPr>
                <w:spacing w:val="-2"/>
                <w:sz w:val="21"/>
              </w:rPr>
              <w:t>级，且静息状态下肺动脉平均压超过</w:t>
            </w:r>
            <w:r>
              <w:rPr>
                <w:rFonts w:ascii="Times New Roman" w:eastAsia="Times New Roman"/>
                <w:spacing w:val="-2"/>
                <w:sz w:val="21"/>
              </w:rPr>
              <w:t>30mmHg</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632" w:type="dxa"/>
          </w:tcPr>
          <w:p>
            <w:pPr>
              <w:pStyle w:val="9"/>
              <w:spacing w:before="116"/>
              <w:ind w:left="50"/>
              <w:rPr>
                <w:rFonts w:ascii="Times New Roman"/>
                <w:b/>
                <w:sz w:val="21"/>
              </w:rPr>
            </w:pPr>
            <w:r>
              <w:rPr>
                <w:rFonts w:ascii="Times New Roman"/>
                <w:b/>
                <w:spacing w:val="-4"/>
                <w:sz w:val="21"/>
              </w:rPr>
              <w:t>8.22</w:t>
            </w:r>
          </w:p>
        </w:tc>
        <w:tc>
          <w:tcPr>
            <w:tcW w:w="1743" w:type="dxa"/>
          </w:tcPr>
          <w:p>
            <w:pPr>
              <w:pStyle w:val="9"/>
              <w:spacing w:before="102"/>
              <w:ind w:left="212"/>
              <w:rPr>
                <w:b/>
                <w:sz w:val="21"/>
              </w:rPr>
            </w:pPr>
            <w:r>
              <w:rPr>
                <w:b/>
                <w:spacing w:val="-2"/>
                <w:sz w:val="21"/>
              </w:rPr>
              <w:t>严重运动神经</w:t>
            </w:r>
          </w:p>
        </w:tc>
        <w:tc>
          <w:tcPr>
            <w:tcW w:w="7387" w:type="dxa"/>
          </w:tcPr>
          <w:p>
            <w:pPr>
              <w:pStyle w:val="9"/>
              <w:spacing w:before="102"/>
              <w:rPr>
                <w:sz w:val="21"/>
              </w:rPr>
            </w:pPr>
            <w:r>
              <w:rPr>
                <w:spacing w:val="-1"/>
                <w:sz w:val="21"/>
              </w:rPr>
              <w:t>是一组中枢神经系统运动神经元的进行性变性疾病，包括进行性脊肌萎缩症、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632" w:type="dxa"/>
          </w:tcPr>
          <w:p>
            <w:pPr>
              <w:pStyle w:val="9"/>
              <w:rPr>
                <w:rFonts w:ascii="Times New Roman"/>
                <w:sz w:val="20"/>
              </w:rPr>
            </w:pPr>
          </w:p>
        </w:tc>
        <w:tc>
          <w:tcPr>
            <w:tcW w:w="1743" w:type="dxa"/>
          </w:tcPr>
          <w:p>
            <w:pPr>
              <w:pStyle w:val="9"/>
              <w:spacing w:before="14"/>
              <w:ind w:left="212"/>
              <w:rPr>
                <w:b/>
                <w:sz w:val="21"/>
              </w:rPr>
            </w:pPr>
            <w:r>
              <w:rPr>
                <w:b/>
                <w:spacing w:val="-5"/>
                <w:sz w:val="21"/>
              </w:rPr>
              <w:t>元病</w:t>
            </w:r>
          </w:p>
        </w:tc>
        <w:tc>
          <w:tcPr>
            <w:tcW w:w="7387" w:type="dxa"/>
          </w:tcPr>
          <w:p>
            <w:pPr>
              <w:pStyle w:val="9"/>
              <w:spacing w:before="14"/>
              <w:rPr>
                <w:sz w:val="21"/>
              </w:rPr>
            </w:pPr>
            <w:r>
              <w:rPr>
                <w:spacing w:val="-1"/>
                <w:sz w:val="21"/>
              </w:rPr>
              <w:t>进行性延髓麻痹症、原发性侧索硬化症、肌萎缩性侧索硬化症。须满足自主生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spacing w:before="22"/>
              <w:rPr>
                <w:sz w:val="21"/>
              </w:rPr>
            </w:pPr>
            <w:r>
              <w:rPr>
                <w:spacing w:val="-1"/>
                <w:sz w:val="21"/>
              </w:rPr>
              <w:t>活能力完全丧失，无法独立完成六项基本日常生活活动中的三项或三项以上的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3"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spacing w:before="22"/>
              <w:rPr>
                <w:sz w:val="21"/>
              </w:rPr>
            </w:pPr>
            <w:r>
              <w:rPr>
                <w:spacing w:val="-4"/>
                <w:sz w:val="21"/>
              </w:rPr>
              <w:t>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632" w:type="dxa"/>
          </w:tcPr>
          <w:p>
            <w:pPr>
              <w:pStyle w:val="9"/>
              <w:spacing w:before="124"/>
              <w:ind w:left="50"/>
              <w:rPr>
                <w:rFonts w:ascii="Times New Roman"/>
                <w:b/>
                <w:sz w:val="21"/>
              </w:rPr>
            </w:pPr>
            <w:r>
              <w:rPr>
                <w:rFonts w:ascii="Times New Roman"/>
                <w:b/>
                <w:spacing w:val="-4"/>
                <w:sz w:val="21"/>
              </w:rPr>
              <w:t>8.23</w:t>
            </w:r>
          </w:p>
        </w:tc>
        <w:tc>
          <w:tcPr>
            <w:tcW w:w="1743" w:type="dxa"/>
          </w:tcPr>
          <w:p>
            <w:pPr>
              <w:pStyle w:val="9"/>
              <w:spacing w:before="110"/>
              <w:ind w:left="212"/>
              <w:rPr>
                <w:b/>
                <w:sz w:val="21"/>
              </w:rPr>
            </w:pPr>
            <w:r>
              <w:rPr>
                <w:b/>
                <w:spacing w:val="-2"/>
                <w:sz w:val="21"/>
              </w:rPr>
              <w:t>语言能力丧失</w:t>
            </w:r>
          </w:p>
        </w:tc>
        <w:tc>
          <w:tcPr>
            <w:tcW w:w="7387" w:type="dxa"/>
          </w:tcPr>
          <w:p>
            <w:pPr>
              <w:pStyle w:val="9"/>
              <w:spacing w:before="110"/>
              <w:rPr>
                <w:sz w:val="21"/>
              </w:rPr>
            </w:pPr>
            <w:r>
              <w:rPr>
                <w:sz w:val="21"/>
              </w:rPr>
              <w:t>指因疾病或意外伤害导致完全丧失语言能力，经过积极治疗至少</w:t>
            </w:r>
            <w:r>
              <w:rPr>
                <w:rFonts w:ascii="Times New Roman" w:eastAsia="Times New Roman"/>
                <w:sz w:val="21"/>
              </w:rPr>
              <w:t>12</w:t>
            </w:r>
            <w:r>
              <w:rPr>
                <w:sz w:val="21"/>
              </w:rPr>
              <w:t>个月（</w:t>
            </w:r>
            <w:r>
              <w:rPr>
                <w:spacing w:val="-5"/>
                <w:sz w:val="21"/>
              </w:rPr>
              <w:t>声带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632" w:type="dxa"/>
          </w:tcPr>
          <w:p>
            <w:pPr>
              <w:pStyle w:val="9"/>
              <w:rPr>
                <w:rFonts w:ascii="Times New Roman"/>
                <w:sz w:val="20"/>
              </w:rPr>
            </w:pPr>
          </w:p>
        </w:tc>
        <w:tc>
          <w:tcPr>
            <w:tcW w:w="1743" w:type="dxa"/>
          </w:tcPr>
          <w:p>
            <w:pPr>
              <w:pStyle w:val="9"/>
              <w:spacing w:before="17"/>
              <w:ind w:left="212"/>
              <w:rPr>
                <w:b/>
                <w:sz w:val="21"/>
              </w:rPr>
            </w:pPr>
            <w:r>
              <w:rPr>
                <w:rFonts w:ascii="Times New Roman" w:eastAsia="Times New Roman"/>
                <w:b/>
                <w:spacing w:val="-2"/>
                <w:sz w:val="21"/>
              </w:rPr>
              <w:t>-</w:t>
            </w:r>
            <w:r>
              <w:rPr>
                <w:b/>
                <w:spacing w:val="-4"/>
                <w:sz w:val="21"/>
              </w:rPr>
              <w:t>三岁始理赔</w:t>
            </w:r>
          </w:p>
        </w:tc>
        <w:tc>
          <w:tcPr>
            <w:tcW w:w="7387" w:type="dxa"/>
          </w:tcPr>
          <w:p>
            <w:pPr>
              <w:pStyle w:val="9"/>
              <w:spacing w:before="17"/>
              <w:rPr>
                <w:sz w:val="21"/>
              </w:rPr>
            </w:pPr>
            <w:r>
              <w:rPr>
                <w:spacing w:val="-2"/>
                <w:sz w:val="21"/>
              </w:rPr>
              <w:t>完全切除不受此时间限制</w:t>
            </w:r>
            <w:r>
              <w:rPr>
                <w:spacing w:val="-108"/>
                <w:sz w:val="21"/>
              </w:rPr>
              <w:t>）</w:t>
            </w:r>
            <w:r>
              <w:rPr>
                <w:spacing w:val="-3"/>
                <w:sz w:val="21"/>
              </w:rPr>
              <w:t>，仍无法通过现有医疗手段恢复。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spacing w:before="14" w:line="267" w:lineRule="exact"/>
              <w:rPr>
                <w:sz w:val="21"/>
              </w:rPr>
            </w:pPr>
            <w:r>
              <w:rPr>
                <w:spacing w:val="-3"/>
                <w:sz w:val="21"/>
              </w:rPr>
              <w:t>精神心理因素所致的语言能力丧失不在保障范围内。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spacing w:before="25"/>
              <w:rPr>
                <w:b/>
                <w:sz w:val="21"/>
              </w:rPr>
            </w:pPr>
            <w:r>
              <w:rPr>
                <w:b/>
                <w:spacing w:val="-2"/>
                <w:sz w:val="21"/>
              </w:rPr>
              <w:t>被保险人申请理赔时年龄必须在</w:t>
            </w:r>
            <w:r>
              <w:rPr>
                <w:rFonts w:ascii="Times New Roman" w:eastAsia="Times New Roman"/>
                <w:b/>
                <w:spacing w:val="-2"/>
                <w:sz w:val="21"/>
              </w:rPr>
              <w:t>3</w:t>
            </w:r>
            <w:r>
              <w:rPr>
                <w:b/>
                <w:spacing w:val="-4"/>
                <w:sz w:val="21"/>
              </w:rPr>
              <w:t>周岁以上。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632" w:type="dxa"/>
          </w:tcPr>
          <w:p>
            <w:pPr>
              <w:pStyle w:val="9"/>
              <w:spacing w:before="116"/>
              <w:ind w:left="50"/>
              <w:rPr>
                <w:rFonts w:ascii="Times New Roman"/>
                <w:b/>
                <w:sz w:val="21"/>
              </w:rPr>
            </w:pPr>
            <w:r>
              <w:rPr>
                <w:rFonts w:ascii="Times New Roman"/>
                <w:b/>
                <w:spacing w:val="-4"/>
                <w:sz w:val="21"/>
              </w:rPr>
              <w:t>8.24</w:t>
            </w:r>
          </w:p>
        </w:tc>
        <w:tc>
          <w:tcPr>
            <w:tcW w:w="1743" w:type="dxa"/>
          </w:tcPr>
          <w:p>
            <w:pPr>
              <w:pStyle w:val="9"/>
              <w:spacing w:before="102"/>
              <w:ind w:left="212"/>
              <w:rPr>
                <w:b/>
                <w:sz w:val="21"/>
              </w:rPr>
            </w:pPr>
            <w:r>
              <w:rPr>
                <w:b/>
                <w:spacing w:val="-2"/>
                <w:sz w:val="21"/>
              </w:rPr>
              <w:t>重型再生障碍</w:t>
            </w:r>
          </w:p>
        </w:tc>
        <w:tc>
          <w:tcPr>
            <w:tcW w:w="7387" w:type="dxa"/>
          </w:tcPr>
          <w:p>
            <w:pPr>
              <w:pStyle w:val="9"/>
              <w:spacing w:before="102"/>
              <w:rPr>
                <w:sz w:val="21"/>
              </w:rPr>
            </w:pPr>
            <w:r>
              <w:rPr>
                <w:spacing w:val="-3"/>
                <w:sz w:val="21"/>
              </w:rPr>
              <w:t>指因骨髓造血功能慢性持续性衰竭导致的贫血、中性粒细胞减少及血小板减少。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632" w:type="dxa"/>
          </w:tcPr>
          <w:p>
            <w:pPr>
              <w:pStyle w:val="9"/>
              <w:rPr>
                <w:rFonts w:ascii="Times New Roman"/>
                <w:sz w:val="20"/>
              </w:rPr>
            </w:pPr>
          </w:p>
        </w:tc>
        <w:tc>
          <w:tcPr>
            <w:tcW w:w="1743" w:type="dxa"/>
          </w:tcPr>
          <w:p>
            <w:pPr>
              <w:pStyle w:val="9"/>
              <w:spacing w:before="14" w:line="267" w:lineRule="exact"/>
              <w:ind w:left="212"/>
              <w:rPr>
                <w:b/>
                <w:sz w:val="21"/>
              </w:rPr>
            </w:pPr>
            <w:r>
              <w:rPr>
                <w:b/>
                <w:spacing w:val="-4"/>
                <w:sz w:val="21"/>
              </w:rPr>
              <w:t>性贫血</w:t>
            </w:r>
          </w:p>
        </w:tc>
        <w:tc>
          <w:tcPr>
            <w:tcW w:w="7387" w:type="dxa"/>
          </w:tcPr>
          <w:p>
            <w:pPr>
              <w:pStyle w:val="9"/>
              <w:spacing w:before="14" w:line="267" w:lineRule="exact"/>
              <w:rPr>
                <w:sz w:val="21"/>
              </w:rPr>
            </w:pPr>
            <w:r>
              <w:rPr>
                <w:spacing w:val="-3"/>
                <w:sz w:val="21"/>
              </w:rPr>
              <w:t>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spacing w:before="25"/>
              <w:rPr>
                <w:sz w:val="21"/>
              </w:rPr>
            </w:pPr>
            <w:r>
              <w:rPr>
                <w:rFonts w:ascii="Times New Roman" w:eastAsia="Times New Roman"/>
                <w:spacing w:val="-2"/>
                <w:sz w:val="21"/>
              </w:rPr>
              <w:t>1.</w:t>
            </w:r>
            <w:r>
              <w:rPr>
                <w:spacing w:val="-3"/>
                <w:sz w:val="21"/>
              </w:rPr>
              <w:t>骨髓穿刺检查或骨髓活检结果支持诊断；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2" w:type="dxa"/>
          </w:tcPr>
          <w:p>
            <w:pPr>
              <w:pStyle w:val="9"/>
              <w:rPr>
                <w:rFonts w:ascii="Times New Roman"/>
                <w:sz w:val="20"/>
              </w:rPr>
            </w:pPr>
          </w:p>
        </w:tc>
        <w:tc>
          <w:tcPr>
            <w:tcW w:w="1743" w:type="dxa"/>
          </w:tcPr>
          <w:p>
            <w:pPr>
              <w:pStyle w:val="9"/>
              <w:rPr>
                <w:rFonts w:ascii="Times New Roman"/>
                <w:sz w:val="20"/>
              </w:rPr>
            </w:pPr>
          </w:p>
        </w:tc>
        <w:tc>
          <w:tcPr>
            <w:tcW w:w="7387" w:type="dxa"/>
          </w:tcPr>
          <w:p>
            <w:pPr>
              <w:pStyle w:val="9"/>
              <w:spacing w:before="17" w:line="236" w:lineRule="exact"/>
              <w:rPr>
                <w:sz w:val="21"/>
              </w:rPr>
            </w:pPr>
            <w:r>
              <w:rPr>
                <w:rFonts w:ascii="Times New Roman" w:eastAsia="Times New Roman"/>
                <w:spacing w:val="-2"/>
                <w:sz w:val="21"/>
              </w:rPr>
              <w:t>2.</w:t>
            </w:r>
            <w:r>
              <w:rPr>
                <w:spacing w:val="-3"/>
                <w:sz w:val="21"/>
              </w:rPr>
              <w:t>外周血象须具备以下三项条件：</w:t>
            </w:r>
          </w:p>
        </w:tc>
      </w:tr>
    </w:tbl>
    <w:p>
      <w:pPr>
        <w:pStyle w:val="4"/>
        <w:spacing w:before="63"/>
        <w:ind w:left="2750"/>
      </w:pPr>
      <w:r>
        <w:drawing>
          <wp:anchor distT="0" distB="0" distL="0" distR="0" simplePos="0" relativeHeight="251665408" behindDoc="1" locked="0" layoutInCell="1" allowOverlap="1">
            <wp:simplePos x="0" y="0"/>
            <wp:positionH relativeFrom="page">
              <wp:posOffset>2195830</wp:posOffset>
            </wp:positionH>
            <wp:positionV relativeFrom="page">
              <wp:posOffset>1313815</wp:posOffset>
            </wp:positionV>
            <wp:extent cx="2313940" cy="185420"/>
            <wp:effectExtent l="0" t="0" r="0" b="0"/>
            <wp:wrapNone/>
            <wp:docPr id="2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9.png"/>
                    <pic:cNvPicPr>
                      <a:picLocks noChangeAspect="1"/>
                    </pic:cNvPicPr>
                  </pic:nvPicPr>
                  <pic:blipFill>
                    <a:blip r:embed="rId15" cstate="print"/>
                    <a:stretch>
                      <a:fillRect/>
                    </a:stretch>
                  </pic:blipFill>
                  <pic:spPr>
                    <a:xfrm>
                      <a:off x="0" y="0"/>
                      <a:ext cx="2314042" cy="185737"/>
                    </a:xfrm>
                    <a:prstGeom prst="rect">
                      <a:avLst/>
                    </a:prstGeom>
                  </pic:spPr>
                </pic:pic>
              </a:graphicData>
            </a:graphic>
          </wp:anchor>
        </w:drawing>
      </w:r>
      <w:r>
        <w:t>①中性粒细胞绝对值≤</w:t>
      </w:r>
      <w:r>
        <w:rPr>
          <w:rFonts w:ascii="Times New Roman" w:hAnsi="Times New Roman" w:eastAsia="Times New Roman"/>
        </w:rPr>
        <w:t>0.5</w:t>
      </w:r>
      <w:r>
        <w:t>×</w:t>
      </w:r>
      <w:r>
        <w:rPr>
          <w:rFonts w:ascii="Times New Roman" w:hAnsi="Times New Roman" w:eastAsia="Times New Roman"/>
        </w:rPr>
        <w:t>10</w:t>
      </w:r>
      <w:r>
        <w:rPr>
          <w:rFonts w:ascii="Times New Roman" w:hAnsi="Times New Roman" w:eastAsia="Times New Roman"/>
          <w:position w:val="7"/>
          <w:sz w:val="14"/>
        </w:rPr>
        <w:t>9</w:t>
      </w:r>
      <w:r>
        <w:t>/</w:t>
      </w:r>
      <w:r>
        <w:rPr>
          <w:rFonts w:ascii="Times New Roman" w:hAnsi="Times New Roman" w:eastAsia="Times New Roman"/>
        </w:rPr>
        <w:t>L</w:t>
      </w:r>
      <w:r>
        <w:rPr>
          <w:rFonts w:ascii="Times New Roman" w:hAnsi="Times New Roman" w:eastAsia="Times New Roman"/>
          <w:spacing w:val="29"/>
        </w:rPr>
        <w:t xml:space="preserve"> </w:t>
      </w:r>
      <w:r>
        <w:rPr>
          <w:spacing w:val="-10"/>
        </w:rPr>
        <w:t>；</w:t>
      </w:r>
    </w:p>
    <w:p>
      <w:pPr>
        <w:pStyle w:val="4"/>
        <w:spacing w:before="43"/>
        <w:ind w:left="2750"/>
      </w:pPr>
      <w:r>
        <w:rPr>
          <w:spacing w:val="-3"/>
        </w:rPr>
        <w:t>②网织红细胞＜</w:t>
      </w:r>
      <w:r>
        <w:rPr>
          <w:rFonts w:ascii="Times New Roman" w:hAnsi="Times New Roman" w:eastAsia="Times New Roman"/>
          <w:spacing w:val="-4"/>
        </w:rPr>
        <w:t>1%</w:t>
      </w:r>
      <w:r>
        <w:rPr>
          <w:spacing w:val="-4"/>
        </w:rPr>
        <w:t>；</w:t>
      </w:r>
    </w:p>
    <w:p>
      <w:pPr>
        <w:pStyle w:val="4"/>
        <w:spacing w:before="43"/>
        <w:ind w:left="2750"/>
      </w:pPr>
      <w:r>
        <w:rPr>
          <w:w w:val="95"/>
        </w:rPr>
        <w:t>③血小板绝对值≤</w:t>
      </w:r>
      <w:r>
        <w:rPr>
          <w:rFonts w:ascii="Times New Roman" w:hAnsi="Times New Roman" w:eastAsia="Times New Roman"/>
          <w:w w:val="95"/>
        </w:rPr>
        <w:t>20</w:t>
      </w:r>
      <w:r>
        <w:rPr>
          <w:w w:val="95"/>
        </w:rPr>
        <w:t>×</w:t>
      </w:r>
      <w:r>
        <w:rPr>
          <w:rFonts w:ascii="Times New Roman" w:hAnsi="Times New Roman" w:eastAsia="Times New Roman"/>
          <w:w w:val="95"/>
        </w:rPr>
        <w:t>10</w:t>
      </w:r>
      <w:r>
        <w:rPr>
          <w:rFonts w:ascii="Times New Roman" w:hAnsi="Times New Roman" w:eastAsia="Times New Roman"/>
          <w:w w:val="95"/>
          <w:position w:val="7"/>
          <w:sz w:val="14"/>
        </w:rPr>
        <w:t>9</w:t>
      </w:r>
      <w:r>
        <w:rPr>
          <w:w w:val="95"/>
        </w:rPr>
        <w:t>/</w:t>
      </w:r>
      <w:r>
        <w:rPr>
          <w:rFonts w:ascii="Times New Roman" w:hAnsi="Times New Roman" w:eastAsia="Times New Roman"/>
          <w:w w:val="95"/>
        </w:rPr>
        <w:t>L</w:t>
      </w:r>
      <w:r>
        <w:rPr>
          <w:spacing w:val="-10"/>
          <w:w w:val="95"/>
        </w:rPr>
        <w:t>。</w:t>
      </w:r>
    </w:p>
    <w:p>
      <w:pPr>
        <w:pStyle w:val="4"/>
        <w:spacing w:before="211" w:line="278" w:lineRule="auto"/>
        <w:ind w:right="277" w:hanging="2326"/>
        <w:jc w:val="both"/>
      </w:pPr>
      <w:r>
        <w:rPr>
          <w:rFonts w:ascii="Times New Roman" w:eastAsia="Times New Roman"/>
          <w:b/>
        </w:rPr>
        <w:t>8.25</w:t>
      </w:r>
      <w:r>
        <w:rPr>
          <w:rFonts w:ascii="Times New Roman" w:eastAsia="Times New Roman"/>
          <w:b/>
          <w:spacing w:val="371"/>
        </w:rPr>
        <w:t xml:space="preserve"> </w:t>
      </w:r>
      <w:r>
        <w:rPr>
          <w:b/>
        </w:rPr>
        <w:t>主动脉手术</w:t>
      </w:r>
      <w:r>
        <w:rPr>
          <w:b/>
          <w:spacing w:val="80"/>
          <w:w w:val="150"/>
        </w:rPr>
        <w:t xml:space="preserve">  </w:t>
      </w:r>
      <w:r>
        <w:t>指为治疗主动脉疾病，实际实施了开胸或开腹进行的切除、置换、修补病损主</w:t>
      </w:r>
      <w:r>
        <w:rPr>
          <w:spacing w:val="-2"/>
        </w:rPr>
        <w:t>动脉血管的手术。主动脉指胸主动脉和腹主动脉，</w:t>
      </w:r>
      <w:r>
        <w:rPr>
          <w:color w:val="000000"/>
          <w:spacing w:val="-2"/>
          <w:shd w:val="clear" w:color="auto" w:fill="D2D2D2"/>
        </w:rPr>
        <w:t>胸主动脉和腹主动脉的分支</w:t>
      </w:r>
      <w:r>
        <w:rPr>
          <w:color w:val="000000"/>
          <w:spacing w:val="13965"/>
          <w:shd w:val="clear" w:color="auto" w:fill="D2D2D2"/>
        </w:rPr>
        <w:t xml:space="preserve"> </w:t>
      </w:r>
      <w:r>
        <w:rPr>
          <w:color w:val="000000"/>
          <w:spacing w:val="-2"/>
          <w:shd w:val="clear" w:color="auto" w:fill="D2D2D2"/>
        </w:rPr>
        <w:t>血管不在保障范围内。</w:t>
      </w:r>
    </w:p>
    <w:p>
      <w:pPr>
        <w:pStyle w:val="4"/>
        <w:spacing w:line="269" w:lineRule="exact"/>
      </w:pPr>
      <w:r>
        <w:rPr>
          <w:color w:val="000000"/>
          <w:spacing w:val="-3"/>
          <w:shd w:val="clear" w:color="auto" w:fill="D2D2D2"/>
        </w:rPr>
        <w:t>动脉内血管成形术不在保障范围内。</w:t>
      </w:r>
    </w:p>
    <w:p>
      <w:pPr>
        <w:pStyle w:val="4"/>
        <w:spacing w:before="6"/>
        <w:ind w:left="0"/>
        <w:rPr>
          <w:sz w:val="9"/>
        </w:rPr>
      </w:pPr>
    </w:p>
    <w:p>
      <w:pPr>
        <w:pStyle w:val="3"/>
        <w:numPr>
          <w:ilvl w:val="0"/>
          <w:numId w:val="22"/>
        </w:numPr>
        <w:tabs>
          <w:tab w:val="left" w:pos="1007"/>
          <w:tab w:val="left" w:pos="1008"/>
        </w:tabs>
        <w:spacing w:before="74" w:after="0" w:line="240" w:lineRule="auto"/>
        <w:ind w:left="1007" w:right="0" w:hanging="796"/>
        <w:jc w:val="left"/>
      </w:pPr>
      <w:r>
        <w:rPr>
          <w:w w:val="95"/>
        </w:rPr>
        <w:t>释</w:t>
      </w:r>
      <w:r>
        <w:rPr>
          <w:spacing w:val="-10"/>
        </w:rPr>
        <w:t>义</w:t>
      </w:r>
    </w:p>
    <w:p>
      <w:pPr>
        <w:pStyle w:val="4"/>
        <w:spacing w:before="4"/>
        <w:ind w:left="0"/>
        <w:rPr>
          <w:b/>
          <w:sz w:val="10"/>
        </w:rPr>
      </w:pPr>
      <w:r>
        <w:drawing>
          <wp:anchor distT="0" distB="0" distL="0" distR="0" simplePos="0" relativeHeight="251660288" behindDoc="0" locked="0" layoutInCell="1" allowOverlap="1">
            <wp:simplePos x="0" y="0"/>
            <wp:positionH relativeFrom="page">
              <wp:posOffset>650240</wp:posOffset>
            </wp:positionH>
            <wp:positionV relativeFrom="paragraph">
              <wp:posOffset>99060</wp:posOffset>
            </wp:positionV>
            <wp:extent cx="6252210" cy="12065"/>
            <wp:effectExtent l="0" t="0" r="0" b="0"/>
            <wp:wrapTopAndBottom/>
            <wp:docPr id="2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png"/>
                    <pic:cNvPicPr>
                      <a:picLocks noChangeAspect="1"/>
                    </pic:cNvPicPr>
                  </pic:nvPicPr>
                  <pic:blipFill>
                    <a:blip r:embed="rId9" cstate="print"/>
                    <a:stretch>
                      <a:fillRect/>
                    </a:stretch>
                  </pic:blipFill>
                  <pic:spPr>
                    <a:xfrm>
                      <a:off x="0" y="0"/>
                      <a:ext cx="6252160" cy="12287"/>
                    </a:xfrm>
                    <a:prstGeom prst="rect">
                      <a:avLst/>
                    </a:prstGeom>
                  </pic:spPr>
                </pic:pic>
              </a:graphicData>
            </a:graphic>
          </wp:anchor>
        </w:drawing>
      </w:r>
    </w:p>
    <w:p>
      <w:pPr>
        <w:pStyle w:val="8"/>
        <w:numPr>
          <w:ilvl w:val="1"/>
          <w:numId w:val="22"/>
        </w:numPr>
        <w:tabs>
          <w:tab w:val="left" w:pos="1008"/>
        </w:tabs>
        <w:spacing w:before="174" w:after="0" w:line="278" w:lineRule="auto"/>
        <w:ind w:left="2538" w:right="282" w:hanging="2326"/>
        <w:jc w:val="both"/>
        <w:rPr>
          <w:sz w:val="21"/>
        </w:rPr>
      </w:pPr>
      <w:r>
        <w:rPr>
          <w:b/>
          <w:sz w:val="21"/>
        </w:rPr>
        <w:t>书面</w:t>
      </w:r>
      <w:r>
        <w:rPr>
          <w:b/>
          <w:spacing w:val="72"/>
          <w:w w:val="150"/>
          <w:sz w:val="21"/>
        </w:rPr>
        <w:t xml:space="preserve">     </w:t>
      </w:r>
      <w:r>
        <w:rPr>
          <w:sz w:val="21"/>
        </w:rPr>
        <w:t>如无特别说明或约定，纸质（包括其他材质，如电子书写板）函件、合同书、</w:t>
      </w:r>
      <w:r>
        <w:rPr>
          <w:spacing w:val="-2"/>
          <w:sz w:val="21"/>
        </w:rPr>
        <w:t>信件和数据电文、电报、电传、传真、电子数据交换、电子邮件、网络合同、网络授权函等可以有形地表现其所记载内容的形式均视为书面形式。</w:t>
      </w:r>
    </w:p>
    <w:p>
      <w:pPr>
        <w:pStyle w:val="8"/>
        <w:numPr>
          <w:ilvl w:val="1"/>
          <w:numId w:val="22"/>
        </w:numPr>
        <w:tabs>
          <w:tab w:val="left" w:pos="1007"/>
          <w:tab w:val="left" w:pos="1008"/>
          <w:tab w:val="left" w:pos="2538"/>
        </w:tabs>
        <w:spacing w:before="170" w:after="0" w:line="240" w:lineRule="auto"/>
        <w:ind w:left="1007" w:right="0" w:hanging="796"/>
        <w:jc w:val="left"/>
        <w:rPr>
          <w:rFonts w:ascii="Times New Roman" w:eastAsia="Times New Roman"/>
          <w:sz w:val="21"/>
        </w:rPr>
      </w:pPr>
      <w:r>
        <w:rPr>
          <w:b/>
          <w:sz w:val="21"/>
        </w:rPr>
        <w:t>周</w:t>
      </w:r>
      <w:r>
        <w:rPr>
          <w:b/>
          <w:spacing w:val="-10"/>
          <w:sz w:val="21"/>
        </w:rPr>
        <w:t>岁</w:t>
      </w:r>
      <w:r>
        <w:rPr>
          <w:b/>
          <w:sz w:val="21"/>
        </w:rPr>
        <w:tab/>
      </w:r>
      <w:r>
        <w:rPr>
          <w:sz w:val="21"/>
        </w:rPr>
        <w:t>以户籍证明或其他法定的身份证件中记载的出生日期为标准计算年龄（不足</w:t>
      </w:r>
      <w:r>
        <w:rPr>
          <w:spacing w:val="47"/>
          <w:sz w:val="21"/>
        </w:rPr>
        <w:t xml:space="preserve"> </w:t>
      </w:r>
      <w:r>
        <w:rPr>
          <w:rFonts w:ascii="Times New Roman" w:eastAsia="Times New Roman"/>
          <w:spacing w:val="-10"/>
          <w:sz w:val="21"/>
        </w:rPr>
        <w:t>1</w:t>
      </w:r>
    </w:p>
    <w:p>
      <w:pPr>
        <w:pStyle w:val="4"/>
        <w:spacing w:before="43"/>
      </w:pPr>
      <w:r>
        <w:rPr>
          <w:spacing w:val="-2"/>
        </w:rPr>
        <w:t>年不计</w:t>
      </w:r>
      <w:r>
        <w:rPr>
          <w:spacing w:val="-106"/>
        </w:rPr>
        <w:t>）</w:t>
      </w:r>
      <w:r>
        <w:rPr>
          <w:spacing w:val="-10"/>
        </w:rPr>
        <w:t>。</w:t>
      </w:r>
    </w:p>
    <w:p>
      <w:pPr>
        <w:pStyle w:val="4"/>
        <w:spacing w:before="8"/>
        <w:ind w:left="0"/>
        <w:rPr>
          <w:sz w:val="16"/>
        </w:rPr>
      </w:pPr>
    </w:p>
    <w:p>
      <w:pPr>
        <w:pStyle w:val="8"/>
        <w:numPr>
          <w:ilvl w:val="1"/>
          <w:numId w:val="22"/>
        </w:numPr>
        <w:tabs>
          <w:tab w:val="left" w:pos="1008"/>
        </w:tabs>
        <w:spacing w:before="0" w:after="0" w:line="278" w:lineRule="auto"/>
        <w:ind w:left="2538" w:right="282" w:hanging="2326"/>
        <w:jc w:val="both"/>
        <w:rPr>
          <w:sz w:val="21"/>
        </w:rPr>
      </w:pPr>
      <w:r>
        <w:rPr>
          <w:b/>
          <w:spacing w:val="11"/>
          <w:sz w:val="21"/>
        </w:rPr>
        <w:t xml:space="preserve">有效身份证件 </w:t>
      </w:r>
      <w:r>
        <w:rPr>
          <w:sz w:val="21"/>
        </w:rPr>
        <w:t>指由政府主管部门规定的证明其身份的证件，如：居民身份证、按规定可使用</w:t>
      </w:r>
      <w:r>
        <w:rPr>
          <w:spacing w:val="-2"/>
          <w:sz w:val="21"/>
        </w:rPr>
        <w:t>的有效护照、军官证、警官证、士兵证、户口簿等证件。</w:t>
      </w:r>
    </w:p>
    <w:p>
      <w:pPr>
        <w:pStyle w:val="8"/>
        <w:numPr>
          <w:ilvl w:val="1"/>
          <w:numId w:val="22"/>
        </w:numPr>
        <w:tabs>
          <w:tab w:val="left" w:pos="1008"/>
        </w:tabs>
        <w:spacing w:before="170" w:after="0" w:line="278" w:lineRule="auto"/>
        <w:ind w:left="2538" w:right="278" w:hanging="2326"/>
        <w:jc w:val="both"/>
        <w:rPr>
          <w:b/>
          <w:sz w:val="21"/>
        </w:rPr>
      </w:pPr>
      <w:r>
        <w:rPr>
          <w:b/>
          <w:sz w:val="21"/>
        </w:rPr>
        <w:t>发病</w:t>
      </w:r>
      <w:r>
        <w:rPr>
          <w:b/>
          <w:spacing w:val="68"/>
          <w:w w:val="150"/>
          <w:sz w:val="21"/>
        </w:rPr>
        <w:t xml:space="preserve">     </w:t>
      </w:r>
      <w:r>
        <w:rPr>
          <w:b/>
          <w:sz w:val="21"/>
        </w:rPr>
        <w:t>指被保险人出现疾病前兆或异常的身体状况，该疾病前兆或异常身体状况按常</w:t>
      </w:r>
      <w:r>
        <w:rPr>
          <w:b/>
          <w:spacing w:val="-2"/>
          <w:sz w:val="21"/>
        </w:rPr>
        <w:t>识足以引起或应当引起被保险人或被保险人的监护人注意并寻求检查、诊断、治疗或护理。</w:t>
      </w:r>
    </w:p>
    <w:p>
      <w:pPr>
        <w:spacing w:after="0" w:line="278" w:lineRule="auto"/>
        <w:jc w:val="both"/>
        <w:rPr>
          <w:sz w:val="21"/>
        </w:rPr>
        <w:sectPr>
          <w:type w:val="continuous"/>
          <w:pgSz w:w="11910" w:h="16840"/>
          <w:pgMar w:top="1140" w:right="940" w:bottom="1180" w:left="920" w:header="0" w:footer="981" w:gutter="0"/>
          <w:cols w:space="720" w:num="1"/>
        </w:sectPr>
      </w:pPr>
    </w:p>
    <w:p>
      <w:pPr>
        <w:pStyle w:val="8"/>
        <w:numPr>
          <w:ilvl w:val="1"/>
          <w:numId w:val="22"/>
        </w:numPr>
        <w:tabs>
          <w:tab w:val="left" w:pos="1007"/>
          <w:tab w:val="left" w:pos="1008"/>
          <w:tab w:val="left" w:pos="2538"/>
        </w:tabs>
        <w:spacing w:before="57" w:after="0" w:line="278" w:lineRule="auto"/>
        <w:ind w:left="2538" w:right="282" w:hanging="2326"/>
        <w:jc w:val="left"/>
        <w:rPr>
          <w:sz w:val="21"/>
        </w:rPr>
      </w:pPr>
      <w:r>
        <w:rPr>
          <w:b/>
          <w:spacing w:val="-4"/>
          <w:sz w:val="21"/>
        </w:rPr>
        <w:t>意外伤害</w:t>
      </w:r>
      <w:r>
        <w:rPr>
          <w:b/>
          <w:sz w:val="21"/>
        </w:rPr>
        <w:tab/>
      </w:r>
      <w:r>
        <w:rPr>
          <w:spacing w:val="-2"/>
          <w:sz w:val="21"/>
        </w:rPr>
        <w:t>指遭受外来的、突发的、非本意的、非由疾病引起的使身体受到伤害的客观事</w:t>
      </w:r>
      <w:r>
        <w:rPr>
          <w:spacing w:val="-6"/>
          <w:sz w:val="21"/>
        </w:rPr>
        <w:t>件。</w:t>
      </w:r>
    </w:p>
    <w:p>
      <w:pPr>
        <w:pStyle w:val="8"/>
        <w:numPr>
          <w:ilvl w:val="1"/>
          <w:numId w:val="22"/>
        </w:numPr>
        <w:tabs>
          <w:tab w:val="left" w:pos="1007"/>
          <w:tab w:val="left" w:pos="1008"/>
          <w:tab w:val="left" w:pos="2538"/>
        </w:tabs>
        <w:spacing w:before="170" w:after="0" w:line="278" w:lineRule="auto"/>
        <w:ind w:left="2538" w:right="275" w:hanging="2326"/>
        <w:jc w:val="left"/>
        <w:rPr>
          <w:sz w:val="21"/>
        </w:rPr>
      </w:pPr>
      <w:r>
        <w:pict>
          <v:shape id="docshape4" o:spid="_x0000_s1028" o:spt="202" type="#_x0000_t202" style="position:absolute;left:0pt;margin-left:289.95pt;margin-top:22.95pt;height:14.8pt;width:244.4pt;mso-position-horizontal-relative:page;z-index:-251649024;mso-width-relative:page;mso-height-relative:page;" fillcolor="#D2D2D2" filled="t" stroked="f" coordsize="21600,21600">
            <v:path/>
            <v:fill on="t" focussize="0,0"/>
            <v:stroke on="f" joinstyle="miter"/>
            <v:imagedata o:title=""/>
            <o:lock v:ext="edit"/>
            <v:textbox inset="0mm,0mm,0mm,0mm">
              <w:txbxContent>
                <w:p>
                  <w:pPr>
                    <w:pStyle w:val="4"/>
                    <w:spacing w:before="23"/>
                    <w:ind w:left="0"/>
                    <w:rPr>
                      <w:color w:val="000000"/>
                    </w:rPr>
                  </w:pPr>
                  <w:r>
                    <w:rPr>
                      <w:color w:val="000000"/>
                      <w:spacing w:val="-1"/>
                    </w:rPr>
                    <w:t>但不包括精神病院及专供康复、护理、疗养、戒酒、</w:t>
                  </w:r>
                </w:p>
              </w:txbxContent>
            </v:textbox>
          </v:shape>
        </w:pict>
      </w:r>
      <w:r>
        <w:rPr>
          <w:b/>
          <w:spacing w:val="-6"/>
          <w:sz w:val="21"/>
        </w:rPr>
        <w:t>医院</w:t>
      </w:r>
      <w:r>
        <w:rPr>
          <w:b/>
          <w:sz w:val="21"/>
        </w:rPr>
        <w:tab/>
      </w:r>
      <w:r>
        <w:rPr>
          <w:spacing w:val="-2"/>
          <w:sz w:val="21"/>
        </w:rPr>
        <w:t>本合同所称医院指我们指定医院或经中华人民共和国卫生部门评审确定的二级或以上之社保定点医院，</w:t>
      </w:r>
    </w:p>
    <w:p>
      <w:pPr>
        <w:pStyle w:val="4"/>
        <w:spacing w:line="278" w:lineRule="auto"/>
        <w:ind w:right="169" w:firstLine="4894"/>
        <w:jc w:val="both"/>
      </w:pPr>
      <w:r>
        <w:drawing>
          <wp:anchor distT="0" distB="0" distL="0" distR="0" simplePos="0" relativeHeight="251666432" behindDoc="1" locked="0" layoutInCell="1" allowOverlap="1">
            <wp:simplePos x="0" y="0"/>
            <wp:positionH relativeFrom="page">
              <wp:posOffset>5574030</wp:posOffset>
            </wp:positionH>
            <wp:positionV relativeFrom="paragraph">
              <wp:posOffset>579755</wp:posOffset>
            </wp:positionV>
            <wp:extent cx="1211580" cy="187325"/>
            <wp:effectExtent l="0" t="0" r="0" b="0"/>
            <wp:wrapNone/>
            <wp:docPr id="3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0.png"/>
                    <pic:cNvPicPr>
                      <a:picLocks noChangeAspect="1"/>
                    </pic:cNvPicPr>
                  </pic:nvPicPr>
                  <pic:blipFill>
                    <a:blip r:embed="rId16" cstate="print"/>
                    <a:stretch>
                      <a:fillRect/>
                    </a:stretch>
                  </pic:blipFill>
                  <pic:spPr>
                    <a:xfrm>
                      <a:off x="0" y="0"/>
                      <a:ext cx="1211884" cy="187451"/>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2195830</wp:posOffset>
            </wp:positionH>
            <wp:positionV relativeFrom="paragraph">
              <wp:posOffset>777875</wp:posOffset>
            </wp:positionV>
            <wp:extent cx="600710" cy="187325"/>
            <wp:effectExtent l="0" t="0" r="0" b="0"/>
            <wp:wrapNone/>
            <wp:docPr id="3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1.png"/>
                    <pic:cNvPicPr>
                      <a:picLocks noChangeAspect="1"/>
                    </pic:cNvPicPr>
                  </pic:nvPicPr>
                  <pic:blipFill>
                    <a:blip r:embed="rId17" cstate="print"/>
                    <a:stretch>
                      <a:fillRect/>
                    </a:stretch>
                  </pic:blipFill>
                  <pic:spPr>
                    <a:xfrm>
                      <a:off x="0" y="0"/>
                      <a:ext cx="600760" cy="187451"/>
                    </a:xfrm>
                    <a:prstGeom prst="rect">
                      <a:avLst/>
                    </a:prstGeom>
                  </pic:spPr>
                </pic:pic>
              </a:graphicData>
            </a:graphic>
          </wp:anchor>
        </w:drawing>
      </w:r>
      <w:r>
        <w:pict>
          <v:shape id="docshape5" o:spid="_x0000_s1029" o:spt="202" type="#_x0000_t202" style="position:absolute;left:0pt;margin-left:172.9pt;margin-top:-1.1pt;height:14.8pt;width:244.75pt;mso-position-horizontal-relative:page;z-index:-251649024;mso-width-relative:page;mso-height-relative:page;" fillcolor="#D2D2D2" filled="t" stroked="f" coordsize="21600,21600">
            <v:path/>
            <v:fill on="t" focussize="0,0"/>
            <v:stroke on="f" joinstyle="miter"/>
            <v:imagedata o:title=""/>
            <o:lock v:ext="edit"/>
            <v:textbox inset="0mm,0mm,0mm,0mm">
              <w:txbxContent>
                <w:p>
                  <w:pPr>
                    <w:pStyle w:val="4"/>
                    <w:spacing w:before="22"/>
                    <w:ind w:left="0"/>
                    <w:rPr>
                      <w:color w:val="000000"/>
                    </w:rPr>
                  </w:pPr>
                  <w:r>
                    <w:rPr>
                      <w:color w:val="000000"/>
                      <w:spacing w:val="-1"/>
                    </w:rPr>
                    <w:t>戒毒、养老等非以直接诊治病人为目的之医疗机构。</w:t>
                  </w:r>
                </w:p>
              </w:txbxContent>
            </v:textbox>
          </v:shape>
        </w:pict>
      </w:r>
      <w:r>
        <w:rPr>
          <w:w w:val="100"/>
        </w:rPr>
        <w:t>该医院必须具有符合国家</w:t>
      </w:r>
      <w:r>
        <w:rPr>
          <w:spacing w:val="-4"/>
          <w:w w:val="100"/>
        </w:rPr>
        <w:t>有关医院管理规则设置标准的医疗设备，且全天</w:t>
      </w:r>
      <w:r>
        <w:rPr>
          <w:spacing w:val="-52"/>
        </w:rPr>
        <w:t xml:space="preserve"> </w:t>
      </w:r>
      <w:r>
        <w:rPr>
          <w:rFonts w:ascii="Times New Roman" w:eastAsia="Times New Roman"/>
          <w:w w:val="100"/>
        </w:rPr>
        <w:t>24</w:t>
      </w:r>
      <w:r>
        <w:rPr>
          <w:rFonts w:ascii="Times New Roman" w:eastAsia="Times New Roman"/>
          <w:spacing w:val="-3"/>
        </w:rPr>
        <w:t xml:space="preserve"> </w:t>
      </w:r>
      <w:r>
        <w:rPr>
          <w:spacing w:val="-3"/>
          <w:w w:val="100"/>
        </w:rPr>
        <w:t>小时有合格的医生和护士驻</w:t>
      </w:r>
      <w:r>
        <w:rPr>
          <w:w w:val="100"/>
        </w:rPr>
        <w:t>院提供医疗和护理服务。当被保险人因遭受意外伤害事故须急救时不受此限，但经急救处理伤情稳定后，必须转入本合同所指医院治疗</w:t>
      </w:r>
      <w:r>
        <w:rPr>
          <w:spacing w:val="3"/>
          <w:w w:val="100"/>
        </w:rPr>
        <w:t>（</w:t>
      </w:r>
      <w:r>
        <w:rPr>
          <w:w w:val="100"/>
        </w:rPr>
        <w:t>急救情况不适用于</w:t>
      </w:r>
      <w:r>
        <w:rPr>
          <w:spacing w:val="-1"/>
          <w:w w:val="100"/>
        </w:rPr>
        <w:t>私人诊所</w:t>
      </w:r>
      <w:r>
        <w:rPr>
          <w:spacing w:val="-108"/>
          <w:w w:val="100"/>
        </w:rPr>
        <w:t>）</w:t>
      </w:r>
      <w:r>
        <w:rPr>
          <w:color w:val="000000"/>
          <w:spacing w:val="-13"/>
          <w:w w:val="100"/>
          <w:shd w:val="clear" w:color="auto" w:fill="D9D9D9"/>
        </w:rPr>
        <w:t>。特需病房、外宾病房、国际部以及干部病房不在本合同责任范围内。</w:t>
      </w:r>
    </w:p>
    <w:p>
      <w:pPr>
        <w:pStyle w:val="8"/>
        <w:numPr>
          <w:ilvl w:val="1"/>
          <w:numId w:val="22"/>
        </w:numPr>
        <w:tabs>
          <w:tab w:val="left" w:pos="1008"/>
        </w:tabs>
        <w:spacing w:before="170" w:after="0" w:line="278" w:lineRule="auto"/>
        <w:ind w:left="2538" w:right="275" w:hanging="2326"/>
        <w:jc w:val="both"/>
        <w:rPr>
          <w:sz w:val="21"/>
        </w:rPr>
      </w:pPr>
      <w:r>
        <w:rPr>
          <w:b/>
          <w:sz w:val="21"/>
        </w:rPr>
        <w:t>住院</w:t>
      </w:r>
      <w:r>
        <w:rPr>
          <w:b/>
          <w:spacing w:val="74"/>
          <w:w w:val="150"/>
          <w:sz w:val="21"/>
        </w:rPr>
        <w:t xml:space="preserve">     </w:t>
      </w:r>
      <w:r>
        <w:rPr>
          <w:sz w:val="21"/>
        </w:rPr>
        <w:t>指被保险人因意外伤害或疾病而入住医院之正式病房接受全日</w:t>
      </w:r>
      <w:r>
        <w:rPr>
          <w:rFonts w:ascii="Times New Roman" w:eastAsia="Times New Roman"/>
          <w:sz w:val="21"/>
        </w:rPr>
        <w:t>24</w:t>
      </w:r>
      <w:r>
        <w:rPr>
          <w:sz w:val="21"/>
        </w:rPr>
        <w:t>小时监护治疗</w:t>
      </w:r>
      <w:r>
        <w:rPr>
          <w:spacing w:val="-2"/>
          <w:sz w:val="21"/>
        </w:rPr>
        <w:t>的过程，并正式办理入出院手续。</w:t>
      </w:r>
      <w:r>
        <w:rPr>
          <w:color w:val="000000"/>
          <w:spacing w:val="-2"/>
          <w:sz w:val="21"/>
          <w:shd w:val="clear" w:color="auto" w:fill="D9D9D9"/>
        </w:rPr>
        <w:t>但不包括下列情况：</w:t>
      </w:r>
    </w:p>
    <w:p>
      <w:pPr>
        <w:pStyle w:val="8"/>
        <w:numPr>
          <w:ilvl w:val="2"/>
          <w:numId w:val="22"/>
        </w:numPr>
        <w:tabs>
          <w:tab w:val="left" w:pos="2803"/>
        </w:tabs>
        <w:spacing w:before="0" w:after="0" w:line="240" w:lineRule="auto"/>
        <w:ind w:left="2802" w:right="0" w:hanging="265"/>
        <w:jc w:val="both"/>
        <w:rPr>
          <w:rFonts w:ascii="Times New Roman" w:eastAsia="Times New Roman"/>
          <w:sz w:val="21"/>
        </w:rPr>
      </w:pPr>
      <w:r>
        <w:rPr>
          <w:color w:val="000000"/>
          <w:spacing w:val="-2"/>
          <w:sz w:val="21"/>
          <w:shd w:val="clear" w:color="auto" w:fill="D9D9D9"/>
        </w:rPr>
        <w:t>被保险人在医院的（门）急诊观察室、家庭病床（房）</w:t>
      </w:r>
      <w:r>
        <w:rPr>
          <w:color w:val="000000"/>
          <w:spacing w:val="-5"/>
          <w:sz w:val="21"/>
          <w:shd w:val="clear" w:color="auto" w:fill="D9D9D9"/>
        </w:rPr>
        <w:t>入住；</w:t>
      </w:r>
    </w:p>
    <w:p>
      <w:pPr>
        <w:pStyle w:val="8"/>
        <w:numPr>
          <w:ilvl w:val="2"/>
          <w:numId w:val="22"/>
        </w:numPr>
        <w:tabs>
          <w:tab w:val="left" w:pos="2803"/>
        </w:tabs>
        <w:spacing w:before="43" w:after="0" w:line="278" w:lineRule="auto"/>
        <w:ind w:left="2538" w:right="278" w:firstLine="0"/>
        <w:jc w:val="both"/>
        <w:rPr>
          <w:rFonts w:ascii="Times New Roman" w:eastAsia="Times New Roman"/>
          <w:sz w:val="21"/>
        </w:rPr>
      </w:pPr>
      <w:r>
        <w:rPr>
          <w:color w:val="000000"/>
          <w:spacing w:val="-2"/>
          <w:sz w:val="21"/>
          <w:shd w:val="clear" w:color="auto" w:fill="D9D9D9"/>
        </w:rPr>
        <w:t>被保险人在特需病房、外宾病房或其它不属于社会医疗保险范畴的高等级病</w:t>
      </w:r>
      <w:r>
        <w:rPr>
          <w:color w:val="000000"/>
          <w:spacing w:val="-4"/>
          <w:sz w:val="21"/>
          <w:shd w:val="clear" w:color="auto" w:fill="D9D9D9"/>
        </w:rPr>
        <w:t>房入住；</w:t>
      </w:r>
    </w:p>
    <w:p>
      <w:pPr>
        <w:pStyle w:val="8"/>
        <w:numPr>
          <w:ilvl w:val="2"/>
          <w:numId w:val="22"/>
        </w:numPr>
        <w:tabs>
          <w:tab w:val="left" w:pos="2803"/>
        </w:tabs>
        <w:spacing w:before="0" w:after="0" w:line="269" w:lineRule="exact"/>
        <w:ind w:left="2802" w:right="0" w:hanging="265"/>
        <w:jc w:val="both"/>
        <w:rPr>
          <w:rFonts w:ascii="Times New Roman" w:eastAsia="Times New Roman"/>
          <w:sz w:val="21"/>
        </w:rPr>
      </w:pPr>
      <w:r>
        <w:rPr>
          <w:color w:val="000000"/>
          <w:spacing w:val="-3"/>
          <w:sz w:val="21"/>
          <w:shd w:val="clear" w:color="auto" w:fill="D9D9D9"/>
        </w:rPr>
        <w:t>被保险人入住康复科、康复病床或接受康复治疗；</w:t>
      </w:r>
    </w:p>
    <w:p>
      <w:pPr>
        <w:pStyle w:val="8"/>
        <w:numPr>
          <w:ilvl w:val="2"/>
          <w:numId w:val="22"/>
        </w:numPr>
        <w:tabs>
          <w:tab w:val="left" w:pos="2803"/>
        </w:tabs>
        <w:spacing w:before="43" w:after="0" w:line="278" w:lineRule="auto"/>
        <w:ind w:left="2538" w:right="278" w:firstLine="0"/>
        <w:jc w:val="both"/>
        <w:rPr>
          <w:rFonts w:ascii="Times New Roman" w:eastAsia="Times New Roman"/>
          <w:sz w:val="21"/>
        </w:rPr>
      </w:pPr>
      <w:r>
        <w:rPr>
          <w:color w:val="000000"/>
          <w:spacing w:val="-2"/>
          <w:sz w:val="21"/>
          <w:shd w:val="clear" w:color="auto" w:fill="D9D9D9"/>
        </w:rPr>
        <w:t>被保险人住院期间一天内未接受与入院诊断相关的检查和治疗，或一天内住</w:t>
      </w:r>
      <w:r>
        <w:rPr>
          <w:color w:val="000000"/>
          <w:spacing w:val="13965"/>
          <w:sz w:val="21"/>
          <w:shd w:val="clear" w:color="auto" w:fill="D9D9D9"/>
        </w:rPr>
        <w:t xml:space="preserve"> </w:t>
      </w:r>
      <w:r>
        <w:rPr>
          <w:color w:val="000000"/>
          <w:spacing w:val="-2"/>
          <w:sz w:val="21"/>
          <w:shd w:val="clear" w:color="auto" w:fill="D9D9D9"/>
        </w:rPr>
        <w:t>院不满二十四小时</w:t>
      </w:r>
      <w:r>
        <w:rPr>
          <w:color w:val="000000"/>
          <w:spacing w:val="-2"/>
          <w:sz w:val="21"/>
        </w:rPr>
        <w:t>（但遵医嘱到外院接受临时治疗的除外）；</w:t>
      </w:r>
    </w:p>
    <w:p>
      <w:pPr>
        <w:pStyle w:val="8"/>
        <w:numPr>
          <w:ilvl w:val="2"/>
          <w:numId w:val="22"/>
        </w:numPr>
        <w:tabs>
          <w:tab w:val="left" w:pos="2803"/>
        </w:tabs>
        <w:spacing w:before="0" w:after="0" w:line="269" w:lineRule="exact"/>
        <w:ind w:left="2802" w:right="0" w:hanging="265"/>
        <w:jc w:val="both"/>
        <w:rPr>
          <w:rFonts w:ascii="Times New Roman" w:eastAsia="Times New Roman"/>
          <w:sz w:val="21"/>
        </w:rPr>
      </w:pPr>
      <w:r>
        <w:rPr>
          <w:color w:val="000000"/>
          <w:spacing w:val="-3"/>
          <w:sz w:val="21"/>
          <w:shd w:val="clear" w:color="auto" w:fill="D9D9D9"/>
        </w:rPr>
        <w:t>被保险人住院体检；</w:t>
      </w:r>
    </w:p>
    <w:p>
      <w:pPr>
        <w:pStyle w:val="8"/>
        <w:numPr>
          <w:ilvl w:val="2"/>
          <w:numId w:val="22"/>
        </w:numPr>
        <w:tabs>
          <w:tab w:val="left" w:pos="2803"/>
        </w:tabs>
        <w:spacing w:before="43" w:after="0" w:line="278" w:lineRule="auto"/>
        <w:ind w:left="2538" w:right="278" w:firstLine="0"/>
        <w:jc w:val="both"/>
        <w:rPr>
          <w:rFonts w:ascii="Times New Roman" w:eastAsia="Times New Roman"/>
          <w:sz w:val="21"/>
        </w:rPr>
      </w:pPr>
      <w:r>
        <w:rPr>
          <w:color w:val="000000"/>
          <w:spacing w:val="-2"/>
          <w:sz w:val="21"/>
          <w:shd w:val="clear" w:color="auto" w:fill="D9D9D9"/>
        </w:rPr>
        <w:t>挂床住院及其他不合理的住院。挂床住院指办理正式住院手续的被保险人，</w:t>
      </w:r>
      <w:r>
        <w:rPr>
          <w:color w:val="000000"/>
          <w:spacing w:val="40"/>
          <w:sz w:val="21"/>
          <w:shd w:val="clear" w:color="auto" w:fill="D9D9D9"/>
        </w:rPr>
        <w:t xml:space="preserve"> </w:t>
      </w:r>
      <w:r>
        <w:rPr>
          <w:color w:val="000000"/>
          <w:spacing w:val="-2"/>
          <w:sz w:val="21"/>
          <w:shd w:val="clear" w:color="auto" w:fill="D9D9D9"/>
        </w:rPr>
        <w:t>在住院期间每日非24小时在床、在院。具体表现包括在住院期间连续若干日无任何治疗，只发生护理费、诊疗费、床位费等情况。</w:t>
      </w:r>
    </w:p>
    <w:p>
      <w:pPr>
        <w:pStyle w:val="4"/>
        <w:ind w:left="0"/>
        <w:rPr>
          <w:sz w:val="15"/>
        </w:rPr>
      </w:pPr>
    </w:p>
    <w:p>
      <w:pPr>
        <w:pStyle w:val="8"/>
        <w:numPr>
          <w:ilvl w:val="1"/>
          <w:numId w:val="22"/>
        </w:numPr>
        <w:tabs>
          <w:tab w:val="left" w:pos="1007"/>
          <w:tab w:val="left" w:pos="1008"/>
          <w:tab w:val="left" w:pos="2538"/>
        </w:tabs>
        <w:spacing w:before="0" w:after="0" w:line="240" w:lineRule="auto"/>
        <w:ind w:left="1007" w:right="0" w:hanging="796"/>
        <w:jc w:val="left"/>
        <w:rPr>
          <w:sz w:val="21"/>
        </w:rPr>
      </w:pPr>
      <w:r>
        <w:rPr>
          <w:b/>
          <w:sz w:val="21"/>
        </w:rPr>
        <w:t>合理且必</w:t>
      </w:r>
      <w:r>
        <w:rPr>
          <w:b/>
          <w:spacing w:val="-10"/>
          <w:sz w:val="21"/>
        </w:rPr>
        <w:t>要</w:t>
      </w:r>
      <w:r>
        <w:rPr>
          <w:b/>
          <w:sz w:val="21"/>
        </w:rPr>
        <w:tab/>
      </w:r>
      <w:r>
        <w:rPr>
          <w:spacing w:val="-2"/>
          <w:sz w:val="21"/>
        </w:rPr>
        <w:t>合理且必要指同时满足以下两个条件</w:t>
      </w:r>
      <w:r>
        <w:rPr>
          <w:spacing w:val="-10"/>
          <w:sz w:val="21"/>
        </w:rPr>
        <w:t>：</w:t>
      </w:r>
    </w:p>
    <w:p>
      <w:pPr>
        <w:pStyle w:val="8"/>
        <w:numPr>
          <w:ilvl w:val="2"/>
          <w:numId w:val="22"/>
        </w:numPr>
        <w:tabs>
          <w:tab w:val="left" w:pos="2803"/>
        </w:tabs>
        <w:spacing w:before="43" w:after="0" w:line="240" w:lineRule="auto"/>
        <w:ind w:left="2802" w:right="0" w:hanging="265"/>
        <w:jc w:val="left"/>
        <w:rPr>
          <w:rFonts w:ascii="Times New Roman" w:eastAsia="Times New Roman"/>
          <w:sz w:val="21"/>
        </w:rPr>
      </w:pPr>
      <w:r>
        <w:rPr>
          <w:spacing w:val="-4"/>
          <w:sz w:val="21"/>
        </w:rPr>
        <w:t>符合通常惯例</w:t>
      </w:r>
    </w:p>
    <w:p>
      <w:pPr>
        <w:pStyle w:val="4"/>
        <w:spacing w:before="43" w:line="278" w:lineRule="auto"/>
        <w:ind w:right="282"/>
      </w:pPr>
      <w:r>
        <w:rPr>
          <w:spacing w:val="-2"/>
        </w:rPr>
        <w:t>指与接受医疗服务所在地通行治疗规范、通行治疗方法、平均医疗费用价格水平一致的费用。</w:t>
      </w:r>
    </w:p>
    <w:p>
      <w:pPr>
        <w:pStyle w:val="8"/>
        <w:numPr>
          <w:ilvl w:val="2"/>
          <w:numId w:val="22"/>
        </w:numPr>
        <w:tabs>
          <w:tab w:val="left" w:pos="2803"/>
        </w:tabs>
        <w:spacing w:before="0" w:after="0" w:line="269" w:lineRule="exact"/>
        <w:ind w:left="2802" w:right="0" w:hanging="265"/>
        <w:jc w:val="left"/>
        <w:rPr>
          <w:rFonts w:ascii="Times New Roman" w:eastAsia="Times New Roman"/>
          <w:sz w:val="21"/>
        </w:rPr>
      </w:pPr>
      <w:r>
        <w:rPr>
          <w:spacing w:val="-4"/>
          <w:sz w:val="21"/>
        </w:rPr>
        <w:t>医学必要</w:t>
      </w:r>
    </w:p>
    <w:p>
      <w:pPr>
        <w:pStyle w:val="4"/>
        <w:spacing w:before="43"/>
      </w:pPr>
      <w:r>
        <w:rPr>
          <w:spacing w:val="-3"/>
        </w:rPr>
        <w:t>指被保险人接受治疗或服务、使用器械或服用药品符合以下条件：</w:t>
      </w:r>
    </w:p>
    <w:p>
      <w:pPr>
        <w:pStyle w:val="8"/>
        <w:numPr>
          <w:ilvl w:val="0"/>
          <w:numId w:val="23"/>
        </w:numPr>
        <w:tabs>
          <w:tab w:val="left" w:pos="3069"/>
        </w:tabs>
        <w:spacing w:before="43" w:after="0" w:line="240" w:lineRule="auto"/>
        <w:ind w:left="3068" w:right="0" w:hanging="531"/>
        <w:jc w:val="left"/>
        <w:rPr>
          <w:sz w:val="21"/>
        </w:rPr>
      </w:pPr>
      <w:r>
        <w:rPr>
          <w:spacing w:val="-3"/>
          <w:sz w:val="21"/>
        </w:rPr>
        <w:t>医生处方要求且对治疗被保险人疾病或伤害合适且必需；</w:t>
      </w:r>
    </w:p>
    <w:p>
      <w:pPr>
        <w:pStyle w:val="8"/>
        <w:numPr>
          <w:ilvl w:val="0"/>
          <w:numId w:val="23"/>
        </w:numPr>
        <w:tabs>
          <w:tab w:val="left" w:pos="3069"/>
        </w:tabs>
        <w:spacing w:before="43" w:after="0" w:line="278" w:lineRule="auto"/>
        <w:ind w:left="2538" w:right="274" w:firstLine="0"/>
        <w:jc w:val="left"/>
        <w:rPr>
          <w:sz w:val="21"/>
        </w:rPr>
      </w:pPr>
      <w:r>
        <w:rPr>
          <w:spacing w:val="-2"/>
          <w:sz w:val="21"/>
        </w:rPr>
        <w:t>在范围、持续期、强度、护理上不超过为被保险人提供安全、恰当、合适的诊断或治疗所需的水平；</w:t>
      </w:r>
    </w:p>
    <w:p>
      <w:pPr>
        <w:pStyle w:val="8"/>
        <w:numPr>
          <w:ilvl w:val="0"/>
          <w:numId w:val="23"/>
        </w:numPr>
        <w:tabs>
          <w:tab w:val="left" w:pos="3069"/>
        </w:tabs>
        <w:spacing w:before="0" w:after="0" w:line="269" w:lineRule="exact"/>
        <w:ind w:left="3068" w:right="0" w:hanging="531"/>
        <w:jc w:val="left"/>
        <w:rPr>
          <w:sz w:val="21"/>
        </w:rPr>
      </w:pPr>
      <w:r>
        <w:rPr>
          <w:spacing w:val="-3"/>
          <w:sz w:val="21"/>
        </w:rPr>
        <w:t>与接受治疗当地普遍接受的医疗专业实践标准一致；</w:t>
      </w:r>
    </w:p>
    <w:p>
      <w:pPr>
        <w:pStyle w:val="8"/>
        <w:numPr>
          <w:ilvl w:val="0"/>
          <w:numId w:val="23"/>
        </w:numPr>
        <w:tabs>
          <w:tab w:val="left" w:pos="3069"/>
        </w:tabs>
        <w:spacing w:before="43" w:after="0" w:line="278" w:lineRule="auto"/>
        <w:ind w:left="2538" w:right="275" w:firstLine="0"/>
        <w:jc w:val="left"/>
        <w:rPr>
          <w:sz w:val="21"/>
        </w:rPr>
      </w:pPr>
      <w:r>
        <w:rPr>
          <w:spacing w:val="-2"/>
          <w:sz w:val="21"/>
        </w:rPr>
        <w:t>非主要为了个人舒适或者为了被保险人父母、家庭、医师或其他医疗提供方的方便；</w:t>
      </w:r>
    </w:p>
    <w:p>
      <w:pPr>
        <w:pStyle w:val="8"/>
        <w:numPr>
          <w:ilvl w:val="0"/>
          <w:numId w:val="23"/>
        </w:numPr>
        <w:tabs>
          <w:tab w:val="left" w:pos="3069"/>
        </w:tabs>
        <w:spacing w:before="0" w:after="0" w:line="269" w:lineRule="exact"/>
        <w:ind w:left="3068" w:right="0" w:hanging="531"/>
        <w:jc w:val="left"/>
        <w:rPr>
          <w:sz w:val="21"/>
        </w:rPr>
      </w:pPr>
      <w:r>
        <w:rPr>
          <w:spacing w:val="-3"/>
          <w:sz w:val="21"/>
        </w:rPr>
        <w:t>非病人学术教育或职业培训的一部分或与之相关；</w:t>
      </w:r>
    </w:p>
    <w:p>
      <w:pPr>
        <w:pStyle w:val="8"/>
        <w:numPr>
          <w:ilvl w:val="0"/>
          <w:numId w:val="23"/>
        </w:numPr>
        <w:tabs>
          <w:tab w:val="left" w:pos="3069"/>
        </w:tabs>
        <w:spacing w:before="43" w:after="0" w:line="240" w:lineRule="auto"/>
        <w:ind w:left="3068" w:right="0" w:hanging="531"/>
        <w:jc w:val="left"/>
        <w:rPr>
          <w:sz w:val="21"/>
        </w:rPr>
      </w:pPr>
      <w:r>
        <w:rPr>
          <w:spacing w:val="-3"/>
          <w:sz w:val="21"/>
        </w:rPr>
        <w:t>非试验性或研究性。</w:t>
      </w:r>
    </w:p>
    <w:p>
      <w:pPr>
        <w:pStyle w:val="4"/>
        <w:spacing w:before="43" w:line="278" w:lineRule="auto"/>
        <w:ind w:right="279"/>
        <w:jc w:val="both"/>
      </w:pPr>
      <w:r>
        <w:rPr>
          <w:spacing w:val="-2"/>
        </w:rPr>
        <w:t>对是否符合通常惯例以及是否医学必要由我们根据客观、审慎、合理的原则进行审核；如果您或被保险人对审核结果有不同意见，可由双方认同的权威医学机构或者权威医学专家进行审核鉴定。</w:t>
      </w:r>
    </w:p>
    <w:p>
      <w:pPr>
        <w:pStyle w:val="8"/>
        <w:numPr>
          <w:ilvl w:val="1"/>
          <w:numId w:val="22"/>
        </w:numPr>
        <w:tabs>
          <w:tab w:val="left" w:pos="1007"/>
          <w:tab w:val="left" w:pos="1008"/>
        </w:tabs>
        <w:spacing w:before="170" w:after="0" w:line="240" w:lineRule="auto"/>
        <w:ind w:left="1007" w:right="0" w:hanging="796"/>
        <w:jc w:val="left"/>
        <w:rPr>
          <w:sz w:val="21"/>
        </w:rPr>
      </w:pPr>
      <w:r>
        <w:rPr>
          <w:b/>
          <w:spacing w:val="19"/>
          <w:sz w:val="21"/>
        </w:rPr>
        <w:t xml:space="preserve">住院医疗费用 </w:t>
      </w:r>
      <w:r>
        <w:rPr>
          <w:spacing w:val="-1"/>
          <w:sz w:val="21"/>
        </w:rPr>
        <w:t>指被保险人住院期间发生的医疗费用，包括：</w:t>
      </w:r>
    </w:p>
    <w:p>
      <w:pPr>
        <w:pStyle w:val="8"/>
        <w:numPr>
          <w:ilvl w:val="2"/>
          <w:numId w:val="22"/>
        </w:numPr>
        <w:tabs>
          <w:tab w:val="left" w:pos="2803"/>
        </w:tabs>
        <w:spacing w:before="43" w:after="0" w:line="240" w:lineRule="auto"/>
        <w:ind w:left="2802" w:right="0" w:hanging="265"/>
        <w:jc w:val="left"/>
        <w:rPr>
          <w:rFonts w:ascii="Times New Roman" w:eastAsia="Times New Roman"/>
          <w:sz w:val="21"/>
        </w:rPr>
      </w:pPr>
      <w:r>
        <w:rPr>
          <w:spacing w:val="-5"/>
          <w:sz w:val="21"/>
        </w:rPr>
        <w:t>床位费</w:t>
      </w:r>
    </w:p>
    <w:p>
      <w:pPr>
        <w:pStyle w:val="4"/>
        <w:spacing w:before="43" w:line="278" w:lineRule="auto"/>
        <w:ind w:right="277"/>
      </w:pPr>
      <w:r>
        <w:rPr>
          <w:spacing w:val="-2"/>
        </w:rPr>
        <w:t>指被保险人住院期间使用的医疗床位的费用。</w:t>
      </w:r>
      <w:r>
        <w:rPr>
          <w:color w:val="000000"/>
          <w:spacing w:val="-2"/>
          <w:shd w:val="clear" w:color="auto" w:fill="D9D9D9"/>
        </w:rPr>
        <w:t>不包括私人病房、陪人床、观察</w:t>
      </w:r>
      <w:r>
        <w:rPr>
          <w:color w:val="000000"/>
          <w:spacing w:val="80"/>
          <w:w w:val="150"/>
          <w:shd w:val="clear" w:color="auto" w:fill="D9D9D9"/>
        </w:rPr>
        <w:t xml:space="preserve">                                       </w:t>
      </w:r>
      <w:r>
        <w:rPr>
          <w:color w:val="000000"/>
          <w:spacing w:val="-2"/>
          <w:shd w:val="clear" w:color="auto" w:fill="D9D9D9"/>
        </w:rPr>
        <w:t>病房床位、套房和家庭病床的费用。</w:t>
      </w:r>
    </w:p>
    <w:p>
      <w:pPr>
        <w:pStyle w:val="8"/>
        <w:numPr>
          <w:ilvl w:val="2"/>
          <w:numId w:val="22"/>
        </w:numPr>
        <w:tabs>
          <w:tab w:val="left" w:pos="2803"/>
        </w:tabs>
        <w:spacing w:before="0" w:after="0" w:line="240" w:lineRule="auto"/>
        <w:ind w:left="2802" w:right="0" w:hanging="265"/>
        <w:jc w:val="left"/>
        <w:rPr>
          <w:rFonts w:ascii="Times New Roman" w:eastAsia="Times New Roman"/>
          <w:sz w:val="21"/>
        </w:rPr>
      </w:pPr>
      <w:r>
        <w:rPr>
          <w:spacing w:val="-4"/>
          <w:sz w:val="21"/>
        </w:rPr>
        <w:t>重症监护床位费</w:t>
      </w:r>
    </w:p>
    <w:p>
      <w:pPr>
        <w:pStyle w:val="4"/>
        <w:spacing w:before="43"/>
      </w:pPr>
      <w:r>
        <w:rPr>
          <w:spacing w:val="-1"/>
        </w:rPr>
        <w:t>指住院期间被保险人需在重症监护室进行合理且必要的医疗而产生的床位费。</w:t>
      </w:r>
      <w:bookmarkStart w:id="0" w:name="_GoBack"/>
      <w:bookmarkEnd w:id="0"/>
    </w:p>
    <w:p>
      <w:pPr>
        <w:pStyle w:val="4"/>
        <w:spacing w:before="57" w:line="278" w:lineRule="auto"/>
        <w:ind w:right="274"/>
        <w:jc w:val="both"/>
      </w:pPr>
      <w:r>
        <w:rPr>
          <w:spacing w:val="-2"/>
        </w:rPr>
        <w:t>重症监护室指配有中心监护台、心电监护仪及其他监护抢救设施，相对封闭管</w:t>
      </w:r>
      <w:r>
        <w:rPr>
          <w:spacing w:val="-4"/>
        </w:rPr>
        <w:t>理，符合重症监护病房</w:t>
      </w:r>
      <w:r>
        <w:rPr>
          <w:spacing w:val="16"/>
        </w:rPr>
        <w:t>（</w:t>
      </w:r>
      <w:r>
        <w:rPr>
          <w:spacing w:val="15"/>
        </w:rPr>
        <w:t>I</w:t>
      </w:r>
      <w:r>
        <w:rPr>
          <w:spacing w:val="18"/>
        </w:rPr>
        <w:t>C</w:t>
      </w:r>
      <w:r>
        <w:rPr>
          <w:spacing w:val="17"/>
        </w:rPr>
        <w:t>U</w:t>
      </w:r>
      <w:r>
        <w:rPr>
          <w:spacing w:val="-90"/>
        </w:rPr>
        <w:t>）</w:t>
      </w:r>
      <w:r>
        <w:rPr>
          <w:spacing w:val="-4"/>
        </w:rPr>
        <w:t>、冠心病重症监护病房（CCU）标准的单人或多人</w:t>
      </w:r>
      <w:r>
        <w:rPr>
          <w:spacing w:val="-2"/>
        </w:rPr>
        <w:t>监护病房。</w:t>
      </w:r>
    </w:p>
    <w:p>
      <w:pPr>
        <w:pStyle w:val="8"/>
        <w:numPr>
          <w:ilvl w:val="2"/>
          <w:numId w:val="22"/>
        </w:numPr>
        <w:tabs>
          <w:tab w:val="left" w:pos="2803"/>
        </w:tabs>
        <w:spacing w:before="0" w:after="0" w:line="240" w:lineRule="auto"/>
        <w:ind w:left="2802" w:right="0" w:hanging="265"/>
        <w:jc w:val="both"/>
        <w:rPr>
          <w:rFonts w:ascii="Times New Roman" w:eastAsia="Times New Roman"/>
          <w:sz w:val="21"/>
        </w:rPr>
      </w:pPr>
      <w:r>
        <w:rPr>
          <w:spacing w:val="-5"/>
          <w:sz w:val="21"/>
        </w:rPr>
        <w:t>膳食费</w:t>
      </w:r>
    </w:p>
    <w:p>
      <w:pPr>
        <w:pStyle w:val="4"/>
        <w:spacing w:before="43" w:line="278" w:lineRule="auto"/>
        <w:ind w:right="282"/>
      </w:pPr>
      <w:r>
        <w:rPr>
          <w:spacing w:val="-2"/>
        </w:rPr>
        <w:t>指住院期间根据医嘱，由作为医院内部专属部门的、为住院病人配餐的食堂配送的并符合通常惯例的膳食费用。</w:t>
      </w:r>
    </w:p>
    <w:p>
      <w:pPr>
        <w:pStyle w:val="4"/>
        <w:spacing w:line="269" w:lineRule="exact"/>
      </w:pPr>
      <w:r>
        <w:rPr>
          <w:color w:val="000000"/>
          <w:spacing w:val="-4"/>
          <w:shd w:val="clear" w:color="auto" w:fill="D9D9D9"/>
        </w:rPr>
        <w:t>膳食费用不包括：</w:t>
      </w:r>
    </w:p>
    <w:p>
      <w:pPr>
        <w:pStyle w:val="8"/>
        <w:numPr>
          <w:ilvl w:val="0"/>
          <w:numId w:val="24"/>
        </w:numPr>
        <w:tabs>
          <w:tab w:val="left" w:pos="3069"/>
        </w:tabs>
        <w:spacing w:before="43" w:after="0" w:line="240" w:lineRule="auto"/>
        <w:ind w:left="3068" w:right="0" w:hanging="531"/>
        <w:jc w:val="left"/>
        <w:rPr>
          <w:sz w:val="21"/>
        </w:rPr>
      </w:pPr>
      <w:r>
        <w:rPr>
          <w:color w:val="000000"/>
          <w:spacing w:val="-3"/>
          <w:sz w:val="21"/>
          <w:shd w:val="clear" w:color="auto" w:fill="D9D9D9"/>
        </w:rPr>
        <w:t>所住医院外其他营利性餐饮服务机构提供的餐饮费用；</w:t>
      </w:r>
    </w:p>
    <w:p>
      <w:pPr>
        <w:pStyle w:val="8"/>
        <w:numPr>
          <w:ilvl w:val="0"/>
          <w:numId w:val="24"/>
        </w:numPr>
        <w:tabs>
          <w:tab w:val="left" w:pos="3069"/>
        </w:tabs>
        <w:spacing w:before="43" w:after="0" w:line="240" w:lineRule="auto"/>
        <w:ind w:left="3068" w:right="0" w:hanging="531"/>
        <w:jc w:val="left"/>
        <w:rPr>
          <w:sz w:val="21"/>
        </w:rPr>
      </w:pPr>
      <w:r>
        <w:rPr>
          <w:color w:val="000000"/>
          <w:spacing w:val="-3"/>
          <w:sz w:val="21"/>
          <w:shd w:val="clear" w:color="auto" w:fill="D9D9D9"/>
        </w:rPr>
        <w:t>不是根据医嘱配送的、在医院对外营业的餐厅或者食堂的餐饮费用；</w:t>
      </w:r>
    </w:p>
    <w:p>
      <w:pPr>
        <w:pStyle w:val="8"/>
        <w:numPr>
          <w:ilvl w:val="0"/>
          <w:numId w:val="24"/>
        </w:numPr>
        <w:tabs>
          <w:tab w:val="left" w:pos="3069"/>
        </w:tabs>
        <w:spacing w:before="43" w:after="0" w:line="240" w:lineRule="auto"/>
        <w:ind w:left="3068" w:right="0" w:hanging="531"/>
        <w:jc w:val="left"/>
        <w:rPr>
          <w:sz w:val="21"/>
        </w:rPr>
      </w:pPr>
      <w:r>
        <w:rPr>
          <w:color w:val="000000"/>
          <w:spacing w:val="-3"/>
          <w:sz w:val="21"/>
          <w:shd w:val="clear" w:color="auto" w:fill="D9D9D9"/>
        </w:rPr>
        <w:t>不在医院开具的医疗费用清单上的餐饮费用。</w:t>
      </w:r>
    </w:p>
    <w:p>
      <w:pPr>
        <w:pStyle w:val="8"/>
        <w:numPr>
          <w:ilvl w:val="2"/>
          <w:numId w:val="22"/>
        </w:numPr>
        <w:tabs>
          <w:tab w:val="left" w:pos="2803"/>
        </w:tabs>
        <w:spacing w:before="43" w:after="0" w:line="240" w:lineRule="auto"/>
        <w:ind w:left="2802" w:right="0" w:hanging="265"/>
        <w:jc w:val="left"/>
        <w:rPr>
          <w:rFonts w:ascii="Times New Roman" w:eastAsia="Times New Roman"/>
          <w:sz w:val="21"/>
        </w:rPr>
      </w:pPr>
      <w:r>
        <w:rPr>
          <w:spacing w:val="-5"/>
          <w:sz w:val="21"/>
        </w:rPr>
        <w:t>护理费</w:t>
      </w:r>
    </w:p>
    <w:p>
      <w:pPr>
        <w:pStyle w:val="4"/>
        <w:spacing w:before="43"/>
      </w:pPr>
      <w:r>
        <w:rPr>
          <w:spacing w:val="-3"/>
        </w:rPr>
        <w:t>指住院期间根据医嘱所示的护理等级确定的护理费用。</w:t>
      </w:r>
    </w:p>
    <w:p>
      <w:pPr>
        <w:pStyle w:val="8"/>
        <w:numPr>
          <w:ilvl w:val="2"/>
          <w:numId w:val="22"/>
        </w:numPr>
        <w:tabs>
          <w:tab w:val="left" w:pos="2803"/>
        </w:tabs>
        <w:spacing w:before="43" w:after="0" w:line="240" w:lineRule="auto"/>
        <w:ind w:left="2802" w:right="0" w:hanging="265"/>
        <w:jc w:val="left"/>
        <w:rPr>
          <w:rFonts w:ascii="Times New Roman" w:eastAsia="Times New Roman"/>
          <w:sz w:val="21"/>
        </w:rPr>
      </w:pPr>
      <w:r>
        <w:rPr>
          <w:spacing w:val="-3"/>
          <w:sz w:val="21"/>
        </w:rPr>
        <w:t>医生费：包括外科医生、麻醉师、内科医生、专科医生的费用。</w:t>
      </w:r>
    </w:p>
    <w:p>
      <w:pPr>
        <w:pStyle w:val="8"/>
        <w:numPr>
          <w:ilvl w:val="2"/>
          <w:numId w:val="22"/>
        </w:numPr>
        <w:tabs>
          <w:tab w:val="left" w:pos="2803"/>
        </w:tabs>
        <w:spacing w:before="43" w:after="0" w:line="240" w:lineRule="auto"/>
        <w:ind w:left="2802" w:right="0" w:hanging="265"/>
        <w:jc w:val="left"/>
        <w:rPr>
          <w:rFonts w:ascii="Times New Roman" w:eastAsia="Times New Roman"/>
          <w:sz w:val="21"/>
        </w:rPr>
      </w:pPr>
      <w:r>
        <w:rPr>
          <w:spacing w:val="-4"/>
          <w:sz w:val="21"/>
        </w:rPr>
        <w:t>检查检验费</w:t>
      </w:r>
    </w:p>
    <w:p>
      <w:pPr>
        <w:pStyle w:val="4"/>
        <w:spacing w:before="43" w:line="278" w:lineRule="auto"/>
        <w:ind w:right="277"/>
        <w:jc w:val="both"/>
      </w:pPr>
      <w:r>
        <w:rPr>
          <w:spacing w:val="-2"/>
        </w:rPr>
        <w:t>指住院期间实际发生的、以诊断疾病为目的，采取必要的医学手段进行检查及检验而发生的合理的医疗费用，包括诊查费、妇检费、</w:t>
      </w:r>
      <w:r>
        <w:rPr>
          <w:rFonts w:ascii="Times New Roman" w:eastAsia="Times New Roman"/>
          <w:spacing w:val="-2"/>
        </w:rPr>
        <w:t>X</w:t>
      </w:r>
      <w:r>
        <w:rPr>
          <w:spacing w:val="-2"/>
        </w:rPr>
        <w:t>光费、心电图费、</w:t>
      </w:r>
      <w:r>
        <w:rPr>
          <w:rFonts w:ascii="Times New Roman" w:eastAsia="Times New Roman"/>
          <w:spacing w:val="-2"/>
        </w:rPr>
        <w:t>B</w:t>
      </w:r>
      <w:r>
        <w:rPr>
          <w:spacing w:val="-2"/>
        </w:rPr>
        <w:t>超费、脑电图费、内窥镜费、肺功能仪费、分子生化检验费和血、尿、便常规检</w:t>
      </w:r>
      <w:r>
        <w:rPr>
          <w:spacing w:val="-4"/>
        </w:rPr>
        <w:t>验费等。</w:t>
      </w:r>
    </w:p>
    <w:p>
      <w:pPr>
        <w:pStyle w:val="8"/>
        <w:numPr>
          <w:ilvl w:val="2"/>
          <w:numId w:val="22"/>
        </w:numPr>
        <w:tabs>
          <w:tab w:val="left" w:pos="2803"/>
        </w:tabs>
        <w:spacing w:before="0" w:after="0" w:line="269" w:lineRule="exact"/>
        <w:ind w:left="2802" w:right="0" w:hanging="265"/>
        <w:jc w:val="both"/>
        <w:rPr>
          <w:rFonts w:ascii="Times New Roman" w:eastAsia="Times New Roman"/>
          <w:sz w:val="21"/>
        </w:rPr>
      </w:pPr>
      <w:r>
        <w:rPr>
          <w:spacing w:val="-5"/>
          <w:sz w:val="21"/>
        </w:rPr>
        <w:t>治疗费</w:t>
      </w:r>
    </w:p>
    <w:p>
      <w:pPr>
        <w:pStyle w:val="4"/>
        <w:spacing w:before="43" w:line="278" w:lineRule="auto"/>
        <w:ind w:right="282"/>
        <w:jc w:val="both"/>
      </w:pPr>
      <w:r>
        <w:rPr>
          <w:spacing w:val="-2"/>
        </w:rPr>
        <w:t>指住院期间以治疗疾病为目的，提供必要的医学手段而发生的合理的治疗者技术劳务费和医疗器械使用费，以及消耗品的费用，包括注射费、机疗费、输血费、输氧费、体外反搏费等。</w:t>
      </w:r>
    </w:p>
    <w:p>
      <w:pPr>
        <w:spacing w:before="0"/>
        <w:ind w:left="2538" w:right="0" w:firstLine="0"/>
        <w:jc w:val="left"/>
        <w:rPr>
          <w:sz w:val="21"/>
        </w:rPr>
      </w:pPr>
      <w:r>
        <w:rPr>
          <w:color w:val="000000"/>
          <w:spacing w:val="-2"/>
          <w:sz w:val="21"/>
          <w:shd w:val="clear" w:color="auto" w:fill="D9D9D9"/>
        </w:rPr>
        <w:t>本项责任不包含</w:t>
      </w:r>
      <w:r>
        <w:rPr>
          <w:b/>
          <w:color w:val="000000"/>
          <w:spacing w:val="-2"/>
          <w:sz w:val="21"/>
          <w:shd w:val="clear" w:color="auto" w:fill="D9D9D9"/>
        </w:rPr>
        <w:t>物理治疗、中医理疗及其他特殊疗法</w:t>
      </w:r>
      <w:r>
        <w:rPr>
          <w:color w:val="000000"/>
          <w:spacing w:val="-2"/>
          <w:sz w:val="21"/>
          <w:shd w:val="clear" w:color="auto" w:fill="D9D9D9"/>
        </w:rPr>
        <w:t>（见</w:t>
      </w:r>
      <w:r>
        <w:rPr>
          <w:rFonts w:ascii="Times New Roman" w:eastAsia="Times New Roman"/>
          <w:color w:val="000000"/>
          <w:spacing w:val="-2"/>
          <w:sz w:val="21"/>
          <w:shd w:val="clear" w:color="auto" w:fill="D9D9D9"/>
        </w:rPr>
        <w:t>9.10</w:t>
      </w:r>
      <w:r>
        <w:rPr>
          <w:color w:val="000000"/>
          <w:spacing w:val="-2"/>
          <w:sz w:val="21"/>
          <w:shd w:val="clear" w:color="auto" w:fill="D9D9D9"/>
        </w:rPr>
        <w:t>）</w:t>
      </w:r>
      <w:r>
        <w:rPr>
          <w:color w:val="000000"/>
          <w:spacing w:val="-5"/>
          <w:sz w:val="21"/>
          <w:shd w:val="clear" w:color="auto" w:fill="D9D9D9"/>
        </w:rPr>
        <w:t>费用。</w:t>
      </w:r>
    </w:p>
    <w:p>
      <w:pPr>
        <w:pStyle w:val="8"/>
        <w:numPr>
          <w:ilvl w:val="2"/>
          <w:numId w:val="22"/>
        </w:numPr>
        <w:tabs>
          <w:tab w:val="left" w:pos="2803"/>
        </w:tabs>
        <w:spacing w:before="43" w:after="0" w:line="240" w:lineRule="auto"/>
        <w:ind w:left="2802" w:right="0" w:hanging="265"/>
        <w:jc w:val="left"/>
        <w:rPr>
          <w:rFonts w:ascii="Times New Roman" w:eastAsia="Times New Roman"/>
          <w:sz w:val="21"/>
        </w:rPr>
      </w:pPr>
      <w:r>
        <w:rPr>
          <w:spacing w:val="-5"/>
          <w:sz w:val="21"/>
        </w:rPr>
        <w:t>药品费</w:t>
      </w:r>
    </w:p>
    <w:p>
      <w:pPr>
        <w:pStyle w:val="4"/>
        <w:spacing w:before="43" w:line="278" w:lineRule="auto"/>
        <w:ind w:right="282"/>
        <w:jc w:val="both"/>
      </w:pPr>
      <w:r>
        <w:rPr>
          <w:spacing w:val="-2"/>
        </w:rPr>
        <w:t>指住院期间实际发生的合理且必要的由医生开具的具有国家药品监督管理部门核发的药品批准文号或者进口药品注册证书、医药产品注册证书的国产或进口药品的费用。</w:t>
      </w:r>
    </w:p>
    <w:p>
      <w:pPr>
        <w:pStyle w:val="4"/>
        <w:spacing w:line="269" w:lineRule="exact"/>
      </w:pPr>
      <w:r>
        <w:rPr>
          <w:color w:val="000000"/>
          <w:spacing w:val="-4"/>
          <w:shd w:val="clear" w:color="auto" w:fill="D9D9D9"/>
        </w:rPr>
        <w:t>本项责任不包括：</w:t>
      </w:r>
    </w:p>
    <w:p>
      <w:pPr>
        <w:pStyle w:val="8"/>
        <w:numPr>
          <w:ilvl w:val="0"/>
          <w:numId w:val="25"/>
        </w:numPr>
        <w:tabs>
          <w:tab w:val="left" w:pos="3069"/>
        </w:tabs>
        <w:spacing w:before="43" w:after="0" w:line="278" w:lineRule="auto"/>
        <w:ind w:left="2538" w:right="276" w:firstLine="0"/>
        <w:jc w:val="left"/>
        <w:rPr>
          <w:sz w:val="21"/>
        </w:rPr>
      </w:pPr>
      <w:r>
        <w:rPr>
          <w:color w:val="000000"/>
          <w:spacing w:val="-2"/>
          <w:sz w:val="21"/>
          <w:shd w:val="clear" w:color="auto" w:fill="D9D9D9"/>
        </w:rPr>
        <w:t>自购药品：指未经过医院所属的具有执业医生资格的医生开具医嘱，自行</w:t>
      </w:r>
      <w:r>
        <w:rPr>
          <w:color w:val="000000"/>
          <w:spacing w:val="13965"/>
          <w:sz w:val="21"/>
          <w:shd w:val="clear" w:color="auto" w:fill="D9D9D9"/>
        </w:rPr>
        <w:t xml:space="preserve"> </w:t>
      </w:r>
      <w:r>
        <w:rPr>
          <w:color w:val="000000"/>
          <w:spacing w:val="-2"/>
          <w:sz w:val="21"/>
          <w:shd w:val="clear" w:color="auto" w:fill="D9D9D9"/>
        </w:rPr>
        <w:t>至药房、超市、医院所属商业药房等地点购买的药品；</w:t>
      </w:r>
    </w:p>
    <w:p>
      <w:pPr>
        <w:pStyle w:val="8"/>
        <w:numPr>
          <w:ilvl w:val="0"/>
          <w:numId w:val="25"/>
        </w:numPr>
        <w:tabs>
          <w:tab w:val="left" w:pos="3069"/>
        </w:tabs>
        <w:spacing w:before="0" w:after="0" w:line="269" w:lineRule="exact"/>
        <w:ind w:left="3068" w:right="0" w:hanging="531"/>
        <w:jc w:val="left"/>
        <w:rPr>
          <w:sz w:val="21"/>
        </w:rPr>
      </w:pPr>
      <w:r>
        <w:rPr>
          <w:color w:val="000000"/>
          <w:spacing w:val="-7"/>
          <w:sz w:val="21"/>
          <w:shd w:val="clear" w:color="auto" w:fill="D9D9D9"/>
        </w:rPr>
        <w:t>营养补充类药品，免疫功能调节类药品，美容及减肥类药品，预防类药品；</w:t>
      </w:r>
    </w:p>
    <w:p>
      <w:pPr>
        <w:pStyle w:val="8"/>
        <w:numPr>
          <w:ilvl w:val="0"/>
          <w:numId w:val="25"/>
        </w:numPr>
        <w:tabs>
          <w:tab w:val="left" w:pos="3069"/>
        </w:tabs>
        <w:spacing w:before="43" w:after="0" w:line="278" w:lineRule="auto"/>
        <w:ind w:left="2538" w:right="167" w:firstLine="0"/>
        <w:jc w:val="left"/>
        <w:rPr>
          <w:sz w:val="21"/>
        </w:rPr>
      </w:pPr>
      <w:r>
        <w:rPr>
          <w:color w:val="000000"/>
          <w:spacing w:val="-6"/>
          <w:w w:val="100"/>
          <w:sz w:val="21"/>
          <w:shd w:val="clear" w:color="auto" w:fill="D9D9D9"/>
        </w:rPr>
        <w:t>下列中药类药品：主要起营养滋补作用的单方、复方中药或中成药品，如</w:t>
      </w:r>
      <w:r>
        <w:rPr>
          <w:color w:val="000000"/>
          <w:w w:val="100"/>
          <w:sz w:val="21"/>
          <w:shd w:val="clear" w:color="auto" w:fill="D9D9D9"/>
        </w:rPr>
        <w:t xml:space="preserve">                                                                                                                                        花旗参、白糖参、朝鲜红参、玳瑁、蛤蚧、珊瑚、狗宝、海马、红参、琥珀、</w:t>
      </w:r>
      <w:r>
        <w:rPr>
          <w:color w:val="000000"/>
          <w:spacing w:val="-5"/>
          <w:w w:val="100"/>
          <w:sz w:val="21"/>
          <w:shd w:val="clear" w:color="auto" w:fill="D9D9D9"/>
        </w:rPr>
        <w:t>灵芝、羚羊角尖粉、马宝、玛瑙、牛黄、麝香、西红花、血竭、燕窝、野山参、</w:t>
      </w:r>
      <w:r>
        <w:rPr>
          <w:color w:val="000000"/>
          <w:spacing w:val="-6"/>
          <w:w w:val="100"/>
          <w:sz w:val="21"/>
          <w:shd w:val="clear" w:color="auto" w:fill="D9D9D9"/>
        </w:rPr>
        <w:t>移山参、珍珠</w:t>
      </w:r>
      <w:r>
        <w:rPr>
          <w:rFonts w:ascii="Times New Roman" w:eastAsia="Times New Roman"/>
          <w:color w:val="000000"/>
          <w:spacing w:val="-1"/>
          <w:w w:val="100"/>
          <w:sz w:val="21"/>
          <w:shd w:val="clear" w:color="auto" w:fill="D9D9D9"/>
        </w:rPr>
        <w:t>(</w:t>
      </w:r>
      <w:r>
        <w:rPr>
          <w:color w:val="000000"/>
          <w:w w:val="100"/>
          <w:sz w:val="21"/>
          <w:shd w:val="clear" w:color="auto" w:fill="D9D9D9"/>
        </w:rPr>
        <w:t>粉</w:t>
      </w:r>
      <w:r>
        <w:rPr>
          <w:rFonts w:ascii="Times New Roman" w:eastAsia="Times New Roman"/>
          <w:color w:val="000000"/>
          <w:spacing w:val="-4"/>
          <w:w w:val="100"/>
          <w:sz w:val="21"/>
          <w:shd w:val="clear" w:color="auto" w:fill="D9D9D9"/>
        </w:rPr>
        <w:t>)</w:t>
      </w:r>
      <w:r>
        <w:rPr>
          <w:color w:val="000000"/>
          <w:spacing w:val="-11"/>
          <w:w w:val="100"/>
          <w:sz w:val="21"/>
          <w:shd w:val="clear" w:color="auto" w:fill="D9D9D9"/>
        </w:rPr>
        <w:t>、紫河车、阿胶、阿胶珠、冬虫草、血宝胶囊、红桃</w:t>
      </w:r>
      <w:r>
        <w:rPr>
          <w:rFonts w:ascii="Times New Roman" w:eastAsia="Times New Roman"/>
          <w:color w:val="000000"/>
          <w:spacing w:val="-4"/>
          <w:w w:val="100"/>
          <w:sz w:val="21"/>
          <w:shd w:val="clear" w:color="auto" w:fill="D9D9D9"/>
        </w:rPr>
        <w:t>K</w:t>
      </w:r>
      <w:r>
        <w:rPr>
          <w:color w:val="000000"/>
          <w:spacing w:val="-1"/>
          <w:w w:val="100"/>
          <w:sz w:val="21"/>
          <w:shd w:val="clear" w:color="auto" w:fill="D9D9D9"/>
        </w:rPr>
        <w:t>口服液、</w:t>
      </w:r>
      <w:r>
        <w:rPr>
          <w:color w:val="000000"/>
          <w:spacing w:val="-5"/>
          <w:w w:val="100"/>
          <w:sz w:val="21"/>
          <w:shd w:val="clear" w:color="auto" w:fill="D9D9D9"/>
        </w:rPr>
        <w:t>十全大补丸、十全大补膏等；部分可以入药的动物及动物脏器，如鹿茸、海马、</w:t>
      </w:r>
      <w:r>
        <w:rPr>
          <w:color w:val="000000"/>
          <w:spacing w:val="-4"/>
          <w:w w:val="100"/>
          <w:sz w:val="21"/>
          <w:shd w:val="clear" w:color="auto" w:fill="D9D9D9"/>
        </w:rPr>
        <w:t>胎盘、鞭、尾、筋、骨等；用中药材和中药饮片炮制的各类酒制剂等。</w:t>
      </w:r>
    </w:p>
    <w:p>
      <w:pPr>
        <w:pStyle w:val="8"/>
        <w:numPr>
          <w:ilvl w:val="2"/>
          <w:numId w:val="22"/>
        </w:numPr>
        <w:tabs>
          <w:tab w:val="left" w:pos="2803"/>
        </w:tabs>
        <w:spacing w:before="0" w:after="0" w:line="240" w:lineRule="auto"/>
        <w:ind w:left="2802" w:right="0" w:hanging="265"/>
        <w:jc w:val="left"/>
        <w:rPr>
          <w:rFonts w:ascii="Times New Roman" w:eastAsia="Times New Roman"/>
          <w:sz w:val="21"/>
        </w:rPr>
      </w:pPr>
      <w:r>
        <w:rPr>
          <w:spacing w:val="-5"/>
          <w:sz w:val="21"/>
        </w:rPr>
        <w:t>手术费</w:t>
      </w:r>
    </w:p>
    <w:p>
      <w:pPr>
        <w:pStyle w:val="4"/>
        <w:spacing w:before="43" w:line="278" w:lineRule="auto"/>
        <w:ind w:right="277"/>
        <w:jc w:val="both"/>
      </w:pPr>
      <w:r>
        <w:rPr>
          <w:spacing w:val="-2"/>
        </w:rPr>
        <w:t>指当地卫生行政部门规定的手术项目的费用。包括手术室费、麻醉费、手术监测费、手术材料费、术中用药费、手术设备费；</w:t>
      </w:r>
      <w:r>
        <w:rPr>
          <w:color w:val="000000"/>
          <w:spacing w:val="-2"/>
          <w:shd w:val="clear" w:color="auto" w:fill="D9D9D9"/>
        </w:rPr>
        <w:t>若因器官移植而发生的手术费</w:t>
      </w:r>
      <w:r>
        <w:rPr>
          <w:color w:val="000000"/>
          <w:spacing w:val="40"/>
          <w:shd w:val="clear" w:color="auto" w:fill="D9D9D9"/>
        </w:rPr>
        <w:t xml:space="preserve"> </w:t>
      </w:r>
      <w:r>
        <w:rPr>
          <w:color w:val="000000"/>
          <w:spacing w:val="-2"/>
          <w:shd w:val="clear" w:color="auto" w:fill="D9D9D9"/>
        </w:rPr>
        <w:t>用，不包括器官本身的费用和获取器官过程中的费用。</w:t>
      </w:r>
    </w:p>
    <w:p>
      <w:pPr>
        <w:pStyle w:val="8"/>
        <w:numPr>
          <w:ilvl w:val="2"/>
          <w:numId w:val="22"/>
        </w:numPr>
        <w:tabs>
          <w:tab w:val="left" w:pos="2909"/>
        </w:tabs>
        <w:spacing w:before="0" w:after="0" w:line="269" w:lineRule="exact"/>
        <w:ind w:left="2909" w:right="0" w:hanging="371"/>
        <w:jc w:val="both"/>
        <w:rPr>
          <w:rFonts w:ascii="Times New Roman" w:eastAsia="Times New Roman"/>
          <w:sz w:val="21"/>
        </w:rPr>
      </w:pPr>
      <w:r>
        <w:rPr>
          <w:spacing w:val="-4"/>
          <w:sz w:val="21"/>
        </w:rPr>
        <w:t>救护车使用费</w:t>
      </w:r>
    </w:p>
    <w:p>
      <w:pPr>
        <w:pStyle w:val="4"/>
        <w:spacing w:before="43" w:line="278" w:lineRule="auto"/>
        <w:ind w:right="282"/>
      </w:pPr>
      <w:r>
        <w:rPr>
          <w:spacing w:val="-2"/>
        </w:rPr>
        <w:t>指住院期间以抢救生命或治疗疾病为目的，根据医生建议，被保险人需医院转诊过程中的医院用车费用，且救护车的使用仅限于同一城市中的医疗运送。</w:t>
      </w:r>
    </w:p>
    <w:p>
      <w:pPr>
        <w:spacing w:after="0" w:line="278" w:lineRule="auto"/>
        <w:sectPr>
          <w:pgSz w:w="11910" w:h="16840"/>
          <w:pgMar w:top="1080" w:right="940" w:bottom="1180" w:left="920" w:header="0" w:footer="981" w:gutter="0"/>
          <w:cols w:space="720" w:num="1"/>
        </w:sectPr>
      </w:pPr>
    </w:p>
    <w:p>
      <w:pPr>
        <w:pStyle w:val="8"/>
        <w:numPr>
          <w:ilvl w:val="1"/>
          <w:numId w:val="22"/>
        </w:numPr>
        <w:tabs>
          <w:tab w:val="left" w:pos="1008"/>
        </w:tabs>
        <w:spacing w:before="57" w:after="0" w:line="278" w:lineRule="auto"/>
        <w:ind w:left="1007" w:right="0" w:hanging="795"/>
        <w:jc w:val="both"/>
        <w:rPr>
          <w:b/>
          <w:sz w:val="21"/>
        </w:rPr>
      </w:pPr>
      <w:r>
        <w:rPr>
          <w:b/>
          <w:spacing w:val="-2"/>
          <w:sz w:val="21"/>
        </w:rPr>
        <w:t>物理治疗、中医理疗及其他</w:t>
      </w:r>
      <w:r>
        <w:rPr>
          <w:b/>
          <w:spacing w:val="-4"/>
          <w:sz w:val="21"/>
        </w:rPr>
        <w:t>特殊疗法</w:t>
      </w:r>
    </w:p>
    <w:p>
      <w:pPr>
        <w:pStyle w:val="4"/>
        <w:spacing w:before="57" w:line="278" w:lineRule="auto"/>
        <w:ind w:left="212" w:right="282"/>
      </w:pPr>
      <w:r>
        <w:br w:type="column"/>
      </w:r>
      <w:r>
        <w:rPr>
          <w:spacing w:val="-2"/>
        </w:rPr>
        <w:t>物理治疗指应用人工物理因子（如光、电、磁、声等）来治疗疾病，具体疗法包括电料、光疗、磁疗、热疗等。</w:t>
      </w:r>
    </w:p>
    <w:p>
      <w:pPr>
        <w:pStyle w:val="4"/>
        <w:spacing w:line="278" w:lineRule="auto"/>
        <w:ind w:left="212" w:right="282"/>
      </w:pPr>
      <w:r>
        <w:rPr>
          <w:spacing w:val="-2"/>
        </w:rPr>
        <w:t>中医理疗指以治疗疾病为目的，被保险人接受由具有相应资格的医生实施的针灸治疗、推拿治疗、拔罐治疗或刮痧治疗。</w:t>
      </w:r>
    </w:p>
    <w:p>
      <w:pPr>
        <w:pStyle w:val="4"/>
        <w:spacing w:line="269" w:lineRule="exact"/>
        <w:ind w:left="212"/>
      </w:pPr>
      <w:r>
        <w:rPr>
          <w:spacing w:val="-3"/>
        </w:rPr>
        <w:t>其他特殊疗法包括顺势治疗、职业疗法及语音治疗。</w:t>
      </w:r>
    </w:p>
    <w:p>
      <w:pPr>
        <w:spacing w:after="0" w:line="269" w:lineRule="exact"/>
        <w:sectPr>
          <w:pgSz w:w="11910" w:h="16840"/>
          <w:pgMar w:top="1080" w:right="940" w:bottom="1180" w:left="920" w:header="0" w:footer="981" w:gutter="0"/>
          <w:cols w:equalWidth="0" w:num="2">
            <w:col w:w="2275" w:space="51"/>
            <w:col w:w="7724"/>
          </w:cols>
        </w:sectPr>
      </w:pPr>
    </w:p>
    <w:p>
      <w:pPr>
        <w:pStyle w:val="4"/>
        <w:spacing w:before="8"/>
        <w:ind w:left="0"/>
        <w:rPr>
          <w:sz w:val="14"/>
        </w:rPr>
      </w:pPr>
    </w:p>
    <w:p>
      <w:pPr>
        <w:pStyle w:val="8"/>
        <w:numPr>
          <w:ilvl w:val="1"/>
          <w:numId w:val="22"/>
        </w:numPr>
        <w:tabs>
          <w:tab w:val="left" w:pos="1007"/>
          <w:tab w:val="left" w:pos="1008"/>
        </w:tabs>
        <w:spacing w:before="79" w:after="0" w:line="240" w:lineRule="auto"/>
        <w:ind w:left="1007" w:right="0" w:hanging="796"/>
        <w:jc w:val="left"/>
        <w:rPr>
          <w:sz w:val="21"/>
        </w:rPr>
      </w:pPr>
      <w:r>
        <w:rPr>
          <w:b/>
          <w:spacing w:val="20"/>
          <w:sz w:val="21"/>
        </w:rPr>
        <w:t xml:space="preserve">恶性肿瘤治疗 </w:t>
      </w:r>
      <w:r>
        <w:rPr>
          <w:spacing w:val="-6"/>
          <w:sz w:val="21"/>
        </w:rPr>
        <w:t xml:space="preserve">恶性肿瘤释义请见 </w:t>
      </w:r>
      <w:r>
        <w:rPr>
          <w:rFonts w:ascii="Times New Roman" w:eastAsia="Times New Roman"/>
          <w:sz w:val="21"/>
        </w:rPr>
        <w:t>8.1</w:t>
      </w:r>
      <w:r>
        <w:rPr>
          <w:spacing w:val="-10"/>
          <w:sz w:val="21"/>
        </w:rPr>
        <w:t>。</w:t>
      </w:r>
    </w:p>
    <w:p>
      <w:pPr>
        <w:spacing w:before="43"/>
        <w:ind w:left="2538" w:right="0" w:firstLine="0"/>
        <w:jc w:val="left"/>
        <w:rPr>
          <w:sz w:val="21"/>
        </w:rPr>
      </w:pPr>
      <w:r>
        <w:rPr>
          <w:spacing w:val="-10"/>
          <w:sz w:val="21"/>
        </w:rPr>
        <w:t>恶性肿瘤治疗包括</w:t>
      </w:r>
      <w:r>
        <w:rPr>
          <w:b/>
          <w:spacing w:val="-10"/>
          <w:sz w:val="21"/>
        </w:rPr>
        <w:t>化学疗法</w:t>
      </w:r>
      <w:r>
        <w:rPr>
          <w:spacing w:val="-10"/>
          <w:sz w:val="21"/>
        </w:rPr>
        <w:t>（</w:t>
      </w:r>
      <w:r>
        <w:rPr>
          <w:spacing w:val="-28"/>
          <w:sz w:val="21"/>
        </w:rPr>
        <w:t xml:space="preserve">见 </w:t>
      </w:r>
      <w:r>
        <w:rPr>
          <w:rFonts w:ascii="Times New Roman" w:eastAsia="Times New Roman"/>
          <w:spacing w:val="11"/>
          <w:sz w:val="21"/>
        </w:rPr>
        <w:t>9.1</w:t>
      </w:r>
      <w:r>
        <w:rPr>
          <w:rFonts w:ascii="Times New Roman" w:eastAsia="Times New Roman"/>
          <w:spacing w:val="8"/>
          <w:sz w:val="21"/>
        </w:rPr>
        <w:t>2</w:t>
      </w:r>
      <w:r>
        <w:rPr>
          <w:spacing w:val="-95"/>
          <w:sz w:val="21"/>
        </w:rPr>
        <w:t>）</w:t>
      </w:r>
      <w:r>
        <w:rPr>
          <w:spacing w:val="-10"/>
          <w:sz w:val="21"/>
        </w:rPr>
        <w:t>、</w:t>
      </w:r>
      <w:r>
        <w:rPr>
          <w:b/>
          <w:spacing w:val="-10"/>
          <w:sz w:val="21"/>
        </w:rPr>
        <w:t>放射疗法</w:t>
      </w:r>
      <w:r>
        <w:rPr>
          <w:spacing w:val="-10"/>
          <w:sz w:val="21"/>
        </w:rPr>
        <w:t>（</w:t>
      </w:r>
      <w:r>
        <w:rPr>
          <w:spacing w:val="-27"/>
          <w:sz w:val="21"/>
        </w:rPr>
        <w:t xml:space="preserve">见 </w:t>
      </w:r>
      <w:r>
        <w:rPr>
          <w:rFonts w:ascii="Times New Roman" w:eastAsia="Times New Roman"/>
          <w:spacing w:val="11"/>
          <w:sz w:val="21"/>
        </w:rPr>
        <w:t>9.1</w:t>
      </w:r>
      <w:r>
        <w:rPr>
          <w:rFonts w:ascii="Times New Roman" w:eastAsia="Times New Roman"/>
          <w:spacing w:val="8"/>
          <w:sz w:val="21"/>
        </w:rPr>
        <w:t>3</w:t>
      </w:r>
      <w:r>
        <w:rPr>
          <w:spacing w:val="-95"/>
          <w:sz w:val="21"/>
        </w:rPr>
        <w:t>）</w:t>
      </w:r>
      <w:r>
        <w:rPr>
          <w:spacing w:val="-10"/>
          <w:sz w:val="21"/>
        </w:rPr>
        <w:t>、</w:t>
      </w:r>
      <w:r>
        <w:rPr>
          <w:b/>
          <w:spacing w:val="-10"/>
          <w:sz w:val="21"/>
        </w:rPr>
        <w:t>肿瘤免疫疗法</w:t>
      </w:r>
      <w:r>
        <w:rPr>
          <w:spacing w:val="-10"/>
          <w:sz w:val="21"/>
        </w:rPr>
        <w:t>（见</w:t>
      </w:r>
    </w:p>
    <w:p>
      <w:pPr>
        <w:spacing w:before="43"/>
        <w:ind w:left="2538" w:right="0" w:firstLine="0"/>
        <w:jc w:val="left"/>
        <w:rPr>
          <w:sz w:val="21"/>
        </w:rPr>
      </w:pPr>
      <w:r>
        <w:rPr>
          <w:rFonts w:ascii="Times New Roman" w:eastAsia="Times New Roman"/>
          <w:spacing w:val="-2"/>
          <w:sz w:val="21"/>
        </w:rPr>
        <w:t>9.14</w:t>
      </w:r>
      <w:r>
        <w:rPr>
          <w:spacing w:val="-2"/>
          <w:sz w:val="21"/>
        </w:rPr>
        <w:t>）、</w:t>
      </w:r>
      <w:r>
        <w:rPr>
          <w:b/>
          <w:spacing w:val="-2"/>
          <w:sz w:val="21"/>
        </w:rPr>
        <w:t>肿瘤内分泌疗法</w:t>
      </w:r>
      <w:r>
        <w:rPr>
          <w:spacing w:val="-2"/>
          <w:sz w:val="21"/>
        </w:rPr>
        <w:t>（</w:t>
      </w:r>
      <w:r>
        <w:rPr>
          <w:rFonts w:ascii="Times New Roman" w:eastAsia="Times New Roman"/>
          <w:spacing w:val="-2"/>
          <w:sz w:val="21"/>
        </w:rPr>
        <w:t>9.15</w:t>
      </w:r>
      <w:r>
        <w:rPr>
          <w:spacing w:val="-2"/>
          <w:sz w:val="21"/>
        </w:rPr>
        <w:t>）、</w:t>
      </w:r>
      <w:r>
        <w:rPr>
          <w:b/>
          <w:spacing w:val="-2"/>
          <w:sz w:val="21"/>
        </w:rPr>
        <w:t>肿瘤靶向疗法</w:t>
      </w:r>
      <w:r>
        <w:rPr>
          <w:spacing w:val="-2"/>
          <w:sz w:val="21"/>
        </w:rPr>
        <w:t>（</w:t>
      </w:r>
      <w:r>
        <w:rPr>
          <w:rFonts w:ascii="Times New Roman" w:eastAsia="Times New Roman"/>
          <w:spacing w:val="-2"/>
          <w:sz w:val="21"/>
        </w:rPr>
        <w:t>9.16</w:t>
      </w:r>
      <w:r>
        <w:rPr>
          <w:spacing w:val="-2"/>
          <w:sz w:val="21"/>
        </w:rPr>
        <w:t>）</w:t>
      </w:r>
      <w:r>
        <w:rPr>
          <w:spacing w:val="-10"/>
          <w:sz w:val="21"/>
        </w:rPr>
        <w:t>。</w:t>
      </w:r>
    </w:p>
    <w:p>
      <w:pPr>
        <w:pStyle w:val="4"/>
        <w:spacing w:before="8"/>
        <w:ind w:left="0"/>
        <w:rPr>
          <w:sz w:val="16"/>
        </w:rPr>
      </w:pPr>
    </w:p>
    <w:p>
      <w:pPr>
        <w:pStyle w:val="8"/>
        <w:numPr>
          <w:ilvl w:val="1"/>
          <w:numId w:val="22"/>
        </w:numPr>
        <w:tabs>
          <w:tab w:val="left" w:pos="1008"/>
        </w:tabs>
        <w:spacing w:before="0" w:after="0" w:line="278" w:lineRule="auto"/>
        <w:ind w:left="2538" w:right="282" w:hanging="2326"/>
        <w:jc w:val="both"/>
        <w:rPr>
          <w:sz w:val="21"/>
        </w:rPr>
      </w:pPr>
      <w:r>
        <w:rPr>
          <w:b/>
          <w:sz w:val="21"/>
        </w:rPr>
        <w:t>化学疗法</w:t>
      </w:r>
      <w:r>
        <w:rPr>
          <w:b/>
          <w:spacing w:val="80"/>
          <w:w w:val="150"/>
          <w:sz w:val="21"/>
        </w:rPr>
        <w:t xml:space="preserve">   </w:t>
      </w:r>
      <w:r>
        <w:rPr>
          <w:sz w:val="21"/>
        </w:rPr>
        <w:t>指针对于恶性肿瘤的化学治疗。化疗是使用医学界公认的化疗药物以杀死癌细</w:t>
      </w:r>
      <w:r>
        <w:rPr>
          <w:spacing w:val="-2"/>
          <w:sz w:val="21"/>
        </w:rPr>
        <w:t>胞、抑制癌细胞生长繁殖为目的而进行的治疗。本合同所指的化疗为被保险人根据医嘱，在医院进行的静脉注射化疗。</w:t>
      </w:r>
    </w:p>
    <w:p>
      <w:pPr>
        <w:pStyle w:val="8"/>
        <w:numPr>
          <w:ilvl w:val="1"/>
          <w:numId w:val="22"/>
        </w:numPr>
        <w:tabs>
          <w:tab w:val="left" w:pos="1008"/>
        </w:tabs>
        <w:spacing w:before="171" w:after="0" w:line="278" w:lineRule="auto"/>
        <w:ind w:left="2538" w:right="282" w:hanging="2326"/>
        <w:jc w:val="both"/>
        <w:rPr>
          <w:sz w:val="21"/>
        </w:rPr>
      </w:pPr>
      <w:r>
        <w:rPr>
          <w:b/>
          <w:sz w:val="21"/>
        </w:rPr>
        <w:t>放射疗法</w:t>
      </w:r>
      <w:r>
        <w:rPr>
          <w:b/>
          <w:spacing w:val="80"/>
          <w:w w:val="150"/>
          <w:sz w:val="21"/>
        </w:rPr>
        <w:t xml:space="preserve">   </w:t>
      </w:r>
      <w:r>
        <w:rPr>
          <w:sz w:val="21"/>
        </w:rPr>
        <w:t>指针对恶性肿瘤的放射治疗。放疗是使用各种不同能量的射线照射肿瘤组织，</w:t>
      </w:r>
      <w:r>
        <w:rPr>
          <w:spacing w:val="-2"/>
          <w:sz w:val="21"/>
        </w:rPr>
        <w:t>以抑制和杀灭癌细胞为目的而进行的治疗。本合同所指的放疗为被保险人根据医嘱，在医院的专门科室进行的放疗。</w:t>
      </w:r>
    </w:p>
    <w:p>
      <w:pPr>
        <w:pStyle w:val="8"/>
        <w:numPr>
          <w:ilvl w:val="1"/>
          <w:numId w:val="22"/>
        </w:numPr>
        <w:tabs>
          <w:tab w:val="left" w:pos="1008"/>
        </w:tabs>
        <w:spacing w:before="167" w:after="0" w:line="278" w:lineRule="auto"/>
        <w:ind w:left="2538" w:right="282" w:hanging="2326"/>
        <w:jc w:val="both"/>
        <w:rPr>
          <w:sz w:val="21"/>
        </w:rPr>
      </w:pPr>
      <w:r>
        <w:rPr>
          <w:b/>
          <w:spacing w:val="11"/>
          <w:sz w:val="21"/>
        </w:rPr>
        <w:t xml:space="preserve">肿瘤免疫疗法 </w:t>
      </w:r>
      <w:r>
        <w:rPr>
          <w:sz w:val="21"/>
        </w:rPr>
        <w:t>指应用免疫学原理和方法，使用肿瘤免疫治疗药物提高肿瘤细胞的免疫原性和</w:t>
      </w:r>
      <w:r>
        <w:rPr>
          <w:spacing w:val="-2"/>
          <w:sz w:val="21"/>
        </w:rPr>
        <w:t>对效应细胞杀伤的敏感性，激发和增强机体抗肿瘤免疫应答，并应用免疫细胞和效应分子输注宿主体内，协同机体免疫系统杀伤肿瘤、抑制肿瘤生长。本合同所指的肿瘤免疫治疗药物需符合法律、法规要求并经过国家食品药品监督管理总局批准用于临床治疗。</w:t>
      </w:r>
    </w:p>
    <w:p>
      <w:pPr>
        <w:spacing w:after="0" w:line="278" w:lineRule="auto"/>
        <w:jc w:val="both"/>
        <w:rPr>
          <w:sz w:val="21"/>
        </w:rPr>
        <w:sectPr>
          <w:type w:val="continuous"/>
          <w:pgSz w:w="11910" w:h="16840"/>
          <w:pgMar w:top="1100" w:right="940" w:bottom="1180" w:left="920" w:header="0" w:footer="981" w:gutter="0"/>
          <w:cols w:space="720" w:num="1"/>
        </w:sectPr>
      </w:pPr>
    </w:p>
    <w:p>
      <w:pPr>
        <w:pStyle w:val="8"/>
        <w:numPr>
          <w:ilvl w:val="1"/>
          <w:numId w:val="22"/>
        </w:numPr>
        <w:tabs>
          <w:tab w:val="left" w:pos="1007"/>
          <w:tab w:val="left" w:pos="1008"/>
        </w:tabs>
        <w:spacing w:before="171" w:after="0" w:line="278" w:lineRule="auto"/>
        <w:ind w:left="1007" w:right="0" w:hanging="795"/>
        <w:jc w:val="left"/>
        <w:rPr>
          <w:b/>
          <w:sz w:val="21"/>
        </w:rPr>
      </w:pPr>
      <w:r>
        <w:rPr>
          <w:b/>
          <w:spacing w:val="-2"/>
          <w:sz w:val="21"/>
        </w:rPr>
        <w:t>肿瘤内分泌疗</w:t>
      </w:r>
      <w:r>
        <w:rPr>
          <w:b/>
          <w:spacing w:val="-10"/>
          <w:sz w:val="21"/>
        </w:rPr>
        <w:t>法</w:t>
      </w:r>
    </w:p>
    <w:p>
      <w:pPr>
        <w:pStyle w:val="4"/>
        <w:spacing w:before="171" w:line="278" w:lineRule="auto"/>
        <w:ind w:left="212" w:right="282"/>
        <w:jc w:val="both"/>
      </w:pPr>
      <w:r>
        <w:br w:type="column"/>
      </w:r>
      <w:r>
        <w:rPr>
          <w:spacing w:val="-2"/>
        </w:rPr>
        <w:t>指针对于恶性肿瘤的内分泌疗法，用药物抑制激素生成和激素反应，杀死癌细胞或抑制癌细胞的生长。本合同所指的内分泌治疗药物需符合法律、法规要求并经过国家食品药品监督管理总局批准用于临床治疗。</w:t>
      </w:r>
    </w:p>
    <w:p>
      <w:pPr>
        <w:spacing w:after="0" w:line="278" w:lineRule="auto"/>
        <w:jc w:val="both"/>
        <w:sectPr>
          <w:type w:val="continuous"/>
          <w:pgSz w:w="11910" w:h="16840"/>
          <w:pgMar w:top="1100" w:right="940" w:bottom="1180" w:left="920" w:header="0" w:footer="981" w:gutter="0"/>
          <w:cols w:equalWidth="0" w:num="2">
            <w:col w:w="2275" w:space="51"/>
            <w:col w:w="7724"/>
          </w:cols>
        </w:sectPr>
      </w:pPr>
    </w:p>
    <w:p>
      <w:pPr>
        <w:pStyle w:val="8"/>
        <w:numPr>
          <w:ilvl w:val="1"/>
          <w:numId w:val="22"/>
        </w:numPr>
        <w:tabs>
          <w:tab w:val="left" w:pos="1008"/>
        </w:tabs>
        <w:spacing w:before="170" w:after="0" w:line="278" w:lineRule="auto"/>
        <w:ind w:left="2538" w:right="282" w:hanging="2326"/>
        <w:jc w:val="both"/>
        <w:rPr>
          <w:sz w:val="21"/>
        </w:rPr>
      </w:pPr>
      <w:r>
        <w:rPr>
          <w:b/>
          <w:spacing w:val="11"/>
          <w:sz w:val="21"/>
        </w:rPr>
        <w:t xml:space="preserve">肿瘤靶向疗法 </w:t>
      </w:r>
      <w:r>
        <w:rPr>
          <w:sz w:val="21"/>
        </w:rPr>
        <w:t>指在细胞分子水平上，针对已经明确的致癌点来设计相应的靶向治疗药物，利</w:t>
      </w:r>
      <w:r>
        <w:rPr>
          <w:spacing w:val="-2"/>
          <w:sz w:val="21"/>
        </w:rPr>
        <w:t>用具有一定特异性的载体，将药物或其他杀伤肿瘤细胞的活性物质选择性地运送到肿瘤部位攻击癌细胞的疗法。本合同所指的靶向治疗药物需符合法律、法规要求并经过国家食品药品监督管理总局批准用于临床治疗。</w:t>
      </w:r>
    </w:p>
    <w:p>
      <w:pPr>
        <w:spacing w:after="0" w:line="278" w:lineRule="auto"/>
        <w:jc w:val="both"/>
        <w:rPr>
          <w:sz w:val="21"/>
        </w:rPr>
        <w:sectPr>
          <w:type w:val="continuous"/>
          <w:pgSz w:w="11910" w:h="16840"/>
          <w:pgMar w:top="1100" w:right="940" w:bottom="1180" w:left="920" w:header="0" w:footer="981" w:gutter="0"/>
          <w:cols w:space="720" w:num="1"/>
        </w:sectPr>
      </w:pPr>
    </w:p>
    <w:p>
      <w:pPr>
        <w:pStyle w:val="8"/>
        <w:numPr>
          <w:ilvl w:val="1"/>
          <w:numId w:val="22"/>
        </w:numPr>
        <w:tabs>
          <w:tab w:val="left" w:pos="1007"/>
          <w:tab w:val="left" w:pos="1008"/>
        </w:tabs>
        <w:spacing w:before="170" w:after="0" w:line="278" w:lineRule="auto"/>
        <w:ind w:left="1007" w:right="0" w:hanging="795"/>
        <w:jc w:val="left"/>
        <w:rPr>
          <w:b/>
          <w:sz w:val="21"/>
        </w:rPr>
      </w:pPr>
      <w:r>
        <w:rPr>
          <w:b/>
          <w:spacing w:val="-2"/>
          <w:sz w:val="21"/>
        </w:rPr>
        <w:t>住院前后门诊</w:t>
      </w:r>
      <w:r>
        <w:rPr>
          <w:b/>
          <w:spacing w:val="-6"/>
          <w:sz w:val="21"/>
        </w:rPr>
        <w:t>急诊</w:t>
      </w:r>
    </w:p>
    <w:p>
      <w:pPr>
        <w:pStyle w:val="4"/>
        <w:spacing w:before="170" w:line="278" w:lineRule="auto"/>
        <w:ind w:left="212" w:right="169"/>
      </w:pPr>
      <w:r>
        <w:br w:type="column"/>
      </w:r>
      <w:r>
        <w:rPr>
          <w:spacing w:val="-6"/>
        </w:rPr>
        <w:t xml:space="preserve">指被保险人在住院前后各 </w:t>
      </w:r>
      <w:r>
        <w:rPr>
          <w:rFonts w:ascii="Times New Roman" w:eastAsia="Times New Roman"/>
          <w:spacing w:val="-2"/>
        </w:rPr>
        <w:t xml:space="preserve">7 </w:t>
      </w:r>
      <w:r>
        <w:rPr>
          <w:spacing w:val="-2"/>
        </w:rPr>
        <w:t>日内，与该次住院相同原因而发生的门诊急诊治疗，</w:t>
      </w:r>
      <w:r>
        <w:rPr>
          <w:color w:val="000000"/>
          <w:spacing w:val="-2"/>
          <w:shd w:val="clear" w:color="auto" w:fill="D9D9D9"/>
        </w:rPr>
        <w:t>不包括门诊恶性肿瘤治疗、门诊肾透析、器官移植后的门诊抗排异治疗和门诊</w:t>
      </w:r>
      <w:r>
        <w:rPr>
          <w:color w:val="000000"/>
          <w:spacing w:val="80"/>
          <w:w w:val="150"/>
          <w:shd w:val="clear" w:color="auto" w:fill="D9D9D9"/>
        </w:rPr>
        <w:t xml:space="preserve">                                        </w:t>
      </w:r>
      <w:r>
        <w:rPr>
          <w:color w:val="000000"/>
          <w:spacing w:val="-2"/>
          <w:shd w:val="clear" w:color="auto" w:fill="D9D9D9"/>
        </w:rPr>
        <w:t>手术及因该门诊急诊发生的救护车使用费用。</w:t>
      </w:r>
    </w:p>
    <w:p>
      <w:pPr>
        <w:spacing w:after="0" w:line="278" w:lineRule="auto"/>
        <w:sectPr>
          <w:type w:val="continuous"/>
          <w:pgSz w:w="11910" w:h="16840"/>
          <w:pgMar w:top="1100" w:right="940" w:bottom="1180" w:left="920" w:header="0" w:footer="981" w:gutter="0"/>
          <w:cols w:equalWidth="0" w:num="2">
            <w:col w:w="2275" w:space="51"/>
            <w:col w:w="7724"/>
          </w:cols>
        </w:sectPr>
      </w:pPr>
    </w:p>
    <w:p>
      <w:pPr>
        <w:pStyle w:val="8"/>
        <w:numPr>
          <w:ilvl w:val="1"/>
          <w:numId w:val="22"/>
        </w:numPr>
        <w:tabs>
          <w:tab w:val="left" w:pos="1008"/>
        </w:tabs>
        <w:spacing w:before="170" w:after="0" w:line="278" w:lineRule="auto"/>
        <w:ind w:left="2538" w:right="279" w:hanging="2326"/>
        <w:jc w:val="both"/>
        <w:rPr>
          <w:sz w:val="21"/>
        </w:rPr>
      </w:pPr>
      <w:r>
        <w:rPr>
          <w:b/>
          <w:spacing w:val="11"/>
          <w:sz w:val="21"/>
        </w:rPr>
        <w:t xml:space="preserve">社会医疗保险 </w:t>
      </w:r>
      <w:r>
        <w:rPr>
          <w:sz w:val="21"/>
        </w:rPr>
        <w:t>指职工基本医疗保险、新型农村合作医疗和城镇居民基本医疗保险等政府举办</w:t>
      </w:r>
      <w:r>
        <w:rPr>
          <w:spacing w:val="-2"/>
          <w:sz w:val="21"/>
        </w:rPr>
        <w:t>的基本医疗保险项目。</w:t>
      </w:r>
    </w:p>
    <w:p>
      <w:pPr>
        <w:pStyle w:val="8"/>
        <w:numPr>
          <w:ilvl w:val="1"/>
          <w:numId w:val="22"/>
        </w:numPr>
        <w:tabs>
          <w:tab w:val="left" w:pos="1007"/>
          <w:tab w:val="left" w:pos="1008"/>
          <w:tab w:val="left" w:pos="2538"/>
        </w:tabs>
        <w:spacing w:before="170" w:after="0" w:line="240" w:lineRule="auto"/>
        <w:ind w:left="1007" w:right="0" w:hanging="796"/>
        <w:jc w:val="left"/>
        <w:rPr>
          <w:sz w:val="21"/>
        </w:rPr>
      </w:pPr>
      <w:r>
        <w:rPr>
          <w:b/>
          <w:sz w:val="21"/>
        </w:rPr>
        <w:t>醉</w:t>
      </w:r>
      <w:r>
        <w:rPr>
          <w:b/>
          <w:spacing w:val="-10"/>
          <w:sz w:val="21"/>
        </w:rPr>
        <w:t>酒</w:t>
      </w:r>
      <w:r>
        <w:rPr>
          <w:b/>
          <w:sz w:val="21"/>
        </w:rPr>
        <w:tab/>
      </w:r>
      <w:r>
        <w:rPr>
          <w:spacing w:val="-2"/>
          <w:sz w:val="21"/>
        </w:rPr>
        <w:t>指每百毫升血液的酒精含量大于或等于</w:t>
      </w:r>
      <w:r>
        <w:rPr>
          <w:spacing w:val="-46"/>
          <w:sz w:val="21"/>
        </w:rPr>
        <w:t xml:space="preserve"> </w:t>
      </w:r>
      <w:r>
        <w:rPr>
          <w:rFonts w:ascii="Times New Roman" w:eastAsia="Times New Roman"/>
          <w:spacing w:val="-2"/>
          <w:sz w:val="21"/>
        </w:rPr>
        <w:t>100</w:t>
      </w:r>
      <w:r>
        <w:rPr>
          <w:rFonts w:ascii="Times New Roman" w:eastAsia="Times New Roman"/>
          <w:spacing w:val="9"/>
          <w:sz w:val="21"/>
        </w:rPr>
        <w:t xml:space="preserve"> </w:t>
      </w:r>
      <w:r>
        <w:rPr>
          <w:spacing w:val="-2"/>
          <w:sz w:val="21"/>
        </w:rPr>
        <w:t>毫克</w:t>
      </w:r>
      <w:r>
        <w:rPr>
          <w:spacing w:val="-10"/>
          <w:sz w:val="21"/>
        </w:rPr>
        <w:t>。</w:t>
      </w:r>
    </w:p>
    <w:p>
      <w:pPr>
        <w:pStyle w:val="4"/>
        <w:spacing w:before="8"/>
        <w:ind w:left="0"/>
        <w:rPr>
          <w:sz w:val="28"/>
        </w:rPr>
      </w:pPr>
    </w:p>
    <w:p>
      <w:pPr>
        <w:pStyle w:val="8"/>
        <w:numPr>
          <w:ilvl w:val="1"/>
          <w:numId w:val="22"/>
        </w:numPr>
        <w:tabs>
          <w:tab w:val="left" w:pos="1008"/>
        </w:tabs>
        <w:spacing w:before="1" w:after="0" w:line="278" w:lineRule="auto"/>
        <w:ind w:left="2538" w:right="256" w:hanging="2326"/>
        <w:jc w:val="both"/>
        <w:rPr>
          <w:sz w:val="21"/>
        </w:rPr>
      </w:pPr>
      <w:r>
        <w:rPr>
          <w:b/>
          <w:sz w:val="21"/>
        </w:rPr>
        <w:t>毒品</w:t>
      </w:r>
      <w:r>
        <w:rPr>
          <w:b/>
          <w:spacing w:val="976"/>
          <w:sz w:val="21"/>
        </w:rPr>
        <w:t xml:space="preserve"> </w:t>
      </w:r>
      <w:r>
        <w:rPr>
          <w:sz w:val="21"/>
        </w:rPr>
        <w:t>指《中华人民共和国刑法》规定的鸦片、海洛因、甲基苯丙胺（冰毒</w:t>
      </w:r>
      <w:r>
        <w:rPr>
          <w:spacing w:val="-108"/>
          <w:sz w:val="21"/>
        </w:rPr>
        <w:t>）</w:t>
      </w:r>
      <w:r>
        <w:rPr>
          <w:sz w:val="21"/>
        </w:rPr>
        <w:t>、吗啡、</w:t>
      </w:r>
      <w:r>
        <w:rPr>
          <w:spacing w:val="-2"/>
          <w:sz w:val="21"/>
        </w:rPr>
        <w:t>大麻、可卡因以及国家规定管制的其他能够使人形成瘾癖的麻醉药品和精神药品，但不包括由医生开具并遵医嘱使用的用于治疗疾病但含有毒品成分的处方</w:t>
      </w:r>
      <w:r>
        <w:rPr>
          <w:spacing w:val="-4"/>
          <w:sz w:val="21"/>
        </w:rPr>
        <w:t>药品。</w:t>
      </w:r>
    </w:p>
    <w:p>
      <w:pPr>
        <w:pStyle w:val="8"/>
        <w:numPr>
          <w:ilvl w:val="1"/>
          <w:numId w:val="22"/>
        </w:numPr>
        <w:tabs>
          <w:tab w:val="left" w:pos="1008"/>
        </w:tabs>
        <w:spacing w:before="170" w:after="0" w:line="278" w:lineRule="auto"/>
        <w:ind w:left="2538" w:right="282" w:hanging="2326"/>
        <w:jc w:val="both"/>
        <w:rPr>
          <w:sz w:val="21"/>
        </w:rPr>
      </w:pPr>
      <w:r>
        <w:rPr>
          <w:b/>
          <w:sz w:val="21"/>
        </w:rPr>
        <w:t>酒后驾驶</w:t>
      </w:r>
      <w:r>
        <w:rPr>
          <w:b/>
          <w:spacing w:val="80"/>
          <w:w w:val="150"/>
          <w:sz w:val="21"/>
        </w:rPr>
        <w:t xml:space="preserve">   </w:t>
      </w:r>
      <w:r>
        <w:rPr>
          <w:sz w:val="21"/>
        </w:rPr>
        <w:t>指经检测或鉴定，发生事故时车辆驾驶人员每百毫升血液中的酒精含量达到或</w:t>
      </w:r>
      <w:r>
        <w:rPr>
          <w:spacing w:val="-2"/>
          <w:sz w:val="21"/>
        </w:rPr>
        <w:t>超过一定的标准，公安机关交通管理部门依据《中华人民共和国道路交通安全法》的规定认定为饮酒后驾驶或醉酒后驾驶。</w:t>
      </w:r>
    </w:p>
    <w:p>
      <w:pPr>
        <w:spacing w:after="0" w:line="278" w:lineRule="auto"/>
        <w:jc w:val="both"/>
        <w:rPr>
          <w:sz w:val="21"/>
        </w:rPr>
        <w:sectPr>
          <w:type w:val="continuous"/>
          <w:pgSz w:w="11910" w:h="16840"/>
          <w:pgMar w:top="1100" w:right="940" w:bottom="1180" w:left="920" w:header="0" w:footer="981" w:gutter="0"/>
          <w:cols w:space="720" w:num="1"/>
        </w:sect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2"/>
        <w:gridCol w:w="1611"/>
        <w:gridCol w:w="75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10" w:hRule="atLeast"/>
        </w:trPr>
        <w:tc>
          <w:tcPr>
            <w:tcW w:w="632" w:type="dxa"/>
          </w:tcPr>
          <w:p>
            <w:pPr>
              <w:pStyle w:val="9"/>
              <w:spacing w:line="234" w:lineRule="exact"/>
              <w:ind w:left="50"/>
              <w:rPr>
                <w:rFonts w:ascii="Times New Roman"/>
                <w:b/>
                <w:sz w:val="21"/>
              </w:rPr>
            </w:pPr>
            <w:r>
              <w:rPr>
                <w:rFonts w:ascii="Times New Roman"/>
                <w:b/>
                <w:spacing w:val="-4"/>
                <w:sz w:val="21"/>
              </w:rPr>
              <w:t>9.22</w:t>
            </w:r>
          </w:p>
        </w:tc>
        <w:tc>
          <w:tcPr>
            <w:tcW w:w="1611" w:type="dxa"/>
          </w:tcPr>
          <w:p>
            <w:pPr>
              <w:pStyle w:val="9"/>
              <w:spacing w:line="247" w:lineRule="exact"/>
              <w:ind w:left="212"/>
              <w:rPr>
                <w:b/>
                <w:sz w:val="21"/>
              </w:rPr>
            </w:pPr>
            <w:r>
              <w:rPr>
                <w:b/>
                <w:spacing w:val="-2"/>
                <w:sz w:val="21"/>
              </w:rPr>
              <w:t>无合法有效驾</w:t>
            </w:r>
          </w:p>
          <w:p>
            <w:pPr>
              <w:pStyle w:val="9"/>
              <w:spacing w:before="43"/>
              <w:ind w:left="212"/>
              <w:rPr>
                <w:b/>
                <w:sz w:val="21"/>
              </w:rPr>
            </w:pPr>
            <w:r>
              <w:rPr>
                <w:b/>
                <w:spacing w:val="-3"/>
                <w:sz w:val="21"/>
              </w:rPr>
              <w:t>驶证驾驶</w:t>
            </w:r>
          </w:p>
        </w:tc>
        <w:tc>
          <w:tcPr>
            <w:tcW w:w="7517" w:type="dxa"/>
          </w:tcPr>
          <w:p>
            <w:pPr>
              <w:pStyle w:val="9"/>
              <w:spacing w:line="247" w:lineRule="exact"/>
              <w:ind w:left="132"/>
              <w:rPr>
                <w:sz w:val="21"/>
              </w:rPr>
            </w:pPr>
            <w:r>
              <w:rPr>
                <w:spacing w:val="-4"/>
                <w:sz w:val="21"/>
              </w:rPr>
              <w:t>指下列情形之一：</w:t>
            </w:r>
          </w:p>
          <w:p>
            <w:pPr>
              <w:pStyle w:val="9"/>
              <w:numPr>
                <w:ilvl w:val="0"/>
                <w:numId w:val="26"/>
              </w:numPr>
              <w:tabs>
                <w:tab w:val="left" w:pos="397"/>
              </w:tabs>
              <w:spacing w:before="43" w:after="0" w:line="240" w:lineRule="auto"/>
              <w:ind w:left="397" w:right="0" w:hanging="265"/>
              <w:jc w:val="left"/>
              <w:rPr>
                <w:sz w:val="21"/>
              </w:rPr>
            </w:pPr>
            <w:r>
              <w:rPr>
                <w:spacing w:val="-3"/>
                <w:sz w:val="21"/>
              </w:rPr>
              <w:t>没有取得驾驶资格；</w:t>
            </w:r>
          </w:p>
          <w:p>
            <w:pPr>
              <w:pStyle w:val="9"/>
              <w:numPr>
                <w:ilvl w:val="0"/>
                <w:numId w:val="26"/>
              </w:numPr>
              <w:tabs>
                <w:tab w:val="left" w:pos="397"/>
              </w:tabs>
              <w:spacing w:before="43" w:after="0" w:line="240" w:lineRule="auto"/>
              <w:ind w:left="397" w:right="0" w:hanging="265"/>
              <w:jc w:val="left"/>
              <w:rPr>
                <w:sz w:val="21"/>
              </w:rPr>
            </w:pPr>
            <w:r>
              <w:rPr>
                <w:spacing w:val="-3"/>
                <w:sz w:val="21"/>
              </w:rPr>
              <w:t>驾驶与驾驶证准驾车型不相符合的车辆；</w:t>
            </w:r>
          </w:p>
          <w:p>
            <w:pPr>
              <w:pStyle w:val="9"/>
              <w:numPr>
                <w:ilvl w:val="0"/>
                <w:numId w:val="26"/>
              </w:numPr>
              <w:tabs>
                <w:tab w:val="left" w:pos="397"/>
              </w:tabs>
              <w:spacing w:before="43" w:after="0" w:line="240" w:lineRule="auto"/>
              <w:ind w:left="397" w:right="0" w:hanging="265"/>
              <w:jc w:val="left"/>
              <w:rPr>
                <w:sz w:val="21"/>
              </w:rPr>
            </w:pPr>
            <w:r>
              <w:rPr>
                <w:spacing w:val="-3"/>
                <w:sz w:val="21"/>
              </w:rPr>
              <w:t>持审验不合格的驾驶证驾驶；</w:t>
            </w:r>
          </w:p>
          <w:p>
            <w:pPr>
              <w:pStyle w:val="9"/>
              <w:numPr>
                <w:ilvl w:val="0"/>
                <w:numId w:val="26"/>
              </w:numPr>
              <w:tabs>
                <w:tab w:val="left" w:pos="397"/>
              </w:tabs>
              <w:spacing w:before="43" w:after="0" w:line="278" w:lineRule="auto"/>
              <w:ind w:left="132" w:right="155" w:firstLine="0"/>
              <w:jc w:val="left"/>
              <w:rPr>
                <w:sz w:val="21"/>
              </w:rPr>
            </w:pPr>
            <w:r>
              <w:rPr>
                <w:spacing w:val="-2"/>
                <w:sz w:val="21"/>
              </w:rPr>
              <w:t>持学习驾驶证学习驾车时，无教练员随车指导，或不按指定时间、路线学习</w:t>
            </w:r>
            <w:r>
              <w:rPr>
                <w:spacing w:val="-4"/>
                <w:sz w:val="21"/>
              </w:rPr>
              <w:t>驾车。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14" w:hRule="atLeast"/>
        </w:trPr>
        <w:tc>
          <w:tcPr>
            <w:tcW w:w="632" w:type="dxa"/>
          </w:tcPr>
          <w:p>
            <w:pPr>
              <w:pStyle w:val="9"/>
              <w:spacing w:before="124"/>
              <w:ind w:left="50"/>
              <w:rPr>
                <w:rFonts w:ascii="Times New Roman"/>
                <w:b/>
                <w:sz w:val="21"/>
              </w:rPr>
            </w:pPr>
            <w:r>
              <w:rPr>
                <w:rFonts w:ascii="Times New Roman"/>
                <w:b/>
                <w:spacing w:val="-4"/>
                <w:sz w:val="21"/>
              </w:rPr>
              <w:t>9.23</w:t>
            </w:r>
          </w:p>
        </w:tc>
        <w:tc>
          <w:tcPr>
            <w:tcW w:w="1611" w:type="dxa"/>
          </w:tcPr>
          <w:p>
            <w:pPr>
              <w:pStyle w:val="9"/>
              <w:spacing w:before="110"/>
              <w:ind w:left="212"/>
              <w:rPr>
                <w:b/>
                <w:sz w:val="21"/>
              </w:rPr>
            </w:pPr>
            <w:r>
              <w:rPr>
                <w:b/>
                <w:spacing w:val="-2"/>
                <w:sz w:val="21"/>
              </w:rPr>
              <w:t>无有效行驶证</w:t>
            </w:r>
          </w:p>
        </w:tc>
        <w:tc>
          <w:tcPr>
            <w:tcW w:w="7517" w:type="dxa"/>
          </w:tcPr>
          <w:p>
            <w:pPr>
              <w:pStyle w:val="9"/>
              <w:spacing w:before="110"/>
              <w:ind w:left="132"/>
              <w:rPr>
                <w:sz w:val="21"/>
              </w:rPr>
            </w:pPr>
            <w:r>
              <w:rPr>
                <w:spacing w:val="-4"/>
                <w:sz w:val="21"/>
              </w:rPr>
              <w:t>指下列情形之一：</w:t>
            </w:r>
          </w:p>
          <w:p>
            <w:pPr>
              <w:pStyle w:val="9"/>
              <w:numPr>
                <w:ilvl w:val="0"/>
                <w:numId w:val="27"/>
              </w:numPr>
              <w:tabs>
                <w:tab w:val="left" w:pos="397"/>
              </w:tabs>
              <w:spacing w:before="43" w:after="0" w:line="240" w:lineRule="auto"/>
              <w:ind w:left="397" w:right="0" w:hanging="265"/>
              <w:jc w:val="left"/>
              <w:rPr>
                <w:sz w:val="21"/>
              </w:rPr>
            </w:pPr>
            <w:r>
              <w:rPr>
                <w:spacing w:val="-3"/>
                <w:sz w:val="21"/>
              </w:rPr>
              <w:t>机动车被依法注销登记的；</w:t>
            </w:r>
          </w:p>
          <w:p>
            <w:pPr>
              <w:pStyle w:val="9"/>
              <w:numPr>
                <w:ilvl w:val="0"/>
                <w:numId w:val="27"/>
              </w:numPr>
              <w:tabs>
                <w:tab w:val="left" w:pos="397"/>
              </w:tabs>
              <w:spacing w:before="43" w:after="0" w:line="240" w:lineRule="auto"/>
              <w:ind w:left="397" w:right="0" w:hanging="265"/>
              <w:jc w:val="left"/>
              <w:rPr>
                <w:sz w:val="21"/>
              </w:rPr>
            </w:pPr>
            <w:r>
              <w:rPr>
                <w:spacing w:val="-3"/>
                <w:sz w:val="21"/>
              </w:rPr>
              <w:t>未依法按时进行或通过机动车安全技术检验。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632" w:type="dxa"/>
          </w:tcPr>
          <w:p>
            <w:pPr>
              <w:pStyle w:val="9"/>
              <w:spacing w:before="116"/>
              <w:ind w:left="50"/>
              <w:rPr>
                <w:rFonts w:ascii="Times New Roman"/>
                <w:b/>
                <w:sz w:val="21"/>
              </w:rPr>
            </w:pPr>
            <w:r>
              <w:rPr>
                <w:rFonts w:ascii="Times New Roman"/>
                <w:b/>
                <w:spacing w:val="-4"/>
                <w:sz w:val="21"/>
              </w:rPr>
              <w:t>9.24</w:t>
            </w:r>
          </w:p>
        </w:tc>
        <w:tc>
          <w:tcPr>
            <w:tcW w:w="1611" w:type="dxa"/>
          </w:tcPr>
          <w:p>
            <w:pPr>
              <w:pStyle w:val="9"/>
              <w:spacing w:before="102"/>
              <w:ind w:left="212"/>
              <w:rPr>
                <w:b/>
                <w:sz w:val="21"/>
              </w:rPr>
            </w:pPr>
            <w:r>
              <w:rPr>
                <w:b/>
                <w:spacing w:val="-4"/>
                <w:sz w:val="21"/>
              </w:rPr>
              <w:t>机动车</w:t>
            </w:r>
          </w:p>
        </w:tc>
        <w:tc>
          <w:tcPr>
            <w:tcW w:w="7517" w:type="dxa"/>
          </w:tcPr>
          <w:p>
            <w:pPr>
              <w:pStyle w:val="9"/>
              <w:spacing w:before="102"/>
              <w:ind w:left="132"/>
              <w:rPr>
                <w:sz w:val="21"/>
              </w:rPr>
            </w:pPr>
            <w:r>
              <w:rPr>
                <w:spacing w:val="-1"/>
                <w:sz w:val="21"/>
              </w:rPr>
              <w:t>指以动力装置驱动或者牵引，上道路行驶的供人员乘用或者用于运送物品以及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6"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7" w:type="dxa"/>
          </w:tcPr>
          <w:p>
            <w:pPr>
              <w:pStyle w:val="9"/>
              <w:spacing w:before="14"/>
              <w:ind w:left="132"/>
              <w:rPr>
                <w:sz w:val="21"/>
              </w:rPr>
            </w:pPr>
            <w:r>
              <w:rPr>
                <w:spacing w:val="-3"/>
                <w:sz w:val="21"/>
              </w:rPr>
              <w:t>进行工程专项作业的轮式车辆。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4" w:hRule="atLeast"/>
        </w:trPr>
        <w:tc>
          <w:tcPr>
            <w:tcW w:w="632" w:type="dxa"/>
          </w:tcPr>
          <w:p>
            <w:pPr>
              <w:pStyle w:val="9"/>
              <w:spacing w:before="124"/>
              <w:ind w:left="50"/>
              <w:rPr>
                <w:rFonts w:ascii="Times New Roman"/>
                <w:b/>
                <w:sz w:val="21"/>
              </w:rPr>
            </w:pPr>
            <w:r>
              <w:rPr>
                <w:rFonts w:ascii="Times New Roman"/>
                <w:b/>
                <w:spacing w:val="-4"/>
                <w:sz w:val="21"/>
              </w:rPr>
              <w:t>9.25</w:t>
            </w:r>
          </w:p>
        </w:tc>
        <w:tc>
          <w:tcPr>
            <w:tcW w:w="1611" w:type="dxa"/>
          </w:tcPr>
          <w:p>
            <w:pPr>
              <w:pStyle w:val="9"/>
              <w:spacing w:before="110" w:line="278" w:lineRule="auto"/>
              <w:ind w:left="212" w:right="128"/>
              <w:rPr>
                <w:b/>
                <w:sz w:val="21"/>
              </w:rPr>
            </w:pPr>
            <w:r>
              <w:rPr>
                <w:b/>
                <w:spacing w:val="-2"/>
                <w:sz w:val="21"/>
              </w:rPr>
              <w:t>感染艾滋病病毒或患艾滋病</w:t>
            </w:r>
          </w:p>
        </w:tc>
        <w:tc>
          <w:tcPr>
            <w:tcW w:w="7517" w:type="dxa"/>
          </w:tcPr>
          <w:p>
            <w:pPr>
              <w:pStyle w:val="9"/>
              <w:spacing w:before="110" w:line="278" w:lineRule="auto"/>
              <w:ind w:left="132" w:right="151"/>
              <w:rPr>
                <w:sz w:val="21"/>
              </w:rPr>
            </w:pPr>
            <w:r>
              <w:rPr>
                <w:spacing w:val="-2"/>
                <w:sz w:val="21"/>
              </w:rPr>
              <w:t>艾滋病病毒指人类免疫缺陷病毒，英文缩写为</w:t>
            </w:r>
            <w:r>
              <w:rPr>
                <w:rFonts w:ascii="Calibri" w:eastAsia="Calibri"/>
                <w:spacing w:val="-2"/>
                <w:sz w:val="21"/>
              </w:rPr>
              <w:t>HIV</w:t>
            </w:r>
            <w:r>
              <w:rPr>
                <w:spacing w:val="-2"/>
                <w:sz w:val="21"/>
              </w:rPr>
              <w:t>。艾滋病指人类免疫缺陷病毒引起的获得性免疫缺陷综合征，英文缩写为</w:t>
            </w:r>
            <w:r>
              <w:rPr>
                <w:rFonts w:ascii="Calibri" w:eastAsia="Calibri"/>
                <w:spacing w:val="-2"/>
                <w:sz w:val="21"/>
              </w:rPr>
              <w:t>AIDS</w:t>
            </w:r>
            <w:r>
              <w:rPr>
                <w:spacing w:val="-2"/>
                <w:sz w:val="21"/>
              </w:rPr>
              <w:t>。</w:t>
            </w:r>
          </w:p>
          <w:p>
            <w:pPr>
              <w:pStyle w:val="9"/>
              <w:spacing w:line="269" w:lineRule="exact"/>
              <w:ind w:left="132"/>
              <w:rPr>
                <w:sz w:val="21"/>
              </w:rPr>
            </w:pPr>
            <w:r>
              <w:rPr>
                <w:spacing w:val="-1"/>
                <w:sz w:val="21"/>
              </w:rPr>
              <w:t>在人体血液或其他样本中检测到艾滋病病毒或其抗体呈阳性，没有出现临床症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7" w:type="dxa"/>
          </w:tcPr>
          <w:p>
            <w:pPr>
              <w:pStyle w:val="9"/>
              <w:spacing w:before="22"/>
              <w:ind w:left="132"/>
              <w:rPr>
                <w:sz w:val="21"/>
              </w:rPr>
            </w:pPr>
            <w:r>
              <w:rPr>
                <w:spacing w:val="-1"/>
                <w:sz w:val="21"/>
              </w:rPr>
              <w:t>状或体征的，为感染艾滋病病毒；如果同时出现了明显临床症状或体征的，为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3"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7" w:type="dxa"/>
          </w:tcPr>
          <w:p>
            <w:pPr>
              <w:pStyle w:val="9"/>
              <w:spacing w:before="22"/>
              <w:ind w:left="132"/>
              <w:rPr>
                <w:sz w:val="21"/>
              </w:rPr>
            </w:pPr>
            <w:r>
              <w:rPr>
                <w:spacing w:val="-4"/>
                <w:sz w:val="21"/>
              </w:rPr>
              <w:t>患艾滋病。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4" w:hRule="atLeast"/>
        </w:trPr>
        <w:tc>
          <w:tcPr>
            <w:tcW w:w="632" w:type="dxa"/>
          </w:tcPr>
          <w:p>
            <w:pPr>
              <w:pStyle w:val="9"/>
              <w:spacing w:before="124"/>
              <w:ind w:left="50"/>
              <w:rPr>
                <w:rFonts w:ascii="Times New Roman"/>
                <w:b/>
                <w:sz w:val="21"/>
              </w:rPr>
            </w:pPr>
            <w:r>
              <w:rPr>
                <w:rFonts w:ascii="Times New Roman"/>
                <w:b/>
                <w:spacing w:val="-4"/>
                <w:sz w:val="21"/>
              </w:rPr>
              <w:t>9.26</w:t>
            </w:r>
          </w:p>
        </w:tc>
        <w:tc>
          <w:tcPr>
            <w:tcW w:w="1611" w:type="dxa"/>
          </w:tcPr>
          <w:p>
            <w:pPr>
              <w:pStyle w:val="9"/>
              <w:spacing w:before="110"/>
              <w:ind w:left="212"/>
              <w:rPr>
                <w:b/>
                <w:sz w:val="21"/>
              </w:rPr>
            </w:pPr>
            <w:r>
              <w:rPr>
                <w:b/>
                <w:spacing w:val="-2"/>
                <w:sz w:val="21"/>
              </w:rPr>
              <w:t>遗传性疾病</w:t>
            </w:r>
          </w:p>
        </w:tc>
        <w:tc>
          <w:tcPr>
            <w:tcW w:w="7517" w:type="dxa"/>
          </w:tcPr>
          <w:p>
            <w:pPr>
              <w:pStyle w:val="9"/>
              <w:spacing w:before="110" w:line="278" w:lineRule="auto"/>
              <w:ind w:left="132" w:right="158"/>
              <w:rPr>
                <w:sz w:val="21"/>
              </w:rPr>
            </w:pPr>
            <w:r>
              <w:rPr>
                <w:spacing w:val="-2"/>
                <w:sz w:val="21"/>
              </w:rPr>
              <w:t>指生殖细胞或受精卵的遗传物质（染色体和基因）发生突变或畸变所引起的疾病，通常具有亲代传至后代的垂直传递的特征。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05" w:hRule="atLeast"/>
        </w:trPr>
        <w:tc>
          <w:tcPr>
            <w:tcW w:w="632" w:type="dxa"/>
          </w:tcPr>
          <w:p>
            <w:pPr>
              <w:pStyle w:val="9"/>
              <w:spacing w:before="124"/>
              <w:ind w:left="50"/>
              <w:rPr>
                <w:rFonts w:ascii="Times New Roman"/>
                <w:b/>
                <w:sz w:val="21"/>
              </w:rPr>
            </w:pPr>
            <w:r>
              <w:rPr>
                <w:rFonts w:ascii="Times New Roman"/>
                <w:b/>
                <w:spacing w:val="-4"/>
                <w:sz w:val="21"/>
              </w:rPr>
              <w:t>9.27</w:t>
            </w:r>
          </w:p>
        </w:tc>
        <w:tc>
          <w:tcPr>
            <w:tcW w:w="1611" w:type="dxa"/>
          </w:tcPr>
          <w:p>
            <w:pPr>
              <w:pStyle w:val="9"/>
              <w:spacing w:before="110" w:line="278" w:lineRule="auto"/>
              <w:ind w:left="212" w:right="128"/>
              <w:jc w:val="both"/>
              <w:rPr>
                <w:b/>
                <w:sz w:val="21"/>
              </w:rPr>
            </w:pPr>
            <w:r>
              <w:rPr>
                <w:b/>
                <w:spacing w:val="-2"/>
                <w:sz w:val="21"/>
              </w:rPr>
              <w:t>先天畸形、变形或染色体异</w:t>
            </w:r>
            <w:r>
              <w:rPr>
                <w:b/>
                <w:spacing w:val="-10"/>
                <w:sz w:val="21"/>
              </w:rPr>
              <w:t>常</w:t>
            </w:r>
          </w:p>
        </w:tc>
        <w:tc>
          <w:tcPr>
            <w:tcW w:w="7517" w:type="dxa"/>
          </w:tcPr>
          <w:p>
            <w:pPr>
              <w:pStyle w:val="9"/>
              <w:spacing w:before="110" w:line="278" w:lineRule="auto"/>
              <w:ind w:left="132" w:right="84"/>
              <w:rPr>
                <w:sz w:val="21"/>
              </w:rPr>
            </w:pPr>
            <w:r>
              <w:rPr>
                <w:w w:val="100"/>
                <w:sz w:val="21"/>
              </w:rPr>
              <w:t>指被保险人出生时就具有的畸形、变形或染色体异常。先天性畸形、变形和染</w:t>
            </w:r>
            <w:r>
              <w:rPr>
                <w:spacing w:val="-7"/>
                <w:w w:val="100"/>
                <w:sz w:val="21"/>
              </w:rPr>
              <w:t>色体异常依照世界卫生组织《疾病和有关健康问题的国际统计分类》</w:t>
            </w:r>
            <w:r>
              <w:rPr>
                <w:w w:val="100"/>
                <w:sz w:val="21"/>
              </w:rPr>
              <w:t>（</w:t>
            </w:r>
            <w:r>
              <w:rPr>
                <w:rFonts w:ascii="Times New Roman" w:eastAsia="Times New Roman"/>
                <w:spacing w:val="-4"/>
                <w:w w:val="100"/>
                <w:sz w:val="21"/>
              </w:rPr>
              <w:t>I</w:t>
            </w:r>
            <w:r>
              <w:rPr>
                <w:rFonts w:ascii="Times New Roman" w:eastAsia="Times New Roman"/>
                <w:w w:val="100"/>
                <w:sz w:val="21"/>
              </w:rPr>
              <w:t>C</w:t>
            </w:r>
            <w:r>
              <w:rPr>
                <w:rFonts w:ascii="Times New Roman" w:eastAsia="Times New Roman"/>
                <w:spacing w:val="-1"/>
                <w:w w:val="100"/>
                <w:sz w:val="21"/>
              </w:rPr>
              <w:t>D</w:t>
            </w:r>
            <w:r>
              <w:rPr>
                <w:w w:val="100"/>
                <w:sz w:val="21"/>
              </w:rPr>
              <w:t>-</w:t>
            </w:r>
            <w:r>
              <w:rPr>
                <w:rFonts w:ascii="Times New Roman" w:eastAsia="Times New Roman"/>
                <w:spacing w:val="-3"/>
                <w:w w:val="100"/>
                <w:sz w:val="21"/>
              </w:rPr>
              <w:t>1</w:t>
            </w:r>
            <w:r>
              <w:rPr>
                <w:rFonts w:ascii="Times New Roman" w:eastAsia="Times New Roman"/>
                <w:w w:val="100"/>
                <w:sz w:val="21"/>
              </w:rPr>
              <w:t>0</w:t>
            </w:r>
            <w:r>
              <w:rPr>
                <w:w w:val="100"/>
                <w:sz w:val="21"/>
              </w:rPr>
              <w:t>）确定。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3" w:hRule="atLeast"/>
        </w:trPr>
        <w:tc>
          <w:tcPr>
            <w:tcW w:w="632" w:type="dxa"/>
          </w:tcPr>
          <w:p>
            <w:pPr>
              <w:pStyle w:val="9"/>
              <w:spacing w:before="123"/>
              <w:ind w:left="50"/>
              <w:rPr>
                <w:rFonts w:ascii="Times New Roman"/>
                <w:b/>
                <w:sz w:val="21"/>
              </w:rPr>
            </w:pPr>
            <w:r>
              <w:rPr>
                <w:rFonts w:ascii="Times New Roman"/>
                <w:b/>
                <w:spacing w:val="-4"/>
                <w:sz w:val="21"/>
              </w:rPr>
              <w:t>9.28</w:t>
            </w:r>
          </w:p>
        </w:tc>
        <w:tc>
          <w:tcPr>
            <w:tcW w:w="1611" w:type="dxa"/>
          </w:tcPr>
          <w:p>
            <w:pPr>
              <w:pStyle w:val="9"/>
              <w:spacing w:before="109" w:line="278" w:lineRule="auto"/>
              <w:ind w:left="212" w:right="128"/>
              <w:rPr>
                <w:b/>
                <w:sz w:val="21"/>
              </w:rPr>
            </w:pPr>
            <w:r>
              <w:rPr>
                <w:b/>
                <w:spacing w:val="-2"/>
                <w:sz w:val="21"/>
              </w:rPr>
              <w:t>精神和行为障</w:t>
            </w:r>
            <w:r>
              <w:rPr>
                <w:b/>
                <w:spacing w:val="-10"/>
                <w:sz w:val="21"/>
              </w:rPr>
              <w:t>碍</w:t>
            </w:r>
          </w:p>
        </w:tc>
        <w:tc>
          <w:tcPr>
            <w:tcW w:w="7517" w:type="dxa"/>
          </w:tcPr>
          <w:p>
            <w:pPr>
              <w:pStyle w:val="9"/>
              <w:spacing w:before="109"/>
              <w:ind w:left="132"/>
              <w:rPr>
                <w:sz w:val="21"/>
              </w:rPr>
            </w:pPr>
            <w:r>
              <w:rPr>
                <w:spacing w:val="-8"/>
                <w:sz w:val="21"/>
              </w:rPr>
              <w:t>以世界卫生组织颁布的《疾病和有关健康问题的国际统计分类（</w:t>
            </w:r>
            <w:r>
              <w:rPr>
                <w:rFonts w:ascii="Times New Roman" w:eastAsia="Times New Roman"/>
                <w:spacing w:val="-8"/>
                <w:sz w:val="21"/>
              </w:rPr>
              <w:t>ICD-</w:t>
            </w:r>
            <w:r>
              <w:rPr>
                <w:rFonts w:ascii="Times New Roman" w:eastAsia="Times New Roman"/>
                <w:spacing w:val="27"/>
                <w:sz w:val="21"/>
              </w:rPr>
              <w:t>10</w:t>
            </w:r>
            <w:r>
              <w:rPr>
                <w:spacing w:val="-79"/>
                <w:sz w:val="21"/>
              </w:rPr>
              <w:t>）</w:t>
            </w:r>
            <w:r>
              <w:rPr>
                <w:spacing w:val="-9"/>
                <w:sz w:val="21"/>
              </w:rPr>
              <w:t>》为准。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8" w:hRule="atLeast"/>
        </w:trPr>
        <w:tc>
          <w:tcPr>
            <w:tcW w:w="632" w:type="dxa"/>
          </w:tcPr>
          <w:p>
            <w:pPr>
              <w:pStyle w:val="9"/>
              <w:spacing w:before="124"/>
              <w:ind w:left="50"/>
              <w:rPr>
                <w:rFonts w:ascii="Times New Roman"/>
                <w:b/>
                <w:sz w:val="21"/>
              </w:rPr>
            </w:pPr>
            <w:r>
              <w:rPr>
                <w:rFonts w:ascii="Times New Roman"/>
                <w:b/>
                <w:spacing w:val="-4"/>
                <w:sz w:val="21"/>
              </w:rPr>
              <w:t>9.29</w:t>
            </w:r>
          </w:p>
        </w:tc>
        <w:tc>
          <w:tcPr>
            <w:tcW w:w="1611" w:type="dxa"/>
          </w:tcPr>
          <w:p>
            <w:pPr>
              <w:pStyle w:val="9"/>
              <w:spacing w:before="110"/>
              <w:ind w:left="212"/>
              <w:rPr>
                <w:b/>
                <w:sz w:val="21"/>
              </w:rPr>
            </w:pPr>
            <w:r>
              <w:rPr>
                <w:b/>
                <w:spacing w:val="-5"/>
                <w:sz w:val="21"/>
              </w:rPr>
              <w:t>潜水</w:t>
            </w:r>
          </w:p>
        </w:tc>
        <w:tc>
          <w:tcPr>
            <w:tcW w:w="7517" w:type="dxa"/>
          </w:tcPr>
          <w:p>
            <w:pPr>
              <w:pStyle w:val="9"/>
              <w:spacing w:before="110"/>
              <w:ind w:left="132"/>
              <w:rPr>
                <w:sz w:val="21"/>
              </w:rPr>
            </w:pPr>
            <w:r>
              <w:rPr>
                <w:spacing w:val="-3"/>
                <w:sz w:val="21"/>
              </w:rPr>
              <w:t>指使用辅助呼吸器材在江、河、湖、海、水库、运河等水域进行的水下运动。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8" w:hRule="atLeast"/>
        </w:trPr>
        <w:tc>
          <w:tcPr>
            <w:tcW w:w="632" w:type="dxa"/>
          </w:tcPr>
          <w:p>
            <w:pPr>
              <w:pStyle w:val="9"/>
              <w:spacing w:before="194"/>
              <w:ind w:left="50"/>
              <w:rPr>
                <w:rFonts w:ascii="Times New Roman"/>
                <w:b/>
                <w:sz w:val="21"/>
              </w:rPr>
            </w:pPr>
            <w:r>
              <w:rPr>
                <w:rFonts w:ascii="Times New Roman"/>
                <w:b/>
                <w:spacing w:val="-4"/>
                <w:sz w:val="21"/>
              </w:rPr>
              <w:t>9.30</w:t>
            </w:r>
          </w:p>
        </w:tc>
        <w:tc>
          <w:tcPr>
            <w:tcW w:w="1611" w:type="dxa"/>
          </w:tcPr>
          <w:p>
            <w:pPr>
              <w:pStyle w:val="9"/>
              <w:spacing w:before="1"/>
              <w:rPr>
                <w:sz w:val="14"/>
              </w:rPr>
            </w:pPr>
          </w:p>
          <w:p>
            <w:pPr>
              <w:pStyle w:val="9"/>
              <w:ind w:left="212"/>
              <w:rPr>
                <w:b/>
                <w:sz w:val="21"/>
              </w:rPr>
            </w:pPr>
            <w:r>
              <w:rPr>
                <w:b/>
                <w:spacing w:val="-5"/>
                <w:sz w:val="21"/>
              </w:rPr>
              <w:t>攀岩</w:t>
            </w:r>
          </w:p>
        </w:tc>
        <w:tc>
          <w:tcPr>
            <w:tcW w:w="7517" w:type="dxa"/>
          </w:tcPr>
          <w:p>
            <w:pPr>
              <w:pStyle w:val="9"/>
              <w:spacing w:before="1"/>
              <w:rPr>
                <w:sz w:val="14"/>
              </w:rPr>
            </w:pPr>
          </w:p>
          <w:p>
            <w:pPr>
              <w:pStyle w:val="9"/>
              <w:ind w:left="132"/>
              <w:rPr>
                <w:sz w:val="21"/>
              </w:rPr>
            </w:pPr>
            <w:r>
              <w:rPr>
                <w:spacing w:val="-3"/>
                <w:sz w:val="21"/>
              </w:rPr>
              <w:t>指攀登悬崖、楼宇外墙、人造悬崖、冰崖、冰山等运动。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2" w:hRule="atLeast"/>
        </w:trPr>
        <w:tc>
          <w:tcPr>
            <w:tcW w:w="632" w:type="dxa"/>
          </w:tcPr>
          <w:p>
            <w:pPr>
              <w:pStyle w:val="9"/>
              <w:spacing w:before="194"/>
              <w:ind w:left="50"/>
              <w:rPr>
                <w:rFonts w:ascii="Times New Roman"/>
                <w:b/>
                <w:sz w:val="21"/>
              </w:rPr>
            </w:pPr>
            <w:r>
              <w:rPr>
                <w:rFonts w:ascii="Times New Roman"/>
                <w:b/>
                <w:spacing w:val="-4"/>
                <w:sz w:val="21"/>
              </w:rPr>
              <w:t>9.31</w:t>
            </w:r>
          </w:p>
        </w:tc>
        <w:tc>
          <w:tcPr>
            <w:tcW w:w="1611" w:type="dxa"/>
          </w:tcPr>
          <w:p>
            <w:pPr>
              <w:pStyle w:val="9"/>
              <w:spacing w:before="1"/>
              <w:rPr>
                <w:sz w:val="14"/>
              </w:rPr>
            </w:pPr>
          </w:p>
          <w:p>
            <w:pPr>
              <w:pStyle w:val="9"/>
              <w:ind w:left="212"/>
              <w:rPr>
                <w:b/>
                <w:sz w:val="21"/>
              </w:rPr>
            </w:pPr>
            <w:r>
              <w:rPr>
                <w:b/>
                <w:spacing w:val="-5"/>
                <w:sz w:val="21"/>
              </w:rPr>
              <w:t>探险</w:t>
            </w:r>
          </w:p>
        </w:tc>
        <w:tc>
          <w:tcPr>
            <w:tcW w:w="7517" w:type="dxa"/>
          </w:tcPr>
          <w:p>
            <w:pPr>
              <w:pStyle w:val="9"/>
              <w:spacing w:before="139" w:line="310" w:lineRule="atLeast"/>
              <w:ind w:left="132" w:right="158"/>
              <w:rPr>
                <w:sz w:val="21"/>
              </w:rPr>
            </w:pPr>
            <w:r>
              <w:rPr>
                <w:spacing w:val="-2"/>
                <w:sz w:val="21"/>
              </w:rPr>
              <w:t>指明知在某种特定的自然条件下有失去生命或使身体受到伤害的危险，而故意</w:t>
            </w:r>
            <w:r>
              <w:rPr>
                <w:spacing w:val="-1"/>
                <w:sz w:val="21"/>
              </w:rPr>
              <w:t>使自己置身于其中的行为，如：江河漂流、登山、徒步穿越沙漠或人迹罕至的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4"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7" w:type="dxa"/>
          </w:tcPr>
          <w:p>
            <w:pPr>
              <w:pStyle w:val="9"/>
              <w:spacing w:before="22"/>
              <w:ind w:left="132"/>
              <w:rPr>
                <w:sz w:val="21"/>
              </w:rPr>
            </w:pPr>
            <w:r>
              <w:rPr>
                <w:spacing w:val="-4"/>
                <w:sz w:val="21"/>
              </w:rPr>
              <w:t>原始森林等活动。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4" w:hRule="atLeast"/>
        </w:trPr>
        <w:tc>
          <w:tcPr>
            <w:tcW w:w="632" w:type="dxa"/>
          </w:tcPr>
          <w:p>
            <w:pPr>
              <w:pStyle w:val="9"/>
              <w:spacing w:before="124"/>
              <w:ind w:left="50"/>
              <w:rPr>
                <w:rFonts w:ascii="Times New Roman"/>
                <w:b/>
                <w:sz w:val="21"/>
              </w:rPr>
            </w:pPr>
            <w:r>
              <w:rPr>
                <w:rFonts w:ascii="Times New Roman"/>
                <w:b/>
                <w:spacing w:val="-4"/>
                <w:sz w:val="21"/>
              </w:rPr>
              <w:t>9.32</w:t>
            </w:r>
          </w:p>
        </w:tc>
        <w:tc>
          <w:tcPr>
            <w:tcW w:w="1611" w:type="dxa"/>
          </w:tcPr>
          <w:p>
            <w:pPr>
              <w:pStyle w:val="9"/>
              <w:spacing w:before="110"/>
              <w:ind w:left="212"/>
              <w:rPr>
                <w:b/>
                <w:sz w:val="21"/>
              </w:rPr>
            </w:pPr>
            <w:r>
              <w:rPr>
                <w:b/>
                <w:spacing w:val="-3"/>
                <w:sz w:val="21"/>
              </w:rPr>
              <w:t>武术比赛</w:t>
            </w:r>
          </w:p>
        </w:tc>
        <w:tc>
          <w:tcPr>
            <w:tcW w:w="7517" w:type="dxa"/>
          </w:tcPr>
          <w:p>
            <w:pPr>
              <w:pStyle w:val="9"/>
              <w:spacing w:before="110" w:line="278" w:lineRule="auto"/>
              <w:ind w:left="132" w:right="158"/>
              <w:rPr>
                <w:sz w:val="21"/>
              </w:rPr>
            </w:pPr>
            <w:r>
              <w:rPr>
                <w:spacing w:val="-2"/>
                <w:sz w:val="21"/>
              </w:rPr>
              <w:t>指两人或两人以上对抗性柔道、空手道、跆拳道、散打、拳击等各种拳术及使用器械的对抗性比赛。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atLeast"/>
        </w:trPr>
        <w:tc>
          <w:tcPr>
            <w:tcW w:w="632" w:type="dxa"/>
          </w:tcPr>
          <w:p>
            <w:pPr>
              <w:pStyle w:val="9"/>
              <w:spacing w:before="124"/>
              <w:ind w:left="50"/>
              <w:rPr>
                <w:rFonts w:ascii="Times New Roman"/>
                <w:b/>
                <w:sz w:val="21"/>
              </w:rPr>
            </w:pPr>
            <w:r>
              <w:rPr>
                <w:rFonts w:ascii="Times New Roman"/>
                <w:b/>
                <w:spacing w:val="-4"/>
                <w:sz w:val="21"/>
              </w:rPr>
              <w:t>9.33</w:t>
            </w:r>
          </w:p>
        </w:tc>
        <w:tc>
          <w:tcPr>
            <w:tcW w:w="1611" w:type="dxa"/>
          </w:tcPr>
          <w:p>
            <w:pPr>
              <w:pStyle w:val="9"/>
              <w:spacing w:before="110"/>
              <w:ind w:left="212"/>
              <w:rPr>
                <w:b/>
                <w:sz w:val="21"/>
              </w:rPr>
            </w:pPr>
            <w:r>
              <w:rPr>
                <w:b/>
                <w:spacing w:val="-3"/>
                <w:sz w:val="21"/>
              </w:rPr>
              <w:t>特技表演</w:t>
            </w:r>
          </w:p>
        </w:tc>
        <w:tc>
          <w:tcPr>
            <w:tcW w:w="7517" w:type="dxa"/>
          </w:tcPr>
          <w:p>
            <w:pPr>
              <w:pStyle w:val="9"/>
              <w:spacing w:before="110"/>
              <w:ind w:left="132"/>
              <w:rPr>
                <w:sz w:val="21"/>
              </w:rPr>
            </w:pPr>
            <w:r>
              <w:rPr>
                <w:spacing w:val="-3"/>
                <w:sz w:val="21"/>
              </w:rPr>
              <w:t>指进行马术、杂技、驯兽等表演。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63" w:hRule="atLeast"/>
        </w:trPr>
        <w:tc>
          <w:tcPr>
            <w:tcW w:w="632" w:type="dxa"/>
          </w:tcPr>
          <w:p>
            <w:pPr>
              <w:pStyle w:val="9"/>
              <w:spacing w:before="193"/>
              <w:ind w:left="50"/>
              <w:rPr>
                <w:rFonts w:ascii="Times New Roman"/>
                <w:b/>
                <w:sz w:val="21"/>
              </w:rPr>
            </w:pPr>
            <w:r>
              <w:rPr>
                <w:rFonts w:ascii="Times New Roman"/>
                <w:b/>
                <w:spacing w:val="-4"/>
                <w:sz w:val="21"/>
              </w:rPr>
              <w:t>9.34</w:t>
            </w:r>
          </w:p>
        </w:tc>
        <w:tc>
          <w:tcPr>
            <w:tcW w:w="1611" w:type="dxa"/>
          </w:tcPr>
          <w:p>
            <w:pPr>
              <w:pStyle w:val="9"/>
              <w:spacing w:before="179"/>
              <w:ind w:left="212"/>
              <w:rPr>
                <w:b/>
                <w:sz w:val="21"/>
              </w:rPr>
            </w:pPr>
            <w:r>
              <w:rPr>
                <w:b/>
                <w:spacing w:val="-3"/>
                <w:sz w:val="21"/>
              </w:rPr>
              <w:t>康复治疗</w:t>
            </w:r>
          </w:p>
        </w:tc>
        <w:tc>
          <w:tcPr>
            <w:tcW w:w="7517" w:type="dxa"/>
          </w:tcPr>
          <w:p>
            <w:pPr>
              <w:pStyle w:val="9"/>
              <w:spacing w:before="179" w:line="278" w:lineRule="auto"/>
              <w:ind w:left="132" w:right="158"/>
              <w:rPr>
                <w:sz w:val="21"/>
              </w:rPr>
            </w:pPr>
            <w:r>
              <w:rPr>
                <w:spacing w:val="-2"/>
                <w:sz w:val="21"/>
              </w:rPr>
              <w:t>指在康复医院、康复科诊治或者接受以促进机体各项功能恢复为目的的医疗方</w:t>
            </w:r>
            <w:r>
              <w:rPr>
                <w:sz w:val="21"/>
              </w:rPr>
              <w:t>法， 如理疗、按摩、推拿、生物反馈疗法、康复营养、康复护理等。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9" w:hRule="atLeast"/>
        </w:trPr>
        <w:tc>
          <w:tcPr>
            <w:tcW w:w="632" w:type="dxa"/>
          </w:tcPr>
          <w:p>
            <w:pPr>
              <w:pStyle w:val="9"/>
              <w:spacing w:before="124"/>
              <w:ind w:left="50"/>
              <w:rPr>
                <w:rFonts w:ascii="Times New Roman"/>
                <w:b/>
                <w:sz w:val="21"/>
              </w:rPr>
            </w:pPr>
            <w:r>
              <w:rPr>
                <w:rFonts w:ascii="Times New Roman"/>
                <w:b/>
                <w:spacing w:val="-4"/>
                <w:sz w:val="21"/>
              </w:rPr>
              <w:t>9.35</w:t>
            </w:r>
          </w:p>
        </w:tc>
        <w:tc>
          <w:tcPr>
            <w:tcW w:w="1611" w:type="dxa"/>
          </w:tcPr>
          <w:p>
            <w:pPr>
              <w:pStyle w:val="9"/>
              <w:spacing w:before="110"/>
              <w:ind w:left="212"/>
              <w:rPr>
                <w:b/>
                <w:sz w:val="21"/>
              </w:rPr>
            </w:pPr>
            <w:r>
              <w:rPr>
                <w:b/>
                <w:spacing w:val="-2"/>
                <w:sz w:val="21"/>
              </w:rPr>
              <w:t>未到期净保费</w:t>
            </w:r>
          </w:p>
        </w:tc>
        <w:tc>
          <w:tcPr>
            <w:tcW w:w="7517" w:type="dxa"/>
          </w:tcPr>
          <w:p>
            <w:pPr>
              <w:pStyle w:val="9"/>
              <w:spacing w:before="69" w:line="310" w:lineRule="atLeast"/>
              <w:ind w:left="132" w:right="153"/>
              <w:rPr>
                <w:sz w:val="21"/>
              </w:rPr>
            </w:pPr>
            <w:r>
              <w:rPr>
                <w:sz w:val="21"/>
              </w:rPr>
              <w:t>未到期净保费</w:t>
            </w:r>
            <w:r>
              <w:rPr>
                <w:rFonts w:ascii="Calibri" w:hAnsi="Calibri" w:eastAsia="Calibri"/>
                <w:sz w:val="21"/>
              </w:rPr>
              <w:t>=</w:t>
            </w:r>
            <w:r>
              <w:rPr>
                <w:sz w:val="21"/>
              </w:rPr>
              <w:t xml:space="preserve">保险费 </w:t>
            </w:r>
            <w:r>
              <w:rPr>
                <w:rFonts w:ascii="Times New Roman" w:hAnsi="Times New Roman" w:eastAsia="Times New Roman"/>
                <w:sz w:val="21"/>
              </w:rPr>
              <w:t>×</w:t>
            </w:r>
            <w:r>
              <w:rPr>
                <w:sz w:val="21"/>
              </w:rPr>
              <w:t>（</w:t>
            </w:r>
            <w:r>
              <w:rPr>
                <w:rFonts w:ascii="Times New Roman" w:hAnsi="Times New Roman" w:eastAsia="Times New Roman"/>
                <w:sz w:val="21"/>
              </w:rPr>
              <w:t>1-35%</w:t>
            </w:r>
            <w:r>
              <w:rPr>
                <w:sz w:val="21"/>
              </w:rPr>
              <w:t>）</w:t>
            </w:r>
            <w:r>
              <w:rPr>
                <w:rFonts w:ascii="Times New Roman" w:hAnsi="Times New Roman" w:eastAsia="Times New Roman"/>
                <w:sz w:val="21"/>
              </w:rPr>
              <w:t>×</w:t>
            </w:r>
            <w:r>
              <w:rPr>
                <w:sz w:val="21"/>
              </w:rPr>
              <w:t>（</w:t>
            </w:r>
            <w:r>
              <w:rPr>
                <w:rFonts w:ascii="Times New Roman" w:hAnsi="Times New Roman" w:eastAsia="Times New Roman"/>
                <w:sz w:val="21"/>
              </w:rPr>
              <w:t>1-</w:t>
            </w:r>
            <w:r>
              <w:rPr>
                <w:sz w:val="21"/>
              </w:rPr>
              <w:t>经过天数/本合同保险期间内所包含的</w:t>
            </w:r>
            <w:r>
              <w:rPr>
                <w:spacing w:val="-2"/>
                <w:sz w:val="21"/>
              </w:rPr>
              <w:t>天数</w:t>
            </w:r>
            <w:r>
              <w:rPr>
                <w:spacing w:val="-108"/>
                <w:sz w:val="21"/>
              </w:rPr>
              <w:t>）</w:t>
            </w:r>
            <w:r>
              <w:rPr>
                <w:spacing w:val="-2"/>
                <w:sz w:val="21"/>
              </w:rPr>
              <w:t>，经过天数指从合同生效之日起至终止之日实际经过的天数。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6"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7" w:type="dxa"/>
          </w:tcPr>
          <w:p>
            <w:pPr>
              <w:pStyle w:val="9"/>
              <w:spacing w:before="25"/>
              <w:ind w:left="132"/>
              <w:rPr>
                <w:sz w:val="21"/>
              </w:rPr>
            </w:pPr>
            <w:r>
              <w:rPr>
                <w:spacing w:val="-2"/>
                <w:sz w:val="21"/>
              </w:rPr>
              <w:t>本合同的未到期净保费为扣除手续费（</w:t>
            </w:r>
            <w:r>
              <w:rPr>
                <w:spacing w:val="3"/>
                <w:sz w:val="21"/>
              </w:rPr>
              <w:t xml:space="preserve">手续费为保费的 </w:t>
            </w:r>
            <w:r>
              <w:rPr>
                <w:rFonts w:ascii="Times New Roman" w:eastAsia="Times New Roman"/>
                <w:spacing w:val="-2"/>
                <w:sz w:val="21"/>
              </w:rPr>
              <w:t>35%</w:t>
            </w:r>
            <w:r>
              <w:rPr>
                <w:spacing w:val="-2"/>
                <w:sz w:val="21"/>
              </w:rPr>
              <w:t>）</w:t>
            </w:r>
            <w:r>
              <w:rPr>
                <w:spacing w:val="-4"/>
                <w:sz w:val="21"/>
              </w:rPr>
              <w:t>后的未到期保险</w:t>
            </w:r>
          </w:p>
          <w:p>
            <w:pPr>
              <w:pStyle w:val="9"/>
              <w:spacing w:before="43" w:line="220" w:lineRule="exact"/>
              <w:ind w:left="132"/>
              <w:rPr>
                <w:sz w:val="21"/>
              </w:rPr>
            </w:pPr>
            <w:r>
              <w:rPr>
                <w:spacing w:val="-1"/>
                <w:sz w:val="21"/>
              </w:rPr>
              <w:t>费，其中手续费为我们对本合同已承担的保险责任所收取的费用及每张保险合</w:t>
            </w:r>
          </w:p>
        </w:tc>
      </w:tr>
    </w:tbl>
    <w:p>
      <w:pPr>
        <w:spacing w:after="0" w:line="220" w:lineRule="exact"/>
        <w:rPr>
          <w:sz w:val="21"/>
        </w:rPr>
        <w:sectPr>
          <w:pgSz w:w="11910" w:h="16840"/>
          <w:pgMar w:top="1160" w:right="940" w:bottom="1386" w:left="920" w:header="0" w:footer="981" w:gutter="0"/>
          <w:cols w:space="720" w:num="1"/>
        </w:sect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2"/>
        <w:gridCol w:w="1611"/>
        <w:gridCol w:w="75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3"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spacing w:line="241" w:lineRule="exact"/>
              <w:ind w:left="132"/>
              <w:rPr>
                <w:sz w:val="21"/>
              </w:rPr>
            </w:pPr>
            <w:r>
              <w:rPr>
                <w:spacing w:val="-3"/>
                <w:sz w:val="21"/>
              </w:rPr>
              <w:t>同平均承担的营业费用、佣金的总和。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38" w:hRule="atLeast"/>
        </w:trPr>
        <w:tc>
          <w:tcPr>
            <w:tcW w:w="632" w:type="dxa"/>
          </w:tcPr>
          <w:p>
            <w:pPr>
              <w:pStyle w:val="9"/>
              <w:spacing w:before="124"/>
              <w:ind w:left="50"/>
              <w:rPr>
                <w:rFonts w:ascii="Times New Roman"/>
                <w:b/>
                <w:sz w:val="21"/>
              </w:rPr>
            </w:pPr>
            <w:r>
              <w:rPr>
                <w:rFonts w:ascii="Times New Roman"/>
                <w:b/>
                <w:spacing w:val="-4"/>
                <w:sz w:val="21"/>
              </w:rPr>
              <w:t>9.36</w:t>
            </w:r>
          </w:p>
        </w:tc>
        <w:tc>
          <w:tcPr>
            <w:tcW w:w="1611" w:type="dxa"/>
          </w:tcPr>
          <w:p>
            <w:pPr>
              <w:pStyle w:val="9"/>
              <w:spacing w:before="110"/>
              <w:ind w:left="212"/>
              <w:rPr>
                <w:b/>
                <w:sz w:val="21"/>
              </w:rPr>
            </w:pPr>
            <w:r>
              <w:rPr>
                <w:b/>
                <w:spacing w:val="-3"/>
                <w:sz w:val="21"/>
              </w:rPr>
              <w:t>专科医生</w:t>
            </w:r>
          </w:p>
        </w:tc>
        <w:tc>
          <w:tcPr>
            <w:tcW w:w="7519" w:type="dxa"/>
          </w:tcPr>
          <w:p>
            <w:pPr>
              <w:pStyle w:val="9"/>
              <w:spacing w:before="110"/>
              <w:ind w:left="132"/>
              <w:rPr>
                <w:sz w:val="21"/>
              </w:rPr>
            </w:pPr>
            <w:r>
              <w:rPr>
                <w:spacing w:val="-3"/>
                <w:sz w:val="21"/>
              </w:rPr>
              <w:t>专科医生应当同时满足以下四项资格条件：</w:t>
            </w:r>
          </w:p>
          <w:p>
            <w:pPr>
              <w:pStyle w:val="9"/>
              <w:numPr>
                <w:ilvl w:val="0"/>
                <w:numId w:val="28"/>
              </w:numPr>
              <w:tabs>
                <w:tab w:val="left" w:pos="293"/>
              </w:tabs>
              <w:spacing w:before="43" w:after="0" w:line="240" w:lineRule="auto"/>
              <w:ind w:left="292" w:right="0" w:hanging="161"/>
              <w:jc w:val="left"/>
              <w:rPr>
                <w:sz w:val="21"/>
              </w:rPr>
            </w:pPr>
            <w:r>
              <w:rPr>
                <w:spacing w:val="-9"/>
                <w:sz w:val="21"/>
              </w:rPr>
              <w:t>具有有效的中华人民共和国《医师资格证书》；</w:t>
            </w:r>
          </w:p>
          <w:p>
            <w:pPr>
              <w:pStyle w:val="9"/>
              <w:numPr>
                <w:ilvl w:val="0"/>
                <w:numId w:val="28"/>
              </w:numPr>
              <w:tabs>
                <w:tab w:val="left" w:pos="293"/>
              </w:tabs>
              <w:spacing w:before="43" w:after="0" w:line="240" w:lineRule="auto"/>
              <w:ind w:left="292" w:right="0" w:hanging="161"/>
              <w:jc w:val="left"/>
              <w:rPr>
                <w:sz w:val="21"/>
              </w:rPr>
            </w:pPr>
            <w:r>
              <w:rPr>
                <w:spacing w:val="-9"/>
                <w:sz w:val="21"/>
              </w:rPr>
              <w:t>具有有效的中华人民共和国《医师执业证书》，并按期到相关部门登记注册；</w:t>
            </w:r>
          </w:p>
          <w:p>
            <w:pPr>
              <w:pStyle w:val="9"/>
              <w:numPr>
                <w:ilvl w:val="0"/>
                <w:numId w:val="28"/>
              </w:numPr>
              <w:tabs>
                <w:tab w:val="left" w:pos="293"/>
              </w:tabs>
              <w:spacing w:before="43" w:after="0" w:line="240" w:lineRule="auto"/>
              <w:ind w:left="292" w:right="0" w:hanging="161"/>
              <w:jc w:val="left"/>
              <w:rPr>
                <w:sz w:val="21"/>
              </w:rPr>
            </w:pPr>
            <w:r>
              <w:rPr>
                <w:spacing w:val="-10"/>
                <w:sz w:val="21"/>
              </w:rPr>
              <w:t>具有有效的中华人民共和国主治医师或主治医师以上职称的《医师职称证书》；</w:t>
            </w:r>
          </w:p>
          <w:p>
            <w:pPr>
              <w:pStyle w:val="9"/>
              <w:numPr>
                <w:ilvl w:val="0"/>
                <w:numId w:val="28"/>
              </w:numPr>
              <w:tabs>
                <w:tab w:val="left" w:pos="293"/>
              </w:tabs>
              <w:spacing w:before="43" w:after="0" w:line="240" w:lineRule="auto"/>
              <w:ind w:left="292" w:right="0" w:hanging="161"/>
              <w:jc w:val="left"/>
              <w:rPr>
                <w:sz w:val="21"/>
              </w:rPr>
            </w:pPr>
            <w:r>
              <w:rPr>
                <w:spacing w:val="-3"/>
                <w:sz w:val="21"/>
              </w:rPr>
              <w:t>在二级或二级以上医院的相应科室从事临床工作三年以上。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6" w:hRule="atLeast"/>
        </w:trPr>
        <w:tc>
          <w:tcPr>
            <w:tcW w:w="632" w:type="dxa"/>
          </w:tcPr>
          <w:p>
            <w:pPr>
              <w:pStyle w:val="9"/>
              <w:spacing w:before="116"/>
              <w:ind w:left="50"/>
              <w:rPr>
                <w:rFonts w:ascii="Times New Roman"/>
                <w:b/>
                <w:sz w:val="21"/>
              </w:rPr>
            </w:pPr>
            <w:r>
              <w:rPr>
                <w:rFonts w:ascii="Times New Roman"/>
                <w:b/>
                <w:spacing w:val="-4"/>
                <w:sz w:val="21"/>
              </w:rPr>
              <w:t>9.37</w:t>
            </w:r>
          </w:p>
        </w:tc>
        <w:tc>
          <w:tcPr>
            <w:tcW w:w="1611" w:type="dxa"/>
          </w:tcPr>
          <w:p>
            <w:pPr>
              <w:pStyle w:val="9"/>
              <w:spacing w:before="102" w:line="278" w:lineRule="auto"/>
              <w:ind w:left="212" w:right="128"/>
              <w:rPr>
                <w:b/>
                <w:sz w:val="21"/>
              </w:rPr>
            </w:pPr>
            <w:r>
              <w:rPr>
                <w:b/>
                <w:spacing w:val="-2"/>
                <w:sz w:val="21"/>
              </w:rPr>
              <w:t>肢体机能完全</w:t>
            </w:r>
            <w:r>
              <w:rPr>
                <w:b/>
                <w:spacing w:val="-6"/>
                <w:sz w:val="21"/>
              </w:rPr>
              <w:t>丧失</w:t>
            </w:r>
          </w:p>
        </w:tc>
        <w:tc>
          <w:tcPr>
            <w:tcW w:w="7519" w:type="dxa"/>
          </w:tcPr>
          <w:p>
            <w:pPr>
              <w:pStyle w:val="9"/>
              <w:spacing w:before="102" w:line="278" w:lineRule="auto"/>
              <w:ind w:left="132" w:right="160"/>
              <w:rPr>
                <w:sz w:val="21"/>
              </w:rPr>
            </w:pPr>
            <w:r>
              <w:rPr>
                <w:spacing w:val="-2"/>
                <w:sz w:val="21"/>
              </w:rPr>
              <w:t>指肢体的三大关节中的两大关节僵硬，或不能随意识活动。肢体是指包括肩关节的整个上肢或包括髋关节的整个下肢。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12" w:hRule="atLeast"/>
        </w:trPr>
        <w:tc>
          <w:tcPr>
            <w:tcW w:w="632" w:type="dxa"/>
          </w:tcPr>
          <w:p>
            <w:pPr>
              <w:pStyle w:val="9"/>
              <w:spacing w:before="124"/>
              <w:ind w:left="50"/>
              <w:rPr>
                <w:rFonts w:ascii="Times New Roman"/>
                <w:b/>
                <w:sz w:val="21"/>
              </w:rPr>
            </w:pPr>
            <w:r>
              <w:rPr>
                <w:rFonts w:ascii="Times New Roman"/>
                <w:b/>
                <w:spacing w:val="-4"/>
                <w:sz w:val="21"/>
              </w:rPr>
              <w:t>9.38</w:t>
            </w:r>
          </w:p>
        </w:tc>
        <w:tc>
          <w:tcPr>
            <w:tcW w:w="1611" w:type="dxa"/>
          </w:tcPr>
          <w:p>
            <w:pPr>
              <w:pStyle w:val="9"/>
              <w:spacing w:before="69" w:line="310" w:lineRule="atLeast"/>
              <w:ind w:left="212" w:right="128"/>
              <w:rPr>
                <w:b/>
                <w:sz w:val="21"/>
              </w:rPr>
            </w:pPr>
            <w:r>
              <w:rPr>
                <w:b/>
                <w:spacing w:val="-2"/>
                <w:sz w:val="21"/>
              </w:rPr>
              <w:t>语言能力或咀嚼吞咽能力完</w:t>
            </w:r>
          </w:p>
        </w:tc>
        <w:tc>
          <w:tcPr>
            <w:tcW w:w="7519" w:type="dxa"/>
          </w:tcPr>
          <w:p>
            <w:pPr>
              <w:pStyle w:val="9"/>
              <w:spacing w:before="69" w:line="310" w:lineRule="atLeast"/>
              <w:ind w:left="132" w:right="46"/>
              <w:rPr>
                <w:sz w:val="21"/>
              </w:rPr>
            </w:pPr>
            <w:r>
              <w:rPr>
                <w:w w:val="100"/>
                <w:sz w:val="21"/>
              </w:rPr>
              <w:t>语言能力完全丧失，指无法发出四种语音（包括口唇音、齿舌音、口盖音和喉头音</w:t>
            </w:r>
            <w:r>
              <w:rPr>
                <w:spacing w:val="-8"/>
                <w:w w:val="100"/>
                <w:sz w:val="21"/>
              </w:rPr>
              <w:t>）</w:t>
            </w:r>
            <w:r>
              <w:rPr>
                <w:spacing w:val="-5"/>
                <w:w w:val="100"/>
                <w:sz w:val="21"/>
              </w:rPr>
              <w:t>中的任何三种、或声带全部切除，或因大脑语言中枢受伤害而患失语症。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2" w:type="dxa"/>
          </w:tcPr>
          <w:p>
            <w:pPr>
              <w:pStyle w:val="9"/>
              <w:rPr>
                <w:rFonts w:ascii="Times New Roman"/>
                <w:sz w:val="20"/>
              </w:rPr>
            </w:pPr>
          </w:p>
        </w:tc>
        <w:tc>
          <w:tcPr>
            <w:tcW w:w="1611" w:type="dxa"/>
          </w:tcPr>
          <w:p>
            <w:pPr>
              <w:pStyle w:val="9"/>
              <w:spacing w:before="22"/>
              <w:ind w:left="212"/>
              <w:rPr>
                <w:b/>
                <w:sz w:val="21"/>
              </w:rPr>
            </w:pPr>
            <w:r>
              <w:rPr>
                <w:b/>
                <w:spacing w:val="-4"/>
                <w:sz w:val="21"/>
              </w:rPr>
              <w:t>全丧失</w:t>
            </w:r>
          </w:p>
        </w:tc>
        <w:tc>
          <w:tcPr>
            <w:tcW w:w="7519" w:type="dxa"/>
          </w:tcPr>
          <w:p>
            <w:pPr>
              <w:pStyle w:val="9"/>
              <w:spacing w:before="22"/>
              <w:ind w:left="132"/>
              <w:rPr>
                <w:sz w:val="21"/>
              </w:rPr>
            </w:pPr>
            <w:r>
              <w:rPr>
                <w:spacing w:val="-1"/>
                <w:sz w:val="21"/>
              </w:rPr>
              <w:t>咀嚼吞咽能力完全丧失，指因牙齿以外的原因导致器质障碍或机能障碍，以致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3" w:hRule="atLeast"/>
        </w:trPr>
        <w:tc>
          <w:tcPr>
            <w:tcW w:w="632" w:type="dxa"/>
          </w:tcPr>
          <w:p>
            <w:pPr>
              <w:pStyle w:val="9"/>
              <w:rPr>
                <w:rFonts w:ascii="Times New Roman"/>
                <w:sz w:val="20"/>
              </w:rPr>
            </w:pPr>
          </w:p>
        </w:tc>
        <w:tc>
          <w:tcPr>
            <w:tcW w:w="1611" w:type="dxa"/>
          </w:tcPr>
          <w:p>
            <w:pPr>
              <w:pStyle w:val="9"/>
              <w:rPr>
                <w:rFonts w:ascii="Times New Roman"/>
                <w:sz w:val="20"/>
              </w:rPr>
            </w:pPr>
          </w:p>
        </w:tc>
        <w:tc>
          <w:tcPr>
            <w:tcW w:w="7519" w:type="dxa"/>
          </w:tcPr>
          <w:p>
            <w:pPr>
              <w:pStyle w:val="9"/>
              <w:spacing w:before="22"/>
              <w:ind w:left="132"/>
              <w:rPr>
                <w:sz w:val="21"/>
              </w:rPr>
            </w:pPr>
            <w:r>
              <w:rPr>
                <w:spacing w:val="-3"/>
                <w:sz w:val="21"/>
              </w:rPr>
              <w:t>不能作咀嚼吞咽运动，除流质食物外不能摄取或吞咽的状态。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50" w:hRule="atLeast"/>
        </w:trPr>
        <w:tc>
          <w:tcPr>
            <w:tcW w:w="632" w:type="dxa"/>
          </w:tcPr>
          <w:p>
            <w:pPr>
              <w:pStyle w:val="9"/>
              <w:spacing w:before="124"/>
              <w:ind w:left="50"/>
              <w:rPr>
                <w:rFonts w:ascii="Times New Roman"/>
                <w:b/>
                <w:sz w:val="21"/>
              </w:rPr>
            </w:pPr>
            <w:r>
              <w:rPr>
                <w:rFonts w:ascii="Times New Roman"/>
                <w:b/>
                <w:spacing w:val="-4"/>
                <w:sz w:val="21"/>
              </w:rPr>
              <w:t>9.39</w:t>
            </w:r>
          </w:p>
        </w:tc>
        <w:tc>
          <w:tcPr>
            <w:tcW w:w="1611" w:type="dxa"/>
          </w:tcPr>
          <w:p>
            <w:pPr>
              <w:pStyle w:val="9"/>
              <w:spacing w:before="110" w:line="278" w:lineRule="auto"/>
              <w:ind w:left="212" w:right="128"/>
              <w:rPr>
                <w:b/>
                <w:sz w:val="21"/>
              </w:rPr>
            </w:pPr>
            <w:r>
              <w:rPr>
                <w:b/>
                <w:spacing w:val="-2"/>
                <w:sz w:val="21"/>
              </w:rPr>
              <w:t>六项基本日常</w:t>
            </w:r>
            <w:r>
              <w:rPr>
                <w:b/>
                <w:spacing w:val="-4"/>
                <w:sz w:val="21"/>
              </w:rPr>
              <w:t>生活活动</w:t>
            </w:r>
          </w:p>
        </w:tc>
        <w:tc>
          <w:tcPr>
            <w:tcW w:w="7519" w:type="dxa"/>
          </w:tcPr>
          <w:p>
            <w:pPr>
              <w:pStyle w:val="9"/>
              <w:numPr>
                <w:ilvl w:val="0"/>
                <w:numId w:val="29"/>
              </w:numPr>
              <w:tabs>
                <w:tab w:val="left" w:pos="293"/>
              </w:tabs>
              <w:spacing w:before="110" w:after="0" w:line="240" w:lineRule="auto"/>
              <w:ind w:left="292" w:right="0" w:hanging="161"/>
              <w:jc w:val="left"/>
              <w:rPr>
                <w:sz w:val="21"/>
              </w:rPr>
            </w:pPr>
            <w:r>
              <w:rPr>
                <w:spacing w:val="-3"/>
                <w:sz w:val="21"/>
              </w:rPr>
              <w:t>穿衣：自己能够穿衣及脱衣；</w:t>
            </w:r>
          </w:p>
          <w:p>
            <w:pPr>
              <w:pStyle w:val="9"/>
              <w:numPr>
                <w:ilvl w:val="0"/>
                <w:numId w:val="29"/>
              </w:numPr>
              <w:tabs>
                <w:tab w:val="left" w:pos="293"/>
              </w:tabs>
              <w:spacing w:before="43" w:after="0" w:line="240" w:lineRule="auto"/>
              <w:ind w:left="292" w:right="0" w:hanging="161"/>
              <w:jc w:val="left"/>
              <w:rPr>
                <w:sz w:val="21"/>
              </w:rPr>
            </w:pPr>
            <w:r>
              <w:rPr>
                <w:spacing w:val="-3"/>
                <w:sz w:val="21"/>
              </w:rPr>
              <w:t>移动：自己从一个房间到另一个房间；</w:t>
            </w:r>
          </w:p>
          <w:p>
            <w:pPr>
              <w:pStyle w:val="9"/>
              <w:numPr>
                <w:ilvl w:val="0"/>
                <w:numId w:val="29"/>
              </w:numPr>
              <w:tabs>
                <w:tab w:val="left" w:pos="293"/>
              </w:tabs>
              <w:spacing w:before="43" w:after="0" w:line="240" w:lineRule="auto"/>
              <w:ind w:left="292" w:right="0" w:hanging="161"/>
              <w:jc w:val="left"/>
              <w:rPr>
                <w:sz w:val="21"/>
              </w:rPr>
            </w:pPr>
            <w:r>
              <w:rPr>
                <w:spacing w:val="-3"/>
                <w:sz w:val="21"/>
              </w:rPr>
              <w:t>行动：自己上下床或上下轮椅；</w:t>
            </w:r>
          </w:p>
          <w:p>
            <w:pPr>
              <w:pStyle w:val="9"/>
              <w:numPr>
                <w:ilvl w:val="0"/>
                <w:numId w:val="29"/>
              </w:numPr>
              <w:tabs>
                <w:tab w:val="left" w:pos="293"/>
              </w:tabs>
              <w:spacing w:before="43" w:after="0" w:line="240" w:lineRule="auto"/>
              <w:ind w:left="292" w:right="0" w:hanging="161"/>
              <w:jc w:val="left"/>
              <w:rPr>
                <w:sz w:val="21"/>
              </w:rPr>
            </w:pPr>
            <w:r>
              <w:rPr>
                <w:spacing w:val="-3"/>
                <w:sz w:val="21"/>
              </w:rPr>
              <w:t>如厕：自己控制进行大小便；</w:t>
            </w:r>
          </w:p>
          <w:p>
            <w:pPr>
              <w:pStyle w:val="9"/>
              <w:numPr>
                <w:ilvl w:val="0"/>
                <w:numId w:val="29"/>
              </w:numPr>
              <w:tabs>
                <w:tab w:val="left" w:pos="293"/>
              </w:tabs>
              <w:spacing w:before="43" w:after="0" w:line="240" w:lineRule="auto"/>
              <w:ind w:left="292" w:right="0" w:hanging="161"/>
              <w:jc w:val="left"/>
              <w:rPr>
                <w:sz w:val="21"/>
              </w:rPr>
            </w:pPr>
            <w:r>
              <w:rPr>
                <w:spacing w:val="-3"/>
                <w:sz w:val="21"/>
              </w:rPr>
              <w:t>进食：自己从已准备好的碗或碟中取食物放入口中；</w:t>
            </w:r>
          </w:p>
          <w:p>
            <w:pPr>
              <w:pStyle w:val="9"/>
              <w:numPr>
                <w:ilvl w:val="0"/>
                <w:numId w:val="29"/>
              </w:numPr>
              <w:tabs>
                <w:tab w:val="left" w:pos="293"/>
              </w:tabs>
              <w:spacing w:before="43" w:after="0" w:line="240" w:lineRule="auto"/>
              <w:ind w:left="292" w:right="0" w:hanging="161"/>
              <w:jc w:val="left"/>
              <w:rPr>
                <w:sz w:val="21"/>
              </w:rPr>
            </w:pPr>
            <w:r>
              <w:rPr>
                <w:spacing w:val="-3"/>
                <w:sz w:val="21"/>
              </w:rPr>
              <w:t>洗澡：自己进行淋浴或盆浴。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632" w:type="dxa"/>
          </w:tcPr>
          <w:p>
            <w:pPr>
              <w:pStyle w:val="9"/>
              <w:spacing w:before="116"/>
              <w:ind w:left="50"/>
              <w:rPr>
                <w:rFonts w:ascii="Times New Roman"/>
                <w:b/>
                <w:sz w:val="21"/>
              </w:rPr>
            </w:pPr>
            <w:r>
              <w:rPr>
                <w:rFonts w:ascii="Times New Roman"/>
                <w:b/>
                <w:spacing w:val="-4"/>
                <w:sz w:val="21"/>
              </w:rPr>
              <w:t>9.40</w:t>
            </w:r>
          </w:p>
        </w:tc>
        <w:tc>
          <w:tcPr>
            <w:tcW w:w="1611" w:type="dxa"/>
          </w:tcPr>
          <w:p>
            <w:pPr>
              <w:pStyle w:val="9"/>
              <w:spacing w:before="102"/>
              <w:ind w:left="212"/>
              <w:rPr>
                <w:b/>
                <w:sz w:val="21"/>
              </w:rPr>
            </w:pPr>
            <w:r>
              <w:rPr>
                <w:b/>
                <w:spacing w:val="-2"/>
                <w:sz w:val="21"/>
              </w:rPr>
              <w:t>永久不可逆</w:t>
            </w:r>
          </w:p>
        </w:tc>
        <w:tc>
          <w:tcPr>
            <w:tcW w:w="7519" w:type="dxa"/>
          </w:tcPr>
          <w:p>
            <w:pPr>
              <w:pStyle w:val="9"/>
              <w:spacing w:before="102"/>
              <w:ind w:left="132"/>
              <w:rPr>
                <w:sz w:val="21"/>
              </w:rPr>
            </w:pPr>
            <w:r>
              <w:rPr>
                <w:spacing w:val="-2"/>
                <w:sz w:val="21"/>
              </w:rPr>
              <w:t xml:space="preserve">指自疾病确诊或意外伤害发生之日起，经过积极治疗 </w:t>
            </w:r>
            <w:r>
              <w:rPr>
                <w:rFonts w:ascii="Times New Roman" w:eastAsia="Times New Roman"/>
                <w:sz w:val="21"/>
              </w:rPr>
              <w:t>180</w:t>
            </w:r>
            <w:r>
              <w:rPr>
                <w:rFonts w:ascii="Times New Roman" w:eastAsia="Times New Roman"/>
                <w:spacing w:val="14"/>
                <w:sz w:val="21"/>
              </w:rPr>
              <w:t xml:space="preserve"> </w:t>
            </w:r>
            <w:r>
              <w:rPr>
                <w:spacing w:val="-2"/>
                <w:sz w:val="21"/>
              </w:rPr>
              <w:t>日后，仍无法通过现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3" w:hRule="atLeast"/>
        </w:trPr>
        <w:tc>
          <w:tcPr>
            <w:tcW w:w="632" w:type="dxa"/>
          </w:tcPr>
          <w:p>
            <w:pPr>
              <w:pStyle w:val="9"/>
              <w:rPr>
                <w:rFonts w:ascii="Times New Roman"/>
                <w:sz w:val="18"/>
              </w:rPr>
            </w:pPr>
          </w:p>
        </w:tc>
        <w:tc>
          <w:tcPr>
            <w:tcW w:w="1611" w:type="dxa"/>
          </w:tcPr>
          <w:p>
            <w:pPr>
              <w:pStyle w:val="9"/>
              <w:rPr>
                <w:rFonts w:ascii="Times New Roman"/>
                <w:sz w:val="18"/>
              </w:rPr>
            </w:pPr>
          </w:p>
        </w:tc>
        <w:tc>
          <w:tcPr>
            <w:tcW w:w="7519" w:type="dxa"/>
          </w:tcPr>
          <w:p>
            <w:pPr>
              <w:pStyle w:val="9"/>
              <w:spacing w:before="14" w:line="220" w:lineRule="exact"/>
              <w:ind w:left="132"/>
              <w:rPr>
                <w:sz w:val="21"/>
              </w:rPr>
            </w:pPr>
            <w:r>
              <w:rPr>
                <w:spacing w:val="-4"/>
                <w:sz w:val="21"/>
              </w:rPr>
              <w:t>有医疗手段恢复。</w:t>
            </w:r>
          </w:p>
        </w:tc>
      </w:tr>
    </w:tbl>
    <w:p>
      <w:pPr>
        <w:pStyle w:val="4"/>
        <w:ind w:left="0"/>
        <w:rPr>
          <w:sz w:val="20"/>
        </w:rPr>
      </w:pPr>
    </w:p>
    <w:p>
      <w:pPr>
        <w:pStyle w:val="4"/>
        <w:ind w:left="0"/>
        <w:rPr>
          <w:sz w:val="20"/>
        </w:rPr>
      </w:pPr>
    </w:p>
    <w:p>
      <w:pPr>
        <w:pStyle w:val="4"/>
        <w:spacing w:before="10"/>
        <w:ind w:left="0"/>
        <w:rPr>
          <w:sz w:val="24"/>
        </w:rPr>
      </w:pPr>
    </w:p>
    <w:p>
      <w:pPr>
        <w:pStyle w:val="4"/>
        <w:spacing w:before="72"/>
        <w:ind w:left="3978" w:right="3959"/>
        <w:jc w:val="center"/>
      </w:pPr>
      <w:r>
        <w:rPr>
          <w:spacing w:val="-2"/>
        </w:rPr>
        <w:t>（保险条款内容结束</w:t>
      </w:r>
      <w:r>
        <w:rPr>
          <w:spacing w:val="-10"/>
        </w:rPr>
        <w:t>）</w:t>
      </w:r>
    </w:p>
    <w:sectPr>
      <w:type w:val="continuous"/>
      <w:pgSz w:w="11910" w:h="16840"/>
      <w:pgMar w:top="1160" w:right="940" w:bottom="1180" w:left="920" w:header="0" w:footer="98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19"/>
      </w:rPr>
    </w:pPr>
    <w:r>
      <w:pict>
        <v:shape id="docshape1" o:spid="_x0000_s2049" o:spt="202" type="#_x0000_t202" style="position:absolute;left:0pt;margin-left:290.05pt;margin-top:781.15pt;height:12pt;width:16.15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12</w:t>
                </w:r>
                <w:r>
                  <w:rPr>
                    <w:rFonts w:ascii="Times New Roman"/>
                    <w:spacing w:val="-5"/>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476"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204" w:hanging="264"/>
      </w:pPr>
      <w:rPr>
        <w:rFonts w:hint="default"/>
        <w:lang w:val="en-US" w:eastAsia="zh-CN" w:bidi="ar-SA"/>
      </w:rPr>
    </w:lvl>
    <w:lvl w:ilvl="2" w:tentative="0">
      <w:start w:val="0"/>
      <w:numFmt w:val="bullet"/>
      <w:lvlText w:val="•"/>
      <w:lvlJc w:val="left"/>
      <w:pPr>
        <w:ind w:left="1928" w:hanging="264"/>
      </w:pPr>
      <w:rPr>
        <w:rFonts w:hint="default"/>
        <w:lang w:val="en-US" w:eastAsia="zh-CN" w:bidi="ar-SA"/>
      </w:rPr>
    </w:lvl>
    <w:lvl w:ilvl="3" w:tentative="0">
      <w:start w:val="0"/>
      <w:numFmt w:val="bullet"/>
      <w:lvlText w:val="•"/>
      <w:lvlJc w:val="left"/>
      <w:pPr>
        <w:ind w:left="2652" w:hanging="264"/>
      </w:pPr>
      <w:rPr>
        <w:rFonts w:hint="default"/>
        <w:lang w:val="en-US" w:eastAsia="zh-CN" w:bidi="ar-SA"/>
      </w:rPr>
    </w:lvl>
    <w:lvl w:ilvl="4" w:tentative="0">
      <w:start w:val="0"/>
      <w:numFmt w:val="bullet"/>
      <w:lvlText w:val="•"/>
      <w:lvlJc w:val="left"/>
      <w:pPr>
        <w:ind w:left="3376" w:hanging="264"/>
      </w:pPr>
      <w:rPr>
        <w:rFonts w:hint="default"/>
        <w:lang w:val="en-US" w:eastAsia="zh-CN" w:bidi="ar-SA"/>
      </w:rPr>
    </w:lvl>
    <w:lvl w:ilvl="5" w:tentative="0">
      <w:start w:val="0"/>
      <w:numFmt w:val="bullet"/>
      <w:lvlText w:val="•"/>
      <w:lvlJc w:val="left"/>
      <w:pPr>
        <w:ind w:left="4100" w:hanging="264"/>
      </w:pPr>
      <w:rPr>
        <w:rFonts w:hint="default"/>
        <w:lang w:val="en-US" w:eastAsia="zh-CN" w:bidi="ar-SA"/>
      </w:rPr>
    </w:lvl>
    <w:lvl w:ilvl="6" w:tentative="0">
      <w:start w:val="0"/>
      <w:numFmt w:val="bullet"/>
      <w:lvlText w:val="•"/>
      <w:lvlJc w:val="left"/>
      <w:pPr>
        <w:ind w:left="4824" w:hanging="264"/>
      </w:pPr>
      <w:rPr>
        <w:rFonts w:hint="default"/>
        <w:lang w:val="en-US" w:eastAsia="zh-CN" w:bidi="ar-SA"/>
      </w:rPr>
    </w:lvl>
    <w:lvl w:ilvl="7" w:tentative="0">
      <w:start w:val="0"/>
      <w:numFmt w:val="bullet"/>
      <w:lvlText w:val="•"/>
      <w:lvlJc w:val="left"/>
      <w:pPr>
        <w:ind w:left="5548" w:hanging="264"/>
      </w:pPr>
      <w:rPr>
        <w:rFonts w:hint="default"/>
        <w:lang w:val="en-US" w:eastAsia="zh-CN" w:bidi="ar-SA"/>
      </w:rPr>
    </w:lvl>
    <w:lvl w:ilvl="8" w:tentative="0">
      <w:start w:val="0"/>
      <w:numFmt w:val="bullet"/>
      <w:lvlText w:val="•"/>
      <w:lvlJc w:val="left"/>
      <w:pPr>
        <w:ind w:left="6272" w:hanging="264"/>
      </w:pPr>
      <w:rPr>
        <w:rFonts w:hint="default"/>
        <w:lang w:val="en-US" w:eastAsia="zh-CN" w:bidi="ar-SA"/>
      </w:rPr>
    </w:lvl>
  </w:abstractNum>
  <w:abstractNum w:abstractNumId="1">
    <w:nsid w:val="9288B902"/>
    <w:multiLevelType w:val="multilevel"/>
    <w:tmpl w:val="9288B902"/>
    <w:lvl w:ilvl="0" w:tentative="0">
      <w:start w:val="1"/>
      <w:numFmt w:val="decimal"/>
      <w:lvlText w:val="%1."/>
      <w:lvlJc w:val="left"/>
      <w:pPr>
        <w:ind w:left="292"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tentative="0">
      <w:start w:val="0"/>
      <w:numFmt w:val="bullet"/>
      <w:lvlText w:val="•"/>
      <w:lvlJc w:val="left"/>
      <w:pPr>
        <w:ind w:left="1021" w:hanging="160"/>
      </w:pPr>
      <w:rPr>
        <w:rFonts w:hint="default"/>
        <w:lang w:val="en-US" w:eastAsia="zh-CN" w:bidi="ar-SA"/>
      </w:rPr>
    </w:lvl>
    <w:lvl w:ilvl="2" w:tentative="0">
      <w:start w:val="0"/>
      <w:numFmt w:val="bullet"/>
      <w:lvlText w:val="•"/>
      <w:lvlJc w:val="left"/>
      <w:pPr>
        <w:ind w:left="1743" w:hanging="160"/>
      </w:pPr>
      <w:rPr>
        <w:rFonts w:hint="default"/>
        <w:lang w:val="en-US" w:eastAsia="zh-CN" w:bidi="ar-SA"/>
      </w:rPr>
    </w:lvl>
    <w:lvl w:ilvl="3" w:tentative="0">
      <w:start w:val="0"/>
      <w:numFmt w:val="bullet"/>
      <w:lvlText w:val="•"/>
      <w:lvlJc w:val="left"/>
      <w:pPr>
        <w:ind w:left="2465" w:hanging="160"/>
      </w:pPr>
      <w:rPr>
        <w:rFonts w:hint="default"/>
        <w:lang w:val="en-US" w:eastAsia="zh-CN" w:bidi="ar-SA"/>
      </w:rPr>
    </w:lvl>
    <w:lvl w:ilvl="4" w:tentative="0">
      <w:start w:val="0"/>
      <w:numFmt w:val="bullet"/>
      <w:lvlText w:val="•"/>
      <w:lvlJc w:val="left"/>
      <w:pPr>
        <w:ind w:left="3187" w:hanging="160"/>
      </w:pPr>
      <w:rPr>
        <w:rFonts w:hint="default"/>
        <w:lang w:val="en-US" w:eastAsia="zh-CN" w:bidi="ar-SA"/>
      </w:rPr>
    </w:lvl>
    <w:lvl w:ilvl="5" w:tentative="0">
      <w:start w:val="0"/>
      <w:numFmt w:val="bullet"/>
      <w:lvlText w:val="•"/>
      <w:lvlJc w:val="left"/>
      <w:pPr>
        <w:ind w:left="3909" w:hanging="160"/>
      </w:pPr>
      <w:rPr>
        <w:rFonts w:hint="default"/>
        <w:lang w:val="en-US" w:eastAsia="zh-CN" w:bidi="ar-SA"/>
      </w:rPr>
    </w:lvl>
    <w:lvl w:ilvl="6" w:tentative="0">
      <w:start w:val="0"/>
      <w:numFmt w:val="bullet"/>
      <w:lvlText w:val="•"/>
      <w:lvlJc w:val="left"/>
      <w:pPr>
        <w:ind w:left="4631" w:hanging="160"/>
      </w:pPr>
      <w:rPr>
        <w:rFonts w:hint="default"/>
        <w:lang w:val="en-US" w:eastAsia="zh-CN" w:bidi="ar-SA"/>
      </w:rPr>
    </w:lvl>
    <w:lvl w:ilvl="7" w:tentative="0">
      <w:start w:val="0"/>
      <w:numFmt w:val="bullet"/>
      <w:lvlText w:val="•"/>
      <w:lvlJc w:val="left"/>
      <w:pPr>
        <w:ind w:left="5353" w:hanging="160"/>
      </w:pPr>
      <w:rPr>
        <w:rFonts w:hint="default"/>
        <w:lang w:val="en-US" w:eastAsia="zh-CN" w:bidi="ar-SA"/>
      </w:rPr>
    </w:lvl>
    <w:lvl w:ilvl="8" w:tentative="0">
      <w:start w:val="0"/>
      <w:numFmt w:val="bullet"/>
      <w:lvlText w:val="•"/>
      <w:lvlJc w:val="left"/>
      <w:pPr>
        <w:ind w:left="6075" w:hanging="160"/>
      </w:pPr>
      <w:rPr>
        <w:rFonts w:hint="default"/>
        <w:lang w:val="en-US" w:eastAsia="zh-CN" w:bidi="ar-SA"/>
      </w:rPr>
    </w:lvl>
  </w:abstractNum>
  <w:abstractNum w:abstractNumId="2">
    <w:nsid w:val="9C8AC8EF"/>
    <w:multiLevelType w:val="multilevel"/>
    <w:tmpl w:val="9C8AC8EF"/>
    <w:lvl w:ilvl="0" w:tentative="0">
      <w:start w:val="1"/>
      <w:numFmt w:val="decimal"/>
      <w:lvlText w:val="%1."/>
      <w:lvlJc w:val="left"/>
      <w:pPr>
        <w:ind w:left="299" w:hanging="167"/>
        <w:jc w:val="left"/>
      </w:pPr>
      <w:rPr>
        <w:rFonts w:hint="default" w:ascii="Times New Roman" w:hAnsi="Times New Roman" w:eastAsia="Times New Roman" w:cs="Times New Roman"/>
        <w:b w:val="0"/>
        <w:bCs w:val="0"/>
        <w:i w:val="0"/>
        <w:iCs w:val="0"/>
        <w:w w:val="100"/>
        <w:sz w:val="19"/>
        <w:szCs w:val="19"/>
        <w:lang w:val="en-US" w:eastAsia="zh-CN" w:bidi="ar-SA"/>
      </w:rPr>
    </w:lvl>
    <w:lvl w:ilvl="1" w:tentative="0">
      <w:start w:val="0"/>
      <w:numFmt w:val="bullet"/>
      <w:lvlText w:val="•"/>
      <w:lvlJc w:val="left"/>
      <w:pPr>
        <w:ind w:left="1021" w:hanging="167"/>
      </w:pPr>
      <w:rPr>
        <w:rFonts w:hint="default"/>
        <w:lang w:val="en-US" w:eastAsia="zh-CN" w:bidi="ar-SA"/>
      </w:rPr>
    </w:lvl>
    <w:lvl w:ilvl="2" w:tentative="0">
      <w:start w:val="0"/>
      <w:numFmt w:val="bullet"/>
      <w:lvlText w:val="•"/>
      <w:lvlJc w:val="left"/>
      <w:pPr>
        <w:ind w:left="1743" w:hanging="167"/>
      </w:pPr>
      <w:rPr>
        <w:rFonts w:hint="default"/>
        <w:lang w:val="en-US" w:eastAsia="zh-CN" w:bidi="ar-SA"/>
      </w:rPr>
    </w:lvl>
    <w:lvl w:ilvl="3" w:tentative="0">
      <w:start w:val="0"/>
      <w:numFmt w:val="bullet"/>
      <w:lvlText w:val="•"/>
      <w:lvlJc w:val="left"/>
      <w:pPr>
        <w:ind w:left="2465" w:hanging="167"/>
      </w:pPr>
      <w:rPr>
        <w:rFonts w:hint="default"/>
        <w:lang w:val="en-US" w:eastAsia="zh-CN" w:bidi="ar-SA"/>
      </w:rPr>
    </w:lvl>
    <w:lvl w:ilvl="4" w:tentative="0">
      <w:start w:val="0"/>
      <w:numFmt w:val="bullet"/>
      <w:lvlText w:val="•"/>
      <w:lvlJc w:val="left"/>
      <w:pPr>
        <w:ind w:left="3187" w:hanging="167"/>
      </w:pPr>
      <w:rPr>
        <w:rFonts w:hint="default"/>
        <w:lang w:val="en-US" w:eastAsia="zh-CN" w:bidi="ar-SA"/>
      </w:rPr>
    </w:lvl>
    <w:lvl w:ilvl="5" w:tentative="0">
      <w:start w:val="0"/>
      <w:numFmt w:val="bullet"/>
      <w:lvlText w:val="•"/>
      <w:lvlJc w:val="left"/>
      <w:pPr>
        <w:ind w:left="3909" w:hanging="167"/>
      </w:pPr>
      <w:rPr>
        <w:rFonts w:hint="default"/>
        <w:lang w:val="en-US" w:eastAsia="zh-CN" w:bidi="ar-SA"/>
      </w:rPr>
    </w:lvl>
    <w:lvl w:ilvl="6" w:tentative="0">
      <w:start w:val="0"/>
      <w:numFmt w:val="bullet"/>
      <w:lvlText w:val="•"/>
      <w:lvlJc w:val="left"/>
      <w:pPr>
        <w:ind w:left="4631" w:hanging="167"/>
      </w:pPr>
      <w:rPr>
        <w:rFonts w:hint="default"/>
        <w:lang w:val="en-US" w:eastAsia="zh-CN" w:bidi="ar-SA"/>
      </w:rPr>
    </w:lvl>
    <w:lvl w:ilvl="7" w:tentative="0">
      <w:start w:val="0"/>
      <w:numFmt w:val="bullet"/>
      <w:lvlText w:val="•"/>
      <w:lvlJc w:val="left"/>
      <w:pPr>
        <w:ind w:left="5353" w:hanging="167"/>
      </w:pPr>
      <w:rPr>
        <w:rFonts w:hint="default"/>
        <w:lang w:val="en-US" w:eastAsia="zh-CN" w:bidi="ar-SA"/>
      </w:rPr>
    </w:lvl>
    <w:lvl w:ilvl="8" w:tentative="0">
      <w:start w:val="0"/>
      <w:numFmt w:val="bullet"/>
      <w:lvlText w:val="•"/>
      <w:lvlJc w:val="left"/>
      <w:pPr>
        <w:ind w:left="6075" w:hanging="167"/>
      </w:pPr>
      <w:rPr>
        <w:rFonts w:hint="default"/>
        <w:lang w:val="en-US" w:eastAsia="zh-CN" w:bidi="ar-SA"/>
      </w:rPr>
    </w:lvl>
  </w:abstractNum>
  <w:abstractNum w:abstractNumId="3">
    <w:nsid w:val="B0F1ACD9"/>
    <w:multiLevelType w:val="multilevel"/>
    <w:tmpl w:val="B0F1ACD9"/>
    <w:lvl w:ilvl="0" w:tentative="0">
      <w:start w:val="1"/>
      <w:numFmt w:val="decimal"/>
      <w:lvlText w:val="（%1）"/>
      <w:lvlJc w:val="left"/>
      <w:pPr>
        <w:ind w:left="3068" w:hanging="530"/>
        <w:jc w:val="left"/>
      </w:pPr>
      <w:rPr>
        <w:rFonts w:hint="default" w:ascii="宋体" w:hAnsi="宋体" w:eastAsia="宋体" w:cs="宋体"/>
        <w:b w:val="0"/>
        <w:bCs w:val="0"/>
        <w:i w:val="0"/>
        <w:iCs w:val="0"/>
        <w:spacing w:val="-3"/>
        <w:w w:val="100"/>
        <w:sz w:val="19"/>
        <w:szCs w:val="19"/>
        <w:shd w:val="clear" w:color="auto" w:fill="D9D9D9"/>
        <w:lang w:val="en-US" w:eastAsia="zh-CN" w:bidi="ar-SA"/>
      </w:rPr>
    </w:lvl>
    <w:lvl w:ilvl="1" w:tentative="0">
      <w:start w:val="0"/>
      <w:numFmt w:val="bullet"/>
      <w:lvlText w:val="•"/>
      <w:lvlJc w:val="left"/>
      <w:pPr>
        <w:ind w:left="3758" w:hanging="530"/>
      </w:pPr>
      <w:rPr>
        <w:rFonts w:hint="default"/>
        <w:lang w:val="en-US" w:eastAsia="zh-CN" w:bidi="ar-SA"/>
      </w:rPr>
    </w:lvl>
    <w:lvl w:ilvl="2" w:tentative="0">
      <w:start w:val="0"/>
      <w:numFmt w:val="bullet"/>
      <w:lvlText w:val="•"/>
      <w:lvlJc w:val="left"/>
      <w:pPr>
        <w:ind w:left="4457" w:hanging="530"/>
      </w:pPr>
      <w:rPr>
        <w:rFonts w:hint="default"/>
        <w:lang w:val="en-US" w:eastAsia="zh-CN" w:bidi="ar-SA"/>
      </w:rPr>
    </w:lvl>
    <w:lvl w:ilvl="3" w:tentative="0">
      <w:start w:val="0"/>
      <w:numFmt w:val="bullet"/>
      <w:lvlText w:val="•"/>
      <w:lvlJc w:val="left"/>
      <w:pPr>
        <w:ind w:left="5155" w:hanging="530"/>
      </w:pPr>
      <w:rPr>
        <w:rFonts w:hint="default"/>
        <w:lang w:val="en-US" w:eastAsia="zh-CN" w:bidi="ar-SA"/>
      </w:rPr>
    </w:lvl>
    <w:lvl w:ilvl="4" w:tentative="0">
      <w:start w:val="0"/>
      <w:numFmt w:val="bullet"/>
      <w:lvlText w:val="•"/>
      <w:lvlJc w:val="left"/>
      <w:pPr>
        <w:ind w:left="5854" w:hanging="530"/>
      </w:pPr>
      <w:rPr>
        <w:rFonts w:hint="default"/>
        <w:lang w:val="en-US" w:eastAsia="zh-CN" w:bidi="ar-SA"/>
      </w:rPr>
    </w:lvl>
    <w:lvl w:ilvl="5" w:tentative="0">
      <w:start w:val="0"/>
      <w:numFmt w:val="bullet"/>
      <w:lvlText w:val="•"/>
      <w:lvlJc w:val="left"/>
      <w:pPr>
        <w:ind w:left="6553" w:hanging="530"/>
      </w:pPr>
      <w:rPr>
        <w:rFonts w:hint="default"/>
        <w:lang w:val="en-US" w:eastAsia="zh-CN" w:bidi="ar-SA"/>
      </w:rPr>
    </w:lvl>
    <w:lvl w:ilvl="6" w:tentative="0">
      <w:start w:val="0"/>
      <w:numFmt w:val="bullet"/>
      <w:lvlText w:val="•"/>
      <w:lvlJc w:val="left"/>
      <w:pPr>
        <w:ind w:left="7251" w:hanging="530"/>
      </w:pPr>
      <w:rPr>
        <w:rFonts w:hint="default"/>
        <w:lang w:val="en-US" w:eastAsia="zh-CN" w:bidi="ar-SA"/>
      </w:rPr>
    </w:lvl>
    <w:lvl w:ilvl="7" w:tentative="0">
      <w:start w:val="0"/>
      <w:numFmt w:val="bullet"/>
      <w:lvlText w:val="•"/>
      <w:lvlJc w:val="left"/>
      <w:pPr>
        <w:ind w:left="7950" w:hanging="530"/>
      </w:pPr>
      <w:rPr>
        <w:rFonts w:hint="default"/>
        <w:lang w:val="en-US" w:eastAsia="zh-CN" w:bidi="ar-SA"/>
      </w:rPr>
    </w:lvl>
    <w:lvl w:ilvl="8" w:tentative="0">
      <w:start w:val="0"/>
      <w:numFmt w:val="bullet"/>
      <w:lvlText w:val="•"/>
      <w:lvlJc w:val="left"/>
      <w:pPr>
        <w:ind w:left="8649" w:hanging="530"/>
      </w:pPr>
      <w:rPr>
        <w:rFonts w:hint="default"/>
        <w:lang w:val="en-US" w:eastAsia="zh-CN" w:bidi="ar-SA"/>
      </w:rPr>
    </w:lvl>
  </w:abstractNum>
  <w:abstractNum w:abstractNumId="4">
    <w:nsid w:val="B5E306ED"/>
    <w:multiLevelType w:val="multilevel"/>
    <w:tmpl w:val="B5E306ED"/>
    <w:lvl w:ilvl="0" w:tentative="0">
      <w:start w:val="1"/>
      <w:numFmt w:val="decimal"/>
      <w:lvlText w:val="%1."/>
      <w:lvlJc w:val="left"/>
      <w:pPr>
        <w:ind w:left="459"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184" w:hanging="264"/>
      </w:pPr>
      <w:rPr>
        <w:rFonts w:hint="default"/>
        <w:lang w:val="en-US" w:eastAsia="zh-CN" w:bidi="ar-SA"/>
      </w:rPr>
    </w:lvl>
    <w:lvl w:ilvl="2" w:tentative="0">
      <w:start w:val="0"/>
      <w:numFmt w:val="bullet"/>
      <w:lvlText w:val="•"/>
      <w:lvlJc w:val="left"/>
      <w:pPr>
        <w:ind w:left="1908" w:hanging="264"/>
      </w:pPr>
      <w:rPr>
        <w:rFonts w:hint="default"/>
        <w:lang w:val="en-US" w:eastAsia="zh-CN" w:bidi="ar-SA"/>
      </w:rPr>
    </w:lvl>
    <w:lvl w:ilvl="3" w:tentative="0">
      <w:start w:val="0"/>
      <w:numFmt w:val="bullet"/>
      <w:lvlText w:val="•"/>
      <w:lvlJc w:val="left"/>
      <w:pPr>
        <w:ind w:left="2632" w:hanging="264"/>
      </w:pPr>
      <w:rPr>
        <w:rFonts w:hint="default"/>
        <w:lang w:val="en-US" w:eastAsia="zh-CN" w:bidi="ar-SA"/>
      </w:rPr>
    </w:lvl>
    <w:lvl w:ilvl="4" w:tentative="0">
      <w:start w:val="0"/>
      <w:numFmt w:val="bullet"/>
      <w:lvlText w:val="•"/>
      <w:lvlJc w:val="left"/>
      <w:pPr>
        <w:ind w:left="3357" w:hanging="264"/>
      </w:pPr>
      <w:rPr>
        <w:rFonts w:hint="default"/>
        <w:lang w:val="en-US" w:eastAsia="zh-CN" w:bidi="ar-SA"/>
      </w:rPr>
    </w:lvl>
    <w:lvl w:ilvl="5" w:tentative="0">
      <w:start w:val="0"/>
      <w:numFmt w:val="bullet"/>
      <w:lvlText w:val="•"/>
      <w:lvlJc w:val="left"/>
      <w:pPr>
        <w:ind w:left="4081" w:hanging="264"/>
      </w:pPr>
      <w:rPr>
        <w:rFonts w:hint="default"/>
        <w:lang w:val="en-US" w:eastAsia="zh-CN" w:bidi="ar-SA"/>
      </w:rPr>
    </w:lvl>
    <w:lvl w:ilvl="6" w:tentative="0">
      <w:start w:val="0"/>
      <w:numFmt w:val="bullet"/>
      <w:lvlText w:val="•"/>
      <w:lvlJc w:val="left"/>
      <w:pPr>
        <w:ind w:left="4805" w:hanging="264"/>
      </w:pPr>
      <w:rPr>
        <w:rFonts w:hint="default"/>
        <w:lang w:val="en-US" w:eastAsia="zh-CN" w:bidi="ar-SA"/>
      </w:rPr>
    </w:lvl>
    <w:lvl w:ilvl="7" w:tentative="0">
      <w:start w:val="0"/>
      <w:numFmt w:val="bullet"/>
      <w:lvlText w:val="•"/>
      <w:lvlJc w:val="left"/>
      <w:pPr>
        <w:ind w:left="5529" w:hanging="264"/>
      </w:pPr>
      <w:rPr>
        <w:rFonts w:hint="default"/>
        <w:lang w:val="en-US" w:eastAsia="zh-CN" w:bidi="ar-SA"/>
      </w:rPr>
    </w:lvl>
    <w:lvl w:ilvl="8" w:tentative="0">
      <w:start w:val="0"/>
      <w:numFmt w:val="bullet"/>
      <w:lvlText w:val="•"/>
      <w:lvlJc w:val="left"/>
      <w:pPr>
        <w:ind w:left="6254" w:hanging="264"/>
      </w:pPr>
      <w:rPr>
        <w:rFonts w:hint="default"/>
        <w:lang w:val="en-US" w:eastAsia="zh-CN" w:bidi="ar-SA"/>
      </w:rPr>
    </w:lvl>
  </w:abstractNum>
  <w:abstractNum w:abstractNumId="5">
    <w:nsid w:val="BE923771"/>
    <w:multiLevelType w:val="multilevel"/>
    <w:tmpl w:val="BE923771"/>
    <w:lvl w:ilvl="0" w:tentative="0">
      <w:start w:val="1"/>
      <w:numFmt w:val="decimal"/>
      <w:lvlText w:val="%1."/>
      <w:lvlJc w:val="left"/>
      <w:pPr>
        <w:ind w:left="397"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111" w:hanging="264"/>
      </w:pPr>
      <w:rPr>
        <w:rFonts w:hint="default"/>
        <w:lang w:val="en-US" w:eastAsia="zh-CN" w:bidi="ar-SA"/>
      </w:rPr>
    </w:lvl>
    <w:lvl w:ilvl="2" w:tentative="0">
      <w:start w:val="0"/>
      <w:numFmt w:val="bullet"/>
      <w:lvlText w:val="•"/>
      <w:lvlJc w:val="left"/>
      <w:pPr>
        <w:ind w:left="1823" w:hanging="264"/>
      </w:pPr>
      <w:rPr>
        <w:rFonts w:hint="default"/>
        <w:lang w:val="en-US" w:eastAsia="zh-CN" w:bidi="ar-SA"/>
      </w:rPr>
    </w:lvl>
    <w:lvl w:ilvl="3" w:tentative="0">
      <w:start w:val="0"/>
      <w:numFmt w:val="bullet"/>
      <w:lvlText w:val="•"/>
      <w:lvlJc w:val="left"/>
      <w:pPr>
        <w:ind w:left="2535" w:hanging="264"/>
      </w:pPr>
      <w:rPr>
        <w:rFonts w:hint="default"/>
        <w:lang w:val="en-US" w:eastAsia="zh-CN" w:bidi="ar-SA"/>
      </w:rPr>
    </w:lvl>
    <w:lvl w:ilvl="4" w:tentative="0">
      <w:start w:val="0"/>
      <w:numFmt w:val="bullet"/>
      <w:lvlText w:val="•"/>
      <w:lvlJc w:val="left"/>
      <w:pPr>
        <w:ind w:left="3246" w:hanging="264"/>
      </w:pPr>
      <w:rPr>
        <w:rFonts w:hint="default"/>
        <w:lang w:val="en-US" w:eastAsia="zh-CN" w:bidi="ar-SA"/>
      </w:rPr>
    </w:lvl>
    <w:lvl w:ilvl="5" w:tentative="0">
      <w:start w:val="0"/>
      <w:numFmt w:val="bullet"/>
      <w:lvlText w:val="•"/>
      <w:lvlJc w:val="left"/>
      <w:pPr>
        <w:ind w:left="3958" w:hanging="264"/>
      </w:pPr>
      <w:rPr>
        <w:rFonts w:hint="default"/>
        <w:lang w:val="en-US" w:eastAsia="zh-CN" w:bidi="ar-SA"/>
      </w:rPr>
    </w:lvl>
    <w:lvl w:ilvl="6" w:tentative="0">
      <w:start w:val="0"/>
      <w:numFmt w:val="bullet"/>
      <w:lvlText w:val="•"/>
      <w:lvlJc w:val="left"/>
      <w:pPr>
        <w:ind w:left="4670" w:hanging="264"/>
      </w:pPr>
      <w:rPr>
        <w:rFonts w:hint="default"/>
        <w:lang w:val="en-US" w:eastAsia="zh-CN" w:bidi="ar-SA"/>
      </w:rPr>
    </w:lvl>
    <w:lvl w:ilvl="7" w:tentative="0">
      <w:start w:val="0"/>
      <w:numFmt w:val="bullet"/>
      <w:lvlText w:val="•"/>
      <w:lvlJc w:val="left"/>
      <w:pPr>
        <w:ind w:left="5381" w:hanging="264"/>
      </w:pPr>
      <w:rPr>
        <w:rFonts w:hint="default"/>
        <w:lang w:val="en-US" w:eastAsia="zh-CN" w:bidi="ar-SA"/>
      </w:rPr>
    </w:lvl>
    <w:lvl w:ilvl="8" w:tentative="0">
      <w:start w:val="0"/>
      <w:numFmt w:val="bullet"/>
      <w:lvlText w:val="•"/>
      <w:lvlJc w:val="left"/>
      <w:pPr>
        <w:ind w:left="6093" w:hanging="264"/>
      </w:pPr>
      <w:rPr>
        <w:rFonts w:hint="default"/>
        <w:lang w:val="en-US" w:eastAsia="zh-CN" w:bidi="ar-SA"/>
      </w:rPr>
    </w:lvl>
  </w:abstractNum>
  <w:abstractNum w:abstractNumId="6">
    <w:nsid w:val="BF205925"/>
    <w:multiLevelType w:val="multilevel"/>
    <w:tmpl w:val="BF205925"/>
    <w:lvl w:ilvl="0" w:tentative="0">
      <w:start w:val="2"/>
      <w:numFmt w:val="decimal"/>
      <w:lvlText w:val="%1"/>
      <w:lvlJc w:val="left"/>
      <w:pPr>
        <w:ind w:left="1007" w:hanging="795"/>
        <w:jc w:val="left"/>
      </w:pPr>
      <w:rPr>
        <w:rFonts w:hint="default"/>
        <w:lang w:val="en-US" w:eastAsia="zh-CN" w:bidi="ar-SA"/>
      </w:rPr>
    </w:lvl>
    <w:lvl w:ilvl="1" w:tentative="0">
      <w:start w:val="3"/>
      <w:numFmt w:val="decimal"/>
      <w:lvlText w:val="%1.%2"/>
      <w:lvlJc w:val="left"/>
      <w:pPr>
        <w:ind w:left="1007" w:hanging="795"/>
        <w:jc w:val="left"/>
      </w:pPr>
      <w:rPr>
        <w:rFonts w:hint="default"/>
        <w:lang w:val="en-US" w:eastAsia="zh-CN" w:bidi="ar-SA"/>
      </w:rPr>
    </w:lvl>
    <w:lvl w:ilvl="2" w:tentative="0">
      <w:start w:val="1"/>
      <w:numFmt w:val="decimal"/>
      <w:lvlText w:val="%1.%2.%3"/>
      <w:lvlJc w:val="left"/>
      <w:pPr>
        <w:ind w:left="1007" w:hanging="795"/>
        <w:jc w:val="left"/>
      </w:pPr>
      <w:rPr>
        <w:rFonts w:hint="default" w:ascii="Times New Roman" w:hAnsi="Times New Roman" w:eastAsia="Times New Roman" w:cs="Times New Roman"/>
        <w:b/>
        <w:bCs/>
        <w:i w:val="0"/>
        <w:iCs w:val="0"/>
        <w:w w:val="100"/>
        <w:position w:val="6"/>
        <w:sz w:val="21"/>
        <w:szCs w:val="21"/>
        <w:lang w:val="en-US" w:eastAsia="zh-CN" w:bidi="ar-SA"/>
      </w:rPr>
    </w:lvl>
    <w:lvl w:ilvl="3" w:tentative="0">
      <w:start w:val="0"/>
      <w:numFmt w:val="bullet"/>
      <w:lvlText w:val="•"/>
      <w:lvlJc w:val="left"/>
      <w:pPr>
        <w:ind w:left="1391" w:hanging="795"/>
      </w:pPr>
      <w:rPr>
        <w:rFonts w:hint="default"/>
        <w:lang w:val="en-US" w:eastAsia="zh-CN" w:bidi="ar-SA"/>
      </w:rPr>
    </w:lvl>
    <w:lvl w:ilvl="4" w:tentative="0">
      <w:start w:val="0"/>
      <w:numFmt w:val="bullet"/>
      <w:lvlText w:val="•"/>
      <w:lvlJc w:val="left"/>
      <w:pPr>
        <w:ind w:left="1521" w:hanging="795"/>
      </w:pPr>
      <w:rPr>
        <w:rFonts w:hint="default"/>
        <w:lang w:val="en-US" w:eastAsia="zh-CN" w:bidi="ar-SA"/>
      </w:rPr>
    </w:lvl>
    <w:lvl w:ilvl="5" w:tentative="0">
      <w:start w:val="0"/>
      <w:numFmt w:val="bullet"/>
      <w:lvlText w:val="•"/>
      <w:lvlJc w:val="left"/>
      <w:pPr>
        <w:ind w:left="1651" w:hanging="795"/>
      </w:pPr>
      <w:rPr>
        <w:rFonts w:hint="default"/>
        <w:lang w:val="en-US" w:eastAsia="zh-CN" w:bidi="ar-SA"/>
      </w:rPr>
    </w:lvl>
    <w:lvl w:ilvl="6" w:tentative="0">
      <w:start w:val="0"/>
      <w:numFmt w:val="bullet"/>
      <w:lvlText w:val="•"/>
      <w:lvlJc w:val="left"/>
      <w:pPr>
        <w:ind w:left="1782" w:hanging="795"/>
      </w:pPr>
      <w:rPr>
        <w:rFonts w:hint="default"/>
        <w:lang w:val="en-US" w:eastAsia="zh-CN" w:bidi="ar-SA"/>
      </w:rPr>
    </w:lvl>
    <w:lvl w:ilvl="7" w:tentative="0">
      <w:start w:val="0"/>
      <w:numFmt w:val="bullet"/>
      <w:lvlText w:val="•"/>
      <w:lvlJc w:val="left"/>
      <w:pPr>
        <w:ind w:left="1912" w:hanging="795"/>
      </w:pPr>
      <w:rPr>
        <w:rFonts w:hint="default"/>
        <w:lang w:val="en-US" w:eastAsia="zh-CN" w:bidi="ar-SA"/>
      </w:rPr>
    </w:lvl>
    <w:lvl w:ilvl="8" w:tentative="0">
      <w:start w:val="0"/>
      <w:numFmt w:val="bullet"/>
      <w:lvlText w:val="•"/>
      <w:lvlJc w:val="left"/>
      <w:pPr>
        <w:ind w:left="2042" w:hanging="795"/>
      </w:pPr>
      <w:rPr>
        <w:rFonts w:hint="default"/>
        <w:lang w:val="en-US" w:eastAsia="zh-CN" w:bidi="ar-SA"/>
      </w:rPr>
    </w:lvl>
  </w:abstractNum>
  <w:abstractNum w:abstractNumId="7">
    <w:nsid w:val="C8879AEF"/>
    <w:multiLevelType w:val="multilevel"/>
    <w:tmpl w:val="C8879AEF"/>
    <w:lvl w:ilvl="0" w:tentative="0">
      <w:start w:val="2"/>
      <w:numFmt w:val="decimal"/>
      <w:lvlText w:val="%1."/>
      <w:lvlJc w:val="left"/>
      <w:pPr>
        <w:ind w:left="167" w:hanging="167"/>
        <w:jc w:val="left"/>
      </w:pPr>
      <w:rPr>
        <w:rFonts w:hint="default" w:ascii="Times New Roman" w:hAnsi="Times New Roman" w:eastAsia="Times New Roman" w:cs="Times New Roman"/>
        <w:b w:val="0"/>
        <w:bCs w:val="0"/>
        <w:i w:val="0"/>
        <w:iCs w:val="0"/>
        <w:w w:val="100"/>
        <w:sz w:val="19"/>
        <w:szCs w:val="19"/>
        <w:lang w:val="en-US" w:eastAsia="zh-CN" w:bidi="ar-SA"/>
      </w:rPr>
    </w:lvl>
    <w:lvl w:ilvl="1" w:tentative="0">
      <w:start w:val="0"/>
      <w:numFmt w:val="bullet"/>
      <w:lvlText w:val="•"/>
      <w:lvlJc w:val="left"/>
      <w:pPr>
        <w:ind w:left="882" w:hanging="167"/>
      </w:pPr>
      <w:rPr>
        <w:rFonts w:hint="default"/>
        <w:lang w:val="en-US" w:eastAsia="zh-CN" w:bidi="ar-SA"/>
      </w:rPr>
    </w:lvl>
    <w:lvl w:ilvl="2" w:tentative="0">
      <w:start w:val="0"/>
      <w:numFmt w:val="bullet"/>
      <w:lvlText w:val="•"/>
      <w:lvlJc w:val="left"/>
      <w:pPr>
        <w:ind w:left="1605" w:hanging="167"/>
      </w:pPr>
      <w:rPr>
        <w:rFonts w:hint="default"/>
        <w:lang w:val="en-US" w:eastAsia="zh-CN" w:bidi="ar-SA"/>
      </w:rPr>
    </w:lvl>
    <w:lvl w:ilvl="3" w:tentative="0">
      <w:start w:val="0"/>
      <w:numFmt w:val="bullet"/>
      <w:lvlText w:val="•"/>
      <w:lvlJc w:val="left"/>
      <w:pPr>
        <w:ind w:left="2328" w:hanging="167"/>
      </w:pPr>
      <w:rPr>
        <w:rFonts w:hint="default"/>
        <w:lang w:val="en-US" w:eastAsia="zh-CN" w:bidi="ar-SA"/>
      </w:rPr>
    </w:lvl>
    <w:lvl w:ilvl="4" w:tentative="0">
      <w:start w:val="0"/>
      <w:numFmt w:val="bullet"/>
      <w:lvlText w:val="•"/>
      <w:lvlJc w:val="left"/>
      <w:pPr>
        <w:ind w:left="3050" w:hanging="167"/>
      </w:pPr>
      <w:rPr>
        <w:rFonts w:hint="default"/>
        <w:lang w:val="en-US" w:eastAsia="zh-CN" w:bidi="ar-SA"/>
      </w:rPr>
    </w:lvl>
    <w:lvl w:ilvl="5" w:tentative="0">
      <w:start w:val="0"/>
      <w:numFmt w:val="bullet"/>
      <w:lvlText w:val="•"/>
      <w:lvlJc w:val="left"/>
      <w:pPr>
        <w:ind w:left="3773" w:hanging="167"/>
      </w:pPr>
      <w:rPr>
        <w:rFonts w:hint="default"/>
        <w:lang w:val="en-US" w:eastAsia="zh-CN" w:bidi="ar-SA"/>
      </w:rPr>
    </w:lvl>
    <w:lvl w:ilvl="6" w:tentative="0">
      <w:start w:val="0"/>
      <w:numFmt w:val="bullet"/>
      <w:lvlText w:val="•"/>
      <w:lvlJc w:val="left"/>
      <w:pPr>
        <w:ind w:left="4496" w:hanging="167"/>
      </w:pPr>
      <w:rPr>
        <w:rFonts w:hint="default"/>
        <w:lang w:val="en-US" w:eastAsia="zh-CN" w:bidi="ar-SA"/>
      </w:rPr>
    </w:lvl>
    <w:lvl w:ilvl="7" w:tentative="0">
      <w:start w:val="0"/>
      <w:numFmt w:val="bullet"/>
      <w:lvlText w:val="•"/>
      <w:lvlJc w:val="left"/>
      <w:pPr>
        <w:ind w:left="5218" w:hanging="167"/>
      </w:pPr>
      <w:rPr>
        <w:rFonts w:hint="default"/>
        <w:lang w:val="en-US" w:eastAsia="zh-CN" w:bidi="ar-SA"/>
      </w:rPr>
    </w:lvl>
    <w:lvl w:ilvl="8" w:tentative="0">
      <w:start w:val="0"/>
      <w:numFmt w:val="bullet"/>
      <w:lvlText w:val="•"/>
      <w:lvlJc w:val="left"/>
      <w:pPr>
        <w:ind w:left="5941" w:hanging="167"/>
      </w:pPr>
      <w:rPr>
        <w:rFonts w:hint="default"/>
        <w:lang w:val="en-US" w:eastAsia="zh-CN" w:bidi="ar-SA"/>
      </w:rPr>
    </w:lvl>
  </w:abstractNum>
  <w:abstractNum w:abstractNumId="8">
    <w:nsid w:val="CF092B84"/>
    <w:multiLevelType w:val="multilevel"/>
    <w:tmpl w:val="CF092B84"/>
    <w:lvl w:ilvl="0" w:tentative="0">
      <w:start w:val="4"/>
      <w:numFmt w:val="decimal"/>
      <w:lvlText w:val="%1."/>
      <w:lvlJc w:val="left"/>
      <w:pPr>
        <w:ind w:left="1408" w:hanging="264"/>
        <w:jc w:val="left"/>
      </w:pPr>
      <w:rPr>
        <w:rFonts w:hint="default" w:ascii="Times New Roman" w:hAnsi="Times New Roman" w:eastAsia="Times New Roman" w:cs="Times New Roman"/>
        <w:b/>
        <w:bCs/>
        <w:i w:val="0"/>
        <w:iCs w:val="0"/>
        <w:w w:val="100"/>
        <w:sz w:val="21"/>
        <w:szCs w:val="21"/>
        <w:lang w:val="en-US" w:eastAsia="zh-CN" w:bidi="ar-SA"/>
      </w:rPr>
    </w:lvl>
    <w:lvl w:ilvl="1" w:tentative="0">
      <w:start w:val="1"/>
      <w:numFmt w:val="decimal"/>
      <w:lvlText w:val="%1.%2"/>
      <w:lvlJc w:val="left"/>
      <w:pPr>
        <w:ind w:left="1617" w:hanging="368"/>
        <w:jc w:val="left"/>
      </w:pPr>
      <w:rPr>
        <w:rFonts w:hint="default" w:ascii="Times New Roman" w:hAnsi="Times New Roman" w:eastAsia="Times New Roman" w:cs="Times New Roman"/>
        <w:b w:val="0"/>
        <w:bCs w:val="0"/>
        <w:i w:val="0"/>
        <w:iCs w:val="0"/>
        <w:w w:val="100"/>
        <w:sz w:val="21"/>
        <w:szCs w:val="21"/>
        <w:lang w:val="en-US" w:eastAsia="zh-CN" w:bidi="ar-SA"/>
      </w:rPr>
    </w:lvl>
    <w:lvl w:ilvl="2" w:tentative="0">
      <w:start w:val="0"/>
      <w:numFmt w:val="bullet"/>
      <w:lvlText w:val="•"/>
      <w:lvlJc w:val="left"/>
      <w:pPr>
        <w:ind w:left="2556" w:hanging="368"/>
      </w:pPr>
      <w:rPr>
        <w:rFonts w:hint="default"/>
        <w:lang w:val="en-US" w:eastAsia="zh-CN" w:bidi="ar-SA"/>
      </w:rPr>
    </w:lvl>
    <w:lvl w:ilvl="3" w:tentative="0">
      <w:start w:val="0"/>
      <w:numFmt w:val="bullet"/>
      <w:lvlText w:val="•"/>
      <w:lvlJc w:val="left"/>
      <w:pPr>
        <w:ind w:left="3492" w:hanging="368"/>
      </w:pPr>
      <w:rPr>
        <w:rFonts w:hint="default"/>
        <w:lang w:val="en-US" w:eastAsia="zh-CN" w:bidi="ar-SA"/>
      </w:rPr>
    </w:lvl>
    <w:lvl w:ilvl="4" w:tentative="0">
      <w:start w:val="0"/>
      <w:numFmt w:val="bullet"/>
      <w:lvlText w:val="•"/>
      <w:lvlJc w:val="left"/>
      <w:pPr>
        <w:ind w:left="4428" w:hanging="368"/>
      </w:pPr>
      <w:rPr>
        <w:rFonts w:hint="default"/>
        <w:lang w:val="en-US" w:eastAsia="zh-CN" w:bidi="ar-SA"/>
      </w:rPr>
    </w:lvl>
    <w:lvl w:ilvl="5" w:tentative="0">
      <w:start w:val="0"/>
      <w:numFmt w:val="bullet"/>
      <w:lvlText w:val="•"/>
      <w:lvlJc w:val="left"/>
      <w:pPr>
        <w:ind w:left="5365" w:hanging="368"/>
      </w:pPr>
      <w:rPr>
        <w:rFonts w:hint="default"/>
        <w:lang w:val="en-US" w:eastAsia="zh-CN" w:bidi="ar-SA"/>
      </w:rPr>
    </w:lvl>
    <w:lvl w:ilvl="6" w:tentative="0">
      <w:start w:val="0"/>
      <w:numFmt w:val="bullet"/>
      <w:lvlText w:val="•"/>
      <w:lvlJc w:val="left"/>
      <w:pPr>
        <w:ind w:left="6301" w:hanging="368"/>
      </w:pPr>
      <w:rPr>
        <w:rFonts w:hint="default"/>
        <w:lang w:val="en-US" w:eastAsia="zh-CN" w:bidi="ar-SA"/>
      </w:rPr>
    </w:lvl>
    <w:lvl w:ilvl="7" w:tentative="0">
      <w:start w:val="0"/>
      <w:numFmt w:val="bullet"/>
      <w:lvlText w:val="•"/>
      <w:lvlJc w:val="left"/>
      <w:pPr>
        <w:ind w:left="7237" w:hanging="368"/>
      </w:pPr>
      <w:rPr>
        <w:rFonts w:hint="default"/>
        <w:lang w:val="en-US" w:eastAsia="zh-CN" w:bidi="ar-SA"/>
      </w:rPr>
    </w:lvl>
    <w:lvl w:ilvl="8" w:tentative="0">
      <w:start w:val="0"/>
      <w:numFmt w:val="bullet"/>
      <w:lvlText w:val="•"/>
      <w:lvlJc w:val="left"/>
      <w:pPr>
        <w:ind w:left="8173" w:hanging="368"/>
      </w:pPr>
      <w:rPr>
        <w:rFonts w:hint="default"/>
        <w:lang w:val="en-US" w:eastAsia="zh-CN" w:bidi="ar-SA"/>
      </w:rPr>
    </w:lvl>
  </w:abstractNum>
  <w:abstractNum w:abstractNumId="9">
    <w:nsid w:val="D7F9FE59"/>
    <w:multiLevelType w:val="multilevel"/>
    <w:tmpl w:val="D7F9FE59"/>
    <w:lvl w:ilvl="0" w:tentative="0">
      <w:start w:val="1"/>
      <w:numFmt w:val="decimal"/>
      <w:lvlText w:val="%1."/>
      <w:lvlJc w:val="left"/>
      <w:pPr>
        <w:ind w:left="299" w:hanging="167"/>
        <w:jc w:val="left"/>
      </w:pPr>
      <w:rPr>
        <w:rFonts w:hint="default" w:ascii="Times New Roman" w:hAnsi="Times New Roman" w:eastAsia="Times New Roman" w:cs="Times New Roman"/>
        <w:b w:val="0"/>
        <w:bCs w:val="0"/>
        <w:i w:val="0"/>
        <w:iCs w:val="0"/>
        <w:w w:val="100"/>
        <w:sz w:val="19"/>
        <w:szCs w:val="19"/>
        <w:lang w:val="en-US" w:eastAsia="zh-CN" w:bidi="ar-SA"/>
      </w:rPr>
    </w:lvl>
    <w:lvl w:ilvl="1" w:tentative="0">
      <w:start w:val="0"/>
      <w:numFmt w:val="bullet"/>
      <w:lvlText w:val="•"/>
      <w:lvlJc w:val="left"/>
      <w:pPr>
        <w:ind w:left="1021" w:hanging="167"/>
      </w:pPr>
      <w:rPr>
        <w:rFonts w:hint="default"/>
        <w:lang w:val="en-US" w:eastAsia="zh-CN" w:bidi="ar-SA"/>
      </w:rPr>
    </w:lvl>
    <w:lvl w:ilvl="2" w:tentative="0">
      <w:start w:val="0"/>
      <w:numFmt w:val="bullet"/>
      <w:lvlText w:val="•"/>
      <w:lvlJc w:val="left"/>
      <w:pPr>
        <w:ind w:left="1743" w:hanging="167"/>
      </w:pPr>
      <w:rPr>
        <w:rFonts w:hint="default"/>
        <w:lang w:val="en-US" w:eastAsia="zh-CN" w:bidi="ar-SA"/>
      </w:rPr>
    </w:lvl>
    <w:lvl w:ilvl="3" w:tentative="0">
      <w:start w:val="0"/>
      <w:numFmt w:val="bullet"/>
      <w:lvlText w:val="•"/>
      <w:lvlJc w:val="left"/>
      <w:pPr>
        <w:ind w:left="2465" w:hanging="167"/>
      </w:pPr>
      <w:rPr>
        <w:rFonts w:hint="default"/>
        <w:lang w:val="en-US" w:eastAsia="zh-CN" w:bidi="ar-SA"/>
      </w:rPr>
    </w:lvl>
    <w:lvl w:ilvl="4" w:tentative="0">
      <w:start w:val="0"/>
      <w:numFmt w:val="bullet"/>
      <w:lvlText w:val="•"/>
      <w:lvlJc w:val="left"/>
      <w:pPr>
        <w:ind w:left="3187" w:hanging="167"/>
      </w:pPr>
      <w:rPr>
        <w:rFonts w:hint="default"/>
        <w:lang w:val="en-US" w:eastAsia="zh-CN" w:bidi="ar-SA"/>
      </w:rPr>
    </w:lvl>
    <w:lvl w:ilvl="5" w:tentative="0">
      <w:start w:val="0"/>
      <w:numFmt w:val="bullet"/>
      <w:lvlText w:val="•"/>
      <w:lvlJc w:val="left"/>
      <w:pPr>
        <w:ind w:left="3909" w:hanging="167"/>
      </w:pPr>
      <w:rPr>
        <w:rFonts w:hint="default"/>
        <w:lang w:val="en-US" w:eastAsia="zh-CN" w:bidi="ar-SA"/>
      </w:rPr>
    </w:lvl>
    <w:lvl w:ilvl="6" w:tentative="0">
      <w:start w:val="0"/>
      <w:numFmt w:val="bullet"/>
      <w:lvlText w:val="•"/>
      <w:lvlJc w:val="left"/>
      <w:pPr>
        <w:ind w:left="4631" w:hanging="167"/>
      </w:pPr>
      <w:rPr>
        <w:rFonts w:hint="default"/>
        <w:lang w:val="en-US" w:eastAsia="zh-CN" w:bidi="ar-SA"/>
      </w:rPr>
    </w:lvl>
    <w:lvl w:ilvl="7" w:tentative="0">
      <w:start w:val="0"/>
      <w:numFmt w:val="bullet"/>
      <w:lvlText w:val="•"/>
      <w:lvlJc w:val="left"/>
      <w:pPr>
        <w:ind w:left="5353" w:hanging="167"/>
      </w:pPr>
      <w:rPr>
        <w:rFonts w:hint="default"/>
        <w:lang w:val="en-US" w:eastAsia="zh-CN" w:bidi="ar-SA"/>
      </w:rPr>
    </w:lvl>
    <w:lvl w:ilvl="8" w:tentative="0">
      <w:start w:val="0"/>
      <w:numFmt w:val="bullet"/>
      <w:lvlText w:val="•"/>
      <w:lvlJc w:val="left"/>
      <w:pPr>
        <w:ind w:left="6075" w:hanging="167"/>
      </w:pPr>
      <w:rPr>
        <w:rFonts w:hint="default"/>
        <w:lang w:val="en-US" w:eastAsia="zh-CN" w:bidi="ar-SA"/>
      </w:rPr>
    </w:lvl>
  </w:abstractNum>
  <w:abstractNum w:abstractNumId="10">
    <w:nsid w:val="DCBA6B53"/>
    <w:multiLevelType w:val="multilevel"/>
    <w:tmpl w:val="DCBA6B53"/>
    <w:lvl w:ilvl="0" w:tentative="0">
      <w:start w:val="1"/>
      <w:numFmt w:val="decimal"/>
      <w:lvlText w:val="%1."/>
      <w:lvlJc w:val="left"/>
      <w:pPr>
        <w:ind w:left="167" w:hanging="167"/>
        <w:jc w:val="left"/>
      </w:pPr>
      <w:rPr>
        <w:rFonts w:hint="default" w:ascii="Times New Roman" w:hAnsi="Times New Roman" w:eastAsia="Times New Roman" w:cs="Times New Roman"/>
        <w:b w:val="0"/>
        <w:bCs w:val="0"/>
        <w:i w:val="0"/>
        <w:iCs w:val="0"/>
        <w:w w:val="100"/>
        <w:sz w:val="19"/>
        <w:szCs w:val="19"/>
        <w:lang w:val="en-US" w:eastAsia="zh-CN" w:bidi="ar-SA"/>
      </w:rPr>
    </w:lvl>
    <w:lvl w:ilvl="1" w:tentative="0">
      <w:start w:val="0"/>
      <w:numFmt w:val="bullet"/>
      <w:lvlText w:val="•"/>
      <w:lvlJc w:val="left"/>
      <w:pPr>
        <w:ind w:left="882" w:hanging="167"/>
      </w:pPr>
      <w:rPr>
        <w:rFonts w:hint="default"/>
        <w:lang w:val="en-US" w:eastAsia="zh-CN" w:bidi="ar-SA"/>
      </w:rPr>
    </w:lvl>
    <w:lvl w:ilvl="2" w:tentative="0">
      <w:start w:val="0"/>
      <w:numFmt w:val="bullet"/>
      <w:lvlText w:val="•"/>
      <w:lvlJc w:val="left"/>
      <w:pPr>
        <w:ind w:left="1605" w:hanging="167"/>
      </w:pPr>
      <w:rPr>
        <w:rFonts w:hint="default"/>
        <w:lang w:val="en-US" w:eastAsia="zh-CN" w:bidi="ar-SA"/>
      </w:rPr>
    </w:lvl>
    <w:lvl w:ilvl="3" w:tentative="0">
      <w:start w:val="0"/>
      <w:numFmt w:val="bullet"/>
      <w:lvlText w:val="•"/>
      <w:lvlJc w:val="left"/>
      <w:pPr>
        <w:ind w:left="2328" w:hanging="167"/>
      </w:pPr>
      <w:rPr>
        <w:rFonts w:hint="default"/>
        <w:lang w:val="en-US" w:eastAsia="zh-CN" w:bidi="ar-SA"/>
      </w:rPr>
    </w:lvl>
    <w:lvl w:ilvl="4" w:tentative="0">
      <w:start w:val="0"/>
      <w:numFmt w:val="bullet"/>
      <w:lvlText w:val="•"/>
      <w:lvlJc w:val="left"/>
      <w:pPr>
        <w:ind w:left="3050" w:hanging="167"/>
      </w:pPr>
      <w:rPr>
        <w:rFonts w:hint="default"/>
        <w:lang w:val="en-US" w:eastAsia="zh-CN" w:bidi="ar-SA"/>
      </w:rPr>
    </w:lvl>
    <w:lvl w:ilvl="5" w:tentative="0">
      <w:start w:val="0"/>
      <w:numFmt w:val="bullet"/>
      <w:lvlText w:val="•"/>
      <w:lvlJc w:val="left"/>
      <w:pPr>
        <w:ind w:left="3773" w:hanging="167"/>
      </w:pPr>
      <w:rPr>
        <w:rFonts w:hint="default"/>
        <w:lang w:val="en-US" w:eastAsia="zh-CN" w:bidi="ar-SA"/>
      </w:rPr>
    </w:lvl>
    <w:lvl w:ilvl="6" w:tentative="0">
      <w:start w:val="0"/>
      <w:numFmt w:val="bullet"/>
      <w:lvlText w:val="•"/>
      <w:lvlJc w:val="left"/>
      <w:pPr>
        <w:ind w:left="4496" w:hanging="167"/>
      </w:pPr>
      <w:rPr>
        <w:rFonts w:hint="default"/>
        <w:lang w:val="en-US" w:eastAsia="zh-CN" w:bidi="ar-SA"/>
      </w:rPr>
    </w:lvl>
    <w:lvl w:ilvl="7" w:tentative="0">
      <w:start w:val="0"/>
      <w:numFmt w:val="bullet"/>
      <w:lvlText w:val="•"/>
      <w:lvlJc w:val="left"/>
      <w:pPr>
        <w:ind w:left="5218" w:hanging="167"/>
      </w:pPr>
      <w:rPr>
        <w:rFonts w:hint="default"/>
        <w:lang w:val="en-US" w:eastAsia="zh-CN" w:bidi="ar-SA"/>
      </w:rPr>
    </w:lvl>
    <w:lvl w:ilvl="8" w:tentative="0">
      <w:start w:val="0"/>
      <w:numFmt w:val="bullet"/>
      <w:lvlText w:val="•"/>
      <w:lvlJc w:val="left"/>
      <w:pPr>
        <w:ind w:left="5941" w:hanging="167"/>
      </w:pPr>
      <w:rPr>
        <w:rFonts w:hint="default"/>
        <w:lang w:val="en-US" w:eastAsia="zh-CN" w:bidi="ar-SA"/>
      </w:rPr>
    </w:lvl>
  </w:abstractNum>
  <w:abstractNum w:abstractNumId="11">
    <w:nsid w:val="F4B5D9F5"/>
    <w:multiLevelType w:val="multilevel"/>
    <w:tmpl w:val="F4B5D9F5"/>
    <w:lvl w:ilvl="0" w:tentative="0">
      <w:start w:val="1"/>
      <w:numFmt w:val="decimal"/>
      <w:lvlText w:val="%1."/>
      <w:lvlJc w:val="left"/>
      <w:pPr>
        <w:ind w:left="167" w:hanging="167"/>
        <w:jc w:val="left"/>
      </w:pPr>
      <w:rPr>
        <w:rFonts w:hint="default" w:ascii="Times New Roman" w:hAnsi="Times New Roman" w:eastAsia="Times New Roman" w:cs="Times New Roman"/>
        <w:b w:val="0"/>
        <w:bCs w:val="0"/>
        <w:i w:val="0"/>
        <w:iCs w:val="0"/>
        <w:w w:val="100"/>
        <w:sz w:val="19"/>
        <w:szCs w:val="19"/>
        <w:lang w:val="en-US" w:eastAsia="zh-CN" w:bidi="ar-SA"/>
      </w:rPr>
    </w:lvl>
    <w:lvl w:ilvl="1" w:tentative="0">
      <w:start w:val="0"/>
      <w:numFmt w:val="bullet"/>
      <w:lvlText w:val="•"/>
      <w:lvlJc w:val="left"/>
      <w:pPr>
        <w:ind w:left="882" w:hanging="167"/>
      </w:pPr>
      <w:rPr>
        <w:rFonts w:hint="default"/>
        <w:lang w:val="en-US" w:eastAsia="zh-CN" w:bidi="ar-SA"/>
      </w:rPr>
    </w:lvl>
    <w:lvl w:ilvl="2" w:tentative="0">
      <w:start w:val="0"/>
      <w:numFmt w:val="bullet"/>
      <w:lvlText w:val="•"/>
      <w:lvlJc w:val="left"/>
      <w:pPr>
        <w:ind w:left="1605" w:hanging="167"/>
      </w:pPr>
      <w:rPr>
        <w:rFonts w:hint="default"/>
        <w:lang w:val="en-US" w:eastAsia="zh-CN" w:bidi="ar-SA"/>
      </w:rPr>
    </w:lvl>
    <w:lvl w:ilvl="3" w:tentative="0">
      <w:start w:val="0"/>
      <w:numFmt w:val="bullet"/>
      <w:lvlText w:val="•"/>
      <w:lvlJc w:val="left"/>
      <w:pPr>
        <w:ind w:left="2328" w:hanging="167"/>
      </w:pPr>
      <w:rPr>
        <w:rFonts w:hint="default"/>
        <w:lang w:val="en-US" w:eastAsia="zh-CN" w:bidi="ar-SA"/>
      </w:rPr>
    </w:lvl>
    <w:lvl w:ilvl="4" w:tentative="0">
      <w:start w:val="0"/>
      <w:numFmt w:val="bullet"/>
      <w:lvlText w:val="•"/>
      <w:lvlJc w:val="left"/>
      <w:pPr>
        <w:ind w:left="3050" w:hanging="167"/>
      </w:pPr>
      <w:rPr>
        <w:rFonts w:hint="default"/>
        <w:lang w:val="en-US" w:eastAsia="zh-CN" w:bidi="ar-SA"/>
      </w:rPr>
    </w:lvl>
    <w:lvl w:ilvl="5" w:tentative="0">
      <w:start w:val="0"/>
      <w:numFmt w:val="bullet"/>
      <w:lvlText w:val="•"/>
      <w:lvlJc w:val="left"/>
      <w:pPr>
        <w:ind w:left="3773" w:hanging="167"/>
      </w:pPr>
      <w:rPr>
        <w:rFonts w:hint="default"/>
        <w:lang w:val="en-US" w:eastAsia="zh-CN" w:bidi="ar-SA"/>
      </w:rPr>
    </w:lvl>
    <w:lvl w:ilvl="6" w:tentative="0">
      <w:start w:val="0"/>
      <w:numFmt w:val="bullet"/>
      <w:lvlText w:val="•"/>
      <w:lvlJc w:val="left"/>
      <w:pPr>
        <w:ind w:left="4496" w:hanging="167"/>
      </w:pPr>
      <w:rPr>
        <w:rFonts w:hint="default"/>
        <w:lang w:val="en-US" w:eastAsia="zh-CN" w:bidi="ar-SA"/>
      </w:rPr>
    </w:lvl>
    <w:lvl w:ilvl="7" w:tentative="0">
      <w:start w:val="0"/>
      <w:numFmt w:val="bullet"/>
      <w:lvlText w:val="•"/>
      <w:lvlJc w:val="left"/>
      <w:pPr>
        <w:ind w:left="5218" w:hanging="167"/>
      </w:pPr>
      <w:rPr>
        <w:rFonts w:hint="default"/>
        <w:lang w:val="en-US" w:eastAsia="zh-CN" w:bidi="ar-SA"/>
      </w:rPr>
    </w:lvl>
    <w:lvl w:ilvl="8" w:tentative="0">
      <w:start w:val="0"/>
      <w:numFmt w:val="bullet"/>
      <w:lvlText w:val="•"/>
      <w:lvlJc w:val="left"/>
      <w:pPr>
        <w:ind w:left="5941" w:hanging="167"/>
      </w:pPr>
      <w:rPr>
        <w:rFonts w:hint="default"/>
        <w:lang w:val="en-US" w:eastAsia="zh-CN" w:bidi="ar-SA"/>
      </w:rPr>
    </w:lvl>
  </w:abstractNum>
  <w:abstractNum w:abstractNumId="12">
    <w:nsid w:val="0053208E"/>
    <w:multiLevelType w:val="multilevel"/>
    <w:tmpl w:val="0053208E"/>
    <w:lvl w:ilvl="0" w:tentative="0">
      <w:start w:val="1"/>
      <w:numFmt w:val="decimal"/>
      <w:lvlText w:val="%1."/>
      <w:lvlJc w:val="left"/>
      <w:pPr>
        <w:ind w:left="1408" w:hanging="264"/>
        <w:jc w:val="left"/>
      </w:pPr>
      <w:rPr>
        <w:rFonts w:hint="default" w:ascii="Times New Roman" w:hAnsi="Times New Roman" w:eastAsia="Times New Roman" w:cs="Times New Roman"/>
        <w:b/>
        <w:bCs/>
        <w:i w:val="0"/>
        <w:iCs w:val="0"/>
        <w:w w:val="100"/>
        <w:sz w:val="21"/>
        <w:szCs w:val="21"/>
        <w:lang w:val="en-US" w:eastAsia="zh-CN" w:bidi="ar-SA"/>
      </w:rPr>
    </w:lvl>
    <w:lvl w:ilvl="1" w:tentative="0">
      <w:start w:val="0"/>
      <w:numFmt w:val="bullet"/>
      <w:lvlText w:val="•"/>
      <w:lvlJc w:val="left"/>
      <w:pPr>
        <w:ind w:left="2264" w:hanging="264"/>
      </w:pPr>
      <w:rPr>
        <w:rFonts w:hint="default"/>
        <w:lang w:val="en-US" w:eastAsia="zh-CN" w:bidi="ar-SA"/>
      </w:rPr>
    </w:lvl>
    <w:lvl w:ilvl="2" w:tentative="0">
      <w:start w:val="0"/>
      <w:numFmt w:val="bullet"/>
      <w:lvlText w:val="•"/>
      <w:lvlJc w:val="left"/>
      <w:pPr>
        <w:ind w:left="3129" w:hanging="264"/>
      </w:pPr>
      <w:rPr>
        <w:rFonts w:hint="default"/>
        <w:lang w:val="en-US" w:eastAsia="zh-CN" w:bidi="ar-SA"/>
      </w:rPr>
    </w:lvl>
    <w:lvl w:ilvl="3" w:tentative="0">
      <w:start w:val="0"/>
      <w:numFmt w:val="bullet"/>
      <w:lvlText w:val="•"/>
      <w:lvlJc w:val="left"/>
      <w:pPr>
        <w:ind w:left="3993" w:hanging="264"/>
      </w:pPr>
      <w:rPr>
        <w:rFonts w:hint="default"/>
        <w:lang w:val="en-US" w:eastAsia="zh-CN" w:bidi="ar-SA"/>
      </w:rPr>
    </w:lvl>
    <w:lvl w:ilvl="4" w:tentative="0">
      <w:start w:val="0"/>
      <w:numFmt w:val="bullet"/>
      <w:lvlText w:val="•"/>
      <w:lvlJc w:val="left"/>
      <w:pPr>
        <w:ind w:left="4858" w:hanging="264"/>
      </w:pPr>
      <w:rPr>
        <w:rFonts w:hint="default"/>
        <w:lang w:val="en-US" w:eastAsia="zh-CN" w:bidi="ar-SA"/>
      </w:rPr>
    </w:lvl>
    <w:lvl w:ilvl="5" w:tentative="0">
      <w:start w:val="0"/>
      <w:numFmt w:val="bullet"/>
      <w:lvlText w:val="•"/>
      <w:lvlJc w:val="left"/>
      <w:pPr>
        <w:ind w:left="5723" w:hanging="264"/>
      </w:pPr>
      <w:rPr>
        <w:rFonts w:hint="default"/>
        <w:lang w:val="en-US" w:eastAsia="zh-CN" w:bidi="ar-SA"/>
      </w:rPr>
    </w:lvl>
    <w:lvl w:ilvl="6" w:tentative="0">
      <w:start w:val="0"/>
      <w:numFmt w:val="bullet"/>
      <w:lvlText w:val="•"/>
      <w:lvlJc w:val="left"/>
      <w:pPr>
        <w:ind w:left="6587" w:hanging="264"/>
      </w:pPr>
      <w:rPr>
        <w:rFonts w:hint="default"/>
        <w:lang w:val="en-US" w:eastAsia="zh-CN" w:bidi="ar-SA"/>
      </w:rPr>
    </w:lvl>
    <w:lvl w:ilvl="7" w:tentative="0">
      <w:start w:val="0"/>
      <w:numFmt w:val="bullet"/>
      <w:lvlText w:val="•"/>
      <w:lvlJc w:val="left"/>
      <w:pPr>
        <w:ind w:left="7452" w:hanging="264"/>
      </w:pPr>
      <w:rPr>
        <w:rFonts w:hint="default"/>
        <w:lang w:val="en-US" w:eastAsia="zh-CN" w:bidi="ar-SA"/>
      </w:rPr>
    </w:lvl>
    <w:lvl w:ilvl="8" w:tentative="0">
      <w:start w:val="0"/>
      <w:numFmt w:val="bullet"/>
      <w:lvlText w:val="•"/>
      <w:lvlJc w:val="left"/>
      <w:pPr>
        <w:ind w:left="8317" w:hanging="264"/>
      </w:pPr>
      <w:rPr>
        <w:rFonts w:hint="default"/>
        <w:lang w:val="en-US" w:eastAsia="zh-CN" w:bidi="ar-SA"/>
      </w:rPr>
    </w:lvl>
  </w:abstractNum>
  <w:abstractNum w:abstractNumId="13">
    <w:nsid w:val="0248C179"/>
    <w:multiLevelType w:val="multilevel"/>
    <w:tmpl w:val="0248C179"/>
    <w:lvl w:ilvl="0" w:tentative="0">
      <w:start w:val="4"/>
      <w:numFmt w:val="decimal"/>
      <w:lvlText w:val="%1."/>
      <w:lvlJc w:val="left"/>
      <w:pPr>
        <w:ind w:left="1007" w:hanging="795"/>
        <w:jc w:val="left"/>
      </w:pPr>
      <w:rPr>
        <w:rFonts w:hint="default" w:ascii="Times New Roman" w:hAnsi="Times New Roman" w:eastAsia="Times New Roman" w:cs="Times New Roman"/>
        <w:b/>
        <w:bCs/>
        <w:i w:val="0"/>
        <w:iCs w:val="0"/>
        <w:w w:val="100"/>
        <w:sz w:val="24"/>
        <w:szCs w:val="24"/>
        <w:lang w:val="en-US" w:eastAsia="zh-CN" w:bidi="ar-SA"/>
      </w:rPr>
    </w:lvl>
    <w:lvl w:ilvl="1" w:tentative="0">
      <w:start w:val="1"/>
      <w:numFmt w:val="decimal"/>
      <w:lvlText w:val="%1.%2"/>
      <w:lvlJc w:val="left"/>
      <w:pPr>
        <w:ind w:left="2538" w:hanging="795"/>
        <w:jc w:val="left"/>
      </w:pPr>
      <w:rPr>
        <w:rFonts w:hint="default" w:ascii="Times New Roman" w:hAnsi="Times New Roman" w:eastAsia="Times New Roman" w:cs="Times New Roman"/>
        <w:b/>
        <w:bCs/>
        <w:i w:val="0"/>
        <w:iCs w:val="0"/>
        <w:w w:val="100"/>
        <w:sz w:val="21"/>
        <w:szCs w:val="21"/>
        <w:lang w:val="en-US" w:eastAsia="zh-CN" w:bidi="ar-SA"/>
      </w:rPr>
    </w:lvl>
    <w:lvl w:ilvl="2" w:tentative="0">
      <w:start w:val="0"/>
      <w:numFmt w:val="bullet"/>
      <w:lvlText w:val="•"/>
      <w:lvlJc w:val="left"/>
      <w:pPr>
        <w:ind w:left="2510" w:hanging="795"/>
      </w:pPr>
      <w:rPr>
        <w:rFonts w:hint="default"/>
        <w:lang w:val="en-US" w:eastAsia="zh-CN" w:bidi="ar-SA"/>
      </w:rPr>
    </w:lvl>
    <w:lvl w:ilvl="3" w:tentative="0">
      <w:start w:val="0"/>
      <w:numFmt w:val="bullet"/>
      <w:lvlText w:val="•"/>
      <w:lvlJc w:val="left"/>
      <w:pPr>
        <w:ind w:left="2481" w:hanging="795"/>
      </w:pPr>
      <w:rPr>
        <w:rFonts w:hint="default"/>
        <w:lang w:val="en-US" w:eastAsia="zh-CN" w:bidi="ar-SA"/>
      </w:rPr>
    </w:lvl>
    <w:lvl w:ilvl="4" w:tentative="0">
      <w:start w:val="0"/>
      <w:numFmt w:val="bullet"/>
      <w:lvlText w:val="•"/>
      <w:lvlJc w:val="left"/>
      <w:pPr>
        <w:ind w:left="2451" w:hanging="795"/>
      </w:pPr>
      <w:rPr>
        <w:rFonts w:hint="default"/>
        <w:lang w:val="en-US" w:eastAsia="zh-CN" w:bidi="ar-SA"/>
      </w:rPr>
    </w:lvl>
    <w:lvl w:ilvl="5" w:tentative="0">
      <w:start w:val="0"/>
      <w:numFmt w:val="bullet"/>
      <w:lvlText w:val="•"/>
      <w:lvlJc w:val="left"/>
      <w:pPr>
        <w:ind w:left="2422" w:hanging="795"/>
      </w:pPr>
      <w:rPr>
        <w:rFonts w:hint="default"/>
        <w:lang w:val="en-US" w:eastAsia="zh-CN" w:bidi="ar-SA"/>
      </w:rPr>
    </w:lvl>
    <w:lvl w:ilvl="6" w:tentative="0">
      <w:start w:val="0"/>
      <w:numFmt w:val="bullet"/>
      <w:lvlText w:val="•"/>
      <w:lvlJc w:val="left"/>
      <w:pPr>
        <w:ind w:left="2392" w:hanging="795"/>
      </w:pPr>
      <w:rPr>
        <w:rFonts w:hint="default"/>
        <w:lang w:val="en-US" w:eastAsia="zh-CN" w:bidi="ar-SA"/>
      </w:rPr>
    </w:lvl>
    <w:lvl w:ilvl="7" w:tentative="0">
      <w:start w:val="0"/>
      <w:numFmt w:val="bullet"/>
      <w:lvlText w:val="•"/>
      <w:lvlJc w:val="left"/>
      <w:pPr>
        <w:ind w:left="2363" w:hanging="795"/>
      </w:pPr>
      <w:rPr>
        <w:rFonts w:hint="default"/>
        <w:lang w:val="en-US" w:eastAsia="zh-CN" w:bidi="ar-SA"/>
      </w:rPr>
    </w:lvl>
    <w:lvl w:ilvl="8" w:tentative="0">
      <w:start w:val="0"/>
      <w:numFmt w:val="bullet"/>
      <w:lvlText w:val="•"/>
      <w:lvlJc w:val="left"/>
      <w:pPr>
        <w:ind w:left="2333" w:hanging="795"/>
      </w:pPr>
      <w:rPr>
        <w:rFonts w:hint="default"/>
        <w:lang w:val="en-US" w:eastAsia="zh-CN" w:bidi="ar-SA"/>
      </w:rPr>
    </w:lvl>
  </w:abstractNum>
  <w:abstractNum w:abstractNumId="14">
    <w:nsid w:val="03D62ECE"/>
    <w:multiLevelType w:val="multilevel"/>
    <w:tmpl w:val="03D62ECE"/>
    <w:lvl w:ilvl="0" w:tentative="0">
      <w:start w:val="1"/>
      <w:numFmt w:val="decimal"/>
      <w:lvlText w:val="%1."/>
      <w:lvlJc w:val="left"/>
      <w:pPr>
        <w:ind w:left="459" w:hanging="264"/>
        <w:jc w:val="left"/>
      </w:pPr>
      <w:rPr>
        <w:rFonts w:hint="default"/>
        <w:w w:val="100"/>
        <w:lang w:val="en-US" w:eastAsia="zh-CN" w:bidi="ar-SA"/>
      </w:rPr>
    </w:lvl>
    <w:lvl w:ilvl="1" w:tentative="0">
      <w:start w:val="1"/>
      <w:numFmt w:val="decimal"/>
      <w:lvlText w:val="%1.%2"/>
      <w:lvlJc w:val="left"/>
      <w:pPr>
        <w:ind w:left="1007" w:hanging="795"/>
        <w:jc w:val="left"/>
      </w:pPr>
      <w:rPr>
        <w:rFonts w:hint="default" w:ascii="Times New Roman" w:hAnsi="Times New Roman" w:eastAsia="Times New Roman" w:cs="Times New Roman"/>
        <w:b/>
        <w:bCs/>
        <w:i w:val="0"/>
        <w:iCs w:val="0"/>
        <w:w w:val="100"/>
        <w:sz w:val="21"/>
        <w:szCs w:val="21"/>
        <w:lang w:val="en-US" w:eastAsia="zh-CN" w:bidi="ar-SA"/>
      </w:rPr>
    </w:lvl>
    <w:lvl w:ilvl="2" w:tentative="0">
      <w:start w:val="1"/>
      <w:numFmt w:val="decimal"/>
      <w:lvlText w:val="（%3）"/>
      <w:lvlJc w:val="left"/>
      <w:pPr>
        <w:ind w:left="3068" w:hanging="530"/>
        <w:jc w:val="left"/>
      </w:pPr>
      <w:rPr>
        <w:rFonts w:hint="default" w:ascii="宋体" w:hAnsi="宋体" w:eastAsia="宋体" w:cs="宋体"/>
        <w:b w:val="0"/>
        <w:bCs w:val="0"/>
        <w:i w:val="0"/>
        <w:iCs w:val="0"/>
        <w:spacing w:val="-3"/>
        <w:w w:val="100"/>
        <w:sz w:val="19"/>
        <w:szCs w:val="19"/>
        <w:lang w:val="en-US" w:eastAsia="zh-CN" w:bidi="ar-SA"/>
      </w:rPr>
    </w:lvl>
    <w:lvl w:ilvl="3" w:tentative="0">
      <w:start w:val="0"/>
      <w:numFmt w:val="bullet"/>
      <w:lvlText w:val="•"/>
      <w:lvlJc w:val="left"/>
      <w:pPr>
        <w:ind w:left="3640" w:hanging="530"/>
      </w:pPr>
      <w:rPr>
        <w:rFonts w:hint="default"/>
        <w:lang w:val="en-US" w:eastAsia="zh-CN" w:bidi="ar-SA"/>
      </w:rPr>
    </w:lvl>
    <w:lvl w:ilvl="4" w:tentative="0">
      <w:start w:val="0"/>
      <w:numFmt w:val="bullet"/>
      <w:lvlText w:val="•"/>
      <w:lvlJc w:val="left"/>
      <w:pPr>
        <w:ind w:left="4220" w:hanging="530"/>
      </w:pPr>
      <w:rPr>
        <w:rFonts w:hint="default"/>
        <w:lang w:val="en-US" w:eastAsia="zh-CN" w:bidi="ar-SA"/>
      </w:rPr>
    </w:lvl>
    <w:lvl w:ilvl="5" w:tentative="0">
      <w:start w:val="0"/>
      <w:numFmt w:val="bullet"/>
      <w:lvlText w:val="•"/>
      <w:lvlJc w:val="left"/>
      <w:pPr>
        <w:ind w:left="4801" w:hanging="530"/>
      </w:pPr>
      <w:rPr>
        <w:rFonts w:hint="default"/>
        <w:lang w:val="en-US" w:eastAsia="zh-CN" w:bidi="ar-SA"/>
      </w:rPr>
    </w:lvl>
    <w:lvl w:ilvl="6" w:tentative="0">
      <w:start w:val="0"/>
      <w:numFmt w:val="bullet"/>
      <w:lvlText w:val="•"/>
      <w:lvlJc w:val="left"/>
      <w:pPr>
        <w:ind w:left="5381" w:hanging="530"/>
      </w:pPr>
      <w:rPr>
        <w:rFonts w:hint="default"/>
        <w:lang w:val="en-US" w:eastAsia="zh-CN" w:bidi="ar-SA"/>
      </w:rPr>
    </w:lvl>
    <w:lvl w:ilvl="7" w:tentative="0">
      <w:start w:val="0"/>
      <w:numFmt w:val="bullet"/>
      <w:lvlText w:val="•"/>
      <w:lvlJc w:val="left"/>
      <w:pPr>
        <w:ind w:left="5961" w:hanging="530"/>
      </w:pPr>
      <w:rPr>
        <w:rFonts w:hint="default"/>
        <w:lang w:val="en-US" w:eastAsia="zh-CN" w:bidi="ar-SA"/>
      </w:rPr>
    </w:lvl>
    <w:lvl w:ilvl="8" w:tentative="0">
      <w:start w:val="0"/>
      <w:numFmt w:val="bullet"/>
      <w:lvlText w:val="•"/>
      <w:lvlJc w:val="left"/>
      <w:pPr>
        <w:ind w:left="6542" w:hanging="530"/>
      </w:pPr>
      <w:rPr>
        <w:rFonts w:hint="default"/>
        <w:lang w:val="en-US" w:eastAsia="zh-CN" w:bidi="ar-SA"/>
      </w:rPr>
    </w:lvl>
  </w:abstractNum>
  <w:abstractNum w:abstractNumId="15">
    <w:nsid w:val="0E640482"/>
    <w:multiLevelType w:val="multilevel"/>
    <w:tmpl w:val="0E640482"/>
    <w:lvl w:ilvl="0" w:tentative="0">
      <w:start w:val="9"/>
      <w:numFmt w:val="decimal"/>
      <w:lvlText w:val="%1."/>
      <w:lvlJc w:val="left"/>
      <w:pPr>
        <w:ind w:left="1007" w:hanging="795"/>
        <w:jc w:val="left"/>
      </w:pPr>
      <w:rPr>
        <w:rFonts w:hint="default" w:ascii="Times New Roman" w:hAnsi="Times New Roman" w:eastAsia="Times New Roman" w:cs="Times New Roman"/>
        <w:b/>
        <w:bCs/>
        <w:i w:val="0"/>
        <w:iCs w:val="0"/>
        <w:w w:val="100"/>
        <w:sz w:val="24"/>
        <w:szCs w:val="24"/>
        <w:lang w:val="en-US" w:eastAsia="zh-CN" w:bidi="ar-SA"/>
      </w:rPr>
    </w:lvl>
    <w:lvl w:ilvl="1" w:tentative="0">
      <w:start w:val="1"/>
      <w:numFmt w:val="decimal"/>
      <w:lvlText w:val="%1.%2"/>
      <w:lvlJc w:val="left"/>
      <w:pPr>
        <w:ind w:left="2538" w:hanging="795"/>
        <w:jc w:val="left"/>
      </w:pPr>
      <w:rPr>
        <w:rFonts w:hint="default" w:ascii="Times New Roman" w:hAnsi="Times New Roman" w:eastAsia="Times New Roman" w:cs="Times New Roman"/>
        <w:b/>
        <w:bCs/>
        <w:i w:val="0"/>
        <w:iCs w:val="0"/>
        <w:w w:val="100"/>
        <w:sz w:val="21"/>
        <w:szCs w:val="21"/>
        <w:lang w:val="en-US" w:eastAsia="zh-CN" w:bidi="ar-SA"/>
      </w:rPr>
    </w:lvl>
    <w:lvl w:ilvl="2" w:tentative="0">
      <w:start w:val="1"/>
      <w:numFmt w:val="decimal"/>
      <w:lvlText w:val="%3."/>
      <w:lvlJc w:val="left"/>
      <w:pPr>
        <w:ind w:left="2802" w:hanging="264"/>
        <w:jc w:val="left"/>
      </w:pPr>
      <w:rPr>
        <w:rFonts w:hint="default"/>
        <w:w w:val="100"/>
        <w:lang w:val="en-US" w:eastAsia="zh-CN" w:bidi="ar-SA"/>
      </w:rPr>
    </w:lvl>
    <w:lvl w:ilvl="3" w:tentative="0">
      <w:start w:val="0"/>
      <w:numFmt w:val="bullet"/>
      <w:lvlText w:val="•"/>
      <w:lvlJc w:val="left"/>
      <w:pPr>
        <w:ind w:left="3705" w:hanging="264"/>
      </w:pPr>
      <w:rPr>
        <w:rFonts w:hint="default"/>
        <w:lang w:val="en-US" w:eastAsia="zh-CN" w:bidi="ar-SA"/>
      </w:rPr>
    </w:lvl>
    <w:lvl w:ilvl="4" w:tentative="0">
      <w:start w:val="0"/>
      <w:numFmt w:val="bullet"/>
      <w:lvlText w:val="•"/>
      <w:lvlJc w:val="left"/>
      <w:pPr>
        <w:ind w:left="4611" w:hanging="264"/>
      </w:pPr>
      <w:rPr>
        <w:rFonts w:hint="default"/>
        <w:lang w:val="en-US" w:eastAsia="zh-CN" w:bidi="ar-SA"/>
      </w:rPr>
    </w:lvl>
    <w:lvl w:ilvl="5" w:tentative="0">
      <w:start w:val="0"/>
      <w:numFmt w:val="bullet"/>
      <w:lvlText w:val="•"/>
      <w:lvlJc w:val="left"/>
      <w:pPr>
        <w:ind w:left="5517" w:hanging="264"/>
      </w:pPr>
      <w:rPr>
        <w:rFonts w:hint="default"/>
        <w:lang w:val="en-US" w:eastAsia="zh-CN" w:bidi="ar-SA"/>
      </w:rPr>
    </w:lvl>
    <w:lvl w:ilvl="6" w:tentative="0">
      <w:start w:val="0"/>
      <w:numFmt w:val="bullet"/>
      <w:lvlText w:val="•"/>
      <w:lvlJc w:val="left"/>
      <w:pPr>
        <w:ind w:left="6423" w:hanging="264"/>
      </w:pPr>
      <w:rPr>
        <w:rFonts w:hint="default"/>
        <w:lang w:val="en-US" w:eastAsia="zh-CN" w:bidi="ar-SA"/>
      </w:rPr>
    </w:lvl>
    <w:lvl w:ilvl="7" w:tentative="0">
      <w:start w:val="0"/>
      <w:numFmt w:val="bullet"/>
      <w:lvlText w:val="•"/>
      <w:lvlJc w:val="left"/>
      <w:pPr>
        <w:ind w:left="7329" w:hanging="264"/>
      </w:pPr>
      <w:rPr>
        <w:rFonts w:hint="default"/>
        <w:lang w:val="en-US" w:eastAsia="zh-CN" w:bidi="ar-SA"/>
      </w:rPr>
    </w:lvl>
    <w:lvl w:ilvl="8" w:tentative="0">
      <w:start w:val="0"/>
      <w:numFmt w:val="bullet"/>
      <w:lvlText w:val="•"/>
      <w:lvlJc w:val="left"/>
      <w:pPr>
        <w:ind w:left="8234" w:hanging="264"/>
      </w:pPr>
      <w:rPr>
        <w:rFonts w:hint="default"/>
        <w:lang w:val="en-US" w:eastAsia="zh-CN" w:bidi="ar-SA"/>
      </w:rPr>
    </w:lvl>
  </w:abstractNum>
  <w:abstractNum w:abstractNumId="16">
    <w:nsid w:val="2470EC97"/>
    <w:multiLevelType w:val="multilevel"/>
    <w:tmpl w:val="2470EC97"/>
    <w:lvl w:ilvl="0" w:tentative="0">
      <w:start w:val="1"/>
      <w:numFmt w:val="decimal"/>
      <w:lvlText w:val="%1."/>
      <w:lvlJc w:val="left"/>
      <w:pPr>
        <w:ind w:left="167" w:hanging="167"/>
        <w:jc w:val="left"/>
      </w:pPr>
      <w:rPr>
        <w:rFonts w:hint="default" w:ascii="Times New Roman" w:hAnsi="Times New Roman" w:eastAsia="Times New Roman" w:cs="Times New Roman"/>
        <w:b w:val="0"/>
        <w:bCs w:val="0"/>
        <w:i w:val="0"/>
        <w:iCs w:val="0"/>
        <w:w w:val="100"/>
        <w:sz w:val="19"/>
        <w:szCs w:val="19"/>
        <w:lang w:val="en-US" w:eastAsia="zh-CN" w:bidi="ar-SA"/>
      </w:rPr>
    </w:lvl>
    <w:lvl w:ilvl="1" w:tentative="0">
      <w:start w:val="0"/>
      <w:numFmt w:val="bullet"/>
      <w:lvlText w:val="•"/>
      <w:lvlJc w:val="left"/>
      <w:pPr>
        <w:ind w:left="882" w:hanging="167"/>
      </w:pPr>
      <w:rPr>
        <w:rFonts w:hint="default"/>
        <w:lang w:val="en-US" w:eastAsia="zh-CN" w:bidi="ar-SA"/>
      </w:rPr>
    </w:lvl>
    <w:lvl w:ilvl="2" w:tentative="0">
      <w:start w:val="0"/>
      <w:numFmt w:val="bullet"/>
      <w:lvlText w:val="•"/>
      <w:lvlJc w:val="left"/>
      <w:pPr>
        <w:ind w:left="1605" w:hanging="167"/>
      </w:pPr>
      <w:rPr>
        <w:rFonts w:hint="default"/>
        <w:lang w:val="en-US" w:eastAsia="zh-CN" w:bidi="ar-SA"/>
      </w:rPr>
    </w:lvl>
    <w:lvl w:ilvl="3" w:tentative="0">
      <w:start w:val="0"/>
      <w:numFmt w:val="bullet"/>
      <w:lvlText w:val="•"/>
      <w:lvlJc w:val="left"/>
      <w:pPr>
        <w:ind w:left="2328" w:hanging="167"/>
      </w:pPr>
      <w:rPr>
        <w:rFonts w:hint="default"/>
        <w:lang w:val="en-US" w:eastAsia="zh-CN" w:bidi="ar-SA"/>
      </w:rPr>
    </w:lvl>
    <w:lvl w:ilvl="4" w:tentative="0">
      <w:start w:val="0"/>
      <w:numFmt w:val="bullet"/>
      <w:lvlText w:val="•"/>
      <w:lvlJc w:val="left"/>
      <w:pPr>
        <w:ind w:left="3050" w:hanging="167"/>
      </w:pPr>
      <w:rPr>
        <w:rFonts w:hint="default"/>
        <w:lang w:val="en-US" w:eastAsia="zh-CN" w:bidi="ar-SA"/>
      </w:rPr>
    </w:lvl>
    <w:lvl w:ilvl="5" w:tentative="0">
      <w:start w:val="0"/>
      <w:numFmt w:val="bullet"/>
      <w:lvlText w:val="•"/>
      <w:lvlJc w:val="left"/>
      <w:pPr>
        <w:ind w:left="3773" w:hanging="167"/>
      </w:pPr>
      <w:rPr>
        <w:rFonts w:hint="default"/>
        <w:lang w:val="en-US" w:eastAsia="zh-CN" w:bidi="ar-SA"/>
      </w:rPr>
    </w:lvl>
    <w:lvl w:ilvl="6" w:tentative="0">
      <w:start w:val="0"/>
      <w:numFmt w:val="bullet"/>
      <w:lvlText w:val="•"/>
      <w:lvlJc w:val="left"/>
      <w:pPr>
        <w:ind w:left="4496" w:hanging="167"/>
      </w:pPr>
      <w:rPr>
        <w:rFonts w:hint="default"/>
        <w:lang w:val="en-US" w:eastAsia="zh-CN" w:bidi="ar-SA"/>
      </w:rPr>
    </w:lvl>
    <w:lvl w:ilvl="7" w:tentative="0">
      <w:start w:val="0"/>
      <w:numFmt w:val="bullet"/>
      <w:lvlText w:val="•"/>
      <w:lvlJc w:val="left"/>
      <w:pPr>
        <w:ind w:left="5218" w:hanging="167"/>
      </w:pPr>
      <w:rPr>
        <w:rFonts w:hint="default"/>
        <w:lang w:val="en-US" w:eastAsia="zh-CN" w:bidi="ar-SA"/>
      </w:rPr>
    </w:lvl>
    <w:lvl w:ilvl="8" w:tentative="0">
      <w:start w:val="0"/>
      <w:numFmt w:val="bullet"/>
      <w:lvlText w:val="•"/>
      <w:lvlJc w:val="left"/>
      <w:pPr>
        <w:ind w:left="5941" w:hanging="167"/>
      </w:pPr>
      <w:rPr>
        <w:rFonts w:hint="default"/>
        <w:lang w:val="en-US" w:eastAsia="zh-CN" w:bidi="ar-SA"/>
      </w:rPr>
    </w:lvl>
  </w:abstractNum>
  <w:abstractNum w:abstractNumId="17">
    <w:nsid w:val="25B654F3"/>
    <w:multiLevelType w:val="multilevel"/>
    <w:tmpl w:val="25B654F3"/>
    <w:lvl w:ilvl="0" w:tentative="0">
      <w:start w:val="16"/>
      <w:numFmt w:val="decimal"/>
      <w:lvlText w:val="%1."/>
      <w:lvlJc w:val="left"/>
      <w:pPr>
        <w:ind w:left="2803" w:hanging="265"/>
        <w:jc w:val="left"/>
      </w:pPr>
      <w:rPr>
        <w:rFonts w:hint="default" w:ascii="Times New Roman" w:hAnsi="Times New Roman" w:eastAsia="Times New Roman" w:cs="Times New Roman"/>
        <w:b w:val="0"/>
        <w:bCs w:val="0"/>
        <w:i w:val="0"/>
        <w:iCs w:val="0"/>
        <w:w w:val="100"/>
        <w:sz w:val="19"/>
        <w:szCs w:val="19"/>
        <w:shd w:val="clear" w:color="auto" w:fill="D9D9D9"/>
        <w:lang w:val="en-US" w:eastAsia="zh-CN" w:bidi="ar-SA"/>
      </w:rPr>
    </w:lvl>
    <w:lvl w:ilvl="1" w:tentative="0">
      <w:start w:val="0"/>
      <w:numFmt w:val="bullet"/>
      <w:lvlText w:val="•"/>
      <w:lvlJc w:val="left"/>
      <w:pPr>
        <w:ind w:left="3524" w:hanging="265"/>
      </w:pPr>
      <w:rPr>
        <w:rFonts w:hint="default"/>
        <w:lang w:val="en-US" w:eastAsia="zh-CN" w:bidi="ar-SA"/>
      </w:rPr>
    </w:lvl>
    <w:lvl w:ilvl="2" w:tentative="0">
      <w:start w:val="0"/>
      <w:numFmt w:val="bullet"/>
      <w:lvlText w:val="•"/>
      <w:lvlJc w:val="left"/>
      <w:pPr>
        <w:ind w:left="4249" w:hanging="265"/>
      </w:pPr>
      <w:rPr>
        <w:rFonts w:hint="default"/>
        <w:lang w:val="en-US" w:eastAsia="zh-CN" w:bidi="ar-SA"/>
      </w:rPr>
    </w:lvl>
    <w:lvl w:ilvl="3" w:tentative="0">
      <w:start w:val="0"/>
      <w:numFmt w:val="bullet"/>
      <w:lvlText w:val="•"/>
      <w:lvlJc w:val="left"/>
      <w:pPr>
        <w:ind w:left="4973" w:hanging="265"/>
      </w:pPr>
      <w:rPr>
        <w:rFonts w:hint="default"/>
        <w:lang w:val="en-US" w:eastAsia="zh-CN" w:bidi="ar-SA"/>
      </w:rPr>
    </w:lvl>
    <w:lvl w:ilvl="4" w:tentative="0">
      <w:start w:val="0"/>
      <w:numFmt w:val="bullet"/>
      <w:lvlText w:val="•"/>
      <w:lvlJc w:val="left"/>
      <w:pPr>
        <w:ind w:left="5698" w:hanging="265"/>
      </w:pPr>
      <w:rPr>
        <w:rFonts w:hint="default"/>
        <w:lang w:val="en-US" w:eastAsia="zh-CN" w:bidi="ar-SA"/>
      </w:rPr>
    </w:lvl>
    <w:lvl w:ilvl="5" w:tentative="0">
      <w:start w:val="0"/>
      <w:numFmt w:val="bullet"/>
      <w:lvlText w:val="•"/>
      <w:lvlJc w:val="left"/>
      <w:pPr>
        <w:ind w:left="6423" w:hanging="265"/>
      </w:pPr>
      <w:rPr>
        <w:rFonts w:hint="default"/>
        <w:lang w:val="en-US" w:eastAsia="zh-CN" w:bidi="ar-SA"/>
      </w:rPr>
    </w:lvl>
    <w:lvl w:ilvl="6" w:tentative="0">
      <w:start w:val="0"/>
      <w:numFmt w:val="bullet"/>
      <w:lvlText w:val="•"/>
      <w:lvlJc w:val="left"/>
      <w:pPr>
        <w:ind w:left="7147" w:hanging="265"/>
      </w:pPr>
      <w:rPr>
        <w:rFonts w:hint="default"/>
        <w:lang w:val="en-US" w:eastAsia="zh-CN" w:bidi="ar-SA"/>
      </w:rPr>
    </w:lvl>
    <w:lvl w:ilvl="7" w:tentative="0">
      <w:start w:val="0"/>
      <w:numFmt w:val="bullet"/>
      <w:lvlText w:val="•"/>
      <w:lvlJc w:val="left"/>
      <w:pPr>
        <w:ind w:left="7872" w:hanging="265"/>
      </w:pPr>
      <w:rPr>
        <w:rFonts w:hint="default"/>
        <w:lang w:val="en-US" w:eastAsia="zh-CN" w:bidi="ar-SA"/>
      </w:rPr>
    </w:lvl>
    <w:lvl w:ilvl="8" w:tentative="0">
      <w:start w:val="0"/>
      <w:numFmt w:val="bullet"/>
      <w:lvlText w:val="•"/>
      <w:lvlJc w:val="left"/>
      <w:pPr>
        <w:ind w:left="8597" w:hanging="265"/>
      </w:pPr>
      <w:rPr>
        <w:rFonts w:hint="default"/>
        <w:lang w:val="en-US" w:eastAsia="zh-CN" w:bidi="ar-SA"/>
      </w:rPr>
    </w:lvl>
  </w:abstractNum>
  <w:abstractNum w:abstractNumId="18">
    <w:nsid w:val="2A8F537B"/>
    <w:multiLevelType w:val="multilevel"/>
    <w:tmpl w:val="2A8F537B"/>
    <w:lvl w:ilvl="0" w:tentative="0">
      <w:start w:val="7"/>
      <w:numFmt w:val="decimal"/>
      <w:lvlText w:val="%1."/>
      <w:lvlJc w:val="left"/>
      <w:pPr>
        <w:ind w:left="1007" w:hanging="795"/>
        <w:jc w:val="left"/>
      </w:pPr>
      <w:rPr>
        <w:rFonts w:hint="default" w:ascii="Times New Roman" w:hAnsi="Times New Roman" w:eastAsia="Times New Roman" w:cs="Times New Roman"/>
        <w:b/>
        <w:bCs/>
        <w:i w:val="0"/>
        <w:iCs w:val="0"/>
        <w:w w:val="100"/>
        <w:sz w:val="24"/>
        <w:szCs w:val="24"/>
        <w:lang w:val="en-US" w:eastAsia="zh-CN" w:bidi="ar-SA"/>
      </w:rPr>
    </w:lvl>
    <w:lvl w:ilvl="1" w:tentative="0">
      <w:start w:val="1"/>
      <w:numFmt w:val="decimal"/>
      <w:lvlText w:val="%1.%2"/>
      <w:lvlJc w:val="left"/>
      <w:pPr>
        <w:ind w:left="1007" w:hanging="795"/>
        <w:jc w:val="left"/>
      </w:pPr>
      <w:rPr>
        <w:rFonts w:hint="default" w:ascii="Times New Roman" w:hAnsi="Times New Roman" w:eastAsia="Times New Roman" w:cs="Times New Roman"/>
        <w:b/>
        <w:bCs/>
        <w:i w:val="0"/>
        <w:iCs w:val="0"/>
        <w:w w:val="100"/>
        <w:sz w:val="21"/>
        <w:szCs w:val="21"/>
        <w:lang w:val="en-US" w:eastAsia="zh-CN" w:bidi="ar-SA"/>
      </w:rPr>
    </w:lvl>
    <w:lvl w:ilvl="2" w:tentative="0">
      <w:start w:val="1"/>
      <w:numFmt w:val="decimal"/>
      <w:lvlText w:val="%3."/>
      <w:lvlJc w:val="left"/>
      <w:pPr>
        <w:ind w:left="2705" w:hanging="167"/>
        <w:jc w:val="left"/>
      </w:pPr>
      <w:rPr>
        <w:rFonts w:hint="default"/>
        <w:w w:val="100"/>
        <w:lang w:val="en-US" w:eastAsia="zh-CN" w:bidi="ar-SA"/>
      </w:rPr>
    </w:lvl>
    <w:lvl w:ilvl="3" w:tentative="0">
      <w:start w:val="0"/>
      <w:numFmt w:val="bullet"/>
      <w:lvlText w:val="•"/>
      <w:lvlJc w:val="left"/>
      <w:pPr>
        <w:ind w:left="2800" w:hanging="167"/>
      </w:pPr>
      <w:rPr>
        <w:rFonts w:hint="default"/>
        <w:lang w:val="en-US" w:eastAsia="zh-CN" w:bidi="ar-SA"/>
      </w:rPr>
    </w:lvl>
    <w:lvl w:ilvl="4" w:tentative="0">
      <w:start w:val="0"/>
      <w:numFmt w:val="bullet"/>
      <w:lvlText w:val="•"/>
      <w:lvlJc w:val="left"/>
      <w:pPr>
        <w:ind w:left="2724" w:hanging="167"/>
      </w:pPr>
      <w:rPr>
        <w:rFonts w:hint="default"/>
        <w:lang w:val="en-US" w:eastAsia="zh-CN" w:bidi="ar-SA"/>
      </w:rPr>
    </w:lvl>
    <w:lvl w:ilvl="5" w:tentative="0">
      <w:start w:val="0"/>
      <w:numFmt w:val="bullet"/>
      <w:lvlText w:val="•"/>
      <w:lvlJc w:val="left"/>
      <w:pPr>
        <w:ind w:left="2649" w:hanging="167"/>
      </w:pPr>
      <w:rPr>
        <w:rFonts w:hint="default"/>
        <w:lang w:val="en-US" w:eastAsia="zh-CN" w:bidi="ar-SA"/>
      </w:rPr>
    </w:lvl>
    <w:lvl w:ilvl="6" w:tentative="0">
      <w:start w:val="0"/>
      <w:numFmt w:val="bullet"/>
      <w:lvlText w:val="•"/>
      <w:lvlJc w:val="left"/>
      <w:pPr>
        <w:ind w:left="2574" w:hanging="167"/>
      </w:pPr>
      <w:rPr>
        <w:rFonts w:hint="default"/>
        <w:lang w:val="en-US" w:eastAsia="zh-CN" w:bidi="ar-SA"/>
      </w:rPr>
    </w:lvl>
    <w:lvl w:ilvl="7" w:tentative="0">
      <w:start w:val="0"/>
      <w:numFmt w:val="bullet"/>
      <w:lvlText w:val="•"/>
      <w:lvlJc w:val="left"/>
      <w:pPr>
        <w:ind w:left="2499" w:hanging="167"/>
      </w:pPr>
      <w:rPr>
        <w:rFonts w:hint="default"/>
        <w:lang w:val="en-US" w:eastAsia="zh-CN" w:bidi="ar-SA"/>
      </w:rPr>
    </w:lvl>
    <w:lvl w:ilvl="8" w:tentative="0">
      <w:start w:val="0"/>
      <w:numFmt w:val="bullet"/>
      <w:lvlText w:val="•"/>
      <w:lvlJc w:val="left"/>
      <w:pPr>
        <w:ind w:left="2424" w:hanging="167"/>
      </w:pPr>
      <w:rPr>
        <w:rFonts w:hint="default"/>
        <w:lang w:val="en-US" w:eastAsia="zh-CN" w:bidi="ar-SA"/>
      </w:rPr>
    </w:lvl>
  </w:abstractNum>
  <w:abstractNum w:abstractNumId="19">
    <w:nsid w:val="46A08BB8"/>
    <w:multiLevelType w:val="multilevel"/>
    <w:tmpl w:val="46A08BB8"/>
    <w:lvl w:ilvl="0" w:tentative="0">
      <w:start w:val="1"/>
      <w:numFmt w:val="decimal"/>
      <w:lvlText w:val="（%1）"/>
      <w:lvlJc w:val="left"/>
      <w:pPr>
        <w:ind w:left="3068"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3758" w:hanging="530"/>
      </w:pPr>
      <w:rPr>
        <w:rFonts w:hint="default"/>
        <w:lang w:val="en-US" w:eastAsia="zh-CN" w:bidi="ar-SA"/>
      </w:rPr>
    </w:lvl>
    <w:lvl w:ilvl="2" w:tentative="0">
      <w:start w:val="0"/>
      <w:numFmt w:val="bullet"/>
      <w:lvlText w:val="•"/>
      <w:lvlJc w:val="left"/>
      <w:pPr>
        <w:ind w:left="4457" w:hanging="530"/>
      </w:pPr>
      <w:rPr>
        <w:rFonts w:hint="default"/>
        <w:lang w:val="en-US" w:eastAsia="zh-CN" w:bidi="ar-SA"/>
      </w:rPr>
    </w:lvl>
    <w:lvl w:ilvl="3" w:tentative="0">
      <w:start w:val="0"/>
      <w:numFmt w:val="bullet"/>
      <w:lvlText w:val="•"/>
      <w:lvlJc w:val="left"/>
      <w:pPr>
        <w:ind w:left="5155" w:hanging="530"/>
      </w:pPr>
      <w:rPr>
        <w:rFonts w:hint="default"/>
        <w:lang w:val="en-US" w:eastAsia="zh-CN" w:bidi="ar-SA"/>
      </w:rPr>
    </w:lvl>
    <w:lvl w:ilvl="4" w:tentative="0">
      <w:start w:val="0"/>
      <w:numFmt w:val="bullet"/>
      <w:lvlText w:val="•"/>
      <w:lvlJc w:val="left"/>
      <w:pPr>
        <w:ind w:left="5854" w:hanging="530"/>
      </w:pPr>
      <w:rPr>
        <w:rFonts w:hint="default"/>
        <w:lang w:val="en-US" w:eastAsia="zh-CN" w:bidi="ar-SA"/>
      </w:rPr>
    </w:lvl>
    <w:lvl w:ilvl="5" w:tentative="0">
      <w:start w:val="0"/>
      <w:numFmt w:val="bullet"/>
      <w:lvlText w:val="•"/>
      <w:lvlJc w:val="left"/>
      <w:pPr>
        <w:ind w:left="6553" w:hanging="530"/>
      </w:pPr>
      <w:rPr>
        <w:rFonts w:hint="default"/>
        <w:lang w:val="en-US" w:eastAsia="zh-CN" w:bidi="ar-SA"/>
      </w:rPr>
    </w:lvl>
    <w:lvl w:ilvl="6" w:tentative="0">
      <w:start w:val="0"/>
      <w:numFmt w:val="bullet"/>
      <w:lvlText w:val="•"/>
      <w:lvlJc w:val="left"/>
      <w:pPr>
        <w:ind w:left="7251" w:hanging="530"/>
      </w:pPr>
      <w:rPr>
        <w:rFonts w:hint="default"/>
        <w:lang w:val="en-US" w:eastAsia="zh-CN" w:bidi="ar-SA"/>
      </w:rPr>
    </w:lvl>
    <w:lvl w:ilvl="7" w:tentative="0">
      <w:start w:val="0"/>
      <w:numFmt w:val="bullet"/>
      <w:lvlText w:val="•"/>
      <w:lvlJc w:val="left"/>
      <w:pPr>
        <w:ind w:left="7950" w:hanging="530"/>
      </w:pPr>
      <w:rPr>
        <w:rFonts w:hint="default"/>
        <w:lang w:val="en-US" w:eastAsia="zh-CN" w:bidi="ar-SA"/>
      </w:rPr>
    </w:lvl>
    <w:lvl w:ilvl="8" w:tentative="0">
      <w:start w:val="0"/>
      <w:numFmt w:val="bullet"/>
      <w:lvlText w:val="•"/>
      <w:lvlJc w:val="left"/>
      <w:pPr>
        <w:ind w:left="8649" w:hanging="530"/>
      </w:pPr>
      <w:rPr>
        <w:rFonts w:hint="default"/>
        <w:lang w:val="en-US" w:eastAsia="zh-CN" w:bidi="ar-SA"/>
      </w:rPr>
    </w:lvl>
  </w:abstractNum>
  <w:abstractNum w:abstractNumId="20">
    <w:nsid w:val="4C1BAE26"/>
    <w:multiLevelType w:val="multilevel"/>
    <w:tmpl w:val="4C1BAE26"/>
    <w:lvl w:ilvl="0" w:tentative="0">
      <w:start w:val="1"/>
      <w:numFmt w:val="decimal"/>
      <w:lvlText w:val="%1."/>
      <w:lvlJc w:val="left"/>
      <w:pPr>
        <w:ind w:left="299" w:hanging="167"/>
        <w:jc w:val="left"/>
      </w:pPr>
      <w:rPr>
        <w:rFonts w:hint="default" w:ascii="Times New Roman" w:hAnsi="Times New Roman" w:eastAsia="Times New Roman" w:cs="Times New Roman"/>
        <w:b w:val="0"/>
        <w:bCs w:val="0"/>
        <w:i w:val="0"/>
        <w:iCs w:val="0"/>
        <w:w w:val="100"/>
        <w:sz w:val="19"/>
        <w:szCs w:val="19"/>
        <w:lang w:val="en-US" w:eastAsia="zh-CN" w:bidi="ar-SA"/>
      </w:rPr>
    </w:lvl>
    <w:lvl w:ilvl="1" w:tentative="0">
      <w:start w:val="0"/>
      <w:numFmt w:val="bullet"/>
      <w:lvlText w:val="•"/>
      <w:lvlJc w:val="left"/>
      <w:pPr>
        <w:ind w:left="1021" w:hanging="167"/>
      </w:pPr>
      <w:rPr>
        <w:rFonts w:hint="default"/>
        <w:lang w:val="en-US" w:eastAsia="zh-CN" w:bidi="ar-SA"/>
      </w:rPr>
    </w:lvl>
    <w:lvl w:ilvl="2" w:tentative="0">
      <w:start w:val="0"/>
      <w:numFmt w:val="bullet"/>
      <w:lvlText w:val="•"/>
      <w:lvlJc w:val="left"/>
      <w:pPr>
        <w:ind w:left="1743" w:hanging="167"/>
      </w:pPr>
      <w:rPr>
        <w:rFonts w:hint="default"/>
        <w:lang w:val="en-US" w:eastAsia="zh-CN" w:bidi="ar-SA"/>
      </w:rPr>
    </w:lvl>
    <w:lvl w:ilvl="3" w:tentative="0">
      <w:start w:val="0"/>
      <w:numFmt w:val="bullet"/>
      <w:lvlText w:val="•"/>
      <w:lvlJc w:val="left"/>
      <w:pPr>
        <w:ind w:left="2465" w:hanging="167"/>
      </w:pPr>
      <w:rPr>
        <w:rFonts w:hint="default"/>
        <w:lang w:val="en-US" w:eastAsia="zh-CN" w:bidi="ar-SA"/>
      </w:rPr>
    </w:lvl>
    <w:lvl w:ilvl="4" w:tentative="0">
      <w:start w:val="0"/>
      <w:numFmt w:val="bullet"/>
      <w:lvlText w:val="•"/>
      <w:lvlJc w:val="left"/>
      <w:pPr>
        <w:ind w:left="3187" w:hanging="167"/>
      </w:pPr>
      <w:rPr>
        <w:rFonts w:hint="default"/>
        <w:lang w:val="en-US" w:eastAsia="zh-CN" w:bidi="ar-SA"/>
      </w:rPr>
    </w:lvl>
    <w:lvl w:ilvl="5" w:tentative="0">
      <w:start w:val="0"/>
      <w:numFmt w:val="bullet"/>
      <w:lvlText w:val="•"/>
      <w:lvlJc w:val="left"/>
      <w:pPr>
        <w:ind w:left="3909" w:hanging="167"/>
      </w:pPr>
      <w:rPr>
        <w:rFonts w:hint="default"/>
        <w:lang w:val="en-US" w:eastAsia="zh-CN" w:bidi="ar-SA"/>
      </w:rPr>
    </w:lvl>
    <w:lvl w:ilvl="6" w:tentative="0">
      <w:start w:val="0"/>
      <w:numFmt w:val="bullet"/>
      <w:lvlText w:val="•"/>
      <w:lvlJc w:val="left"/>
      <w:pPr>
        <w:ind w:left="4631" w:hanging="167"/>
      </w:pPr>
      <w:rPr>
        <w:rFonts w:hint="default"/>
        <w:lang w:val="en-US" w:eastAsia="zh-CN" w:bidi="ar-SA"/>
      </w:rPr>
    </w:lvl>
    <w:lvl w:ilvl="7" w:tentative="0">
      <w:start w:val="0"/>
      <w:numFmt w:val="bullet"/>
      <w:lvlText w:val="•"/>
      <w:lvlJc w:val="left"/>
      <w:pPr>
        <w:ind w:left="5353" w:hanging="167"/>
      </w:pPr>
      <w:rPr>
        <w:rFonts w:hint="default"/>
        <w:lang w:val="en-US" w:eastAsia="zh-CN" w:bidi="ar-SA"/>
      </w:rPr>
    </w:lvl>
    <w:lvl w:ilvl="8" w:tentative="0">
      <w:start w:val="0"/>
      <w:numFmt w:val="bullet"/>
      <w:lvlText w:val="•"/>
      <w:lvlJc w:val="left"/>
      <w:pPr>
        <w:ind w:left="6075" w:hanging="167"/>
      </w:pPr>
      <w:rPr>
        <w:rFonts w:hint="default"/>
        <w:lang w:val="en-US" w:eastAsia="zh-CN" w:bidi="ar-SA"/>
      </w:rPr>
    </w:lvl>
  </w:abstractNum>
  <w:abstractNum w:abstractNumId="21">
    <w:nsid w:val="4D4DC07F"/>
    <w:multiLevelType w:val="multilevel"/>
    <w:tmpl w:val="4D4DC07F"/>
    <w:lvl w:ilvl="0" w:tentative="0">
      <w:start w:val="1"/>
      <w:numFmt w:val="decimal"/>
      <w:lvlText w:val="%1."/>
      <w:lvlJc w:val="left"/>
      <w:pPr>
        <w:ind w:left="167" w:hanging="167"/>
        <w:jc w:val="left"/>
      </w:pPr>
      <w:rPr>
        <w:rFonts w:hint="default" w:ascii="Times New Roman" w:hAnsi="Times New Roman" w:eastAsia="Times New Roman" w:cs="Times New Roman"/>
        <w:b w:val="0"/>
        <w:bCs w:val="0"/>
        <w:i w:val="0"/>
        <w:iCs w:val="0"/>
        <w:w w:val="100"/>
        <w:sz w:val="19"/>
        <w:szCs w:val="19"/>
        <w:lang w:val="en-US" w:eastAsia="zh-CN" w:bidi="ar-SA"/>
      </w:rPr>
    </w:lvl>
    <w:lvl w:ilvl="1" w:tentative="0">
      <w:start w:val="0"/>
      <w:numFmt w:val="bullet"/>
      <w:lvlText w:val="•"/>
      <w:lvlJc w:val="left"/>
      <w:pPr>
        <w:ind w:left="882" w:hanging="167"/>
      </w:pPr>
      <w:rPr>
        <w:rFonts w:hint="default"/>
        <w:lang w:val="en-US" w:eastAsia="zh-CN" w:bidi="ar-SA"/>
      </w:rPr>
    </w:lvl>
    <w:lvl w:ilvl="2" w:tentative="0">
      <w:start w:val="0"/>
      <w:numFmt w:val="bullet"/>
      <w:lvlText w:val="•"/>
      <w:lvlJc w:val="left"/>
      <w:pPr>
        <w:ind w:left="1605" w:hanging="167"/>
      </w:pPr>
      <w:rPr>
        <w:rFonts w:hint="default"/>
        <w:lang w:val="en-US" w:eastAsia="zh-CN" w:bidi="ar-SA"/>
      </w:rPr>
    </w:lvl>
    <w:lvl w:ilvl="3" w:tentative="0">
      <w:start w:val="0"/>
      <w:numFmt w:val="bullet"/>
      <w:lvlText w:val="•"/>
      <w:lvlJc w:val="left"/>
      <w:pPr>
        <w:ind w:left="2328" w:hanging="167"/>
      </w:pPr>
      <w:rPr>
        <w:rFonts w:hint="default"/>
        <w:lang w:val="en-US" w:eastAsia="zh-CN" w:bidi="ar-SA"/>
      </w:rPr>
    </w:lvl>
    <w:lvl w:ilvl="4" w:tentative="0">
      <w:start w:val="0"/>
      <w:numFmt w:val="bullet"/>
      <w:lvlText w:val="•"/>
      <w:lvlJc w:val="left"/>
      <w:pPr>
        <w:ind w:left="3050" w:hanging="167"/>
      </w:pPr>
      <w:rPr>
        <w:rFonts w:hint="default"/>
        <w:lang w:val="en-US" w:eastAsia="zh-CN" w:bidi="ar-SA"/>
      </w:rPr>
    </w:lvl>
    <w:lvl w:ilvl="5" w:tentative="0">
      <w:start w:val="0"/>
      <w:numFmt w:val="bullet"/>
      <w:lvlText w:val="•"/>
      <w:lvlJc w:val="left"/>
      <w:pPr>
        <w:ind w:left="3773" w:hanging="167"/>
      </w:pPr>
      <w:rPr>
        <w:rFonts w:hint="default"/>
        <w:lang w:val="en-US" w:eastAsia="zh-CN" w:bidi="ar-SA"/>
      </w:rPr>
    </w:lvl>
    <w:lvl w:ilvl="6" w:tentative="0">
      <w:start w:val="0"/>
      <w:numFmt w:val="bullet"/>
      <w:lvlText w:val="•"/>
      <w:lvlJc w:val="left"/>
      <w:pPr>
        <w:ind w:left="4496" w:hanging="167"/>
      </w:pPr>
      <w:rPr>
        <w:rFonts w:hint="default"/>
        <w:lang w:val="en-US" w:eastAsia="zh-CN" w:bidi="ar-SA"/>
      </w:rPr>
    </w:lvl>
    <w:lvl w:ilvl="7" w:tentative="0">
      <w:start w:val="0"/>
      <w:numFmt w:val="bullet"/>
      <w:lvlText w:val="•"/>
      <w:lvlJc w:val="left"/>
      <w:pPr>
        <w:ind w:left="5218" w:hanging="167"/>
      </w:pPr>
      <w:rPr>
        <w:rFonts w:hint="default"/>
        <w:lang w:val="en-US" w:eastAsia="zh-CN" w:bidi="ar-SA"/>
      </w:rPr>
    </w:lvl>
    <w:lvl w:ilvl="8" w:tentative="0">
      <w:start w:val="0"/>
      <w:numFmt w:val="bullet"/>
      <w:lvlText w:val="•"/>
      <w:lvlJc w:val="left"/>
      <w:pPr>
        <w:ind w:left="5941" w:hanging="167"/>
      </w:pPr>
      <w:rPr>
        <w:rFonts w:hint="default"/>
        <w:lang w:val="en-US" w:eastAsia="zh-CN" w:bidi="ar-SA"/>
      </w:rPr>
    </w:lvl>
  </w:abstractNum>
  <w:abstractNum w:abstractNumId="22">
    <w:nsid w:val="59ADCABA"/>
    <w:multiLevelType w:val="multilevel"/>
    <w:tmpl w:val="59ADCABA"/>
    <w:lvl w:ilvl="0" w:tentative="0">
      <w:start w:val="1"/>
      <w:numFmt w:val="decimal"/>
      <w:lvlText w:val="%1."/>
      <w:lvlJc w:val="left"/>
      <w:pPr>
        <w:ind w:left="1007" w:hanging="795"/>
        <w:jc w:val="left"/>
      </w:pPr>
      <w:rPr>
        <w:rFonts w:hint="default" w:ascii="Times New Roman" w:hAnsi="Times New Roman" w:eastAsia="Times New Roman" w:cs="Times New Roman"/>
        <w:b/>
        <w:bCs/>
        <w:i w:val="0"/>
        <w:iCs w:val="0"/>
        <w:w w:val="100"/>
        <w:sz w:val="24"/>
        <w:szCs w:val="24"/>
        <w:lang w:val="en-US" w:eastAsia="zh-CN" w:bidi="ar-SA"/>
      </w:rPr>
    </w:lvl>
    <w:lvl w:ilvl="1" w:tentative="0">
      <w:start w:val="1"/>
      <w:numFmt w:val="decimal"/>
      <w:lvlText w:val="%1.%2"/>
      <w:lvlJc w:val="left"/>
      <w:pPr>
        <w:ind w:left="2538" w:hanging="795"/>
        <w:jc w:val="left"/>
      </w:pPr>
      <w:rPr>
        <w:rFonts w:hint="default" w:ascii="Times New Roman" w:hAnsi="Times New Roman" w:eastAsia="Times New Roman" w:cs="Times New Roman"/>
        <w:b/>
        <w:bCs/>
        <w:i w:val="0"/>
        <w:iCs w:val="0"/>
        <w:w w:val="100"/>
        <w:sz w:val="21"/>
        <w:szCs w:val="21"/>
        <w:lang w:val="en-US" w:eastAsia="zh-CN" w:bidi="ar-SA"/>
      </w:rPr>
    </w:lvl>
    <w:lvl w:ilvl="2" w:tentative="0">
      <w:start w:val="1"/>
      <w:numFmt w:val="decimal"/>
      <w:lvlText w:val="%3."/>
      <w:lvlJc w:val="left"/>
      <w:pPr>
        <w:ind w:left="2802" w:hanging="264"/>
        <w:jc w:val="left"/>
      </w:pPr>
      <w:rPr>
        <w:rFonts w:hint="default" w:ascii="Times New Roman" w:hAnsi="Times New Roman" w:eastAsia="Times New Roman" w:cs="Times New Roman"/>
        <w:b w:val="0"/>
        <w:bCs w:val="0"/>
        <w:i w:val="0"/>
        <w:iCs w:val="0"/>
        <w:w w:val="97"/>
        <w:sz w:val="21"/>
        <w:szCs w:val="21"/>
        <w:shd w:val="clear" w:color="auto" w:fill="D9D9D9"/>
        <w:lang w:val="en-US" w:eastAsia="zh-CN" w:bidi="ar-SA"/>
      </w:rPr>
    </w:lvl>
    <w:lvl w:ilvl="3" w:tentative="0">
      <w:start w:val="0"/>
      <w:numFmt w:val="bullet"/>
      <w:lvlText w:val="•"/>
      <w:lvlJc w:val="left"/>
      <w:pPr>
        <w:ind w:left="2800" w:hanging="264"/>
      </w:pPr>
      <w:rPr>
        <w:rFonts w:hint="default"/>
        <w:lang w:val="en-US" w:eastAsia="zh-CN" w:bidi="ar-SA"/>
      </w:rPr>
    </w:lvl>
    <w:lvl w:ilvl="4" w:tentative="0">
      <w:start w:val="0"/>
      <w:numFmt w:val="bullet"/>
      <w:lvlText w:val="•"/>
      <w:lvlJc w:val="left"/>
      <w:pPr>
        <w:ind w:left="3835" w:hanging="264"/>
      </w:pPr>
      <w:rPr>
        <w:rFonts w:hint="default"/>
        <w:lang w:val="en-US" w:eastAsia="zh-CN" w:bidi="ar-SA"/>
      </w:rPr>
    </w:lvl>
    <w:lvl w:ilvl="5" w:tentative="0">
      <w:start w:val="0"/>
      <w:numFmt w:val="bullet"/>
      <w:lvlText w:val="•"/>
      <w:lvlJc w:val="left"/>
      <w:pPr>
        <w:ind w:left="4870" w:hanging="264"/>
      </w:pPr>
      <w:rPr>
        <w:rFonts w:hint="default"/>
        <w:lang w:val="en-US" w:eastAsia="zh-CN" w:bidi="ar-SA"/>
      </w:rPr>
    </w:lvl>
    <w:lvl w:ilvl="6" w:tentative="0">
      <w:start w:val="0"/>
      <w:numFmt w:val="bullet"/>
      <w:lvlText w:val="•"/>
      <w:lvlJc w:val="left"/>
      <w:pPr>
        <w:ind w:left="5905" w:hanging="264"/>
      </w:pPr>
      <w:rPr>
        <w:rFonts w:hint="default"/>
        <w:lang w:val="en-US" w:eastAsia="zh-CN" w:bidi="ar-SA"/>
      </w:rPr>
    </w:lvl>
    <w:lvl w:ilvl="7" w:tentative="0">
      <w:start w:val="0"/>
      <w:numFmt w:val="bullet"/>
      <w:lvlText w:val="•"/>
      <w:lvlJc w:val="left"/>
      <w:pPr>
        <w:ind w:left="6940" w:hanging="264"/>
      </w:pPr>
      <w:rPr>
        <w:rFonts w:hint="default"/>
        <w:lang w:val="en-US" w:eastAsia="zh-CN" w:bidi="ar-SA"/>
      </w:rPr>
    </w:lvl>
    <w:lvl w:ilvl="8" w:tentative="0">
      <w:start w:val="0"/>
      <w:numFmt w:val="bullet"/>
      <w:lvlText w:val="•"/>
      <w:lvlJc w:val="left"/>
      <w:pPr>
        <w:ind w:left="7976" w:hanging="264"/>
      </w:pPr>
      <w:rPr>
        <w:rFonts w:hint="default"/>
        <w:lang w:val="en-US" w:eastAsia="zh-CN" w:bidi="ar-SA"/>
      </w:rPr>
    </w:lvl>
  </w:abstractNum>
  <w:abstractNum w:abstractNumId="23">
    <w:nsid w:val="5A241D34"/>
    <w:multiLevelType w:val="multilevel"/>
    <w:tmpl w:val="5A241D34"/>
    <w:lvl w:ilvl="0" w:tentative="0">
      <w:start w:val="2"/>
      <w:numFmt w:val="decimal"/>
      <w:lvlText w:val="%1."/>
      <w:lvlJc w:val="left"/>
      <w:pPr>
        <w:ind w:left="2538"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3290" w:hanging="264"/>
      </w:pPr>
      <w:rPr>
        <w:rFonts w:hint="default"/>
        <w:lang w:val="en-US" w:eastAsia="zh-CN" w:bidi="ar-SA"/>
      </w:rPr>
    </w:lvl>
    <w:lvl w:ilvl="2" w:tentative="0">
      <w:start w:val="0"/>
      <w:numFmt w:val="bullet"/>
      <w:lvlText w:val="•"/>
      <w:lvlJc w:val="left"/>
      <w:pPr>
        <w:ind w:left="4041" w:hanging="264"/>
      </w:pPr>
      <w:rPr>
        <w:rFonts w:hint="default"/>
        <w:lang w:val="en-US" w:eastAsia="zh-CN" w:bidi="ar-SA"/>
      </w:rPr>
    </w:lvl>
    <w:lvl w:ilvl="3" w:tentative="0">
      <w:start w:val="0"/>
      <w:numFmt w:val="bullet"/>
      <w:lvlText w:val="•"/>
      <w:lvlJc w:val="left"/>
      <w:pPr>
        <w:ind w:left="4791" w:hanging="264"/>
      </w:pPr>
      <w:rPr>
        <w:rFonts w:hint="default"/>
        <w:lang w:val="en-US" w:eastAsia="zh-CN" w:bidi="ar-SA"/>
      </w:rPr>
    </w:lvl>
    <w:lvl w:ilvl="4" w:tentative="0">
      <w:start w:val="0"/>
      <w:numFmt w:val="bullet"/>
      <w:lvlText w:val="•"/>
      <w:lvlJc w:val="left"/>
      <w:pPr>
        <w:ind w:left="5542" w:hanging="264"/>
      </w:pPr>
      <w:rPr>
        <w:rFonts w:hint="default"/>
        <w:lang w:val="en-US" w:eastAsia="zh-CN" w:bidi="ar-SA"/>
      </w:rPr>
    </w:lvl>
    <w:lvl w:ilvl="5" w:tentative="0">
      <w:start w:val="0"/>
      <w:numFmt w:val="bullet"/>
      <w:lvlText w:val="•"/>
      <w:lvlJc w:val="left"/>
      <w:pPr>
        <w:ind w:left="6293" w:hanging="264"/>
      </w:pPr>
      <w:rPr>
        <w:rFonts w:hint="default"/>
        <w:lang w:val="en-US" w:eastAsia="zh-CN" w:bidi="ar-SA"/>
      </w:rPr>
    </w:lvl>
    <w:lvl w:ilvl="6" w:tentative="0">
      <w:start w:val="0"/>
      <w:numFmt w:val="bullet"/>
      <w:lvlText w:val="•"/>
      <w:lvlJc w:val="left"/>
      <w:pPr>
        <w:ind w:left="7043" w:hanging="264"/>
      </w:pPr>
      <w:rPr>
        <w:rFonts w:hint="default"/>
        <w:lang w:val="en-US" w:eastAsia="zh-CN" w:bidi="ar-SA"/>
      </w:rPr>
    </w:lvl>
    <w:lvl w:ilvl="7" w:tentative="0">
      <w:start w:val="0"/>
      <w:numFmt w:val="bullet"/>
      <w:lvlText w:val="•"/>
      <w:lvlJc w:val="left"/>
      <w:pPr>
        <w:ind w:left="7794" w:hanging="264"/>
      </w:pPr>
      <w:rPr>
        <w:rFonts w:hint="default"/>
        <w:lang w:val="en-US" w:eastAsia="zh-CN" w:bidi="ar-SA"/>
      </w:rPr>
    </w:lvl>
    <w:lvl w:ilvl="8" w:tentative="0">
      <w:start w:val="0"/>
      <w:numFmt w:val="bullet"/>
      <w:lvlText w:val="•"/>
      <w:lvlJc w:val="left"/>
      <w:pPr>
        <w:ind w:left="8545" w:hanging="264"/>
      </w:pPr>
      <w:rPr>
        <w:rFonts w:hint="default"/>
        <w:lang w:val="en-US" w:eastAsia="zh-CN" w:bidi="ar-SA"/>
      </w:rPr>
    </w:lvl>
  </w:abstractNum>
  <w:abstractNum w:abstractNumId="24">
    <w:nsid w:val="60382F6E"/>
    <w:multiLevelType w:val="multilevel"/>
    <w:tmpl w:val="60382F6E"/>
    <w:lvl w:ilvl="0" w:tentative="0">
      <w:start w:val="1"/>
      <w:numFmt w:val="decimal"/>
      <w:lvlText w:val="%1."/>
      <w:lvlJc w:val="left"/>
      <w:pPr>
        <w:ind w:left="167" w:hanging="167"/>
        <w:jc w:val="left"/>
      </w:pPr>
      <w:rPr>
        <w:rFonts w:hint="default" w:ascii="Times New Roman" w:hAnsi="Times New Roman" w:eastAsia="Times New Roman" w:cs="Times New Roman"/>
        <w:b w:val="0"/>
        <w:bCs w:val="0"/>
        <w:i w:val="0"/>
        <w:iCs w:val="0"/>
        <w:w w:val="100"/>
        <w:sz w:val="19"/>
        <w:szCs w:val="19"/>
        <w:lang w:val="en-US" w:eastAsia="zh-CN" w:bidi="ar-SA"/>
      </w:rPr>
    </w:lvl>
    <w:lvl w:ilvl="1" w:tentative="0">
      <w:start w:val="0"/>
      <w:numFmt w:val="bullet"/>
      <w:lvlText w:val="•"/>
      <w:lvlJc w:val="left"/>
      <w:pPr>
        <w:ind w:left="882" w:hanging="167"/>
      </w:pPr>
      <w:rPr>
        <w:rFonts w:hint="default"/>
        <w:lang w:val="en-US" w:eastAsia="zh-CN" w:bidi="ar-SA"/>
      </w:rPr>
    </w:lvl>
    <w:lvl w:ilvl="2" w:tentative="0">
      <w:start w:val="0"/>
      <w:numFmt w:val="bullet"/>
      <w:lvlText w:val="•"/>
      <w:lvlJc w:val="left"/>
      <w:pPr>
        <w:ind w:left="1605" w:hanging="167"/>
      </w:pPr>
      <w:rPr>
        <w:rFonts w:hint="default"/>
        <w:lang w:val="en-US" w:eastAsia="zh-CN" w:bidi="ar-SA"/>
      </w:rPr>
    </w:lvl>
    <w:lvl w:ilvl="3" w:tentative="0">
      <w:start w:val="0"/>
      <w:numFmt w:val="bullet"/>
      <w:lvlText w:val="•"/>
      <w:lvlJc w:val="left"/>
      <w:pPr>
        <w:ind w:left="2328" w:hanging="167"/>
      </w:pPr>
      <w:rPr>
        <w:rFonts w:hint="default"/>
        <w:lang w:val="en-US" w:eastAsia="zh-CN" w:bidi="ar-SA"/>
      </w:rPr>
    </w:lvl>
    <w:lvl w:ilvl="4" w:tentative="0">
      <w:start w:val="0"/>
      <w:numFmt w:val="bullet"/>
      <w:lvlText w:val="•"/>
      <w:lvlJc w:val="left"/>
      <w:pPr>
        <w:ind w:left="3050" w:hanging="167"/>
      </w:pPr>
      <w:rPr>
        <w:rFonts w:hint="default"/>
        <w:lang w:val="en-US" w:eastAsia="zh-CN" w:bidi="ar-SA"/>
      </w:rPr>
    </w:lvl>
    <w:lvl w:ilvl="5" w:tentative="0">
      <w:start w:val="0"/>
      <w:numFmt w:val="bullet"/>
      <w:lvlText w:val="•"/>
      <w:lvlJc w:val="left"/>
      <w:pPr>
        <w:ind w:left="3773" w:hanging="167"/>
      </w:pPr>
      <w:rPr>
        <w:rFonts w:hint="default"/>
        <w:lang w:val="en-US" w:eastAsia="zh-CN" w:bidi="ar-SA"/>
      </w:rPr>
    </w:lvl>
    <w:lvl w:ilvl="6" w:tentative="0">
      <w:start w:val="0"/>
      <w:numFmt w:val="bullet"/>
      <w:lvlText w:val="•"/>
      <w:lvlJc w:val="left"/>
      <w:pPr>
        <w:ind w:left="4496" w:hanging="167"/>
      </w:pPr>
      <w:rPr>
        <w:rFonts w:hint="default"/>
        <w:lang w:val="en-US" w:eastAsia="zh-CN" w:bidi="ar-SA"/>
      </w:rPr>
    </w:lvl>
    <w:lvl w:ilvl="7" w:tentative="0">
      <w:start w:val="0"/>
      <w:numFmt w:val="bullet"/>
      <w:lvlText w:val="•"/>
      <w:lvlJc w:val="left"/>
      <w:pPr>
        <w:ind w:left="5218" w:hanging="167"/>
      </w:pPr>
      <w:rPr>
        <w:rFonts w:hint="default"/>
        <w:lang w:val="en-US" w:eastAsia="zh-CN" w:bidi="ar-SA"/>
      </w:rPr>
    </w:lvl>
    <w:lvl w:ilvl="8" w:tentative="0">
      <w:start w:val="0"/>
      <w:numFmt w:val="bullet"/>
      <w:lvlText w:val="•"/>
      <w:lvlJc w:val="left"/>
      <w:pPr>
        <w:ind w:left="5941" w:hanging="167"/>
      </w:pPr>
      <w:rPr>
        <w:rFonts w:hint="default"/>
        <w:lang w:val="en-US" w:eastAsia="zh-CN" w:bidi="ar-SA"/>
      </w:rPr>
    </w:lvl>
  </w:abstractNum>
  <w:abstractNum w:abstractNumId="25">
    <w:nsid w:val="629F7852"/>
    <w:multiLevelType w:val="multilevel"/>
    <w:tmpl w:val="629F7852"/>
    <w:lvl w:ilvl="0" w:tentative="0">
      <w:start w:val="1"/>
      <w:numFmt w:val="decimal"/>
      <w:lvlText w:val="%1."/>
      <w:lvlJc w:val="left"/>
      <w:pPr>
        <w:ind w:left="292"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tentative="0">
      <w:start w:val="0"/>
      <w:numFmt w:val="bullet"/>
      <w:lvlText w:val="•"/>
      <w:lvlJc w:val="left"/>
      <w:pPr>
        <w:ind w:left="1021" w:hanging="160"/>
      </w:pPr>
      <w:rPr>
        <w:rFonts w:hint="default"/>
        <w:lang w:val="en-US" w:eastAsia="zh-CN" w:bidi="ar-SA"/>
      </w:rPr>
    </w:lvl>
    <w:lvl w:ilvl="2" w:tentative="0">
      <w:start w:val="0"/>
      <w:numFmt w:val="bullet"/>
      <w:lvlText w:val="•"/>
      <w:lvlJc w:val="left"/>
      <w:pPr>
        <w:ind w:left="1743" w:hanging="160"/>
      </w:pPr>
      <w:rPr>
        <w:rFonts w:hint="default"/>
        <w:lang w:val="en-US" w:eastAsia="zh-CN" w:bidi="ar-SA"/>
      </w:rPr>
    </w:lvl>
    <w:lvl w:ilvl="3" w:tentative="0">
      <w:start w:val="0"/>
      <w:numFmt w:val="bullet"/>
      <w:lvlText w:val="•"/>
      <w:lvlJc w:val="left"/>
      <w:pPr>
        <w:ind w:left="2465" w:hanging="160"/>
      </w:pPr>
      <w:rPr>
        <w:rFonts w:hint="default"/>
        <w:lang w:val="en-US" w:eastAsia="zh-CN" w:bidi="ar-SA"/>
      </w:rPr>
    </w:lvl>
    <w:lvl w:ilvl="4" w:tentative="0">
      <w:start w:val="0"/>
      <w:numFmt w:val="bullet"/>
      <w:lvlText w:val="•"/>
      <w:lvlJc w:val="left"/>
      <w:pPr>
        <w:ind w:left="3187" w:hanging="160"/>
      </w:pPr>
      <w:rPr>
        <w:rFonts w:hint="default"/>
        <w:lang w:val="en-US" w:eastAsia="zh-CN" w:bidi="ar-SA"/>
      </w:rPr>
    </w:lvl>
    <w:lvl w:ilvl="5" w:tentative="0">
      <w:start w:val="0"/>
      <w:numFmt w:val="bullet"/>
      <w:lvlText w:val="•"/>
      <w:lvlJc w:val="left"/>
      <w:pPr>
        <w:ind w:left="3909" w:hanging="160"/>
      </w:pPr>
      <w:rPr>
        <w:rFonts w:hint="default"/>
        <w:lang w:val="en-US" w:eastAsia="zh-CN" w:bidi="ar-SA"/>
      </w:rPr>
    </w:lvl>
    <w:lvl w:ilvl="6" w:tentative="0">
      <w:start w:val="0"/>
      <w:numFmt w:val="bullet"/>
      <w:lvlText w:val="•"/>
      <w:lvlJc w:val="left"/>
      <w:pPr>
        <w:ind w:left="4631" w:hanging="160"/>
      </w:pPr>
      <w:rPr>
        <w:rFonts w:hint="default"/>
        <w:lang w:val="en-US" w:eastAsia="zh-CN" w:bidi="ar-SA"/>
      </w:rPr>
    </w:lvl>
    <w:lvl w:ilvl="7" w:tentative="0">
      <w:start w:val="0"/>
      <w:numFmt w:val="bullet"/>
      <w:lvlText w:val="•"/>
      <w:lvlJc w:val="left"/>
      <w:pPr>
        <w:ind w:left="5353" w:hanging="160"/>
      </w:pPr>
      <w:rPr>
        <w:rFonts w:hint="default"/>
        <w:lang w:val="en-US" w:eastAsia="zh-CN" w:bidi="ar-SA"/>
      </w:rPr>
    </w:lvl>
    <w:lvl w:ilvl="8" w:tentative="0">
      <w:start w:val="0"/>
      <w:numFmt w:val="bullet"/>
      <w:lvlText w:val="•"/>
      <w:lvlJc w:val="left"/>
      <w:pPr>
        <w:ind w:left="6075" w:hanging="160"/>
      </w:pPr>
      <w:rPr>
        <w:rFonts w:hint="default"/>
        <w:lang w:val="en-US" w:eastAsia="zh-CN" w:bidi="ar-SA"/>
      </w:rPr>
    </w:lvl>
  </w:abstractNum>
  <w:abstractNum w:abstractNumId="26">
    <w:nsid w:val="72183CF9"/>
    <w:multiLevelType w:val="multilevel"/>
    <w:tmpl w:val="72183CF9"/>
    <w:lvl w:ilvl="0" w:tentative="0">
      <w:start w:val="2"/>
      <w:numFmt w:val="decimal"/>
      <w:lvlText w:val="%1."/>
      <w:lvlJc w:val="left"/>
      <w:pPr>
        <w:ind w:left="2698"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tentative="0">
      <w:start w:val="0"/>
      <w:numFmt w:val="bullet"/>
      <w:lvlText w:val="•"/>
      <w:lvlJc w:val="left"/>
      <w:pPr>
        <w:ind w:left="3434" w:hanging="160"/>
      </w:pPr>
      <w:rPr>
        <w:rFonts w:hint="default"/>
        <w:lang w:val="en-US" w:eastAsia="zh-CN" w:bidi="ar-SA"/>
      </w:rPr>
    </w:lvl>
    <w:lvl w:ilvl="2" w:tentative="0">
      <w:start w:val="0"/>
      <w:numFmt w:val="bullet"/>
      <w:lvlText w:val="•"/>
      <w:lvlJc w:val="left"/>
      <w:pPr>
        <w:ind w:left="4169" w:hanging="160"/>
      </w:pPr>
      <w:rPr>
        <w:rFonts w:hint="default"/>
        <w:lang w:val="en-US" w:eastAsia="zh-CN" w:bidi="ar-SA"/>
      </w:rPr>
    </w:lvl>
    <w:lvl w:ilvl="3" w:tentative="0">
      <w:start w:val="0"/>
      <w:numFmt w:val="bullet"/>
      <w:lvlText w:val="•"/>
      <w:lvlJc w:val="left"/>
      <w:pPr>
        <w:ind w:left="4903" w:hanging="160"/>
      </w:pPr>
      <w:rPr>
        <w:rFonts w:hint="default"/>
        <w:lang w:val="en-US" w:eastAsia="zh-CN" w:bidi="ar-SA"/>
      </w:rPr>
    </w:lvl>
    <w:lvl w:ilvl="4" w:tentative="0">
      <w:start w:val="0"/>
      <w:numFmt w:val="bullet"/>
      <w:lvlText w:val="•"/>
      <w:lvlJc w:val="left"/>
      <w:pPr>
        <w:ind w:left="5638" w:hanging="160"/>
      </w:pPr>
      <w:rPr>
        <w:rFonts w:hint="default"/>
        <w:lang w:val="en-US" w:eastAsia="zh-CN" w:bidi="ar-SA"/>
      </w:rPr>
    </w:lvl>
    <w:lvl w:ilvl="5" w:tentative="0">
      <w:start w:val="0"/>
      <w:numFmt w:val="bullet"/>
      <w:lvlText w:val="•"/>
      <w:lvlJc w:val="left"/>
      <w:pPr>
        <w:ind w:left="6373" w:hanging="160"/>
      </w:pPr>
      <w:rPr>
        <w:rFonts w:hint="default"/>
        <w:lang w:val="en-US" w:eastAsia="zh-CN" w:bidi="ar-SA"/>
      </w:rPr>
    </w:lvl>
    <w:lvl w:ilvl="6" w:tentative="0">
      <w:start w:val="0"/>
      <w:numFmt w:val="bullet"/>
      <w:lvlText w:val="•"/>
      <w:lvlJc w:val="left"/>
      <w:pPr>
        <w:ind w:left="7107" w:hanging="160"/>
      </w:pPr>
      <w:rPr>
        <w:rFonts w:hint="default"/>
        <w:lang w:val="en-US" w:eastAsia="zh-CN" w:bidi="ar-SA"/>
      </w:rPr>
    </w:lvl>
    <w:lvl w:ilvl="7" w:tentative="0">
      <w:start w:val="0"/>
      <w:numFmt w:val="bullet"/>
      <w:lvlText w:val="•"/>
      <w:lvlJc w:val="left"/>
      <w:pPr>
        <w:ind w:left="7842" w:hanging="160"/>
      </w:pPr>
      <w:rPr>
        <w:rFonts w:hint="default"/>
        <w:lang w:val="en-US" w:eastAsia="zh-CN" w:bidi="ar-SA"/>
      </w:rPr>
    </w:lvl>
    <w:lvl w:ilvl="8" w:tentative="0">
      <w:start w:val="0"/>
      <w:numFmt w:val="bullet"/>
      <w:lvlText w:val="•"/>
      <w:lvlJc w:val="left"/>
      <w:pPr>
        <w:ind w:left="8577" w:hanging="160"/>
      </w:pPr>
      <w:rPr>
        <w:rFonts w:hint="default"/>
        <w:lang w:val="en-US" w:eastAsia="zh-CN" w:bidi="ar-SA"/>
      </w:rPr>
    </w:lvl>
  </w:abstractNum>
  <w:abstractNum w:abstractNumId="27">
    <w:nsid w:val="77ECEA79"/>
    <w:multiLevelType w:val="multilevel"/>
    <w:tmpl w:val="77ECEA79"/>
    <w:lvl w:ilvl="0" w:tentative="0">
      <w:start w:val="1"/>
      <w:numFmt w:val="decimal"/>
      <w:lvlText w:val="%1."/>
      <w:lvlJc w:val="left"/>
      <w:pPr>
        <w:ind w:left="397"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111" w:hanging="264"/>
      </w:pPr>
      <w:rPr>
        <w:rFonts w:hint="default"/>
        <w:lang w:val="en-US" w:eastAsia="zh-CN" w:bidi="ar-SA"/>
      </w:rPr>
    </w:lvl>
    <w:lvl w:ilvl="2" w:tentative="0">
      <w:start w:val="0"/>
      <w:numFmt w:val="bullet"/>
      <w:lvlText w:val="•"/>
      <w:lvlJc w:val="left"/>
      <w:pPr>
        <w:ind w:left="1823" w:hanging="264"/>
      </w:pPr>
      <w:rPr>
        <w:rFonts w:hint="default"/>
        <w:lang w:val="en-US" w:eastAsia="zh-CN" w:bidi="ar-SA"/>
      </w:rPr>
    </w:lvl>
    <w:lvl w:ilvl="3" w:tentative="0">
      <w:start w:val="0"/>
      <w:numFmt w:val="bullet"/>
      <w:lvlText w:val="•"/>
      <w:lvlJc w:val="left"/>
      <w:pPr>
        <w:ind w:left="2535" w:hanging="264"/>
      </w:pPr>
      <w:rPr>
        <w:rFonts w:hint="default"/>
        <w:lang w:val="en-US" w:eastAsia="zh-CN" w:bidi="ar-SA"/>
      </w:rPr>
    </w:lvl>
    <w:lvl w:ilvl="4" w:tentative="0">
      <w:start w:val="0"/>
      <w:numFmt w:val="bullet"/>
      <w:lvlText w:val="•"/>
      <w:lvlJc w:val="left"/>
      <w:pPr>
        <w:ind w:left="3246" w:hanging="264"/>
      </w:pPr>
      <w:rPr>
        <w:rFonts w:hint="default"/>
        <w:lang w:val="en-US" w:eastAsia="zh-CN" w:bidi="ar-SA"/>
      </w:rPr>
    </w:lvl>
    <w:lvl w:ilvl="5" w:tentative="0">
      <w:start w:val="0"/>
      <w:numFmt w:val="bullet"/>
      <w:lvlText w:val="•"/>
      <w:lvlJc w:val="left"/>
      <w:pPr>
        <w:ind w:left="3958" w:hanging="264"/>
      </w:pPr>
      <w:rPr>
        <w:rFonts w:hint="default"/>
        <w:lang w:val="en-US" w:eastAsia="zh-CN" w:bidi="ar-SA"/>
      </w:rPr>
    </w:lvl>
    <w:lvl w:ilvl="6" w:tentative="0">
      <w:start w:val="0"/>
      <w:numFmt w:val="bullet"/>
      <w:lvlText w:val="•"/>
      <w:lvlJc w:val="left"/>
      <w:pPr>
        <w:ind w:left="4670" w:hanging="264"/>
      </w:pPr>
      <w:rPr>
        <w:rFonts w:hint="default"/>
        <w:lang w:val="en-US" w:eastAsia="zh-CN" w:bidi="ar-SA"/>
      </w:rPr>
    </w:lvl>
    <w:lvl w:ilvl="7" w:tentative="0">
      <w:start w:val="0"/>
      <w:numFmt w:val="bullet"/>
      <w:lvlText w:val="•"/>
      <w:lvlJc w:val="left"/>
      <w:pPr>
        <w:ind w:left="5381" w:hanging="264"/>
      </w:pPr>
      <w:rPr>
        <w:rFonts w:hint="default"/>
        <w:lang w:val="en-US" w:eastAsia="zh-CN" w:bidi="ar-SA"/>
      </w:rPr>
    </w:lvl>
    <w:lvl w:ilvl="8" w:tentative="0">
      <w:start w:val="0"/>
      <w:numFmt w:val="bullet"/>
      <w:lvlText w:val="•"/>
      <w:lvlJc w:val="left"/>
      <w:pPr>
        <w:ind w:left="6093" w:hanging="264"/>
      </w:pPr>
      <w:rPr>
        <w:rFonts w:hint="default"/>
        <w:lang w:val="en-US" w:eastAsia="zh-CN" w:bidi="ar-SA"/>
      </w:rPr>
    </w:lvl>
  </w:abstractNum>
  <w:abstractNum w:abstractNumId="28">
    <w:nsid w:val="7C246926"/>
    <w:multiLevelType w:val="multilevel"/>
    <w:tmpl w:val="7C246926"/>
    <w:lvl w:ilvl="0" w:tentative="0">
      <w:start w:val="1"/>
      <w:numFmt w:val="decimal"/>
      <w:lvlText w:val="（%1）"/>
      <w:lvlJc w:val="left"/>
      <w:pPr>
        <w:ind w:left="2538" w:hanging="530"/>
        <w:jc w:val="left"/>
      </w:pPr>
      <w:rPr>
        <w:rFonts w:hint="default" w:ascii="宋体" w:hAnsi="宋体" w:eastAsia="宋体" w:cs="宋体"/>
        <w:b w:val="0"/>
        <w:bCs w:val="0"/>
        <w:i w:val="0"/>
        <w:iCs w:val="0"/>
        <w:spacing w:val="-8"/>
        <w:w w:val="100"/>
        <w:sz w:val="19"/>
        <w:szCs w:val="19"/>
        <w:shd w:val="clear" w:color="auto" w:fill="D9D9D9"/>
        <w:lang w:val="en-US" w:eastAsia="zh-CN" w:bidi="ar-SA"/>
      </w:rPr>
    </w:lvl>
    <w:lvl w:ilvl="1" w:tentative="0">
      <w:start w:val="0"/>
      <w:numFmt w:val="bullet"/>
      <w:lvlText w:val="•"/>
      <w:lvlJc w:val="left"/>
      <w:pPr>
        <w:ind w:left="3290" w:hanging="530"/>
      </w:pPr>
      <w:rPr>
        <w:rFonts w:hint="default"/>
        <w:lang w:val="en-US" w:eastAsia="zh-CN" w:bidi="ar-SA"/>
      </w:rPr>
    </w:lvl>
    <w:lvl w:ilvl="2" w:tentative="0">
      <w:start w:val="0"/>
      <w:numFmt w:val="bullet"/>
      <w:lvlText w:val="•"/>
      <w:lvlJc w:val="left"/>
      <w:pPr>
        <w:ind w:left="4041" w:hanging="530"/>
      </w:pPr>
      <w:rPr>
        <w:rFonts w:hint="default"/>
        <w:lang w:val="en-US" w:eastAsia="zh-CN" w:bidi="ar-SA"/>
      </w:rPr>
    </w:lvl>
    <w:lvl w:ilvl="3" w:tentative="0">
      <w:start w:val="0"/>
      <w:numFmt w:val="bullet"/>
      <w:lvlText w:val="•"/>
      <w:lvlJc w:val="left"/>
      <w:pPr>
        <w:ind w:left="4791" w:hanging="530"/>
      </w:pPr>
      <w:rPr>
        <w:rFonts w:hint="default"/>
        <w:lang w:val="en-US" w:eastAsia="zh-CN" w:bidi="ar-SA"/>
      </w:rPr>
    </w:lvl>
    <w:lvl w:ilvl="4" w:tentative="0">
      <w:start w:val="0"/>
      <w:numFmt w:val="bullet"/>
      <w:lvlText w:val="•"/>
      <w:lvlJc w:val="left"/>
      <w:pPr>
        <w:ind w:left="5542" w:hanging="530"/>
      </w:pPr>
      <w:rPr>
        <w:rFonts w:hint="default"/>
        <w:lang w:val="en-US" w:eastAsia="zh-CN" w:bidi="ar-SA"/>
      </w:rPr>
    </w:lvl>
    <w:lvl w:ilvl="5" w:tentative="0">
      <w:start w:val="0"/>
      <w:numFmt w:val="bullet"/>
      <w:lvlText w:val="•"/>
      <w:lvlJc w:val="left"/>
      <w:pPr>
        <w:ind w:left="6293" w:hanging="530"/>
      </w:pPr>
      <w:rPr>
        <w:rFonts w:hint="default"/>
        <w:lang w:val="en-US" w:eastAsia="zh-CN" w:bidi="ar-SA"/>
      </w:rPr>
    </w:lvl>
    <w:lvl w:ilvl="6" w:tentative="0">
      <w:start w:val="0"/>
      <w:numFmt w:val="bullet"/>
      <w:lvlText w:val="•"/>
      <w:lvlJc w:val="left"/>
      <w:pPr>
        <w:ind w:left="7043" w:hanging="530"/>
      </w:pPr>
      <w:rPr>
        <w:rFonts w:hint="default"/>
        <w:lang w:val="en-US" w:eastAsia="zh-CN" w:bidi="ar-SA"/>
      </w:rPr>
    </w:lvl>
    <w:lvl w:ilvl="7" w:tentative="0">
      <w:start w:val="0"/>
      <w:numFmt w:val="bullet"/>
      <w:lvlText w:val="•"/>
      <w:lvlJc w:val="left"/>
      <w:pPr>
        <w:ind w:left="7794" w:hanging="530"/>
      </w:pPr>
      <w:rPr>
        <w:rFonts w:hint="default"/>
        <w:lang w:val="en-US" w:eastAsia="zh-CN" w:bidi="ar-SA"/>
      </w:rPr>
    </w:lvl>
    <w:lvl w:ilvl="8" w:tentative="0">
      <w:start w:val="0"/>
      <w:numFmt w:val="bullet"/>
      <w:lvlText w:val="•"/>
      <w:lvlJc w:val="left"/>
      <w:pPr>
        <w:ind w:left="8545" w:hanging="530"/>
      </w:pPr>
      <w:rPr>
        <w:rFonts w:hint="default"/>
        <w:lang w:val="en-US" w:eastAsia="zh-CN" w:bidi="ar-SA"/>
      </w:rPr>
    </w:lvl>
  </w:abstractNum>
  <w:num w:numId="1">
    <w:abstractNumId w:val="12"/>
  </w:num>
  <w:num w:numId="2">
    <w:abstractNumId w:val="8"/>
  </w:num>
  <w:num w:numId="3">
    <w:abstractNumId w:val="22"/>
  </w:num>
  <w:num w:numId="4">
    <w:abstractNumId w:val="6"/>
  </w:num>
  <w:num w:numId="5">
    <w:abstractNumId w:val="4"/>
  </w:num>
  <w:num w:numId="6">
    <w:abstractNumId w:val="14"/>
  </w:num>
  <w:num w:numId="7">
    <w:abstractNumId w:val="17"/>
  </w:num>
  <w:num w:numId="8">
    <w:abstractNumId w:val="26"/>
  </w:num>
  <w:num w:numId="9">
    <w:abstractNumId w:val="13"/>
  </w:num>
  <w:num w:numId="10">
    <w:abstractNumId w:val="0"/>
  </w:num>
  <w:num w:numId="11">
    <w:abstractNumId w:val="18"/>
  </w:num>
  <w:num w:numId="12">
    <w:abstractNumId w:val="23"/>
  </w:num>
  <w:num w:numId="13">
    <w:abstractNumId w:val="7"/>
  </w:num>
  <w:num w:numId="14">
    <w:abstractNumId w:val="21"/>
  </w:num>
  <w:num w:numId="15">
    <w:abstractNumId w:val="11"/>
  </w:num>
  <w:num w:numId="16">
    <w:abstractNumId w:val="16"/>
  </w:num>
  <w:num w:numId="17">
    <w:abstractNumId w:val="10"/>
  </w:num>
  <w:num w:numId="18">
    <w:abstractNumId w:val="9"/>
  </w:num>
  <w:num w:numId="19">
    <w:abstractNumId w:val="2"/>
  </w:num>
  <w:num w:numId="20">
    <w:abstractNumId w:val="20"/>
  </w:num>
  <w:num w:numId="21">
    <w:abstractNumId w:val="24"/>
  </w:num>
  <w:num w:numId="22">
    <w:abstractNumId w:val="15"/>
  </w:num>
  <w:num w:numId="23">
    <w:abstractNumId w:val="19"/>
  </w:num>
  <w:num w:numId="24">
    <w:abstractNumId w:val="3"/>
  </w:num>
  <w:num w:numId="25">
    <w:abstractNumId w:val="28"/>
  </w:num>
  <w:num w:numId="26">
    <w:abstractNumId w:val="27"/>
  </w:num>
  <w:num w:numId="27">
    <w:abstractNumId w:val="5"/>
  </w:num>
  <w:num w:numId="28">
    <w:abstractNumId w:val="25"/>
  </w:num>
  <w:num w:numId="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23C64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jc w:val="center"/>
      <w:outlineLvl w:val="1"/>
    </w:pPr>
    <w:rPr>
      <w:rFonts w:ascii="华文中宋" w:hAnsi="华文中宋" w:eastAsia="华文中宋" w:cs="华文中宋"/>
      <w:b/>
      <w:bCs/>
      <w:sz w:val="28"/>
      <w:szCs w:val="28"/>
      <w:lang w:val="en-US" w:eastAsia="zh-CN" w:bidi="ar-SA"/>
    </w:rPr>
  </w:style>
  <w:style w:type="paragraph" w:styleId="3">
    <w:name w:val="heading 2"/>
    <w:basedOn w:val="1"/>
    <w:next w:val="1"/>
    <w:qFormat/>
    <w:uiPriority w:val="1"/>
    <w:pPr>
      <w:spacing w:before="74"/>
      <w:ind w:left="1007" w:hanging="796"/>
      <w:outlineLvl w:val="2"/>
    </w:pPr>
    <w:rPr>
      <w:rFonts w:ascii="宋体" w:hAnsi="宋体" w:eastAsia="宋体" w:cs="宋体"/>
      <w:b/>
      <w:bCs/>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2538"/>
    </w:pPr>
    <w:rPr>
      <w:rFonts w:ascii="宋体" w:hAnsi="宋体" w:eastAsia="宋体" w:cs="宋体"/>
      <w:sz w:val="21"/>
      <w:szCs w:val="21"/>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43"/>
      <w:ind w:left="2538" w:hanging="2326"/>
    </w:pPr>
    <w:rPr>
      <w:rFonts w:ascii="宋体" w:hAnsi="宋体" w:eastAsia="宋体" w:cs="宋体"/>
      <w:lang w:val="en-US" w:eastAsia="zh-CN" w:bidi="ar-SA"/>
    </w:rPr>
  </w:style>
  <w:style w:type="paragraph" w:customStyle="1" w:styleId="9">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15876</Words>
  <Characters>16455</Characters>
  <TotalTime>1</TotalTime>
  <ScaleCrop>false</ScaleCrop>
  <LinksUpToDate>false</LinksUpToDate>
  <CharactersWithSpaces>17248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2023-06-02T02:34:00Z</dcterms:created>
  <dc:creator>木木</dc:creator>
  <cp:lastModifiedBy>木木</cp:lastModifiedBy>
  <dcterms:modified xsi:type="dcterms:W3CDTF">2023-06-02T02:45:15Z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76C77B1D5C164F04BC58FB4FF927B04B_12</vt:lpwstr>
  </property>
</Properties>
</file>