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3"/>
        <w:ind w:right="293"/>
        <w:jc w:val="right"/>
      </w:pPr>
      <w:r>
        <w:rPr>
          <w:spacing w:val="-2"/>
        </w:rPr>
        <w:t>中意人寿[2020</w:t>
      </w:r>
      <w:r>
        <w:rPr>
          <w:spacing w:val="-10"/>
        </w:rPr>
        <w:t>]疾病保险 </w:t>
      </w:r>
      <w:r>
        <w:rPr>
          <w:spacing w:val="-2"/>
        </w:rPr>
        <w:t>001</w:t>
      </w:r>
      <w:r>
        <w:rPr>
          <w:spacing w:val="-27"/>
        </w:rPr>
        <w:t> 号</w:t>
      </w:r>
    </w:p>
    <w:p>
      <w:pPr>
        <w:pStyle w:val="BodyText"/>
        <w:spacing w:before="6"/>
        <w:rPr>
          <w:sz w:val="7"/>
        </w:rPr>
      </w:pPr>
      <w:r>
        <w:rPr/>
        <w:drawing>
          <wp:anchor distT="0" distB="0" distL="0" distR="0" allowOverlap="1" layoutInCell="1" locked="0" behindDoc="0" simplePos="0" relativeHeight="0">
            <wp:simplePos x="0" y="0"/>
            <wp:positionH relativeFrom="page">
              <wp:posOffset>1108291</wp:posOffset>
            </wp:positionH>
            <wp:positionV relativeFrom="paragraph">
              <wp:posOffset>140676</wp:posOffset>
            </wp:positionV>
            <wp:extent cx="1270818" cy="429768"/>
            <wp:effectExtent l="0" t="0" r="0" b="0"/>
            <wp:wrapTopAndBottom/>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1270818" cy="429768"/>
                    </a:xfrm>
                    <a:prstGeom prst="rect">
                      <a:avLst/>
                    </a:prstGeom>
                  </pic:spPr>
                </pic:pic>
              </a:graphicData>
            </a:graphic>
          </wp:anchor>
        </w:drawing>
      </w:r>
      <w:r>
        <w:rPr/>
        <w:drawing>
          <wp:anchor distT="0" distB="0" distL="0" distR="0" allowOverlap="1" layoutInCell="1" locked="0" behindDoc="0" simplePos="0" relativeHeight="1">
            <wp:simplePos x="0" y="0"/>
            <wp:positionH relativeFrom="page">
              <wp:posOffset>5584190</wp:posOffset>
            </wp:positionH>
            <wp:positionV relativeFrom="paragraph">
              <wp:posOffset>76541</wp:posOffset>
            </wp:positionV>
            <wp:extent cx="723900" cy="723900"/>
            <wp:effectExtent l="0" t="0" r="0" b="0"/>
            <wp:wrapTopAndBottom/>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723900" cy="723900"/>
                    </a:xfrm>
                    <a:prstGeom prst="rect">
                      <a:avLst/>
                    </a:prstGeom>
                  </pic:spPr>
                </pic:pic>
              </a:graphicData>
            </a:graphic>
          </wp:anchor>
        </w:drawing>
      </w:r>
    </w:p>
    <w:p>
      <w:pPr>
        <w:pStyle w:val="BodyText"/>
        <w:spacing w:before="90"/>
        <w:ind w:right="768"/>
        <w:jc w:val="right"/>
      </w:pPr>
      <w:r>
        <w:rPr>
          <w:spacing w:val="-3"/>
        </w:rPr>
        <w:t>请扫描以查询验证条款</w:t>
      </w:r>
    </w:p>
    <w:p>
      <w:pPr>
        <w:pStyle w:val="BodyText"/>
        <w:spacing w:before="1"/>
        <w:rPr>
          <w:sz w:val="18"/>
        </w:rPr>
      </w:pPr>
    </w:p>
    <w:p>
      <w:pPr>
        <w:pStyle w:val="Heading1"/>
        <w:ind w:right="388"/>
      </w:pPr>
      <w:r>
        <w:rPr>
          <w:spacing w:val="-4"/>
        </w:rPr>
        <w:t>阅 读 提 示</w:t>
      </w:r>
    </w:p>
    <w:p>
      <w:pPr>
        <w:spacing w:before="248"/>
        <w:ind w:left="222" w:right="389" w:firstLine="0"/>
        <w:jc w:val="center"/>
        <w:rPr>
          <w:b/>
          <w:sz w:val="21"/>
        </w:rPr>
      </w:pPr>
      <w:r>
        <w:rPr>
          <w:b/>
          <w:spacing w:val="-3"/>
          <w:sz w:val="21"/>
        </w:rPr>
        <w:t>本阅读提示是为了帮助您更好理解条款，对本合同内容的解释以条款正文为准。</w:t>
      </w:r>
    </w:p>
    <w:p>
      <w:pPr>
        <w:pStyle w:val="BodyText"/>
        <w:spacing w:before="11"/>
        <w:rPr>
          <w:b/>
          <w:sz w:val="18"/>
        </w:rPr>
      </w:pPr>
    </w:p>
    <w:tbl>
      <w:tblPr>
        <w:tblW w:w="0" w:type="auto"/>
        <w:jc w:val="left"/>
        <w:tblInd w:w="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4"/>
        <w:gridCol w:w="6319"/>
        <w:gridCol w:w="1531"/>
        <w:gridCol w:w="1129"/>
      </w:tblGrid>
      <w:tr>
        <w:trPr>
          <w:trHeight w:val="802" w:hRule="atLeast"/>
        </w:trPr>
        <w:tc>
          <w:tcPr>
            <w:tcW w:w="364" w:type="dxa"/>
          </w:tcPr>
          <w:p>
            <w:pPr>
              <w:pStyle w:val="TableParagraph"/>
              <w:spacing w:before="1"/>
              <w:ind w:left="50"/>
              <w:rPr>
                <w:rFonts w:ascii="Symbol" w:hAnsi="Symbol"/>
                <w:b/>
                <w:sz w:val="21"/>
              </w:rPr>
            </w:pPr>
            <w:r>
              <w:rPr>
                <w:rFonts w:ascii="Symbol" w:hAnsi="Symbol"/>
                <w:b/>
                <w:w w:val="100"/>
                <w:sz w:val="21"/>
              </w:rPr>
              <w:t></w:t>
            </w:r>
          </w:p>
        </w:tc>
        <w:tc>
          <w:tcPr>
            <w:tcW w:w="6319" w:type="dxa"/>
          </w:tcPr>
          <w:p>
            <w:pPr>
              <w:pStyle w:val="TableParagraph"/>
              <w:spacing w:before="2"/>
              <w:ind w:left="105"/>
              <w:rPr>
                <w:b/>
                <w:sz w:val="21"/>
              </w:rPr>
            </w:pPr>
            <w:r>
              <w:rPr>
                <w:b/>
                <w:spacing w:val="-2"/>
                <w:sz w:val="21"/>
              </w:rPr>
              <w:t>您拥有的重要权益</w:t>
            </w:r>
          </w:p>
          <w:p>
            <w:pPr>
              <w:pStyle w:val="TableParagraph"/>
              <w:numPr>
                <w:ilvl w:val="0"/>
                <w:numId w:val="1"/>
              </w:numPr>
              <w:tabs>
                <w:tab w:pos="378" w:val="left" w:leader="none"/>
              </w:tabs>
              <w:spacing w:line="240" w:lineRule="auto" w:before="5" w:after="0"/>
              <w:ind w:left="377" w:right="0" w:hanging="265"/>
              <w:jc w:val="left"/>
              <w:rPr>
                <w:rFonts w:ascii="Times New Roman" w:hAnsi="Times New Roman" w:eastAsia="Times New Roman"/>
                <w:sz w:val="21"/>
              </w:rPr>
            </w:pPr>
            <w:r>
              <w:rPr>
                <w:spacing w:val="-1"/>
                <w:sz w:val="21"/>
              </w:rPr>
              <w:t>被保险人可以享有本合同提供的保障利益</w:t>
            </w:r>
            <w:r>
              <w:rPr>
                <w:rFonts w:ascii="Times New Roman" w:hAnsi="Times New Roman" w:eastAsia="Times New Roman"/>
                <w:spacing w:val="-42"/>
                <w:sz w:val="21"/>
              </w:rPr>
              <w:t>································</w:t>
            </w:r>
          </w:p>
          <w:p>
            <w:pPr>
              <w:pStyle w:val="TableParagraph"/>
              <w:numPr>
                <w:ilvl w:val="0"/>
                <w:numId w:val="1"/>
              </w:numPr>
              <w:tabs>
                <w:tab w:pos="378" w:val="left" w:leader="none"/>
                <w:tab w:pos="4114" w:val="left" w:leader="none"/>
              </w:tabs>
              <w:spacing w:line="236" w:lineRule="exact" w:before="2" w:after="0"/>
              <w:ind w:left="377" w:right="0" w:hanging="265"/>
              <w:jc w:val="left"/>
              <w:rPr>
                <w:rFonts w:ascii="Times New Roman" w:hAnsi="Times New Roman" w:eastAsia="Times New Roman"/>
                <w:sz w:val="21"/>
              </w:rPr>
            </w:pPr>
            <w:r>
              <w:rPr>
                <w:sz w:val="21"/>
              </w:rPr>
              <w:t>您有权解除合</w:t>
            </w:r>
            <w:r>
              <w:rPr>
                <w:spacing w:val="29"/>
                <w:sz w:val="21"/>
              </w:rPr>
              <w:t>同</w:t>
            </w:r>
            <w:r>
              <w:rPr>
                <w:rFonts w:ascii="Times New Roman" w:hAnsi="Times New Roman" w:eastAsia="Times New Roman"/>
                <w:spacing w:val="-2"/>
                <w:sz w:val="21"/>
              </w:rPr>
              <w:t>································</w:t>
            </w:r>
            <w:r>
              <w:rPr>
                <w:rFonts w:ascii="Times New Roman" w:hAnsi="Times New Roman" w:eastAsia="Times New Roman"/>
                <w:sz w:val="21"/>
              </w:rPr>
              <w:tab/>
            </w:r>
            <w:r>
              <w:rPr>
                <w:rFonts w:ascii="Times New Roman" w:hAnsi="Times New Roman" w:eastAsia="Times New Roman"/>
                <w:spacing w:val="-43"/>
                <w:sz w:val="21"/>
              </w:rPr>
              <w:t>································</w:t>
            </w:r>
          </w:p>
        </w:tc>
        <w:tc>
          <w:tcPr>
            <w:tcW w:w="1531" w:type="dxa"/>
          </w:tcPr>
          <w:p>
            <w:pPr>
              <w:pStyle w:val="TableParagraph"/>
              <w:spacing w:before="8"/>
              <w:rPr>
                <w:b/>
                <w:sz w:val="22"/>
              </w:rPr>
            </w:pPr>
          </w:p>
          <w:p>
            <w:pPr>
              <w:pStyle w:val="TableParagraph"/>
              <w:ind w:left="92"/>
              <w:rPr>
                <w:rFonts w:ascii="Times New Roman" w:hAnsi="Times New Roman"/>
                <w:sz w:val="21"/>
              </w:rPr>
            </w:pPr>
            <w:r>
              <w:rPr>
                <w:rFonts w:ascii="Times New Roman" w:hAnsi="Times New Roman"/>
                <w:spacing w:val="-43"/>
                <w:sz w:val="21"/>
              </w:rPr>
              <w:t>································</w:t>
            </w:r>
          </w:p>
          <w:p>
            <w:pPr>
              <w:pStyle w:val="TableParagraph"/>
              <w:spacing w:line="222" w:lineRule="exact" w:before="29"/>
              <w:ind w:left="22"/>
              <w:rPr>
                <w:rFonts w:ascii="Times New Roman" w:hAnsi="Times New Roman"/>
                <w:sz w:val="21"/>
              </w:rPr>
            </w:pPr>
            <w:r>
              <w:rPr>
                <w:rFonts w:ascii="Times New Roman" w:hAnsi="Times New Roman"/>
                <w:spacing w:val="-43"/>
                <w:sz w:val="21"/>
              </w:rPr>
              <w:t>································</w:t>
            </w:r>
          </w:p>
        </w:tc>
        <w:tc>
          <w:tcPr>
            <w:tcW w:w="1129" w:type="dxa"/>
          </w:tcPr>
          <w:p>
            <w:pPr>
              <w:pStyle w:val="TableParagraph"/>
              <w:spacing w:before="8"/>
              <w:rPr>
                <w:b/>
                <w:sz w:val="22"/>
              </w:rPr>
            </w:pPr>
          </w:p>
          <w:p>
            <w:pPr>
              <w:pStyle w:val="TableParagraph"/>
              <w:ind w:right="47"/>
              <w:jc w:val="right"/>
              <w:rPr>
                <w:rFonts w:ascii="Times New Roman"/>
                <w:sz w:val="21"/>
              </w:rPr>
            </w:pPr>
            <w:r>
              <w:rPr>
                <w:rFonts w:ascii="Times New Roman"/>
                <w:spacing w:val="-5"/>
                <w:sz w:val="21"/>
              </w:rPr>
              <w:t>2.4</w:t>
            </w:r>
          </w:p>
          <w:p>
            <w:pPr>
              <w:pStyle w:val="TableParagraph"/>
              <w:spacing w:line="222" w:lineRule="exact" w:before="29"/>
              <w:ind w:right="49"/>
              <w:jc w:val="right"/>
              <w:rPr>
                <w:rFonts w:ascii="Times New Roman" w:hAnsi="Times New Roman"/>
                <w:sz w:val="21"/>
              </w:rPr>
            </w:pPr>
            <w:r>
              <w:rPr>
                <w:rFonts w:ascii="Times New Roman" w:hAnsi="Times New Roman"/>
                <w:spacing w:val="-18"/>
                <w:sz w:val="21"/>
              </w:rPr>
              <w:t>···</w:t>
            </w:r>
            <w:r>
              <w:rPr>
                <w:rFonts w:ascii="Times New Roman" w:hAnsi="Times New Roman"/>
                <w:spacing w:val="42"/>
                <w:sz w:val="21"/>
              </w:rPr>
              <w:t> </w:t>
            </w:r>
            <w:r>
              <w:rPr>
                <w:rFonts w:ascii="Times New Roman" w:hAnsi="Times New Roman"/>
                <w:spacing w:val="-10"/>
                <w:sz w:val="21"/>
              </w:rPr>
              <w:t>5</w:t>
            </w:r>
          </w:p>
        </w:tc>
      </w:tr>
      <w:tr>
        <w:trPr>
          <w:trHeight w:val="805" w:hRule="atLeast"/>
        </w:trPr>
        <w:tc>
          <w:tcPr>
            <w:tcW w:w="364" w:type="dxa"/>
          </w:tcPr>
          <w:p>
            <w:pPr>
              <w:pStyle w:val="TableParagraph"/>
              <w:rPr>
                <w:b/>
                <w:sz w:val="20"/>
              </w:rPr>
            </w:pPr>
          </w:p>
          <w:p>
            <w:pPr>
              <w:pStyle w:val="TableParagraph"/>
              <w:ind w:left="50"/>
              <w:rPr>
                <w:rFonts w:ascii="Symbol" w:hAnsi="Symbol"/>
                <w:b/>
                <w:sz w:val="21"/>
              </w:rPr>
            </w:pPr>
            <w:r>
              <w:rPr>
                <w:rFonts w:ascii="Symbol" w:hAnsi="Symbol"/>
                <w:b/>
                <w:w w:val="100"/>
                <w:sz w:val="21"/>
              </w:rPr>
              <w:t></w:t>
            </w:r>
          </w:p>
        </w:tc>
        <w:tc>
          <w:tcPr>
            <w:tcW w:w="6319" w:type="dxa"/>
          </w:tcPr>
          <w:p>
            <w:pPr>
              <w:pStyle w:val="TableParagraph"/>
              <w:spacing w:before="1"/>
              <w:rPr>
                <w:b/>
                <w:sz w:val="20"/>
              </w:rPr>
            </w:pPr>
          </w:p>
          <w:p>
            <w:pPr>
              <w:pStyle w:val="TableParagraph"/>
              <w:ind w:left="105"/>
              <w:rPr>
                <w:b/>
                <w:sz w:val="21"/>
              </w:rPr>
            </w:pPr>
            <w:r>
              <w:rPr>
                <w:b/>
                <w:spacing w:val="-3"/>
                <w:sz w:val="21"/>
              </w:rPr>
              <w:t>您应当特别注意的事项</w:t>
            </w:r>
          </w:p>
          <w:p>
            <w:pPr>
              <w:pStyle w:val="TableParagraph"/>
              <w:numPr>
                <w:ilvl w:val="0"/>
                <w:numId w:val="2"/>
              </w:numPr>
              <w:tabs>
                <w:tab w:pos="378" w:val="left" w:leader="none"/>
                <w:tab w:pos="5993" w:val="left" w:leader="none"/>
              </w:tabs>
              <w:spacing w:line="254" w:lineRule="exact" w:before="5" w:after="0"/>
              <w:ind w:left="377" w:right="0" w:hanging="265"/>
              <w:jc w:val="left"/>
              <w:rPr>
                <w:rFonts w:ascii="Times New Roman" w:hAnsi="Times New Roman" w:eastAsia="Times New Roman"/>
                <w:sz w:val="21"/>
              </w:rPr>
            </w:pPr>
            <w:r>
              <w:rPr>
                <w:sz w:val="21"/>
              </w:rPr>
              <w:t>在某些情况下，我们不承</w:t>
            </w:r>
            <w:r>
              <w:rPr>
                <w:sz w:val="21"/>
              </w:rPr>
              <w:t>担保险责</w:t>
            </w:r>
            <w:r>
              <w:rPr>
                <w:spacing w:val="5"/>
                <w:sz w:val="21"/>
              </w:rPr>
              <w:t>任</w:t>
            </w:r>
            <w:r>
              <w:rPr>
                <w:rFonts w:ascii="Times New Roman" w:hAnsi="Times New Roman" w:eastAsia="Times New Roman"/>
                <w:spacing w:val="-2"/>
                <w:sz w:val="21"/>
              </w:rPr>
              <w:t>································</w:t>
            </w:r>
            <w:r>
              <w:rPr>
                <w:rFonts w:ascii="Times New Roman" w:hAnsi="Times New Roman" w:eastAsia="Times New Roman"/>
                <w:sz w:val="21"/>
              </w:rPr>
              <w:tab/>
            </w:r>
            <w:r>
              <w:rPr>
                <w:rFonts w:ascii="Times New Roman" w:hAnsi="Times New Roman" w:eastAsia="Times New Roman"/>
                <w:spacing w:val="-36"/>
                <w:sz w:val="21"/>
              </w:rPr>
              <w:t>·········</w:t>
            </w:r>
          </w:p>
        </w:tc>
        <w:tc>
          <w:tcPr>
            <w:tcW w:w="2660" w:type="dxa"/>
            <w:gridSpan w:val="2"/>
          </w:tcPr>
          <w:p>
            <w:pPr>
              <w:pStyle w:val="TableParagraph"/>
              <w:rPr>
                <w:b/>
                <w:sz w:val="22"/>
              </w:rPr>
            </w:pPr>
          </w:p>
          <w:p>
            <w:pPr>
              <w:pStyle w:val="TableParagraph"/>
              <w:spacing w:before="6"/>
              <w:rPr>
                <w:b/>
                <w:sz w:val="19"/>
              </w:rPr>
            </w:pPr>
          </w:p>
          <w:p>
            <w:pPr>
              <w:pStyle w:val="TableParagraph"/>
              <w:spacing w:line="254" w:lineRule="exact"/>
              <w:ind w:left="296"/>
              <w:rPr>
                <w:rFonts w:ascii="Times New Roman" w:eastAsia="Times New Roman"/>
                <w:sz w:val="21"/>
              </w:rPr>
            </w:pPr>
            <w:r>
              <w:rPr>
                <w:rFonts w:ascii="Times New Roman" w:eastAsia="Times New Roman"/>
                <w:spacing w:val="-2"/>
                <w:sz w:val="21"/>
              </w:rPr>
              <w:t>2.4</w:t>
            </w:r>
            <w:r>
              <w:rPr>
                <w:spacing w:val="-2"/>
                <w:sz w:val="21"/>
              </w:rPr>
              <w:t>、</w:t>
            </w:r>
            <w:r>
              <w:rPr>
                <w:rFonts w:ascii="Times New Roman" w:eastAsia="Times New Roman"/>
                <w:spacing w:val="-2"/>
                <w:sz w:val="21"/>
              </w:rPr>
              <w:t>2.5</w:t>
            </w:r>
            <w:r>
              <w:rPr>
                <w:spacing w:val="-2"/>
                <w:sz w:val="21"/>
              </w:rPr>
              <w:t>、</w:t>
            </w:r>
            <w:r>
              <w:rPr>
                <w:rFonts w:ascii="Times New Roman" w:eastAsia="Times New Roman"/>
                <w:spacing w:val="-2"/>
                <w:sz w:val="21"/>
              </w:rPr>
              <w:t>3.2</w:t>
            </w:r>
            <w:r>
              <w:rPr>
                <w:spacing w:val="-2"/>
                <w:sz w:val="21"/>
              </w:rPr>
              <w:t>、</w:t>
            </w:r>
            <w:r>
              <w:rPr>
                <w:rFonts w:ascii="Times New Roman" w:eastAsia="Times New Roman"/>
                <w:spacing w:val="-2"/>
                <w:sz w:val="21"/>
              </w:rPr>
              <w:t>7.1</w:t>
            </w:r>
            <w:r>
              <w:rPr>
                <w:spacing w:val="-2"/>
                <w:sz w:val="21"/>
              </w:rPr>
              <w:t>、</w:t>
            </w:r>
            <w:r>
              <w:rPr>
                <w:rFonts w:ascii="Times New Roman" w:eastAsia="Times New Roman"/>
                <w:spacing w:val="-2"/>
                <w:sz w:val="21"/>
              </w:rPr>
              <w:t>8</w:t>
            </w:r>
            <w:r>
              <w:rPr>
                <w:spacing w:val="-2"/>
                <w:sz w:val="21"/>
              </w:rPr>
              <w:t>、</w:t>
            </w:r>
            <w:r>
              <w:rPr>
                <w:rFonts w:ascii="Times New Roman" w:eastAsia="Times New Roman"/>
                <w:spacing w:val="-10"/>
                <w:sz w:val="21"/>
              </w:rPr>
              <w:t>9</w:t>
            </w:r>
          </w:p>
        </w:tc>
      </w:tr>
      <w:tr>
        <w:trPr>
          <w:trHeight w:val="1888" w:hRule="atLeast"/>
        </w:trPr>
        <w:tc>
          <w:tcPr>
            <w:tcW w:w="364" w:type="dxa"/>
          </w:tcPr>
          <w:p>
            <w:pPr>
              <w:pStyle w:val="TableParagraph"/>
              <w:rPr>
                <w:rFonts w:ascii="Times New Roman"/>
                <w:sz w:val="20"/>
              </w:rPr>
            </w:pPr>
          </w:p>
        </w:tc>
        <w:tc>
          <w:tcPr>
            <w:tcW w:w="6319" w:type="dxa"/>
          </w:tcPr>
          <w:p>
            <w:pPr>
              <w:pStyle w:val="TableParagraph"/>
              <w:numPr>
                <w:ilvl w:val="0"/>
                <w:numId w:val="3"/>
              </w:numPr>
              <w:tabs>
                <w:tab w:pos="378" w:val="left" w:leader="none"/>
                <w:tab w:pos="5367" w:val="left" w:leader="none"/>
              </w:tabs>
              <w:spacing w:line="267" w:lineRule="exact" w:before="0" w:after="0"/>
              <w:ind w:left="377" w:right="0" w:hanging="265"/>
              <w:jc w:val="left"/>
              <w:rPr>
                <w:rFonts w:ascii="Times New Roman" w:hAnsi="Times New Roman" w:eastAsia="Times New Roman"/>
                <w:sz w:val="21"/>
              </w:rPr>
            </w:pPr>
            <w:r>
              <w:rPr>
                <w:sz w:val="21"/>
              </w:rPr>
              <w:t>您应及时向我们通知保险事</w:t>
            </w:r>
            <w:r>
              <w:rPr>
                <w:spacing w:val="12"/>
                <w:sz w:val="21"/>
              </w:rPr>
              <w:t>故</w:t>
            </w:r>
            <w:r>
              <w:rPr>
                <w:rFonts w:ascii="Times New Roman" w:hAnsi="Times New Roman" w:eastAsia="Times New Roman"/>
                <w:spacing w:val="-2"/>
                <w:sz w:val="21"/>
              </w:rPr>
              <w:t>································</w:t>
            </w:r>
            <w:r>
              <w:rPr>
                <w:rFonts w:ascii="Times New Roman" w:hAnsi="Times New Roman" w:eastAsia="Times New Roman"/>
                <w:sz w:val="21"/>
              </w:rPr>
              <w:tab/>
            </w:r>
            <w:r>
              <w:rPr>
                <w:rFonts w:ascii="Times New Roman" w:hAnsi="Times New Roman" w:eastAsia="Times New Roman"/>
                <w:spacing w:val="-43"/>
                <w:sz w:val="21"/>
              </w:rPr>
              <w:t>································</w:t>
            </w:r>
          </w:p>
          <w:p>
            <w:pPr>
              <w:pStyle w:val="TableParagraph"/>
              <w:numPr>
                <w:ilvl w:val="0"/>
                <w:numId w:val="3"/>
              </w:numPr>
              <w:tabs>
                <w:tab w:pos="378" w:val="left" w:leader="none"/>
              </w:tabs>
              <w:spacing w:line="240" w:lineRule="auto" w:before="5" w:after="0"/>
              <w:ind w:left="377" w:right="0" w:hanging="265"/>
              <w:jc w:val="left"/>
              <w:rPr>
                <w:rFonts w:ascii="Times New Roman" w:hAnsi="Times New Roman" w:eastAsia="Times New Roman"/>
                <w:sz w:val="21"/>
              </w:rPr>
            </w:pPr>
            <w:r>
              <w:rPr>
                <w:spacing w:val="-1"/>
                <w:sz w:val="21"/>
              </w:rPr>
              <w:t>受益人的保险金申请权应在一定期间内行使</w:t>
            </w:r>
            <w:r>
              <w:rPr>
                <w:rFonts w:ascii="Times New Roman" w:hAnsi="Times New Roman" w:eastAsia="Times New Roman"/>
                <w:spacing w:val="-42"/>
                <w:sz w:val="21"/>
              </w:rPr>
              <w:t>································</w:t>
            </w:r>
          </w:p>
          <w:p>
            <w:pPr>
              <w:pStyle w:val="TableParagraph"/>
              <w:numPr>
                <w:ilvl w:val="0"/>
                <w:numId w:val="3"/>
              </w:numPr>
              <w:tabs>
                <w:tab w:pos="378" w:val="left" w:leader="none"/>
                <w:tab w:pos="4531" w:val="left" w:leader="none"/>
              </w:tabs>
              <w:spacing w:line="240" w:lineRule="auto" w:before="2" w:after="0"/>
              <w:ind w:left="377" w:right="0" w:hanging="265"/>
              <w:jc w:val="left"/>
              <w:rPr>
                <w:rFonts w:ascii="Times New Roman" w:hAnsi="Times New Roman" w:eastAsia="Times New Roman"/>
                <w:sz w:val="21"/>
              </w:rPr>
            </w:pPr>
            <w:r>
              <w:rPr>
                <w:sz w:val="21"/>
              </w:rPr>
              <w:t>您应按时支付保险</w:t>
            </w:r>
            <w:r>
              <w:rPr>
                <w:spacing w:val="23"/>
                <w:sz w:val="21"/>
              </w:rPr>
              <w:t>费</w:t>
            </w:r>
            <w:r>
              <w:rPr>
                <w:rFonts w:ascii="Times New Roman" w:hAnsi="Times New Roman" w:eastAsia="Times New Roman"/>
                <w:spacing w:val="-2"/>
                <w:sz w:val="21"/>
              </w:rPr>
              <w:t>································</w:t>
            </w:r>
            <w:r>
              <w:rPr>
                <w:rFonts w:ascii="Times New Roman" w:hAnsi="Times New Roman" w:eastAsia="Times New Roman"/>
                <w:sz w:val="21"/>
              </w:rPr>
              <w:tab/>
            </w:r>
            <w:r>
              <w:rPr>
                <w:rFonts w:ascii="Times New Roman" w:hAnsi="Times New Roman" w:eastAsia="Times New Roman"/>
                <w:spacing w:val="-43"/>
                <w:sz w:val="21"/>
              </w:rPr>
              <w:t>································</w:t>
            </w:r>
          </w:p>
          <w:p>
            <w:pPr>
              <w:pStyle w:val="TableParagraph"/>
              <w:numPr>
                <w:ilvl w:val="0"/>
                <w:numId w:val="3"/>
              </w:numPr>
              <w:tabs>
                <w:tab w:pos="378" w:val="left" w:leader="none"/>
              </w:tabs>
              <w:spacing w:line="240" w:lineRule="auto" w:before="5" w:after="0"/>
              <w:ind w:left="377" w:right="0" w:hanging="268"/>
              <w:jc w:val="left"/>
              <w:rPr>
                <w:rFonts w:ascii="Times New Roman" w:hAnsi="Times New Roman" w:eastAsia="Times New Roman"/>
                <w:sz w:val="21"/>
              </w:rPr>
            </w:pPr>
            <w:r>
              <w:rPr>
                <w:spacing w:val="-1"/>
                <w:sz w:val="21"/>
              </w:rPr>
              <w:t>解除合同会给您造成一定的损失，请您慎重决策</w:t>
            </w:r>
            <w:r>
              <w:rPr>
                <w:rFonts w:ascii="Times New Roman" w:hAnsi="Times New Roman" w:eastAsia="Times New Roman"/>
                <w:spacing w:val="-42"/>
                <w:sz w:val="21"/>
              </w:rPr>
              <w:t>································</w:t>
            </w:r>
          </w:p>
          <w:p>
            <w:pPr>
              <w:pStyle w:val="TableParagraph"/>
              <w:numPr>
                <w:ilvl w:val="0"/>
                <w:numId w:val="3"/>
              </w:numPr>
              <w:tabs>
                <w:tab w:pos="378" w:val="left" w:leader="none"/>
                <w:tab w:pos="5576" w:val="left" w:leader="none"/>
              </w:tabs>
              <w:spacing w:line="240" w:lineRule="auto" w:before="2" w:after="0"/>
              <w:ind w:left="377" w:right="0" w:hanging="268"/>
              <w:jc w:val="left"/>
              <w:rPr>
                <w:rFonts w:ascii="Times New Roman" w:hAnsi="Times New Roman" w:eastAsia="Times New Roman"/>
                <w:sz w:val="21"/>
              </w:rPr>
            </w:pPr>
            <w:r>
              <w:rPr>
                <w:sz w:val="21"/>
              </w:rPr>
              <w:t>在某些情况下，本合同效</w:t>
            </w:r>
            <w:r>
              <w:rPr>
                <w:sz w:val="21"/>
              </w:rPr>
              <w:t>力终</w:t>
            </w:r>
            <w:r>
              <w:rPr>
                <w:spacing w:val="9"/>
                <w:sz w:val="21"/>
              </w:rPr>
              <w:t>止</w:t>
            </w:r>
            <w:r>
              <w:rPr>
                <w:rFonts w:ascii="Times New Roman" w:hAnsi="Times New Roman" w:eastAsia="Times New Roman"/>
                <w:spacing w:val="-2"/>
                <w:sz w:val="21"/>
              </w:rPr>
              <w:t>································</w:t>
            </w:r>
            <w:r>
              <w:rPr>
                <w:rFonts w:ascii="Times New Roman" w:hAnsi="Times New Roman" w:eastAsia="Times New Roman"/>
                <w:sz w:val="21"/>
              </w:rPr>
              <w:tab/>
            </w:r>
            <w:r>
              <w:rPr>
                <w:rFonts w:ascii="Times New Roman" w:hAnsi="Times New Roman" w:eastAsia="Times New Roman"/>
                <w:spacing w:val="-49"/>
                <w:sz w:val="21"/>
              </w:rPr>
              <w:t>································</w:t>
            </w:r>
          </w:p>
          <w:p>
            <w:pPr>
              <w:pStyle w:val="TableParagraph"/>
              <w:numPr>
                <w:ilvl w:val="0"/>
                <w:numId w:val="3"/>
              </w:numPr>
              <w:tabs>
                <w:tab w:pos="378" w:val="left" w:leader="none"/>
                <w:tab w:pos="4531" w:val="left" w:leader="none"/>
              </w:tabs>
              <w:spacing w:line="240" w:lineRule="auto" w:before="4" w:after="0"/>
              <w:ind w:left="377" w:right="0" w:hanging="265"/>
              <w:jc w:val="left"/>
              <w:rPr>
                <w:rFonts w:ascii="Times New Roman" w:hAnsi="Times New Roman" w:eastAsia="Times New Roman"/>
                <w:sz w:val="21"/>
              </w:rPr>
            </w:pPr>
            <w:r>
              <w:rPr>
                <w:sz w:val="21"/>
              </w:rPr>
              <w:t>您有如实告知的义</w:t>
            </w:r>
            <w:r>
              <w:rPr>
                <w:spacing w:val="23"/>
                <w:sz w:val="21"/>
              </w:rPr>
              <w:t>务</w:t>
            </w:r>
            <w:r>
              <w:rPr>
                <w:rFonts w:ascii="Times New Roman" w:hAnsi="Times New Roman" w:eastAsia="Times New Roman"/>
                <w:spacing w:val="-2"/>
                <w:sz w:val="21"/>
              </w:rPr>
              <w:t>································</w:t>
            </w:r>
            <w:r>
              <w:rPr>
                <w:rFonts w:ascii="Times New Roman" w:hAnsi="Times New Roman" w:eastAsia="Times New Roman"/>
                <w:sz w:val="21"/>
              </w:rPr>
              <w:tab/>
            </w:r>
            <w:r>
              <w:rPr>
                <w:rFonts w:ascii="Times New Roman" w:hAnsi="Times New Roman" w:eastAsia="Times New Roman"/>
                <w:spacing w:val="-43"/>
                <w:sz w:val="21"/>
              </w:rPr>
              <w:t>································</w:t>
            </w:r>
          </w:p>
          <w:p>
            <w:pPr>
              <w:pStyle w:val="TableParagraph"/>
              <w:numPr>
                <w:ilvl w:val="0"/>
                <w:numId w:val="3"/>
              </w:numPr>
              <w:tabs>
                <w:tab w:pos="378" w:val="left" w:leader="none"/>
              </w:tabs>
              <w:spacing w:line="236" w:lineRule="exact" w:before="2" w:after="0"/>
              <w:ind w:left="377" w:right="0" w:hanging="265"/>
              <w:jc w:val="left"/>
              <w:rPr>
                <w:rFonts w:ascii="Times New Roman" w:hAnsi="Times New Roman" w:eastAsia="Times New Roman"/>
                <w:sz w:val="21"/>
              </w:rPr>
            </w:pPr>
            <w:r>
              <w:rPr>
                <w:spacing w:val="-1"/>
                <w:sz w:val="21"/>
              </w:rPr>
              <w:t>我们对一些重要术语进行了解释，请您注意</w:t>
            </w:r>
            <w:r>
              <w:rPr>
                <w:rFonts w:ascii="Times New Roman" w:hAnsi="Times New Roman" w:eastAsia="Times New Roman"/>
                <w:spacing w:val="-42"/>
                <w:sz w:val="21"/>
              </w:rPr>
              <w:t>································</w:t>
            </w:r>
          </w:p>
        </w:tc>
        <w:tc>
          <w:tcPr>
            <w:tcW w:w="2660" w:type="dxa"/>
            <w:gridSpan w:val="2"/>
          </w:tcPr>
          <w:p>
            <w:pPr>
              <w:pStyle w:val="TableParagraph"/>
              <w:tabs>
                <w:tab w:pos="1070" w:val="left" w:leader="none"/>
              </w:tabs>
              <w:spacing w:before="11"/>
              <w:ind w:right="47"/>
              <w:jc w:val="right"/>
              <w:rPr>
                <w:rFonts w:ascii="Times New Roman" w:hAnsi="Times New Roman"/>
                <w:sz w:val="21"/>
              </w:rPr>
            </w:pPr>
            <w:r>
              <w:rPr>
                <w:rFonts w:ascii="Times New Roman" w:hAnsi="Times New Roman"/>
                <w:spacing w:val="-2"/>
                <w:sz w:val="21"/>
              </w:rPr>
              <w:t>···············</w:t>
            </w:r>
            <w:r>
              <w:rPr>
                <w:rFonts w:ascii="Times New Roman" w:hAnsi="Times New Roman"/>
                <w:sz w:val="21"/>
              </w:rPr>
              <w:tab/>
            </w:r>
            <w:r>
              <w:rPr>
                <w:rFonts w:ascii="Times New Roman" w:hAnsi="Times New Roman"/>
                <w:spacing w:val="-5"/>
                <w:sz w:val="21"/>
              </w:rPr>
              <w:t>3.2</w:t>
            </w:r>
          </w:p>
          <w:p>
            <w:pPr>
              <w:pStyle w:val="TableParagraph"/>
              <w:tabs>
                <w:tab w:pos="2045" w:val="left" w:leader="none"/>
              </w:tabs>
              <w:spacing w:before="33"/>
              <w:ind w:right="47"/>
              <w:jc w:val="right"/>
              <w:rPr>
                <w:rFonts w:ascii="Times New Roman" w:hAnsi="Times New Roman"/>
                <w:sz w:val="21"/>
              </w:rPr>
            </w:pPr>
            <w:r>
              <w:rPr>
                <w:rFonts w:ascii="Times New Roman" w:hAnsi="Times New Roman"/>
                <w:spacing w:val="-2"/>
                <w:sz w:val="21"/>
              </w:rPr>
              <w:t>·····························</w:t>
            </w:r>
            <w:r>
              <w:rPr>
                <w:rFonts w:ascii="Times New Roman" w:hAnsi="Times New Roman"/>
                <w:sz w:val="21"/>
              </w:rPr>
              <w:tab/>
            </w:r>
            <w:r>
              <w:rPr>
                <w:rFonts w:ascii="Times New Roman" w:hAnsi="Times New Roman"/>
                <w:spacing w:val="-5"/>
                <w:sz w:val="21"/>
              </w:rPr>
              <w:t>3.6</w:t>
            </w:r>
          </w:p>
          <w:p>
            <w:pPr>
              <w:pStyle w:val="TableParagraph"/>
              <w:tabs>
                <w:tab w:pos="1906" w:val="left" w:leader="none"/>
              </w:tabs>
              <w:spacing w:before="30"/>
              <w:ind w:right="47"/>
              <w:jc w:val="right"/>
              <w:rPr>
                <w:rFonts w:ascii="Times New Roman" w:hAnsi="Times New Roman"/>
                <w:sz w:val="21"/>
              </w:rPr>
            </w:pPr>
            <w:r>
              <w:rPr>
                <w:rFonts w:ascii="Times New Roman" w:hAnsi="Times New Roman"/>
                <w:spacing w:val="-2"/>
                <w:sz w:val="21"/>
              </w:rPr>
              <w:t>···························</w:t>
            </w:r>
            <w:r>
              <w:rPr>
                <w:rFonts w:ascii="Times New Roman" w:hAnsi="Times New Roman"/>
                <w:sz w:val="21"/>
              </w:rPr>
              <w:tab/>
            </w:r>
            <w:r>
              <w:rPr>
                <w:rFonts w:ascii="Times New Roman" w:hAnsi="Times New Roman"/>
                <w:spacing w:val="-5"/>
                <w:sz w:val="21"/>
              </w:rPr>
              <w:t>4.1</w:t>
            </w:r>
          </w:p>
          <w:p>
            <w:pPr>
              <w:pStyle w:val="TableParagraph"/>
              <w:tabs>
                <w:tab w:pos="1628" w:val="left" w:leader="none"/>
              </w:tabs>
              <w:spacing w:before="32"/>
              <w:ind w:right="47"/>
              <w:jc w:val="right"/>
              <w:rPr>
                <w:rFonts w:ascii="Times New Roman" w:hAnsi="Times New Roman"/>
                <w:sz w:val="21"/>
              </w:rPr>
            </w:pPr>
            <w:r>
              <w:rPr>
                <w:rFonts w:ascii="Times New Roman" w:hAnsi="Times New Roman"/>
                <w:spacing w:val="-2"/>
                <w:sz w:val="21"/>
              </w:rPr>
              <w:t>·······················</w:t>
            </w:r>
            <w:r>
              <w:rPr>
                <w:rFonts w:ascii="Times New Roman" w:hAnsi="Times New Roman"/>
                <w:sz w:val="21"/>
              </w:rPr>
              <w:tab/>
            </w:r>
            <w:r>
              <w:rPr>
                <w:rFonts w:ascii="Times New Roman" w:hAnsi="Times New Roman"/>
                <w:spacing w:val="-5"/>
                <w:sz w:val="21"/>
              </w:rPr>
              <w:t>5.1</w:t>
            </w:r>
          </w:p>
          <w:p>
            <w:pPr>
              <w:pStyle w:val="TableParagraph"/>
              <w:tabs>
                <w:tab w:pos="861" w:val="left" w:leader="none"/>
              </w:tabs>
              <w:spacing w:before="30"/>
              <w:ind w:right="47"/>
              <w:jc w:val="right"/>
              <w:rPr>
                <w:rFonts w:ascii="Times New Roman" w:hAnsi="Times New Roman"/>
                <w:sz w:val="21"/>
              </w:rPr>
            </w:pPr>
            <w:r>
              <w:rPr>
                <w:rFonts w:ascii="Times New Roman" w:hAnsi="Times New Roman"/>
                <w:spacing w:val="-2"/>
                <w:sz w:val="21"/>
              </w:rPr>
              <w:t>············</w:t>
            </w:r>
            <w:r>
              <w:rPr>
                <w:rFonts w:ascii="Times New Roman" w:hAnsi="Times New Roman"/>
                <w:sz w:val="21"/>
              </w:rPr>
              <w:tab/>
            </w:r>
            <w:r>
              <w:rPr>
                <w:rFonts w:ascii="Times New Roman" w:hAnsi="Times New Roman"/>
                <w:spacing w:val="-5"/>
                <w:sz w:val="21"/>
              </w:rPr>
              <w:t>6.1</w:t>
            </w:r>
          </w:p>
          <w:p>
            <w:pPr>
              <w:pStyle w:val="TableParagraph"/>
              <w:tabs>
                <w:tab w:pos="1906" w:val="left" w:leader="none"/>
              </w:tabs>
              <w:spacing w:before="32"/>
              <w:ind w:right="47"/>
              <w:jc w:val="right"/>
              <w:rPr>
                <w:rFonts w:ascii="Times New Roman" w:hAnsi="Times New Roman"/>
                <w:sz w:val="21"/>
              </w:rPr>
            </w:pPr>
            <w:r>
              <w:rPr>
                <w:rFonts w:ascii="Times New Roman" w:hAnsi="Times New Roman"/>
                <w:spacing w:val="-2"/>
                <w:sz w:val="21"/>
              </w:rPr>
              <w:t>···························</w:t>
            </w:r>
            <w:r>
              <w:rPr>
                <w:rFonts w:ascii="Times New Roman" w:hAnsi="Times New Roman"/>
                <w:sz w:val="21"/>
              </w:rPr>
              <w:tab/>
            </w:r>
            <w:r>
              <w:rPr>
                <w:rFonts w:ascii="Times New Roman" w:hAnsi="Times New Roman"/>
                <w:spacing w:val="-5"/>
                <w:sz w:val="21"/>
              </w:rPr>
              <w:t>7.1</w:t>
            </w:r>
          </w:p>
          <w:p>
            <w:pPr>
              <w:pStyle w:val="TableParagraph"/>
              <w:tabs>
                <w:tab w:pos="2105" w:val="left" w:leader="none"/>
              </w:tabs>
              <w:spacing w:line="222" w:lineRule="exact" w:before="29"/>
              <w:ind w:right="47"/>
              <w:jc w:val="right"/>
              <w:rPr>
                <w:rFonts w:ascii="Times New Roman" w:hAnsi="Times New Roman"/>
                <w:sz w:val="21"/>
              </w:rPr>
            </w:pPr>
            <w:r>
              <w:rPr>
                <w:rFonts w:ascii="Times New Roman" w:hAnsi="Times New Roman"/>
                <w:spacing w:val="-2"/>
                <w:sz w:val="21"/>
              </w:rPr>
              <w:t>······························</w:t>
            </w:r>
            <w:r>
              <w:rPr>
                <w:rFonts w:ascii="Times New Roman" w:hAnsi="Times New Roman"/>
                <w:sz w:val="21"/>
              </w:rPr>
              <w:tab/>
            </w:r>
            <w:r>
              <w:rPr>
                <w:rFonts w:ascii="Times New Roman" w:hAnsi="Times New Roman"/>
                <w:spacing w:val="-5"/>
                <w:sz w:val="21"/>
              </w:rPr>
              <w:t>11</w:t>
            </w:r>
          </w:p>
        </w:tc>
      </w:tr>
    </w:tbl>
    <w:p>
      <w:pPr>
        <w:pStyle w:val="BodyText"/>
        <w:spacing w:before="1"/>
        <w:rPr>
          <w:b/>
          <w:sz w:val="20"/>
        </w:rPr>
      </w:pPr>
    </w:p>
    <w:p>
      <w:pPr>
        <w:tabs>
          <w:tab w:pos="661" w:val="left" w:leader="none"/>
        </w:tabs>
        <w:spacing w:before="0"/>
        <w:ind w:left="242" w:right="0" w:firstLine="0"/>
        <w:jc w:val="left"/>
        <w:rPr>
          <w:b/>
          <w:sz w:val="21"/>
        </w:rPr>
      </w:pPr>
      <w:r>
        <w:rPr/>
        <w:drawing>
          <wp:anchor distT="0" distB="0" distL="0" distR="0" allowOverlap="1" layoutInCell="1" locked="0" behindDoc="1" simplePos="0" relativeHeight="486471680">
            <wp:simplePos x="0" y="0"/>
            <wp:positionH relativeFrom="page">
              <wp:posOffset>1007668</wp:posOffset>
            </wp:positionH>
            <wp:positionV relativeFrom="paragraph">
              <wp:posOffset>499826</wp:posOffset>
            </wp:positionV>
            <wp:extent cx="6024469" cy="3305175"/>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024469" cy="3305175"/>
                    </a:xfrm>
                    <a:prstGeom prst="rect">
                      <a:avLst/>
                    </a:prstGeom>
                  </pic:spPr>
                </pic:pic>
              </a:graphicData>
            </a:graphic>
          </wp:anchor>
        </w:drawing>
      </w:r>
      <w:r>
        <w:rPr>
          <w:rFonts w:ascii="Symbol" w:hAnsi="Symbol" w:eastAsia="Symbol"/>
          <w:b/>
          <w:spacing w:val="-10"/>
          <w:sz w:val="21"/>
        </w:rPr>
        <w:t></w:t>
      </w:r>
      <w:r>
        <w:rPr>
          <w:rFonts w:ascii="Times New Roman" w:hAnsi="Times New Roman" w:eastAsia="Times New Roman"/>
          <w:sz w:val="21"/>
        </w:rPr>
        <w:tab/>
      </w:r>
      <w:r>
        <w:rPr>
          <w:b/>
          <w:spacing w:val="-3"/>
          <w:sz w:val="21"/>
        </w:rPr>
        <w:t>条款是保险合同的重要内容，为充分保障您的权益，请您仔细阅读本条款。</w:t>
      </w:r>
    </w:p>
    <w:p>
      <w:pPr>
        <w:pStyle w:val="BodyText"/>
        <w:spacing w:before="12"/>
        <w:rPr>
          <w:b/>
          <w:sz w:val="18"/>
        </w:rPr>
      </w:pPr>
    </w:p>
    <w:tbl>
      <w:tblPr>
        <w:tblW w:w="0" w:type="auto"/>
        <w:jc w:val="left"/>
        <w:tblInd w:w="1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2"/>
        <w:gridCol w:w="2475"/>
        <w:gridCol w:w="526"/>
        <w:gridCol w:w="2732"/>
        <w:gridCol w:w="423"/>
        <w:gridCol w:w="2888"/>
      </w:tblGrid>
      <w:tr>
        <w:trPr>
          <w:trHeight w:val="284" w:hRule="atLeast"/>
        </w:trPr>
        <w:tc>
          <w:tcPr>
            <w:tcW w:w="422" w:type="dxa"/>
          </w:tcPr>
          <w:p>
            <w:pPr>
              <w:pStyle w:val="TableParagraph"/>
              <w:spacing w:before="1"/>
              <w:ind w:left="107"/>
              <w:rPr>
                <w:rFonts w:ascii="Symbol" w:hAnsi="Symbol"/>
                <w:b/>
                <w:sz w:val="21"/>
              </w:rPr>
            </w:pPr>
            <w:r>
              <w:rPr>
                <w:rFonts w:ascii="Symbol" w:hAnsi="Symbol"/>
                <w:b/>
                <w:w w:val="100"/>
                <w:sz w:val="21"/>
              </w:rPr>
              <w:t></w:t>
            </w:r>
          </w:p>
        </w:tc>
        <w:tc>
          <w:tcPr>
            <w:tcW w:w="9044" w:type="dxa"/>
            <w:gridSpan w:val="5"/>
          </w:tcPr>
          <w:p>
            <w:pPr>
              <w:pStyle w:val="TableParagraph"/>
              <w:spacing w:line="262" w:lineRule="exact" w:before="2"/>
              <w:ind w:left="105"/>
              <w:rPr>
                <w:b/>
                <w:sz w:val="21"/>
              </w:rPr>
            </w:pPr>
            <w:r>
              <w:rPr>
                <w:b/>
                <w:spacing w:val="-3"/>
                <w:sz w:val="21"/>
              </w:rPr>
              <w:t>条款目录</w:t>
            </w:r>
          </w:p>
        </w:tc>
      </w:tr>
      <w:tr>
        <w:trPr>
          <w:trHeight w:val="455" w:hRule="atLeast"/>
        </w:trPr>
        <w:tc>
          <w:tcPr>
            <w:tcW w:w="2897" w:type="dxa"/>
            <w:gridSpan w:val="2"/>
          </w:tcPr>
          <w:p>
            <w:pPr>
              <w:pStyle w:val="TableParagraph"/>
              <w:spacing w:before="118"/>
              <w:ind w:left="110"/>
              <w:rPr>
                <w:b/>
                <w:sz w:val="21"/>
              </w:rPr>
            </w:pPr>
            <w:r>
              <w:rPr>
                <w:rFonts w:ascii="Times New Roman" w:eastAsia="Times New Roman"/>
                <w:b/>
                <w:sz w:val="21"/>
              </w:rPr>
              <w:t>1</w:t>
            </w:r>
            <w:r>
              <w:rPr>
                <w:rFonts w:ascii="Times New Roman" w:eastAsia="Times New Roman"/>
                <w:b/>
                <w:spacing w:val="49"/>
                <w:sz w:val="21"/>
              </w:rPr>
              <w:t> </w:t>
            </w:r>
            <w:r>
              <w:rPr>
                <w:b/>
                <w:spacing w:val="-2"/>
                <w:sz w:val="21"/>
              </w:rPr>
              <w:t>您与我们订立的合同</w:t>
            </w:r>
          </w:p>
        </w:tc>
        <w:tc>
          <w:tcPr>
            <w:tcW w:w="3258" w:type="dxa"/>
            <w:gridSpan w:val="2"/>
          </w:tcPr>
          <w:p>
            <w:pPr>
              <w:pStyle w:val="TableParagraph"/>
              <w:spacing w:before="118"/>
              <w:ind w:left="578"/>
              <w:rPr>
                <w:sz w:val="21"/>
              </w:rPr>
            </w:pPr>
            <w:r>
              <w:rPr>
                <w:rFonts w:ascii="Times New Roman" w:eastAsia="Times New Roman"/>
                <w:sz w:val="21"/>
              </w:rPr>
              <w:t>3.2</w:t>
            </w:r>
            <w:r>
              <w:rPr>
                <w:rFonts w:ascii="Times New Roman" w:eastAsia="Times New Roman"/>
                <w:spacing w:val="-9"/>
                <w:sz w:val="21"/>
              </w:rPr>
              <w:t> </w:t>
            </w:r>
            <w:r>
              <w:rPr>
                <w:spacing w:val="-2"/>
                <w:sz w:val="21"/>
              </w:rPr>
              <w:t>保险事故通知</w:t>
            </w:r>
          </w:p>
        </w:tc>
        <w:tc>
          <w:tcPr>
            <w:tcW w:w="423" w:type="dxa"/>
          </w:tcPr>
          <w:p>
            <w:pPr>
              <w:pStyle w:val="TableParagraph"/>
              <w:rPr>
                <w:rFonts w:ascii="Times New Roman"/>
                <w:sz w:val="20"/>
              </w:rPr>
            </w:pPr>
          </w:p>
        </w:tc>
        <w:tc>
          <w:tcPr>
            <w:tcW w:w="2888" w:type="dxa"/>
          </w:tcPr>
          <w:p>
            <w:pPr>
              <w:pStyle w:val="TableParagraph"/>
              <w:spacing w:before="118"/>
              <w:ind w:left="51"/>
              <w:rPr>
                <w:sz w:val="21"/>
              </w:rPr>
            </w:pPr>
            <w:r>
              <w:rPr>
                <w:rFonts w:ascii="Times New Roman" w:eastAsia="Times New Roman"/>
                <w:spacing w:val="-2"/>
                <w:sz w:val="21"/>
              </w:rPr>
              <w:t>7.2</w:t>
            </w:r>
            <w:r>
              <w:rPr>
                <w:rFonts w:ascii="Times New Roman" w:eastAsia="Times New Roman"/>
                <w:spacing w:val="6"/>
                <w:sz w:val="21"/>
              </w:rPr>
              <w:t> </w:t>
            </w:r>
            <w:r>
              <w:rPr>
                <w:spacing w:val="-3"/>
                <w:sz w:val="21"/>
              </w:rPr>
              <w:t>本公司合同解除权的限制</w:t>
            </w:r>
          </w:p>
        </w:tc>
      </w:tr>
      <w:tr>
        <w:trPr>
          <w:trHeight w:val="397" w:hRule="atLeast"/>
        </w:trPr>
        <w:tc>
          <w:tcPr>
            <w:tcW w:w="2897" w:type="dxa"/>
            <w:gridSpan w:val="2"/>
          </w:tcPr>
          <w:p>
            <w:pPr>
              <w:pStyle w:val="TableParagraph"/>
              <w:spacing w:before="59"/>
              <w:ind w:left="321"/>
              <w:rPr>
                <w:sz w:val="21"/>
              </w:rPr>
            </w:pPr>
            <w:r>
              <w:rPr>
                <w:rFonts w:ascii="Times New Roman" w:eastAsia="Times New Roman"/>
                <w:sz w:val="21"/>
              </w:rPr>
              <w:t>1.1</w:t>
            </w:r>
            <w:r>
              <w:rPr>
                <w:rFonts w:ascii="Times New Roman" w:eastAsia="Times New Roman"/>
                <w:spacing w:val="-6"/>
                <w:sz w:val="21"/>
              </w:rPr>
              <w:t> </w:t>
            </w:r>
            <w:r>
              <w:rPr>
                <w:spacing w:val="-3"/>
                <w:sz w:val="21"/>
              </w:rPr>
              <w:t>合同构成</w:t>
            </w:r>
          </w:p>
        </w:tc>
        <w:tc>
          <w:tcPr>
            <w:tcW w:w="3258" w:type="dxa"/>
            <w:gridSpan w:val="2"/>
          </w:tcPr>
          <w:p>
            <w:pPr>
              <w:pStyle w:val="TableParagraph"/>
              <w:spacing w:before="59"/>
              <w:ind w:left="578"/>
              <w:rPr>
                <w:sz w:val="21"/>
              </w:rPr>
            </w:pPr>
            <w:r>
              <w:rPr>
                <w:rFonts w:ascii="Times New Roman" w:eastAsia="Times New Roman"/>
                <w:sz w:val="21"/>
              </w:rPr>
              <w:t>3.3</w:t>
            </w:r>
            <w:r>
              <w:rPr>
                <w:rFonts w:ascii="Times New Roman" w:eastAsia="Times New Roman"/>
                <w:spacing w:val="-9"/>
                <w:sz w:val="21"/>
              </w:rPr>
              <w:t> </w:t>
            </w:r>
            <w:r>
              <w:rPr>
                <w:spacing w:val="-2"/>
                <w:sz w:val="21"/>
              </w:rPr>
              <w:t>保险金的申请</w:t>
            </w:r>
          </w:p>
        </w:tc>
        <w:tc>
          <w:tcPr>
            <w:tcW w:w="423" w:type="dxa"/>
          </w:tcPr>
          <w:p>
            <w:pPr>
              <w:pStyle w:val="TableParagraph"/>
              <w:spacing w:before="73"/>
              <w:ind w:right="52"/>
              <w:jc w:val="right"/>
              <w:rPr>
                <w:rFonts w:ascii="Times New Roman"/>
                <w:b/>
                <w:sz w:val="21"/>
              </w:rPr>
            </w:pPr>
            <w:r>
              <w:rPr>
                <w:rFonts w:ascii="Times New Roman"/>
                <w:b/>
                <w:w w:val="100"/>
                <w:sz w:val="21"/>
              </w:rPr>
              <w:t>8</w:t>
            </w:r>
          </w:p>
        </w:tc>
        <w:tc>
          <w:tcPr>
            <w:tcW w:w="2888" w:type="dxa"/>
          </w:tcPr>
          <w:p>
            <w:pPr>
              <w:pStyle w:val="TableParagraph"/>
              <w:spacing w:before="59"/>
              <w:ind w:left="51"/>
              <w:rPr>
                <w:b/>
                <w:sz w:val="21"/>
              </w:rPr>
            </w:pPr>
            <w:r>
              <w:rPr>
                <w:b/>
                <w:spacing w:val="-3"/>
                <w:sz w:val="21"/>
              </w:rPr>
              <w:t>特定心脑血管轻症疾病的</w:t>
            </w:r>
          </w:p>
        </w:tc>
      </w:tr>
      <w:tr>
        <w:trPr>
          <w:trHeight w:val="397" w:hRule="atLeast"/>
        </w:trPr>
        <w:tc>
          <w:tcPr>
            <w:tcW w:w="2897" w:type="dxa"/>
            <w:gridSpan w:val="2"/>
          </w:tcPr>
          <w:p>
            <w:pPr>
              <w:pStyle w:val="TableParagraph"/>
              <w:spacing w:before="60"/>
              <w:ind w:left="321"/>
              <w:rPr>
                <w:sz w:val="21"/>
              </w:rPr>
            </w:pPr>
            <w:r>
              <w:rPr>
                <w:rFonts w:ascii="Times New Roman" w:eastAsia="Times New Roman"/>
                <w:sz w:val="21"/>
              </w:rPr>
              <w:t>1.2</w:t>
            </w:r>
            <w:r>
              <w:rPr>
                <w:rFonts w:ascii="Times New Roman" w:eastAsia="Times New Roman"/>
                <w:spacing w:val="-14"/>
                <w:sz w:val="21"/>
              </w:rPr>
              <w:t> </w:t>
            </w:r>
            <w:r>
              <w:rPr>
                <w:spacing w:val="-2"/>
                <w:sz w:val="21"/>
              </w:rPr>
              <w:t>保险合同成立与生效</w:t>
            </w:r>
          </w:p>
        </w:tc>
        <w:tc>
          <w:tcPr>
            <w:tcW w:w="3258" w:type="dxa"/>
            <w:gridSpan w:val="2"/>
          </w:tcPr>
          <w:p>
            <w:pPr>
              <w:pStyle w:val="TableParagraph"/>
              <w:spacing w:before="60"/>
              <w:ind w:left="578"/>
              <w:rPr>
                <w:sz w:val="21"/>
              </w:rPr>
            </w:pPr>
            <w:r>
              <w:rPr>
                <w:rFonts w:ascii="Times New Roman" w:eastAsia="Times New Roman"/>
                <w:sz w:val="21"/>
              </w:rPr>
              <w:t>3.4</w:t>
            </w:r>
            <w:r>
              <w:rPr>
                <w:rFonts w:ascii="Times New Roman" w:eastAsia="Times New Roman"/>
                <w:spacing w:val="-6"/>
                <w:sz w:val="21"/>
              </w:rPr>
              <w:t> </w:t>
            </w:r>
            <w:r>
              <w:rPr>
                <w:spacing w:val="-3"/>
                <w:sz w:val="21"/>
              </w:rPr>
              <w:t>司法鉴定</w:t>
            </w:r>
          </w:p>
        </w:tc>
        <w:tc>
          <w:tcPr>
            <w:tcW w:w="423" w:type="dxa"/>
          </w:tcPr>
          <w:p>
            <w:pPr>
              <w:pStyle w:val="TableParagraph"/>
              <w:rPr>
                <w:rFonts w:ascii="Times New Roman"/>
                <w:sz w:val="20"/>
              </w:rPr>
            </w:pPr>
          </w:p>
        </w:tc>
        <w:tc>
          <w:tcPr>
            <w:tcW w:w="2888" w:type="dxa"/>
          </w:tcPr>
          <w:p>
            <w:pPr>
              <w:pStyle w:val="TableParagraph"/>
              <w:spacing w:before="60"/>
              <w:ind w:left="51"/>
              <w:rPr>
                <w:b/>
                <w:sz w:val="21"/>
              </w:rPr>
            </w:pPr>
            <w:r>
              <w:rPr>
                <w:b/>
                <w:spacing w:val="-2"/>
                <w:sz w:val="21"/>
              </w:rPr>
              <w:t>定义及范围</w:t>
            </w:r>
          </w:p>
        </w:tc>
      </w:tr>
      <w:tr>
        <w:trPr>
          <w:trHeight w:val="397" w:hRule="atLeast"/>
        </w:trPr>
        <w:tc>
          <w:tcPr>
            <w:tcW w:w="2897" w:type="dxa"/>
            <w:gridSpan w:val="2"/>
          </w:tcPr>
          <w:p>
            <w:pPr>
              <w:pStyle w:val="TableParagraph"/>
              <w:spacing w:before="59"/>
              <w:ind w:left="321"/>
              <w:rPr>
                <w:sz w:val="21"/>
              </w:rPr>
            </w:pPr>
            <w:r>
              <w:rPr>
                <w:rFonts w:ascii="Times New Roman" w:eastAsia="Times New Roman"/>
                <w:sz w:val="21"/>
              </w:rPr>
              <w:t>1.3</w:t>
            </w:r>
            <w:r>
              <w:rPr>
                <w:rFonts w:ascii="Times New Roman" w:eastAsia="Times New Roman"/>
                <w:spacing w:val="-6"/>
                <w:sz w:val="21"/>
              </w:rPr>
              <w:t> </w:t>
            </w:r>
            <w:r>
              <w:rPr>
                <w:spacing w:val="-3"/>
                <w:sz w:val="21"/>
              </w:rPr>
              <w:t>投保年龄</w:t>
            </w:r>
          </w:p>
        </w:tc>
        <w:tc>
          <w:tcPr>
            <w:tcW w:w="3258" w:type="dxa"/>
            <w:gridSpan w:val="2"/>
          </w:tcPr>
          <w:p>
            <w:pPr>
              <w:pStyle w:val="TableParagraph"/>
              <w:spacing w:before="59"/>
              <w:ind w:left="578"/>
              <w:rPr>
                <w:sz w:val="21"/>
              </w:rPr>
            </w:pPr>
            <w:r>
              <w:rPr>
                <w:rFonts w:ascii="Times New Roman" w:eastAsia="Times New Roman"/>
                <w:sz w:val="21"/>
              </w:rPr>
              <w:t>3.5</w:t>
            </w:r>
            <w:r>
              <w:rPr>
                <w:rFonts w:ascii="Times New Roman" w:eastAsia="Times New Roman"/>
                <w:spacing w:val="-6"/>
                <w:sz w:val="21"/>
              </w:rPr>
              <w:t> </w:t>
            </w:r>
            <w:r>
              <w:rPr>
                <w:spacing w:val="-2"/>
                <w:sz w:val="21"/>
              </w:rPr>
              <w:t>保险金给付</w:t>
            </w:r>
          </w:p>
        </w:tc>
        <w:tc>
          <w:tcPr>
            <w:tcW w:w="423" w:type="dxa"/>
          </w:tcPr>
          <w:p>
            <w:pPr>
              <w:pStyle w:val="TableParagraph"/>
              <w:spacing w:before="73"/>
              <w:ind w:right="52"/>
              <w:jc w:val="right"/>
              <w:rPr>
                <w:rFonts w:ascii="Times New Roman"/>
                <w:b/>
                <w:sz w:val="21"/>
              </w:rPr>
            </w:pPr>
            <w:r>
              <w:rPr>
                <w:rFonts w:ascii="Times New Roman"/>
                <w:b/>
                <w:w w:val="100"/>
                <w:sz w:val="21"/>
              </w:rPr>
              <w:t>9</w:t>
            </w:r>
          </w:p>
        </w:tc>
        <w:tc>
          <w:tcPr>
            <w:tcW w:w="2888" w:type="dxa"/>
          </w:tcPr>
          <w:p>
            <w:pPr>
              <w:pStyle w:val="TableParagraph"/>
              <w:spacing w:before="59"/>
              <w:ind w:left="51"/>
              <w:rPr>
                <w:b/>
                <w:sz w:val="21"/>
              </w:rPr>
            </w:pPr>
            <w:r>
              <w:rPr>
                <w:b/>
                <w:spacing w:val="-3"/>
                <w:sz w:val="21"/>
              </w:rPr>
              <w:t>特定心脑血管重大疾病的</w:t>
            </w:r>
          </w:p>
        </w:tc>
      </w:tr>
      <w:tr>
        <w:trPr>
          <w:trHeight w:val="316" w:hRule="atLeast"/>
        </w:trPr>
        <w:tc>
          <w:tcPr>
            <w:tcW w:w="2897" w:type="dxa"/>
            <w:gridSpan w:val="2"/>
          </w:tcPr>
          <w:p>
            <w:pPr>
              <w:pStyle w:val="TableParagraph"/>
              <w:spacing w:line="236" w:lineRule="exact" w:before="60"/>
              <w:ind w:left="321"/>
              <w:rPr>
                <w:sz w:val="21"/>
              </w:rPr>
            </w:pPr>
            <w:r>
              <w:rPr>
                <w:rFonts w:ascii="Times New Roman" w:eastAsia="Times New Roman"/>
                <w:sz w:val="21"/>
              </w:rPr>
              <w:t>1.4</w:t>
            </w:r>
            <w:r>
              <w:rPr>
                <w:rFonts w:ascii="Times New Roman" w:eastAsia="Times New Roman"/>
                <w:spacing w:val="-6"/>
                <w:sz w:val="21"/>
              </w:rPr>
              <w:t> </w:t>
            </w:r>
            <w:r>
              <w:rPr>
                <w:spacing w:val="-2"/>
                <w:sz w:val="21"/>
              </w:rPr>
              <w:t>合同的签收</w:t>
            </w:r>
          </w:p>
        </w:tc>
        <w:tc>
          <w:tcPr>
            <w:tcW w:w="3258" w:type="dxa"/>
            <w:gridSpan w:val="2"/>
          </w:tcPr>
          <w:p>
            <w:pPr>
              <w:pStyle w:val="TableParagraph"/>
              <w:spacing w:line="236" w:lineRule="exact" w:before="60"/>
              <w:ind w:left="578"/>
              <w:rPr>
                <w:sz w:val="21"/>
              </w:rPr>
            </w:pPr>
            <w:r>
              <w:rPr>
                <w:rFonts w:ascii="Times New Roman" w:eastAsia="Times New Roman"/>
                <w:sz w:val="21"/>
              </w:rPr>
              <w:t>3.6</w:t>
            </w:r>
            <w:r>
              <w:rPr>
                <w:rFonts w:ascii="Times New Roman" w:eastAsia="Times New Roman"/>
                <w:spacing w:val="-6"/>
                <w:sz w:val="21"/>
              </w:rPr>
              <w:t> </w:t>
            </w:r>
            <w:r>
              <w:rPr>
                <w:spacing w:val="-3"/>
                <w:sz w:val="21"/>
              </w:rPr>
              <w:t>诉讼时效</w:t>
            </w:r>
          </w:p>
        </w:tc>
        <w:tc>
          <w:tcPr>
            <w:tcW w:w="423" w:type="dxa"/>
          </w:tcPr>
          <w:p>
            <w:pPr>
              <w:pStyle w:val="TableParagraph"/>
              <w:rPr>
                <w:rFonts w:ascii="Times New Roman"/>
                <w:sz w:val="20"/>
              </w:rPr>
            </w:pPr>
          </w:p>
        </w:tc>
        <w:tc>
          <w:tcPr>
            <w:tcW w:w="2888" w:type="dxa"/>
          </w:tcPr>
          <w:p>
            <w:pPr>
              <w:pStyle w:val="TableParagraph"/>
              <w:spacing w:line="236" w:lineRule="exact" w:before="60"/>
              <w:ind w:left="51"/>
              <w:rPr>
                <w:b/>
                <w:sz w:val="21"/>
              </w:rPr>
            </w:pPr>
            <w:r>
              <w:rPr>
                <w:b/>
                <w:spacing w:val="-2"/>
                <w:sz w:val="21"/>
              </w:rPr>
              <w:t>定义及范围</w:t>
            </w:r>
          </w:p>
        </w:tc>
      </w:tr>
      <w:tr>
        <w:trPr>
          <w:trHeight w:val="477" w:hRule="atLeast"/>
        </w:trPr>
        <w:tc>
          <w:tcPr>
            <w:tcW w:w="2897" w:type="dxa"/>
            <w:gridSpan w:val="2"/>
          </w:tcPr>
          <w:p>
            <w:pPr>
              <w:pStyle w:val="TableParagraph"/>
              <w:spacing w:before="140"/>
              <w:ind w:left="110"/>
              <w:rPr>
                <w:b/>
                <w:sz w:val="21"/>
              </w:rPr>
            </w:pPr>
            <w:r>
              <w:rPr>
                <w:rFonts w:ascii="Times New Roman" w:eastAsia="Times New Roman"/>
                <w:b/>
                <w:sz w:val="21"/>
              </w:rPr>
              <w:t>2</w:t>
            </w:r>
            <w:r>
              <w:rPr>
                <w:rFonts w:ascii="Times New Roman" w:eastAsia="Times New Roman"/>
                <w:b/>
                <w:spacing w:val="52"/>
                <w:sz w:val="21"/>
              </w:rPr>
              <w:t> </w:t>
            </w:r>
            <w:r>
              <w:rPr>
                <w:b/>
                <w:spacing w:val="-2"/>
                <w:sz w:val="21"/>
              </w:rPr>
              <w:t>我们提供的保障</w:t>
            </w:r>
          </w:p>
        </w:tc>
        <w:tc>
          <w:tcPr>
            <w:tcW w:w="526" w:type="dxa"/>
          </w:tcPr>
          <w:p>
            <w:pPr>
              <w:pStyle w:val="TableParagraph"/>
              <w:spacing w:before="154"/>
              <w:ind w:right="51"/>
              <w:jc w:val="right"/>
              <w:rPr>
                <w:rFonts w:ascii="Times New Roman"/>
                <w:b/>
                <w:sz w:val="21"/>
              </w:rPr>
            </w:pPr>
            <w:r>
              <w:rPr>
                <w:rFonts w:ascii="Times New Roman"/>
                <w:b/>
                <w:w w:val="100"/>
                <w:sz w:val="21"/>
              </w:rPr>
              <w:t>4</w:t>
            </w:r>
          </w:p>
        </w:tc>
        <w:tc>
          <w:tcPr>
            <w:tcW w:w="2732" w:type="dxa"/>
          </w:tcPr>
          <w:p>
            <w:pPr>
              <w:pStyle w:val="TableParagraph"/>
              <w:spacing w:before="140"/>
              <w:ind w:left="52"/>
              <w:rPr>
                <w:b/>
                <w:sz w:val="21"/>
              </w:rPr>
            </w:pPr>
            <w:r>
              <w:rPr>
                <w:b/>
                <w:spacing w:val="-2"/>
                <w:sz w:val="21"/>
              </w:rPr>
              <w:t>保险费的支付</w:t>
            </w:r>
          </w:p>
        </w:tc>
        <w:tc>
          <w:tcPr>
            <w:tcW w:w="3311" w:type="dxa"/>
            <w:gridSpan w:val="2"/>
          </w:tcPr>
          <w:p>
            <w:pPr>
              <w:pStyle w:val="TableParagraph"/>
              <w:spacing w:before="140"/>
              <w:ind w:left="263"/>
              <w:rPr>
                <w:b/>
                <w:sz w:val="21"/>
              </w:rPr>
            </w:pPr>
            <w:r>
              <w:rPr>
                <w:rFonts w:ascii="Times New Roman" w:eastAsia="Times New Roman"/>
                <w:b/>
                <w:sz w:val="21"/>
              </w:rPr>
              <w:t>10</w:t>
            </w:r>
            <w:r>
              <w:rPr>
                <w:rFonts w:ascii="Times New Roman" w:eastAsia="Times New Roman"/>
                <w:b/>
                <w:spacing w:val="50"/>
                <w:sz w:val="21"/>
              </w:rPr>
              <w:t> </w:t>
            </w:r>
            <w:r>
              <w:rPr>
                <w:b/>
                <w:spacing w:val="-2"/>
                <w:sz w:val="21"/>
              </w:rPr>
              <w:t>其他需要关注的事项</w:t>
            </w:r>
          </w:p>
        </w:tc>
      </w:tr>
      <w:tr>
        <w:trPr>
          <w:trHeight w:val="397" w:hRule="atLeast"/>
        </w:trPr>
        <w:tc>
          <w:tcPr>
            <w:tcW w:w="2897" w:type="dxa"/>
            <w:gridSpan w:val="2"/>
          </w:tcPr>
          <w:p>
            <w:pPr>
              <w:pStyle w:val="TableParagraph"/>
              <w:spacing w:before="59"/>
              <w:ind w:left="321"/>
              <w:rPr>
                <w:sz w:val="21"/>
              </w:rPr>
            </w:pPr>
            <w:r>
              <w:rPr>
                <w:rFonts w:ascii="Times New Roman" w:eastAsia="Times New Roman"/>
                <w:sz w:val="21"/>
              </w:rPr>
              <w:t>2.1</w:t>
            </w:r>
            <w:r>
              <w:rPr>
                <w:rFonts w:ascii="Times New Roman" w:eastAsia="Times New Roman"/>
                <w:spacing w:val="-9"/>
                <w:sz w:val="21"/>
              </w:rPr>
              <w:t> </w:t>
            </w:r>
            <w:r>
              <w:rPr>
                <w:spacing w:val="-2"/>
                <w:sz w:val="21"/>
              </w:rPr>
              <w:t>基本保险金额</w:t>
            </w:r>
          </w:p>
        </w:tc>
        <w:tc>
          <w:tcPr>
            <w:tcW w:w="526" w:type="dxa"/>
          </w:tcPr>
          <w:p>
            <w:pPr>
              <w:pStyle w:val="TableParagraph"/>
              <w:rPr>
                <w:rFonts w:ascii="Times New Roman"/>
                <w:sz w:val="20"/>
              </w:rPr>
            </w:pPr>
          </w:p>
        </w:tc>
        <w:tc>
          <w:tcPr>
            <w:tcW w:w="2732" w:type="dxa"/>
          </w:tcPr>
          <w:p>
            <w:pPr>
              <w:pStyle w:val="TableParagraph"/>
              <w:spacing w:before="59"/>
              <w:ind w:left="52"/>
              <w:rPr>
                <w:sz w:val="21"/>
              </w:rPr>
            </w:pPr>
            <w:r>
              <w:rPr>
                <w:rFonts w:ascii="Times New Roman" w:eastAsia="Times New Roman"/>
                <w:sz w:val="21"/>
              </w:rPr>
              <w:t>4.1</w:t>
            </w:r>
            <w:r>
              <w:rPr>
                <w:rFonts w:ascii="Times New Roman" w:eastAsia="Times New Roman"/>
                <w:spacing w:val="-9"/>
                <w:sz w:val="21"/>
              </w:rPr>
              <w:t> </w:t>
            </w:r>
            <w:r>
              <w:rPr>
                <w:spacing w:val="-2"/>
                <w:sz w:val="21"/>
              </w:rPr>
              <w:t>保险费的支付</w:t>
            </w:r>
          </w:p>
        </w:tc>
        <w:tc>
          <w:tcPr>
            <w:tcW w:w="3311" w:type="dxa"/>
            <w:gridSpan w:val="2"/>
          </w:tcPr>
          <w:p>
            <w:pPr>
              <w:pStyle w:val="TableParagraph"/>
              <w:spacing w:before="59"/>
              <w:ind w:left="474"/>
              <w:rPr>
                <w:sz w:val="21"/>
              </w:rPr>
            </w:pPr>
            <w:r>
              <w:rPr>
                <w:rFonts w:ascii="Times New Roman" w:eastAsia="Times New Roman"/>
                <w:sz w:val="21"/>
              </w:rPr>
              <w:t>10.1</w:t>
            </w:r>
            <w:r>
              <w:rPr>
                <w:rFonts w:ascii="Times New Roman" w:eastAsia="Times New Roman"/>
                <w:spacing w:val="-6"/>
                <w:sz w:val="21"/>
              </w:rPr>
              <w:t> </w:t>
            </w:r>
            <w:r>
              <w:rPr>
                <w:spacing w:val="-3"/>
                <w:sz w:val="21"/>
              </w:rPr>
              <w:t>年龄错误</w:t>
            </w:r>
          </w:p>
        </w:tc>
      </w:tr>
      <w:tr>
        <w:trPr>
          <w:trHeight w:val="397" w:hRule="atLeast"/>
        </w:trPr>
        <w:tc>
          <w:tcPr>
            <w:tcW w:w="2897" w:type="dxa"/>
            <w:gridSpan w:val="2"/>
          </w:tcPr>
          <w:p>
            <w:pPr>
              <w:pStyle w:val="TableParagraph"/>
              <w:spacing w:before="60"/>
              <w:ind w:left="321"/>
              <w:rPr>
                <w:sz w:val="21"/>
              </w:rPr>
            </w:pPr>
            <w:r>
              <w:rPr>
                <w:rFonts w:ascii="Times New Roman" w:eastAsia="Times New Roman"/>
                <w:sz w:val="21"/>
              </w:rPr>
              <w:t>2.2</w:t>
            </w:r>
            <w:r>
              <w:rPr>
                <w:rFonts w:ascii="Times New Roman" w:eastAsia="Times New Roman"/>
                <w:spacing w:val="-9"/>
                <w:sz w:val="21"/>
              </w:rPr>
              <w:t> </w:t>
            </w:r>
            <w:r>
              <w:rPr>
                <w:spacing w:val="-2"/>
                <w:sz w:val="21"/>
              </w:rPr>
              <w:t>保险期间及续保</w:t>
            </w:r>
          </w:p>
        </w:tc>
        <w:tc>
          <w:tcPr>
            <w:tcW w:w="526" w:type="dxa"/>
          </w:tcPr>
          <w:p>
            <w:pPr>
              <w:pStyle w:val="TableParagraph"/>
              <w:spacing w:before="74"/>
              <w:ind w:right="51"/>
              <w:jc w:val="right"/>
              <w:rPr>
                <w:rFonts w:ascii="Times New Roman"/>
                <w:b/>
                <w:sz w:val="21"/>
              </w:rPr>
            </w:pPr>
            <w:r>
              <w:rPr>
                <w:rFonts w:ascii="Times New Roman"/>
                <w:b/>
                <w:w w:val="100"/>
                <w:sz w:val="21"/>
              </w:rPr>
              <w:t>5</w:t>
            </w:r>
          </w:p>
        </w:tc>
        <w:tc>
          <w:tcPr>
            <w:tcW w:w="2732" w:type="dxa"/>
          </w:tcPr>
          <w:p>
            <w:pPr>
              <w:pStyle w:val="TableParagraph"/>
              <w:spacing w:before="60"/>
              <w:ind w:left="52"/>
              <w:rPr>
                <w:b/>
                <w:sz w:val="21"/>
              </w:rPr>
            </w:pPr>
            <w:r>
              <w:rPr>
                <w:b/>
                <w:spacing w:val="-3"/>
                <w:sz w:val="21"/>
              </w:rPr>
              <w:t>合同解除</w:t>
            </w:r>
          </w:p>
        </w:tc>
        <w:tc>
          <w:tcPr>
            <w:tcW w:w="3311" w:type="dxa"/>
            <w:gridSpan w:val="2"/>
          </w:tcPr>
          <w:p>
            <w:pPr>
              <w:pStyle w:val="TableParagraph"/>
              <w:spacing w:before="60"/>
              <w:ind w:left="474"/>
              <w:rPr>
                <w:sz w:val="21"/>
              </w:rPr>
            </w:pPr>
            <w:r>
              <w:rPr>
                <w:rFonts w:ascii="Times New Roman" w:eastAsia="Times New Roman"/>
                <w:sz w:val="21"/>
              </w:rPr>
              <w:t>10.2</w:t>
            </w:r>
            <w:r>
              <w:rPr>
                <w:rFonts w:ascii="Times New Roman" w:eastAsia="Times New Roman"/>
                <w:spacing w:val="-6"/>
                <w:sz w:val="21"/>
              </w:rPr>
              <w:t> </w:t>
            </w:r>
            <w:r>
              <w:rPr>
                <w:spacing w:val="-3"/>
                <w:sz w:val="21"/>
              </w:rPr>
              <w:t>未还款项</w:t>
            </w:r>
          </w:p>
        </w:tc>
      </w:tr>
      <w:tr>
        <w:trPr>
          <w:trHeight w:val="397" w:hRule="atLeast"/>
        </w:trPr>
        <w:tc>
          <w:tcPr>
            <w:tcW w:w="2897" w:type="dxa"/>
            <w:gridSpan w:val="2"/>
          </w:tcPr>
          <w:p>
            <w:pPr>
              <w:pStyle w:val="TableParagraph"/>
              <w:spacing w:before="59"/>
              <w:ind w:left="321"/>
              <w:rPr>
                <w:sz w:val="21"/>
              </w:rPr>
            </w:pPr>
            <w:r>
              <w:rPr>
                <w:rFonts w:ascii="Times New Roman" w:eastAsia="Times New Roman"/>
                <w:sz w:val="21"/>
              </w:rPr>
              <w:t>2.3</w:t>
            </w:r>
            <w:r>
              <w:rPr>
                <w:rFonts w:ascii="Times New Roman" w:eastAsia="Times New Roman"/>
                <w:spacing w:val="-3"/>
                <w:sz w:val="21"/>
              </w:rPr>
              <w:t> </w:t>
            </w:r>
            <w:r>
              <w:rPr>
                <w:spacing w:val="-4"/>
                <w:sz w:val="21"/>
              </w:rPr>
              <w:t>等待期</w:t>
            </w:r>
          </w:p>
        </w:tc>
        <w:tc>
          <w:tcPr>
            <w:tcW w:w="526" w:type="dxa"/>
          </w:tcPr>
          <w:p>
            <w:pPr>
              <w:pStyle w:val="TableParagraph"/>
              <w:rPr>
                <w:rFonts w:ascii="Times New Roman"/>
                <w:sz w:val="20"/>
              </w:rPr>
            </w:pPr>
          </w:p>
        </w:tc>
        <w:tc>
          <w:tcPr>
            <w:tcW w:w="2732" w:type="dxa"/>
          </w:tcPr>
          <w:p>
            <w:pPr>
              <w:pStyle w:val="TableParagraph"/>
              <w:spacing w:before="59"/>
              <w:ind w:left="52"/>
              <w:rPr>
                <w:sz w:val="21"/>
              </w:rPr>
            </w:pPr>
            <w:r>
              <w:rPr>
                <w:rFonts w:ascii="Times New Roman" w:eastAsia="Times New Roman"/>
                <w:spacing w:val="-2"/>
                <w:sz w:val="21"/>
              </w:rPr>
              <w:t>5.1</w:t>
            </w:r>
            <w:r>
              <w:rPr>
                <w:rFonts w:ascii="Times New Roman" w:eastAsia="Times New Roman"/>
                <w:spacing w:val="4"/>
                <w:sz w:val="21"/>
              </w:rPr>
              <w:t> </w:t>
            </w:r>
            <w:r>
              <w:rPr>
                <w:spacing w:val="-3"/>
                <w:sz w:val="21"/>
              </w:rPr>
              <w:t>解除合同的手续及风险</w:t>
            </w:r>
          </w:p>
        </w:tc>
        <w:tc>
          <w:tcPr>
            <w:tcW w:w="3311" w:type="dxa"/>
            <w:gridSpan w:val="2"/>
          </w:tcPr>
          <w:p>
            <w:pPr>
              <w:pStyle w:val="TableParagraph"/>
              <w:spacing w:before="59"/>
              <w:ind w:left="474"/>
              <w:rPr>
                <w:sz w:val="21"/>
              </w:rPr>
            </w:pPr>
            <w:r>
              <w:rPr>
                <w:rFonts w:ascii="Times New Roman" w:eastAsia="Times New Roman"/>
                <w:sz w:val="21"/>
              </w:rPr>
              <w:t>10.3</w:t>
            </w:r>
            <w:r>
              <w:rPr>
                <w:rFonts w:ascii="Times New Roman" w:eastAsia="Times New Roman"/>
                <w:spacing w:val="-9"/>
                <w:sz w:val="21"/>
              </w:rPr>
              <w:t> </w:t>
            </w:r>
            <w:r>
              <w:rPr>
                <w:spacing w:val="-2"/>
                <w:sz w:val="21"/>
              </w:rPr>
              <w:t>合同内容变更</w:t>
            </w:r>
          </w:p>
        </w:tc>
      </w:tr>
      <w:tr>
        <w:trPr>
          <w:trHeight w:val="397" w:hRule="atLeast"/>
        </w:trPr>
        <w:tc>
          <w:tcPr>
            <w:tcW w:w="2897" w:type="dxa"/>
            <w:gridSpan w:val="2"/>
          </w:tcPr>
          <w:p>
            <w:pPr>
              <w:pStyle w:val="TableParagraph"/>
              <w:spacing w:before="60"/>
              <w:ind w:left="321"/>
              <w:rPr>
                <w:sz w:val="21"/>
              </w:rPr>
            </w:pPr>
            <w:r>
              <w:rPr>
                <w:rFonts w:ascii="Times New Roman" w:eastAsia="Times New Roman"/>
                <w:sz w:val="21"/>
              </w:rPr>
              <w:t>2.4</w:t>
            </w:r>
            <w:r>
              <w:rPr>
                <w:rFonts w:ascii="Times New Roman" w:eastAsia="Times New Roman"/>
                <w:spacing w:val="-6"/>
                <w:sz w:val="21"/>
              </w:rPr>
              <w:t> </w:t>
            </w:r>
            <w:r>
              <w:rPr>
                <w:spacing w:val="-3"/>
                <w:sz w:val="21"/>
              </w:rPr>
              <w:t>保险责任</w:t>
            </w:r>
          </w:p>
        </w:tc>
        <w:tc>
          <w:tcPr>
            <w:tcW w:w="526" w:type="dxa"/>
          </w:tcPr>
          <w:p>
            <w:pPr>
              <w:pStyle w:val="TableParagraph"/>
              <w:spacing w:before="74"/>
              <w:ind w:right="51"/>
              <w:jc w:val="right"/>
              <w:rPr>
                <w:rFonts w:ascii="Times New Roman"/>
                <w:b/>
                <w:sz w:val="21"/>
              </w:rPr>
            </w:pPr>
            <w:r>
              <w:rPr>
                <w:rFonts w:ascii="Times New Roman"/>
                <w:b/>
                <w:w w:val="100"/>
                <w:sz w:val="21"/>
              </w:rPr>
              <w:t>6</w:t>
            </w:r>
          </w:p>
        </w:tc>
        <w:tc>
          <w:tcPr>
            <w:tcW w:w="2732" w:type="dxa"/>
          </w:tcPr>
          <w:p>
            <w:pPr>
              <w:pStyle w:val="TableParagraph"/>
              <w:spacing w:before="60"/>
              <w:ind w:left="52"/>
              <w:rPr>
                <w:b/>
                <w:sz w:val="21"/>
              </w:rPr>
            </w:pPr>
            <w:r>
              <w:rPr>
                <w:b/>
                <w:spacing w:val="-2"/>
                <w:sz w:val="21"/>
              </w:rPr>
              <w:t>合同效力的终止</w:t>
            </w:r>
          </w:p>
        </w:tc>
        <w:tc>
          <w:tcPr>
            <w:tcW w:w="3311" w:type="dxa"/>
            <w:gridSpan w:val="2"/>
          </w:tcPr>
          <w:p>
            <w:pPr>
              <w:pStyle w:val="TableParagraph"/>
              <w:spacing w:before="60"/>
              <w:ind w:left="474"/>
              <w:rPr>
                <w:sz w:val="21"/>
              </w:rPr>
            </w:pPr>
            <w:r>
              <w:rPr>
                <w:rFonts w:ascii="Times New Roman" w:eastAsia="Times New Roman"/>
                <w:sz w:val="21"/>
              </w:rPr>
              <w:t>10.4</w:t>
            </w:r>
            <w:r>
              <w:rPr>
                <w:rFonts w:ascii="Times New Roman" w:eastAsia="Times New Roman"/>
                <w:spacing w:val="-9"/>
                <w:sz w:val="21"/>
              </w:rPr>
              <w:t> </w:t>
            </w:r>
            <w:r>
              <w:rPr>
                <w:spacing w:val="-2"/>
                <w:sz w:val="21"/>
              </w:rPr>
              <w:t>联系方式变更</w:t>
            </w:r>
          </w:p>
        </w:tc>
      </w:tr>
      <w:tr>
        <w:trPr>
          <w:trHeight w:val="397" w:hRule="atLeast"/>
        </w:trPr>
        <w:tc>
          <w:tcPr>
            <w:tcW w:w="2897" w:type="dxa"/>
            <w:gridSpan w:val="2"/>
          </w:tcPr>
          <w:p>
            <w:pPr>
              <w:pStyle w:val="TableParagraph"/>
              <w:spacing w:before="59"/>
              <w:ind w:left="321"/>
              <w:rPr>
                <w:sz w:val="21"/>
              </w:rPr>
            </w:pPr>
            <w:r>
              <w:rPr>
                <w:rFonts w:ascii="Times New Roman" w:eastAsia="Times New Roman"/>
                <w:sz w:val="21"/>
              </w:rPr>
              <w:t>2.5</w:t>
            </w:r>
            <w:r>
              <w:rPr>
                <w:rFonts w:ascii="Times New Roman" w:eastAsia="Times New Roman"/>
                <w:spacing w:val="-6"/>
                <w:sz w:val="21"/>
              </w:rPr>
              <w:t> </w:t>
            </w:r>
            <w:r>
              <w:rPr>
                <w:spacing w:val="-3"/>
                <w:sz w:val="21"/>
              </w:rPr>
              <w:t>责任免除</w:t>
            </w:r>
          </w:p>
        </w:tc>
        <w:tc>
          <w:tcPr>
            <w:tcW w:w="526" w:type="dxa"/>
          </w:tcPr>
          <w:p>
            <w:pPr>
              <w:pStyle w:val="TableParagraph"/>
              <w:rPr>
                <w:rFonts w:ascii="Times New Roman"/>
                <w:sz w:val="20"/>
              </w:rPr>
            </w:pPr>
          </w:p>
        </w:tc>
        <w:tc>
          <w:tcPr>
            <w:tcW w:w="2732" w:type="dxa"/>
          </w:tcPr>
          <w:p>
            <w:pPr>
              <w:pStyle w:val="TableParagraph"/>
              <w:spacing w:before="59"/>
              <w:ind w:left="52"/>
              <w:rPr>
                <w:sz w:val="21"/>
              </w:rPr>
            </w:pPr>
            <w:r>
              <w:rPr>
                <w:rFonts w:ascii="Times New Roman" w:eastAsia="Times New Roman"/>
                <w:sz w:val="21"/>
              </w:rPr>
              <w:t>6.1</w:t>
            </w:r>
            <w:r>
              <w:rPr>
                <w:rFonts w:ascii="Times New Roman" w:eastAsia="Times New Roman"/>
                <w:spacing w:val="-9"/>
                <w:sz w:val="21"/>
              </w:rPr>
              <w:t> </w:t>
            </w:r>
            <w:r>
              <w:rPr>
                <w:spacing w:val="-2"/>
                <w:sz w:val="21"/>
              </w:rPr>
              <w:t>合同效力的终止</w:t>
            </w:r>
          </w:p>
        </w:tc>
        <w:tc>
          <w:tcPr>
            <w:tcW w:w="3311" w:type="dxa"/>
            <w:gridSpan w:val="2"/>
          </w:tcPr>
          <w:p>
            <w:pPr>
              <w:pStyle w:val="TableParagraph"/>
              <w:spacing w:before="59"/>
              <w:ind w:left="474"/>
              <w:rPr>
                <w:sz w:val="21"/>
              </w:rPr>
            </w:pPr>
            <w:r>
              <w:rPr>
                <w:rFonts w:ascii="Times New Roman" w:eastAsia="Times New Roman"/>
                <w:sz w:val="21"/>
              </w:rPr>
              <w:t>10.5</w:t>
            </w:r>
            <w:r>
              <w:rPr>
                <w:rFonts w:ascii="Times New Roman" w:eastAsia="Times New Roman"/>
                <w:spacing w:val="-6"/>
                <w:sz w:val="21"/>
              </w:rPr>
              <w:t> </w:t>
            </w:r>
            <w:r>
              <w:rPr>
                <w:spacing w:val="-3"/>
                <w:sz w:val="21"/>
              </w:rPr>
              <w:t>争议处理</w:t>
            </w:r>
          </w:p>
        </w:tc>
      </w:tr>
      <w:tr>
        <w:trPr>
          <w:trHeight w:val="397" w:hRule="atLeast"/>
        </w:trPr>
        <w:tc>
          <w:tcPr>
            <w:tcW w:w="2897" w:type="dxa"/>
            <w:gridSpan w:val="2"/>
          </w:tcPr>
          <w:p>
            <w:pPr>
              <w:pStyle w:val="TableParagraph"/>
              <w:spacing w:before="60"/>
              <w:ind w:left="110"/>
              <w:rPr>
                <w:b/>
                <w:sz w:val="21"/>
              </w:rPr>
            </w:pPr>
            <w:r>
              <w:rPr>
                <w:rFonts w:ascii="Times New Roman" w:eastAsia="Times New Roman"/>
                <w:b/>
                <w:sz w:val="21"/>
              </w:rPr>
              <w:t>3</w:t>
            </w:r>
            <w:r>
              <w:rPr>
                <w:rFonts w:ascii="Times New Roman" w:eastAsia="Times New Roman"/>
                <w:b/>
                <w:spacing w:val="52"/>
                <w:sz w:val="21"/>
              </w:rPr>
              <w:t> </w:t>
            </w:r>
            <w:r>
              <w:rPr>
                <w:b/>
                <w:spacing w:val="-2"/>
                <w:sz w:val="21"/>
              </w:rPr>
              <w:t>保险金的申请</w:t>
            </w:r>
          </w:p>
        </w:tc>
        <w:tc>
          <w:tcPr>
            <w:tcW w:w="526" w:type="dxa"/>
          </w:tcPr>
          <w:p>
            <w:pPr>
              <w:pStyle w:val="TableParagraph"/>
              <w:spacing w:before="74"/>
              <w:ind w:right="51"/>
              <w:jc w:val="right"/>
              <w:rPr>
                <w:rFonts w:ascii="Times New Roman"/>
                <w:b/>
                <w:sz w:val="21"/>
              </w:rPr>
            </w:pPr>
            <w:r>
              <w:rPr>
                <w:rFonts w:ascii="Times New Roman"/>
                <w:b/>
                <w:w w:val="100"/>
                <w:sz w:val="21"/>
              </w:rPr>
              <w:t>7</w:t>
            </w:r>
          </w:p>
        </w:tc>
        <w:tc>
          <w:tcPr>
            <w:tcW w:w="2732" w:type="dxa"/>
          </w:tcPr>
          <w:p>
            <w:pPr>
              <w:pStyle w:val="TableParagraph"/>
              <w:spacing w:before="60"/>
              <w:ind w:left="52"/>
              <w:rPr>
                <w:b/>
                <w:sz w:val="21"/>
              </w:rPr>
            </w:pPr>
            <w:r>
              <w:rPr>
                <w:b/>
                <w:spacing w:val="-3"/>
                <w:sz w:val="21"/>
              </w:rPr>
              <w:t>如实告知</w:t>
            </w:r>
          </w:p>
        </w:tc>
        <w:tc>
          <w:tcPr>
            <w:tcW w:w="3311" w:type="dxa"/>
            <w:gridSpan w:val="2"/>
          </w:tcPr>
          <w:p>
            <w:pPr>
              <w:pStyle w:val="TableParagraph"/>
              <w:spacing w:before="60"/>
              <w:ind w:left="263"/>
              <w:rPr>
                <w:b/>
                <w:sz w:val="21"/>
              </w:rPr>
            </w:pPr>
            <w:r>
              <w:rPr>
                <w:rFonts w:ascii="Times New Roman" w:eastAsia="Times New Roman"/>
                <w:b/>
                <w:sz w:val="21"/>
              </w:rPr>
              <w:t>11</w:t>
            </w:r>
            <w:r>
              <w:rPr>
                <w:rFonts w:ascii="Times New Roman" w:eastAsia="Times New Roman"/>
                <w:b/>
                <w:spacing w:val="36"/>
                <w:sz w:val="21"/>
              </w:rPr>
              <w:t> </w:t>
            </w:r>
            <w:r>
              <w:rPr>
                <w:b/>
                <w:spacing w:val="-5"/>
                <w:sz w:val="21"/>
              </w:rPr>
              <w:t>释义</w:t>
            </w:r>
          </w:p>
        </w:tc>
      </w:tr>
      <w:tr>
        <w:trPr>
          <w:trHeight w:val="348" w:hRule="atLeast"/>
        </w:trPr>
        <w:tc>
          <w:tcPr>
            <w:tcW w:w="2897" w:type="dxa"/>
            <w:gridSpan w:val="2"/>
            <w:tcBorders>
              <w:bottom w:val="dotted" w:sz="8" w:space="0" w:color="000000"/>
            </w:tcBorders>
          </w:tcPr>
          <w:p>
            <w:pPr>
              <w:pStyle w:val="TableParagraph"/>
              <w:spacing w:line="269" w:lineRule="exact" w:before="59"/>
              <w:ind w:left="321"/>
              <w:rPr>
                <w:sz w:val="21"/>
              </w:rPr>
            </w:pPr>
            <w:r>
              <w:rPr>
                <w:rFonts w:ascii="Times New Roman" w:eastAsia="Times New Roman"/>
                <w:sz w:val="21"/>
              </w:rPr>
              <w:t>3.1</w:t>
            </w:r>
            <w:r>
              <w:rPr>
                <w:rFonts w:ascii="Times New Roman" w:eastAsia="Times New Roman"/>
                <w:spacing w:val="-3"/>
                <w:sz w:val="21"/>
              </w:rPr>
              <w:t> </w:t>
            </w:r>
            <w:r>
              <w:rPr>
                <w:spacing w:val="-4"/>
                <w:sz w:val="21"/>
              </w:rPr>
              <w:t>受益人</w:t>
            </w:r>
          </w:p>
        </w:tc>
        <w:tc>
          <w:tcPr>
            <w:tcW w:w="526" w:type="dxa"/>
            <w:tcBorders>
              <w:bottom w:val="dotted" w:sz="8" w:space="0" w:color="000000"/>
            </w:tcBorders>
          </w:tcPr>
          <w:p>
            <w:pPr>
              <w:pStyle w:val="TableParagraph"/>
              <w:rPr>
                <w:rFonts w:ascii="Times New Roman"/>
                <w:sz w:val="20"/>
              </w:rPr>
            </w:pPr>
          </w:p>
        </w:tc>
        <w:tc>
          <w:tcPr>
            <w:tcW w:w="2732" w:type="dxa"/>
            <w:tcBorders>
              <w:bottom w:val="dotted" w:sz="8" w:space="0" w:color="000000"/>
            </w:tcBorders>
          </w:tcPr>
          <w:p>
            <w:pPr>
              <w:pStyle w:val="TableParagraph"/>
              <w:spacing w:line="269" w:lineRule="exact" w:before="59"/>
              <w:ind w:left="52"/>
              <w:rPr>
                <w:sz w:val="21"/>
              </w:rPr>
            </w:pPr>
            <w:r>
              <w:rPr>
                <w:rFonts w:ascii="Times New Roman" w:eastAsia="Times New Roman"/>
                <w:sz w:val="21"/>
              </w:rPr>
              <w:t>7.1</w:t>
            </w:r>
            <w:r>
              <w:rPr>
                <w:rFonts w:ascii="Times New Roman" w:eastAsia="Times New Roman"/>
                <w:spacing w:val="-14"/>
                <w:sz w:val="21"/>
              </w:rPr>
              <w:t> </w:t>
            </w:r>
            <w:r>
              <w:rPr>
                <w:spacing w:val="-2"/>
                <w:sz w:val="21"/>
              </w:rPr>
              <w:t>明确说明与如实告知</w:t>
            </w:r>
          </w:p>
        </w:tc>
        <w:tc>
          <w:tcPr>
            <w:tcW w:w="3311" w:type="dxa"/>
            <w:gridSpan w:val="2"/>
            <w:tcBorders>
              <w:bottom w:val="dotted" w:sz="8" w:space="0" w:color="000000"/>
            </w:tcBorders>
          </w:tcPr>
          <w:p>
            <w:pPr>
              <w:pStyle w:val="TableParagraph"/>
              <w:rPr>
                <w:rFonts w:ascii="Times New Roman"/>
                <w:sz w:val="20"/>
              </w:rPr>
            </w:pPr>
          </w:p>
        </w:tc>
      </w:tr>
    </w:tbl>
    <w:p>
      <w:pPr>
        <w:spacing w:after="0"/>
        <w:rPr>
          <w:rFonts w:ascii="Times New Roman"/>
          <w:sz w:val="20"/>
        </w:rPr>
        <w:sectPr>
          <w:type w:val="continuous"/>
          <w:pgSz w:w="11910" w:h="16840"/>
          <w:pgMar w:top="300" w:bottom="280" w:left="1460" w:right="720"/>
        </w:sectPr>
      </w:pPr>
    </w:p>
    <w:p>
      <w:pPr>
        <w:pStyle w:val="BodyText"/>
        <w:ind w:left="1934"/>
        <w:rPr>
          <w:sz w:val="20"/>
        </w:rPr>
      </w:pPr>
      <w:r>
        <w:rPr>
          <w:sz w:val="20"/>
        </w:rPr>
        <w:drawing>
          <wp:inline distT="0" distB="0" distL="0" distR="0">
            <wp:extent cx="3573302" cy="796861"/>
            <wp:effectExtent l="0" t="0" r="0" b="0"/>
            <wp:docPr id="7" name="image4.jpeg"/>
            <wp:cNvGraphicFramePr>
              <a:graphicFrameLocks noChangeAspect="1"/>
            </wp:cNvGraphicFramePr>
            <a:graphic>
              <a:graphicData uri="http://schemas.openxmlformats.org/drawingml/2006/picture">
                <pic:pic>
                  <pic:nvPicPr>
                    <pic:cNvPr id="8" name="image4.jpeg"/>
                    <pic:cNvPicPr/>
                  </pic:nvPicPr>
                  <pic:blipFill>
                    <a:blip r:embed="rId9" cstate="print"/>
                    <a:stretch>
                      <a:fillRect/>
                    </a:stretch>
                  </pic:blipFill>
                  <pic:spPr>
                    <a:xfrm>
                      <a:off x="0" y="0"/>
                      <a:ext cx="3573302" cy="796861"/>
                    </a:xfrm>
                    <a:prstGeom prst="rect">
                      <a:avLst/>
                    </a:prstGeom>
                  </pic:spPr>
                </pic:pic>
              </a:graphicData>
            </a:graphic>
          </wp:inline>
        </w:drawing>
      </w:r>
      <w:r>
        <w:rPr>
          <w:sz w:val="20"/>
        </w:rPr>
      </w:r>
    </w:p>
    <w:p>
      <w:pPr>
        <w:pStyle w:val="BodyText"/>
        <w:spacing w:before="8"/>
        <w:rPr>
          <w:b/>
          <w:sz w:val="17"/>
        </w:rPr>
      </w:pPr>
    </w:p>
    <w:p>
      <w:pPr>
        <w:pStyle w:val="Heading1"/>
      </w:pPr>
      <w:r>
        <w:rPr>
          <w:w w:val="95"/>
        </w:rPr>
        <w:t>中意</w:t>
      </w:r>
      <w:r>
        <w:rPr>
          <w:w w:val="95"/>
        </w:rPr>
        <w:t>心</w:t>
      </w:r>
      <w:r>
        <w:rPr>
          <w:w w:val="95"/>
        </w:rPr>
        <w:t>脑</w:t>
      </w:r>
      <w:r>
        <w:rPr>
          <w:w w:val="95"/>
        </w:rPr>
        <w:t>血</w:t>
      </w:r>
      <w:r>
        <w:rPr>
          <w:w w:val="95"/>
        </w:rPr>
        <w:t>管</w:t>
      </w:r>
      <w:r>
        <w:rPr>
          <w:w w:val="95"/>
        </w:rPr>
        <w:t>特</w:t>
      </w:r>
      <w:r>
        <w:rPr>
          <w:w w:val="95"/>
        </w:rPr>
        <w:t>定</w:t>
      </w:r>
      <w:r>
        <w:rPr>
          <w:w w:val="95"/>
        </w:rPr>
        <w:t>疾</w:t>
      </w:r>
      <w:r>
        <w:rPr>
          <w:w w:val="95"/>
        </w:rPr>
        <w:t>病</w:t>
      </w:r>
      <w:r>
        <w:rPr>
          <w:w w:val="95"/>
        </w:rPr>
        <w:t>保</w:t>
      </w:r>
      <w:r>
        <w:rPr>
          <w:w w:val="95"/>
        </w:rPr>
        <w:t>险</w:t>
      </w:r>
      <w:r>
        <w:rPr>
          <w:w w:val="95"/>
        </w:rPr>
        <w:t>条</w:t>
      </w:r>
      <w:r>
        <w:rPr>
          <w:spacing w:val="-10"/>
          <w:w w:val="95"/>
        </w:rPr>
        <w:t>款</w:t>
      </w:r>
    </w:p>
    <w:p>
      <w:pPr>
        <w:pStyle w:val="BodyText"/>
        <w:spacing w:before="10"/>
        <w:rPr>
          <w:b/>
          <w:sz w:val="32"/>
        </w:rPr>
      </w:pPr>
    </w:p>
    <w:p>
      <w:pPr>
        <w:pStyle w:val="BodyText"/>
        <w:spacing w:line="242" w:lineRule="auto"/>
        <w:ind w:left="242" w:right="329" w:firstLine="419"/>
      </w:pPr>
      <w:r>
        <w:rPr>
          <w:spacing w:val="-2"/>
        </w:rPr>
        <w:t>在本条款中，</w:t>
      </w:r>
      <w:r>
        <w:rPr>
          <w:rFonts w:ascii="Times New Roman" w:hAnsi="Times New Roman" w:eastAsia="Times New Roman"/>
          <w:spacing w:val="-2"/>
        </w:rPr>
        <w:t>“</w:t>
      </w:r>
      <w:r>
        <w:rPr>
          <w:spacing w:val="-2"/>
        </w:rPr>
        <w:t>您</w:t>
      </w:r>
      <w:r>
        <w:rPr>
          <w:rFonts w:ascii="Times New Roman" w:hAnsi="Times New Roman" w:eastAsia="Times New Roman"/>
          <w:spacing w:val="-2"/>
        </w:rPr>
        <w:t>”</w:t>
      </w:r>
      <w:r>
        <w:rPr>
          <w:spacing w:val="-2"/>
        </w:rPr>
        <w:t>指投保人，</w:t>
      </w:r>
      <w:r>
        <w:rPr>
          <w:rFonts w:ascii="Times New Roman" w:hAnsi="Times New Roman" w:eastAsia="Times New Roman"/>
          <w:spacing w:val="-2"/>
        </w:rPr>
        <w:t>“</w:t>
      </w:r>
      <w:r>
        <w:rPr>
          <w:spacing w:val="-2"/>
        </w:rPr>
        <w:t>我们</w:t>
      </w:r>
      <w:r>
        <w:rPr>
          <w:rFonts w:ascii="Times New Roman" w:hAnsi="Times New Roman" w:eastAsia="Times New Roman"/>
          <w:spacing w:val="-2"/>
        </w:rPr>
        <w:t>”</w:t>
      </w:r>
      <w:r>
        <w:rPr>
          <w:spacing w:val="-2"/>
        </w:rPr>
        <w:t>、</w:t>
      </w:r>
      <w:r>
        <w:rPr>
          <w:rFonts w:ascii="Times New Roman" w:hAnsi="Times New Roman" w:eastAsia="Times New Roman"/>
          <w:spacing w:val="-2"/>
        </w:rPr>
        <w:t>“</w:t>
      </w:r>
      <w:r>
        <w:rPr>
          <w:spacing w:val="-2"/>
        </w:rPr>
        <w:t>本公司</w:t>
      </w:r>
      <w:r>
        <w:rPr>
          <w:rFonts w:ascii="Times New Roman" w:hAnsi="Times New Roman" w:eastAsia="Times New Roman"/>
          <w:spacing w:val="-2"/>
        </w:rPr>
        <w:t>”</w:t>
      </w:r>
      <w:r>
        <w:rPr>
          <w:spacing w:val="-2"/>
        </w:rPr>
        <w:t>均指中意人寿保险有限公司，</w:t>
      </w:r>
      <w:r>
        <w:rPr>
          <w:rFonts w:ascii="Times New Roman" w:hAnsi="Times New Roman" w:eastAsia="Times New Roman"/>
          <w:spacing w:val="-2"/>
        </w:rPr>
        <w:t>“</w:t>
      </w:r>
      <w:r>
        <w:rPr>
          <w:spacing w:val="-2"/>
        </w:rPr>
        <w:t>本合同</w:t>
      </w:r>
      <w:r>
        <w:rPr>
          <w:rFonts w:ascii="Times New Roman" w:hAnsi="Times New Roman" w:eastAsia="Times New Roman"/>
          <w:spacing w:val="-2"/>
        </w:rPr>
        <w:t>”</w:t>
      </w:r>
      <w:r>
        <w:rPr>
          <w:spacing w:val="-2"/>
        </w:rPr>
        <w:t>指您与我</w:t>
      </w:r>
      <w:r>
        <w:rPr>
          <w:spacing w:val="-2"/>
        </w:rPr>
        <w:t>们之间订立的</w:t>
      </w:r>
      <w:r>
        <w:rPr>
          <w:rFonts w:ascii="Times New Roman" w:hAnsi="Times New Roman" w:eastAsia="Times New Roman"/>
          <w:spacing w:val="-2"/>
        </w:rPr>
        <w:t>“</w:t>
      </w:r>
      <w:r>
        <w:rPr>
          <w:spacing w:val="-2"/>
        </w:rPr>
        <w:t>中意心脑血管特定疾病保险</w:t>
      </w:r>
      <w:r>
        <w:rPr>
          <w:rFonts w:ascii="Times New Roman" w:hAnsi="Times New Roman" w:eastAsia="Times New Roman"/>
          <w:spacing w:val="-2"/>
        </w:rPr>
        <w:t>”</w:t>
      </w:r>
      <w:r>
        <w:rPr>
          <w:spacing w:val="-2"/>
        </w:rPr>
        <w:t>保险合同。</w:t>
      </w:r>
    </w:p>
    <w:p>
      <w:pPr>
        <w:pStyle w:val="BodyText"/>
        <w:spacing w:before="7"/>
        <w:rPr>
          <w:sz w:val="24"/>
        </w:rPr>
      </w:pPr>
    </w:p>
    <w:p>
      <w:pPr>
        <w:pStyle w:val="Heading2"/>
        <w:numPr>
          <w:ilvl w:val="0"/>
          <w:numId w:val="4"/>
        </w:numPr>
        <w:tabs>
          <w:tab w:pos="1341" w:val="left" w:leader="none"/>
          <w:tab w:pos="1342" w:val="left" w:leader="none"/>
        </w:tabs>
        <w:spacing w:line="240" w:lineRule="auto" w:before="0" w:after="0"/>
        <w:ind w:left="1341" w:right="0" w:hanging="1100"/>
        <w:jc w:val="left"/>
      </w:pPr>
      <w:r>
        <w:rPr>
          <w:w w:val="95"/>
        </w:rPr>
        <w:t>您与我</w:t>
      </w:r>
      <w:r>
        <w:rPr>
          <w:w w:val="95"/>
        </w:rPr>
        <w:t>们</w:t>
      </w:r>
      <w:r>
        <w:rPr>
          <w:w w:val="95"/>
        </w:rPr>
        <w:t>订</w:t>
      </w:r>
      <w:r>
        <w:rPr>
          <w:spacing w:val="-3"/>
          <w:w w:val="95"/>
        </w:rPr>
        <w:t>立的合同</w:t>
      </w:r>
    </w:p>
    <w:p>
      <w:pPr>
        <w:pStyle w:val="BodyText"/>
        <w:spacing w:before="4"/>
        <w:rPr>
          <w:b/>
          <w:sz w:val="4"/>
        </w:rPr>
      </w:pPr>
      <w:r>
        <w:rPr/>
        <w:drawing>
          <wp:anchor distT="0" distB="0" distL="0" distR="0" allowOverlap="1" layoutInCell="1" locked="0" behindDoc="0" simplePos="0" relativeHeight="3">
            <wp:simplePos x="0" y="0"/>
            <wp:positionH relativeFrom="page">
              <wp:posOffset>1012240</wp:posOffset>
            </wp:positionH>
            <wp:positionV relativeFrom="paragraph">
              <wp:posOffset>50322</wp:posOffset>
            </wp:positionV>
            <wp:extent cx="5869766" cy="6096"/>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5869766" cy="6096"/>
                    </a:xfrm>
                    <a:prstGeom prst="rect">
                      <a:avLst/>
                    </a:prstGeom>
                  </pic:spPr>
                </pic:pic>
              </a:graphicData>
            </a:graphic>
          </wp:anchor>
        </w:drawing>
      </w:r>
    </w:p>
    <w:p>
      <w:pPr>
        <w:pStyle w:val="BodyText"/>
        <w:spacing w:before="6"/>
        <w:rPr>
          <w:b/>
          <w:sz w:val="18"/>
        </w:rPr>
      </w:pPr>
    </w:p>
    <w:p>
      <w:pPr>
        <w:pStyle w:val="ListParagraph"/>
        <w:numPr>
          <w:ilvl w:val="1"/>
          <w:numId w:val="4"/>
        </w:numPr>
        <w:tabs>
          <w:tab w:pos="1341" w:val="left" w:leader="none"/>
          <w:tab w:pos="1342" w:val="left" w:leader="none"/>
          <w:tab w:pos="3184" w:val="left" w:leader="none"/>
        </w:tabs>
        <w:spacing w:line="240" w:lineRule="auto" w:before="1" w:after="0"/>
        <w:ind w:left="1341" w:right="0" w:hanging="1100"/>
        <w:jc w:val="left"/>
        <w:rPr>
          <w:sz w:val="21"/>
        </w:rPr>
      </w:pPr>
      <w:r>
        <w:rPr>
          <w:b/>
          <w:sz w:val="21"/>
        </w:rPr>
        <w:t>合同构</w:t>
      </w:r>
      <w:r>
        <w:rPr>
          <w:b/>
          <w:spacing w:val="-10"/>
          <w:sz w:val="21"/>
        </w:rPr>
        <w:t>成</w:t>
      </w:r>
      <w:r>
        <w:rPr>
          <w:b/>
          <w:sz w:val="21"/>
        </w:rPr>
        <w:tab/>
      </w:r>
      <w:r>
        <w:rPr>
          <w:sz w:val="21"/>
        </w:rPr>
        <w:t>本合同是您与我们约定保险权利义务关系的协议，包括本保险</w:t>
      </w:r>
      <w:r>
        <w:rPr>
          <w:spacing w:val="-10"/>
          <w:sz w:val="21"/>
        </w:rPr>
        <w:t>条</w:t>
      </w:r>
    </w:p>
    <w:p>
      <w:pPr>
        <w:pStyle w:val="BodyText"/>
        <w:spacing w:line="244" w:lineRule="auto" w:before="2"/>
        <w:ind w:left="3185" w:right="346"/>
      </w:pPr>
      <w:r>
        <w:rPr>
          <w:spacing w:val="-4"/>
        </w:rPr>
        <w:t>款、保险单或其他保险凭证、投保单、与保险合同有关的投保文件、</w:t>
      </w:r>
      <w:r>
        <w:rPr>
          <w:spacing w:val="-13"/>
        </w:rPr>
        <w:t>合法有效的声明、批注、批单及其他您与我们共同认可的书面协议。</w:t>
      </w:r>
    </w:p>
    <w:p>
      <w:pPr>
        <w:pStyle w:val="BodyText"/>
        <w:spacing w:before="11"/>
        <w:rPr>
          <w:sz w:val="10"/>
        </w:rPr>
      </w:pPr>
    </w:p>
    <w:p>
      <w:pPr>
        <w:spacing w:after="0"/>
        <w:rPr>
          <w:sz w:val="10"/>
        </w:rPr>
        <w:sectPr>
          <w:footerReference w:type="default" r:id="rId8"/>
          <w:pgSz w:w="11910" w:h="16840"/>
          <w:pgMar w:footer="879" w:header="0" w:top="1220" w:bottom="1060" w:left="1460" w:right="720"/>
          <w:pgNumType w:start="1"/>
        </w:sectPr>
      </w:pPr>
    </w:p>
    <w:p>
      <w:pPr>
        <w:pStyle w:val="Heading3"/>
        <w:numPr>
          <w:ilvl w:val="1"/>
          <w:numId w:val="4"/>
        </w:numPr>
        <w:tabs>
          <w:tab w:pos="1341" w:val="left" w:leader="none"/>
          <w:tab w:pos="1342" w:val="left" w:leader="none"/>
        </w:tabs>
        <w:spacing w:line="242" w:lineRule="auto" w:before="93" w:after="0"/>
        <w:ind w:left="1341" w:right="0" w:hanging="1100"/>
        <w:jc w:val="left"/>
      </w:pPr>
      <w:r>
        <w:rPr>
          <w:spacing w:val="18"/>
        </w:rPr>
        <w:t>保险合同成立与</w:t>
      </w:r>
      <w:r>
        <w:rPr>
          <w:spacing w:val="-6"/>
        </w:rPr>
        <w:t>生效</w:t>
      </w:r>
    </w:p>
    <w:p>
      <w:pPr>
        <w:pStyle w:val="BodyText"/>
        <w:spacing w:before="100"/>
        <w:ind w:left="177"/>
      </w:pPr>
      <w:r>
        <w:rPr/>
        <w:br w:type="column"/>
      </w:r>
      <w:r>
        <w:rPr>
          <w:spacing w:val="-3"/>
        </w:rPr>
        <w:t>您提出保险申请、我们同意承保，本合同成立。</w:t>
      </w:r>
    </w:p>
    <w:p>
      <w:pPr>
        <w:pStyle w:val="BodyText"/>
        <w:rPr>
          <w:sz w:val="19"/>
        </w:rPr>
      </w:pPr>
    </w:p>
    <w:p>
      <w:pPr>
        <w:pStyle w:val="BodyText"/>
        <w:spacing w:line="242" w:lineRule="auto" w:before="1"/>
        <w:ind w:left="177" w:right="442"/>
      </w:pPr>
      <w:r>
        <w:rPr>
          <w:spacing w:val="-2"/>
        </w:rPr>
        <w:t>除另有约定外，本合同自我们同意承保并签发保险单后开始生效，</w:t>
      </w:r>
      <w:r>
        <w:rPr>
          <w:spacing w:val="-2"/>
        </w:rPr>
        <w:t>合同生效日期在保险单上载明。</w:t>
      </w:r>
    </w:p>
    <w:p>
      <w:pPr>
        <w:pStyle w:val="BodyText"/>
        <w:spacing w:before="10"/>
        <w:rPr>
          <w:sz w:val="18"/>
        </w:rPr>
      </w:pPr>
    </w:p>
    <w:p>
      <w:pPr>
        <w:pStyle w:val="Heading3"/>
        <w:spacing w:line="244" w:lineRule="auto" w:before="0"/>
        <w:ind w:left="177" w:right="634"/>
      </w:pPr>
      <w:r>
        <w:rPr>
          <w:spacing w:val="-2"/>
        </w:rPr>
        <w:t>我们自保险单上约定的生效日的次日零时起开始承担本合同约定</w:t>
      </w:r>
      <w:r>
        <w:rPr>
          <w:spacing w:val="-2"/>
        </w:rPr>
        <w:t>的保险责任。</w:t>
      </w:r>
    </w:p>
    <w:p>
      <w:pPr>
        <w:spacing w:after="0" w:line="244" w:lineRule="auto"/>
        <w:sectPr>
          <w:type w:val="continuous"/>
          <w:pgSz w:w="11910" w:h="16840"/>
          <w:pgMar w:header="0" w:footer="879" w:top="300" w:bottom="280" w:left="1460" w:right="720"/>
          <w:cols w:num="2" w:equalWidth="0">
            <w:col w:w="2968" w:space="40"/>
            <w:col w:w="6722"/>
          </w:cols>
        </w:sectPr>
      </w:pPr>
    </w:p>
    <w:p>
      <w:pPr>
        <w:pStyle w:val="BodyText"/>
        <w:spacing w:before="11"/>
        <w:rPr>
          <w:b/>
          <w:sz w:val="10"/>
        </w:rPr>
      </w:pPr>
    </w:p>
    <w:p>
      <w:pPr>
        <w:pStyle w:val="ListParagraph"/>
        <w:numPr>
          <w:ilvl w:val="1"/>
          <w:numId w:val="4"/>
        </w:numPr>
        <w:tabs>
          <w:tab w:pos="1341" w:val="left" w:leader="none"/>
          <w:tab w:pos="1342" w:val="left" w:leader="none"/>
          <w:tab w:pos="3184" w:val="left" w:leader="none"/>
        </w:tabs>
        <w:spacing w:line="240" w:lineRule="auto" w:before="93" w:after="0"/>
        <w:ind w:left="1341" w:right="0" w:hanging="1100"/>
        <w:jc w:val="left"/>
        <w:rPr>
          <w:sz w:val="21"/>
        </w:rPr>
      </w:pPr>
      <w:r>
        <w:rPr>
          <w:b/>
          <w:sz w:val="21"/>
        </w:rPr>
        <w:t>投保年</w:t>
      </w:r>
      <w:r>
        <w:rPr>
          <w:b/>
          <w:spacing w:val="-10"/>
          <w:sz w:val="21"/>
        </w:rPr>
        <w:t>龄</w:t>
      </w:r>
      <w:r>
        <w:rPr>
          <w:b/>
          <w:sz w:val="21"/>
        </w:rPr>
        <w:tab/>
      </w:r>
      <w:r>
        <w:rPr>
          <w:spacing w:val="-2"/>
          <w:sz w:val="21"/>
        </w:rPr>
        <w:t>指</w:t>
      </w:r>
      <w:r>
        <w:rPr>
          <w:spacing w:val="-2"/>
          <w:sz w:val="21"/>
        </w:rPr>
        <w:t>您</w:t>
      </w:r>
      <w:r>
        <w:rPr>
          <w:spacing w:val="-2"/>
          <w:sz w:val="21"/>
        </w:rPr>
        <w:t>投保本合同时被保险</w:t>
      </w:r>
      <w:r>
        <w:rPr>
          <w:spacing w:val="-2"/>
          <w:sz w:val="21"/>
        </w:rPr>
        <w:t>人</w:t>
      </w:r>
      <w:r>
        <w:rPr>
          <w:spacing w:val="-2"/>
          <w:sz w:val="21"/>
        </w:rPr>
        <w:t>的</w:t>
      </w:r>
      <w:r>
        <w:rPr>
          <w:spacing w:val="-2"/>
          <w:sz w:val="21"/>
        </w:rPr>
        <w:t>年龄，年龄以</w:t>
      </w:r>
      <w:r>
        <w:rPr>
          <w:b/>
          <w:spacing w:val="-2"/>
          <w:sz w:val="21"/>
        </w:rPr>
        <w:t>周</w:t>
      </w:r>
      <w:r>
        <w:rPr>
          <w:b/>
          <w:spacing w:val="-2"/>
          <w:sz w:val="21"/>
        </w:rPr>
        <w:t>岁</w:t>
      </w:r>
      <w:r>
        <w:rPr>
          <w:spacing w:val="-2"/>
          <w:sz w:val="21"/>
        </w:rPr>
        <w:t>（见</w:t>
      </w:r>
      <w:r>
        <w:rPr>
          <w:rFonts w:ascii="Times New Roman" w:eastAsia="Times New Roman"/>
          <w:spacing w:val="-2"/>
          <w:sz w:val="21"/>
        </w:rPr>
        <w:t>11.1</w:t>
      </w:r>
      <w:r>
        <w:rPr>
          <w:spacing w:val="-2"/>
          <w:sz w:val="21"/>
        </w:rPr>
        <w:t>）计算</w:t>
      </w:r>
      <w:r>
        <w:rPr>
          <w:spacing w:val="-10"/>
          <w:sz w:val="21"/>
        </w:rPr>
        <w:t>。</w:t>
      </w:r>
    </w:p>
    <w:p>
      <w:pPr>
        <w:pStyle w:val="BodyText"/>
        <w:spacing w:before="3"/>
        <w:ind w:left="3185"/>
      </w:pPr>
      <w:r>
        <w:rPr>
          <w:spacing w:val="-2"/>
        </w:rPr>
        <w:t>本合同接受的投保年龄为</w:t>
      </w:r>
      <w:r>
        <w:rPr>
          <w:rFonts w:ascii="Times New Roman" w:eastAsia="Times New Roman"/>
          <w:spacing w:val="-2"/>
        </w:rPr>
        <w:t>18</w:t>
      </w:r>
      <w:r>
        <w:rPr>
          <w:spacing w:val="-2"/>
        </w:rPr>
        <w:t>至</w:t>
      </w:r>
      <w:r>
        <w:rPr>
          <w:rFonts w:ascii="Times New Roman" w:eastAsia="Times New Roman"/>
          <w:spacing w:val="-2"/>
        </w:rPr>
        <w:t>65</w:t>
      </w:r>
      <w:r>
        <w:rPr>
          <w:spacing w:val="-2"/>
        </w:rPr>
        <w:t>周岁，最高可续保至</w:t>
      </w:r>
      <w:r>
        <w:rPr>
          <w:rFonts w:ascii="Times New Roman" w:eastAsia="Times New Roman"/>
          <w:spacing w:val="-2"/>
        </w:rPr>
        <w:t>80</w:t>
      </w:r>
      <w:r>
        <w:rPr>
          <w:spacing w:val="-5"/>
        </w:rPr>
        <w:t>周岁。</w:t>
      </w:r>
    </w:p>
    <w:p>
      <w:pPr>
        <w:pStyle w:val="BodyText"/>
        <w:spacing w:before="7"/>
        <w:rPr>
          <w:sz w:val="18"/>
        </w:rPr>
      </w:pPr>
    </w:p>
    <w:p>
      <w:pPr>
        <w:pStyle w:val="ListParagraph"/>
        <w:numPr>
          <w:ilvl w:val="1"/>
          <w:numId w:val="4"/>
        </w:numPr>
        <w:tabs>
          <w:tab w:pos="1341" w:val="left" w:leader="none"/>
          <w:tab w:pos="1342" w:val="left" w:leader="none"/>
          <w:tab w:pos="3184" w:val="left" w:leader="none"/>
        </w:tabs>
        <w:spacing w:line="240" w:lineRule="auto" w:before="0" w:after="0"/>
        <w:ind w:left="1341" w:right="0" w:hanging="1100"/>
        <w:jc w:val="left"/>
        <w:rPr>
          <w:sz w:val="21"/>
        </w:rPr>
      </w:pPr>
      <w:r>
        <w:rPr>
          <w:b/>
          <w:sz w:val="21"/>
        </w:rPr>
        <w:t>合同的签</w:t>
      </w:r>
      <w:r>
        <w:rPr>
          <w:b/>
          <w:spacing w:val="-10"/>
          <w:sz w:val="21"/>
        </w:rPr>
        <w:t>收</w:t>
      </w:r>
      <w:r>
        <w:rPr>
          <w:b/>
          <w:sz w:val="21"/>
        </w:rPr>
        <w:tab/>
      </w:r>
      <w:r>
        <w:rPr>
          <w:spacing w:val="-2"/>
          <w:sz w:val="21"/>
        </w:rPr>
        <w:t>在</w:t>
      </w:r>
      <w:r>
        <w:rPr>
          <w:spacing w:val="-2"/>
          <w:sz w:val="21"/>
        </w:rPr>
        <w:t>您</w:t>
      </w:r>
      <w:r>
        <w:rPr>
          <w:spacing w:val="-2"/>
          <w:sz w:val="21"/>
        </w:rPr>
        <w:t>收到本合同时，您应</w:t>
      </w:r>
      <w:r>
        <w:rPr>
          <w:spacing w:val="-2"/>
          <w:sz w:val="21"/>
        </w:rPr>
        <w:t>当</w:t>
      </w:r>
      <w:r>
        <w:rPr>
          <w:spacing w:val="-2"/>
          <w:sz w:val="21"/>
        </w:rPr>
        <w:t>签</w:t>
      </w:r>
      <w:r>
        <w:rPr>
          <w:spacing w:val="-2"/>
          <w:sz w:val="21"/>
        </w:rPr>
        <w:t>署本合同的签收回执</w:t>
      </w:r>
      <w:r>
        <w:rPr>
          <w:spacing w:val="-10"/>
          <w:sz w:val="21"/>
        </w:rPr>
        <w:t>。</w:t>
      </w:r>
    </w:p>
    <w:p>
      <w:pPr>
        <w:pStyle w:val="BodyText"/>
        <w:spacing w:before="11"/>
        <w:rPr>
          <w:sz w:val="24"/>
        </w:rPr>
      </w:pPr>
    </w:p>
    <w:p>
      <w:pPr>
        <w:pStyle w:val="Heading2"/>
        <w:numPr>
          <w:ilvl w:val="0"/>
          <w:numId w:val="4"/>
        </w:numPr>
        <w:tabs>
          <w:tab w:pos="1341" w:val="left" w:leader="none"/>
          <w:tab w:pos="1342" w:val="left" w:leader="none"/>
        </w:tabs>
        <w:spacing w:line="240" w:lineRule="auto" w:before="0" w:after="0"/>
        <w:ind w:left="1341" w:right="0" w:hanging="1100"/>
        <w:jc w:val="left"/>
      </w:pPr>
      <w:r>
        <w:rPr>
          <w:w w:val="95"/>
        </w:rPr>
        <w:t>我们提</w:t>
      </w:r>
      <w:r>
        <w:rPr>
          <w:w w:val="95"/>
        </w:rPr>
        <w:t>供</w:t>
      </w:r>
      <w:r>
        <w:rPr>
          <w:w w:val="95"/>
        </w:rPr>
        <w:t>的</w:t>
      </w:r>
      <w:r>
        <w:rPr>
          <w:spacing w:val="-5"/>
          <w:w w:val="95"/>
        </w:rPr>
        <w:t>保障</w:t>
      </w:r>
    </w:p>
    <w:p>
      <w:pPr>
        <w:pStyle w:val="BodyText"/>
        <w:spacing w:before="4"/>
        <w:rPr>
          <w:b/>
          <w:sz w:val="4"/>
        </w:rPr>
      </w:pPr>
      <w:r>
        <w:rPr/>
        <w:drawing>
          <wp:anchor distT="0" distB="0" distL="0" distR="0" allowOverlap="1" layoutInCell="1" locked="0" behindDoc="0" simplePos="0" relativeHeight="4">
            <wp:simplePos x="0" y="0"/>
            <wp:positionH relativeFrom="page">
              <wp:posOffset>1012240</wp:posOffset>
            </wp:positionH>
            <wp:positionV relativeFrom="paragraph">
              <wp:posOffset>50342</wp:posOffset>
            </wp:positionV>
            <wp:extent cx="5869766" cy="6096"/>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1" cstate="print"/>
                    <a:stretch>
                      <a:fillRect/>
                    </a:stretch>
                  </pic:blipFill>
                  <pic:spPr>
                    <a:xfrm>
                      <a:off x="0" y="0"/>
                      <a:ext cx="5869766" cy="6096"/>
                    </a:xfrm>
                    <a:prstGeom prst="rect">
                      <a:avLst/>
                    </a:prstGeom>
                  </pic:spPr>
                </pic:pic>
              </a:graphicData>
            </a:graphic>
          </wp:anchor>
        </w:drawing>
      </w:r>
    </w:p>
    <w:p>
      <w:pPr>
        <w:pStyle w:val="BodyText"/>
        <w:spacing w:before="6"/>
        <w:rPr>
          <w:b/>
          <w:sz w:val="18"/>
        </w:rPr>
      </w:pPr>
    </w:p>
    <w:p>
      <w:pPr>
        <w:pStyle w:val="ListParagraph"/>
        <w:numPr>
          <w:ilvl w:val="1"/>
          <w:numId w:val="4"/>
        </w:numPr>
        <w:tabs>
          <w:tab w:pos="1341" w:val="left" w:leader="none"/>
          <w:tab w:pos="1342" w:val="left" w:leader="none"/>
          <w:tab w:pos="3184" w:val="left" w:leader="none"/>
        </w:tabs>
        <w:spacing w:line="240" w:lineRule="auto" w:before="1" w:after="0"/>
        <w:ind w:left="1341" w:right="0" w:hanging="1100"/>
        <w:jc w:val="left"/>
        <w:rPr>
          <w:sz w:val="21"/>
        </w:rPr>
      </w:pPr>
      <w:r>
        <w:rPr>
          <w:b/>
          <w:sz w:val="21"/>
        </w:rPr>
        <w:t>基本保险金</w:t>
      </w:r>
      <w:r>
        <w:rPr>
          <w:b/>
          <w:spacing w:val="-10"/>
          <w:sz w:val="21"/>
        </w:rPr>
        <w:t>额</w:t>
      </w:r>
      <w:r>
        <w:rPr>
          <w:b/>
          <w:sz w:val="21"/>
        </w:rPr>
        <w:tab/>
      </w:r>
      <w:r>
        <w:rPr>
          <w:spacing w:val="-2"/>
          <w:sz w:val="21"/>
        </w:rPr>
        <w:t>本</w:t>
      </w:r>
      <w:r>
        <w:rPr>
          <w:spacing w:val="-2"/>
          <w:sz w:val="21"/>
        </w:rPr>
        <w:t>合</w:t>
      </w:r>
      <w:r>
        <w:rPr>
          <w:spacing w:val="-2"/>
          <w:sz w:val="21"/>
        </w:rPr>
        <w:t>同的基本保险金额由</w:t>
      </w:r>
      <w:r>
        <w:rPr>
          <w:spacing w:val="-2"/>
          <w:sz w:val="21"/>
        </w:rPr>
        <w:t>您</w:t>
      </w:r>
      <w:r>
        <w:rPr>
          <w:spacing w:val="-2"/>
          <w:sz w:val="21"/>
        </w:rPr>
        <w:t>在</w:t>
      </w:r>
      <w:r>
        <w:rPr>
          <w:spacing w:val="-2"/>
          <w:sz w:val="21"/>
        </w:rPr>
        <w:t>投保时与我们约定，</w:t>
      </w:r>
      <w:r>
        <w:rPr>
          <w:spacing w:val="-2"/>
          <w:sz w:val="21"/>
        </w:rPr>
        <w:t>并</w:t>
      </w:r>
      <w:r>
        <w:rPr>
          <w:spacing w:val="-2"/>
          <w:sz w:val="21"/>
        </w:rPr>
        <w:t>在</w:t>
      </w:r>
      <w:r>
        <w:rPr>
          <w:spacing w:val="-2"/>
          <w:sz w:val="21"/>
        </w:rPr>
        <w:t>保险单</w:t>
      </w:r>
      <w:r>
        <w:rPr>
          <w:spacing w:val="-2"/>
          <w:sz w:val="21"/>
        </w:rPr>
        <w:t>上</w:t>
      </w:r>
      <w:r>
        <w:rPr>
          <w:spacing w:val="-10"/>
          <w:sz w:val="21"/>
        </w:rPr>
        <w:t>载</w:t>
      </w:r>
    </w:p>
    <w:p>
      <w:pPr>
        <w:pStyle w:val="BodyText"/>
        <w:spacing w:before="2"/>
        <w:ind w:left="3185"/>
      </w:pPr>
      <w:r>
        <w:rPr>
          <w:spacing w:val="-5"/>
        </w:rPr>
        <w:t>明。</w:t>
      </w:r>
    </w:p>
    <w:p>
      <w:pPr>
        <w:pStyle w:val="BodyText"/>
        <w:spacing w:before="7"/>
        <w:rPr>
          <w:sz w:val="18"/>
        </w:rPr>
      </w:pPr>
    </w:p>
    <w:p>
      <w:pPr>
        <w:pStyle w:val="ListParagraph"/>
        <w:numPr>
          <w:ilvl w:val="1"/>
          <w:numId w:val="4"/>
        </w:numPr>
        <w:tabs>
          <w:tab w:pos="1341" w:val="left" w:leader="none"/>
          <w:tab w:pos="1342" w:val="left" w:leader="none"/>
          <w:tab w:pos="3184" w:val="left" w:leader="none"/>
        </w:tabs>
        <w:spacing w:line="240" w:lineRule="auto" w:before="1" w:after="0"/>
        <w:ind w:left="1341" w:right="0" w:hanging="1100"/>
        <w:jc w:val="left"/>
        <w:rPr>
          <w:sz w:val="21"/>
        </w:rPr>
      </w:pPr>
      <w:r>
        <w:rPr>
          <w:b/>
          <w:sz w:val="21"/>
        </w:rPr>
        <w:t>保险期间及续</w:t>
      </w:r>
      <w:r>
        <w:rPr>
          <w:b/>
          <w:spacing w:val="-10"/>
          <w:sz w:val="21"/>
        </w:rPr>
        <w:t>保</w:t>
      </w:r>
      <w:r>
        <w:rPr>
          <w:b/>
          <w:sz w:val="21"/>
        </w:rPr>
        <w:tab/>
      </w:r>
      <w:r>
        <w:rPr>
          <w:sz w:val="21"/>
        </w:rPr>
        <w:t>本</w:t>
      </w:r>
      <w:r>
        <w:rPr>
          <w:sz w:val="21"/>
        </w:rPr>
        <w:t>合</w:t>
      </w:r>
      <w:r>
        <w:rPr>
          <w:sz w:val="21"/>
        </w:rPr>
        <w:t>同</w:t>
      </w:r>
      <w:r>
        <w:rPr>
          <w:sz w:val="21"/>
        </w:rPr>
        <w:t>的</w:t>
      </w:r>
      <w:r>
        <w:rPr>
          <w:sz w:val="21"/>
        </w:rPr>
        <w:t>保</w:t>
      </w:r>
      <w:r>
        <w:rPr>
          <w:sz w:val="21"/>
        </w:rPr>
        <w:t>险</w:t>
      </w:r>
      <w:r>
        <w:rPr>
          <w:sz w:val="21"/>
        </w:rPr>
        <w:t>期</w:t>
      </w:r>
      <w:r>
        <w:rPr>
          <w:sz w:val="21"/>
        </w:rPr>
        <w:t>间</w:t>
      </w:r>
      <w:r>
        <w:rPr>
          <w:sz w:val="21"/>
        </w:rPr>
        <w:t>为</w:t>
      </w:r>
      <w:r>
        <w:rPr>
          <w:rFonts w:ascii="Times New Roman" w:eastAsia="Times New Roman"/>
          <w:sz w:val="21"/>
        </w:rPr>
        <w:t>1</w:t>
      </w:r>
      <w:r>
        <w:rPr>
          <w:sz w:val="21"/>
        </w:rPr>
        <w:t>年</w:t>
      </w:r>
      <w:r>
        <w:rPr>
          <w:sz w:val="21"/>
        </w:rPr>
        <w:t>，</w:t>
      </w:r>
      <w:r>
        <w:rPr>
          <w:sz w:val="21"/>
        </w:rPr>
        <w:t>自</w:t>
      </w:r>
      <w:r>
        <w:rPr>
          <w:sz w:val="21"/>
        </w:rPr>
        <w:t>本</w:t>
      </w:r>
      <w:r>
        <w:rPr>
          <w:sz w:val="21"/>
        </w:rPr>
        <w:t>合</w:t>
      </w:r>
      <w:r>
        <w:rPr>
          <w:sz w:val="21"/>
        </w:rPr>
        <w:t>同</w:t>
      </w:r>
      <w:r>
        <w:rPr>
          <w:sz w:val="21"/>
        </w:rPr>
        <w:t>生</w:t>
      </w:r>
      <w:r>
        <w:rPr>
          <w:sz w:val="21"/>
        </w:rPr>
        <w:t>效</w:t>
      </w:r>
      <w:r>
        <w:rPr>
          <w:sz w:val="21"/>
        </w:rPr>
        <w:t>日</w:t>
      </w:r>
      <w:r>
        <w:rPr>
          <w:sz w:val="21"/>
        </w:rPr>
        <w:t>次</w:t>
      </w:r>
      <w:r>
        <w:rPr>
          <w:sz w:val="21"/>
        </w:rPr>
        <w:t>日</w:t>
      </w:r>
      <w:r>
        <w:rPr>
          <w:sz w:val="21"/>
        </w:rPr>
        <w:t>零</w:t>
      </w:r>
      <w:r>
        <w:rPr>
          <w:sz w:val="21"/>
        </w:rPr>
        <w:t>时</w:t>
      </w:r>
      <w:r>
        <w:rPr>
          <w:sz w:val="21"/>
        </w:rPr>
        <w:t>起</w:t>
      </w:r>
      <w:r>
        <w:rPr>
          <w:sz w:val="21"/>
        </w:rPr>
        <w:t>算</w:t>
      </w:r>
      <w:r>
        <w:rPr>
          <w:sz w:val="21"/>
        </w:rPr>
        <w:t>，</w:t>
      </w:r>
      <w:r>
        <w:rPr>
          <w:sz w:val="21"/>
        </w:rPr>
        <w:t>并</w:t>
      </w:r>
      <w:r>
        <w:rPr>
          <w:sz w:val="21"/>
        </w:rPr>
        <w:t>于</w:t>
      </w:r>
      <w:r>
        <w:rPr>
          <w:spacing w:val="-10"/>
          <w:sz w:val="21"/>
        </w:rPr>
        <w:t>保</w:t>
      </w:r>
    </w:p>
    <w:p>
      <w:pPr>
        <w:pStyle w:val="BodyText"/>
        <w:spacing w:before="4"/>
        <w:ind w:left="3185"/>
      </w:pPr>
      <w:r>
        <w:rPr>
          <w:spacing w:val="-4"/>
        </w:rPr>
        <w:t>险单上载明。</w:t>
      </w:r>
    </w:p>
    <w:p>
      <w:pPr>
        <w:pStyle w:val="BodyText"/>
        <w:spacing w:before="1"/>
        <w:rPr>
          <w:sz w:val="19"/>
        </w:rPr>
      </w:pPr>
    </w:p>
    <w:p>
      <w:pPr>
        <w:pStyle w:val="BodyText"/>
        <w:ind w:left="3185"/>
      </w:pPr>
      <w:r>
        <w:rPr>
          <w:spacing w:val="-2"/>
        </w:rPr>
        <w:t>您为被保险人续保本合同时，续保合同的保险期间为</w:t>
      </w:r>
      <w:r>
        <w:rPr>
          <w:rFonts w:ascii="Times New Roman" w:eastAsia="Times New Roman"/>
          <w:spacing w:val="-2"/>
        </w:rPr>
        <w:t>1</w:t>
      </w:r>
      <w:r>
        <w:rPr>
          <w:spacing w:val="-6"/>
        </w:rPr>
        <w:t>年。</w:t>
      </w:r>
    </w:p>
    <w:p>
      <w:pPr>
        <w:pStyle w:val="BodyText"/>
        <w:spacing w:before="1"/>
        <w:rPr>
          <w:sz w:val="19"/>
        </w:rPr>
      </w:pPr>
    </w:p>
    <w:p>
      <w:pPr>
        <w:pStyle w:val="BodyText"/>
        <w:spacing w:line="242" w:lineRule="auto"/>
        <w:ind w:left="3185" w:right="452"/>
        <w:jc w:val="both"/>
      </w:pPr>
      <w:r>
        <w:rPr>
          <w:spacing w:val="-2"/>
        </w:rPr>
        <w:t>每个保险期间届满前，您提出续保申请并经我们审核通过，且您按</w:t>
      </w:r>
      <w:r>
        <w:rPr>
          <w:spacing w:val="-2"/>
        </w:rPr>
        <w:t>续保时对应的保险费率交纳保险费后，续保合同生效。发生下列情</w:t>
      </w:r>
      <w:r>
        <w:rPr>
          <w:spacing w:val="-2"/>
        </w:rPr>
        <w:t>况之一时，本合同将不再接受续保：</w:t>
      </w:r>
    </w:p>
    <w:p>
      <w:pPr>
        <w:pStyle w:val="ListParagraph"/>
        <w:numPr>
          <w:ilvl w:val="2"/>
          <w:numId w:val="4"/>
        </w:numPr>
        <w:tabs>
          <w:tab w:pos="3714" w:val="left" w:leader="none"/>
        </w:tabs>
        <w:spacing w:line="244" w:lineRule="auto" w:before="2" w:after="0"/>
        <w:ind w:left="3710" w:right="452" w:hanging="526"/>
        <w:jc w:val="left"/>
        <w:rPr>
          <w:sz w:val="19"/>
        </w:rPr>
      </w:pPr>
      <w:r>
        <w:rPr>
          <w:spacing w:val="5"/>
          <w:w w:val="100"/>
          <w:sz w:val="21"/>
        </w:rPr>
        <w:t>被保险人已确诊罹患本合同第</w:t>
      </w:r>
      <w:r>
        <w:rPr>
          <w:rFonts w:ascii="Times New Roman" w:eastAsia="Times New Roman"/>
          <w:spacing w:val="7"/>
          <w:w w:val="100"/>
          <w:sz w:val="21"/>
        </w:rPr>
        <w:t>9</w:t>
      </w:r>
      <w:r>
        <w:rPr>
          <w:spacing w:val="4"/>
          <w:w w:val="100"/>
          <w:sz w:val="21"/>
        </w:rPr>
        <w:t>条约定保障范围及定义的特</w:t>
      </w:r>
      <w:r>
        <w:rPr>
          <w:spacing w:val="-3"/>
          <w:w w:val="100"/>
          <w:sz w:val="21"/>
        </w:rPr>
        <w:t>定心脑血管重大疾病；</w:t>
      </w:r>
    </w:p>
    <w:p>
      <w:pPr>
        <w:pStyle w:val="ListParagraph"/>
        <w:numPr>
          <w:ilvl w:val="2"/>
          <w:numId w:val="4"/>
        </w:numPr>
        <w:tabs>
          <w:tab w:pos="3714" w:val="left" w:leader="none"/>
        </w:tabs>
        <w:spacing w:line="265" w:lineRule="exact" w:before="0" w:after="0"/>
        <w:ind w:left="3714" w:right="0" w:hanging="529"/>
        <w:jc w:val="left"/>
        <w:rPr>
          <w:sz w:val="19"/>
        </w:rPr>
      </w:pPr>
      <w:r>
        <w:rPr>
          <w:spacing w:val="-2"/>
          <w:sz w:val="21"/>
        </w:rPr>
        <w:t>续保时被保险人年满</w:t>
      </w:r>
      <w:r>
        <w:rPr>
          <w:rFonts w:ascii="Times New Roman" w:eastAsia="Times New Roman"/>
          <w:spacing w:val="-2"/>
          <w:sz w:val="21"/>
        </w:rPr>
        <w:t>81</w:t>
      </w:r>
      <w:r>
        <w:rPr>
          <w:spacing w:val="-5"/>
          <w:sz w:val="21"/>
        </w:rPr>
        <w:t>周岁；</w:t>
      </w:r>
    </w:p>
    <w:p>
      <w:pPr>
        <w:pStyle w:val="ListParagraph"/>
        <w:numPr>
          <w:ilvl w:val="2"/>
          <w:numId w:val="4"/>
        </w:numPr>
        <w:tabs>
          <w:tab w:pos="3714" w:val="left" w:leader="none"/>
        </w:tabs>
        <w:spacing w:line="240" w:lineRule="auto" w:before="4" w:after="0"/>
        <w:ind w:left="3714" w:right="0" w:hanging="529"/>
        <w:jc w:val="left"/>
        <w:rPr>
          <w:sz w:val="19"/>
        </w:rPr>
      </w:pPr>
      <w:r>
        <w:rPr>
          <w:spacing w:val="-3"/>
          <w:sz w:val="21"/>
        </w:rPr>
        <w:t>续保时本产品已停止销售。</w:t>
      </w:r>
    </w:p>
    <w:p>
      <w:pPr>
        <w:pStyle w:val="BodyText"/>
        <w:spacing w:before="8"/>
        <w:rPr>
          <w:sz w:val="18"/>
        </w:rPr>
      </w:pPr>
    </w:p>
    <w:p>
      <w:pPr>
        <w:pStyle w:val="Heading3"/>
        <w:numPr>
          <w:ilvl w:val="1"/>
          <w:numId w:val="4"/>
        </w:numPr>
        <w:tabs>
          <w:tab w:pos="1341" w:val="left" w:leader="none"/>
          <w:tab w:pos="1342" w:val="left" w:leader="none"/>
          <w:tab w:pos="3184" w:val="left" w:leader="none"/>
        </w:tabs>
        <w:spacing w:line="240" w:lineRule="auto" w:before="0" w:after="0"/>
        <w:ind w:left="1341" w:right="0" w:hanging="1100"/>
        <w:jc w:val="left"/>
      </w:pPr>
      <w:r>
        <w:rPr/>
        <w:t>等待</w:t>
      </w:r>
      <w:r>
        <w:rPr>
          <w:spacing w:val="-10"/>
        </w:rPr>
        <w:t>期</w:t>
      </w:r>
      <w:r>
        <w:rPr/>
        <w:tab/>
      </w:r>
      <w:r>
        <w:rPr>
          <w:spacing w:val="-2"/>
        </w:rPr>
        <w:t>本</w:t>
      </w:r>
      <w:r>
        <w:rPr>
          <w:spacing w:val="-2"/>
        </w:rPr>
        <w:t>合</w:t>
      </w:r>
      <w:r>
        <w:rPr>
          <w:spacing w:val="-2"/>
        </w:rPr>
        <w:t>同</w:t>
      </w:r>
      <w:r>
        <w:rPr>
          <w:spacing w:val="-2"/>
        </w:rPr>
        <w:t>的</w:t>
      </w:r>
      <w:r>
        <w:rPr>
          <w:spacing w:val="-2"/>
        </w:rPr>
        <w:t>等</w:t>
      </w:r>
      <w:r>
        <w:rPr>
          <w:spacing w:val="-2"/>
        </w:rPr>
        <w:t>待</w:t>
      </w:r>
      <w:r>
        <w:rPr>
          <w:spacing w:val="-2"/>
        </w:rPr>
        <w:t>期</w:t>
      </w:r>
      <w:r>
        <w:rPr>
          <w:spacing w:val="-2"/>
        </w:rPr>
        <w:t>是</w:t>
      </w:r>
      <w:r>
        <w:rPr>
          <w:spacing w:val="-2"/>
        </w:rPr>
        <w:t>指自本合同</w:t>
      </w:r>
      <w:r>
        <w:rPr>
          <w:spacing w:val="-2"/>
        </w:rPr>
        <w:t>生</w:t>
      </w:r>
      <w:r>
        <w:rPr>
          <w:spacing w:val="-2"/>
        </w:rPr>
        <w:t>效</w:t>
      </w:r>
      <w:r>
        <w:rPr>
          <w:spacing w:val="-2"/>
        </w:rPr>
        <w:t>日</w:t>
      </w:r>
      <w:r>
        <w:rPr>
          <w:spacing w:val="-2"/>
        </w:rPr>
        <w:t>起</w:t>
      </w:r>
      <w:r>
        <w:rPr>
          <w:rFonts w:ascii="Times New Roman" w:eastAsia="Times New Roman"/>
          <w:spacing w:val="-2"/>
        </w:rPr>
        <w:t>90</w:t>
      </w:r>
      <w:r>
        <w:rPr>
          <w:spacing w:val="-2"/>
        </w:rPr>
        <w:t>天</w:t>
      </w:r>
      <w:r>
        <w:rPr>
          <w:spacing w:val="-68"/>
        </w:rPr>
        <w:t>内</w:t>
      </w:r>
      <w:r>
        <w:rPr>
          <w:spacing w:val="-2"/>
        </w:rPr>
        <w:t>（含第</w:t>
      </w:r>
      <w:r>
        <w:rPr>
          <w:rFonts w:ascii="Times New Roman" w:eastAsia="Times New Roman"/>
          <w:spacing w:val="-2"/>
        </w:rPr>
        <w:t>90</w:t>
      </w:r>
      <w:r>
        <w:rPr>
          <w:spacing w:val="-2"/>
        </w:rPr>
        <w:t>天</w:t>
      </w:r>
      <w:r>
        <w:rPr>
          <w:spacing w:val="-68"/>
        </w:rPr>
        <w:t>）</w:t>
      </w:r>
      <w:r>
        <w:rPr>
          <w:spacing w:val="-2"/>
        </w:rPr>
        <w:t>的</w:t>
      </w:r>
      <w:r>
        <w:rPr>
          <w:spacing w:val="-2"/>
        </w:rPr>
        <w:t>期</w:t>
      </w:r>
      <w:r>
        <w:rPr>
          <w:spacing w:val="-2"/>
        </w:rPr>
        <w:t>间</w:t>
      </w:r>
      <w:r>
        <w:rPr>
          <w:spacing w:val="-10"/>
        </w:rPr>
        <w:t>。</w:t>
      </w:r>
    </w:p>
    <w:p>
      <w:pPr>
        <w:spacing w:line="244" w:lineRule="auto" w:before="2"/>
        <w:ind w:left="3185" w:right="452" w:firstLine="0"/>
        <w:jc w:val="left"/>
        <w:rPr>
          <w:sz w:val="21"/>
        </w:rPr>
      </w:pPr>
      <w:r>
        <w:rPr>
          <w:b/>
          <w:spacing w:val="-2"/>
          <w:sz w:val="21"/>
        </w:rPr>
        <w:t>但因意外伤害</w:t>
      </w:r>
      <w:r>
        <w:rPr>
          <w:spacing w:val="-2"/>
          <w:sz w:val="21"/>
        </w:rPr>
        <w:t>（见</w:t>
      </w:r>
      <w:r>
        <w:rPr>
          <w:rFonts w:ascii="Times New Roman" w:eastAsia="Times New Roman"/>
          <w:spacing w:val="-2"/>
          <w:sz w:val="21"/>
        </w:rPr>
        <w:t>11.2</w:t>
      </w:r>
      <w:r>
        <w:rPr>
          <w:spacing w:val="-2"/>
          <w:sz w:val="21"/>
        </w:rPr>
        <w:t>）</w:t>
      </w:r>
      <w:r>
        <w:rPr>
          <w:b/>
          <w:spacing w:val="-2"/>
          <w:sz w:val="21"/>
        </w:rPr>
        <w:t>事故引起的保险事故无等待期。</w:t>
      </w:r>
      <w:r>
        <w:rPr>
          <w:spacing w:val="-2"/>
          <w:sz w:val="21"/>
        </w:rPr>
        <w:t>续保合同</w:t>
      </w:r>
      <w:r>
        <w:rPr>
          <w:spacing w:val="-2"/>
          <w:sz w:val="21"/>
        </w:rPr>
        <w:t>无等待期。</w:t>
      </w:r>
    </w:p>
    <w:p>
      <w:pPr>
        <w:spacing w:after="0" w:line="244" w:lineRule="auto"/>
        <w:jc w:val="left"/>
        <w:rPr>
          <w:sz w:val="21"/>
        </w:rPr>
        <w:sectPr>
          <w:type w:val="continuous"/>
          <w:pgSz w:w="11910" w:h="16840"/>
          <w:pgMar w:header="0" w:footer="879" w:top="300" w:bottom="280" w:left="1460" w:right="720"/>
        </w:sectPr>
      </w:pPr>
    </w:p>
    <w:p>
      <w:pPr>
        <w:pStyle w:val="ListParagraph"/>
        <w:numPr>
          <w:ilvl w:val="1"/>
          <w:numId w:val="4"/>
        </w:numPr>
        <w:tabs>
          <w:tab w:pos="1341" w:val="left" w:leader="none"/>
          <w:tab w:pos="1342" w:val="left" w:leader="none"/>
          <w:tab w:pos="3184" w:val="left" w:leader="none"/>
        </w:tabs>
        <w:spacing w:line="240" w:lineRule="auto" w:before="69" w:after="0"/>
        <w:ind w:left="1341" w:right="0" w:hanging="1100"/>
        <w:jc w:val="left"/>
        <w:rPr>
          <w:sz w:val="21"/>
        </w:rPr>
      </w:pPr>
      <w:r>
        <w:rPr>
          <w:b/>
          <w:sz w:val="21"/>
        </w:rPr>
        <w:t>保险责</w:t>
      </w:r>
      <w:r>
        <w:rPr>
          <w:b/>
          <w:spacing w:val="-10"/>
          <w:sz w:val="21"/>
        </w:rPr>
        <w:t>任</w:t>
      </w:r>
      <w:r>
        <w:rPr>
          <w:b/>
          <w:sz w:val="21"/>
        </w:rPr>
        <w:tab/>
      </w:r>
      <w:r>
        <w:rPr>
          <w:spacing w:val="-2"/>
          <w:sz w:val="21"/>
        </w:rPr>
        <w:t>在</w:t>
      </w:r>
      <w:r>
        <w:rPr>
          <w:spacing w:val="-2"/>
          <w:sz w:val="21"/>
        </w:rPr>
        <w:t>本</w:t>
      </w:r>
      <w:r>
        <w:rPr>
          <w:spacing w:val="-2"/>
          <w:sz w:val="21"/>
        </w:rPr>
        <w:t>合同有效期内，我们</w:t>
      </w:r>
      <w:r>
        <w:rPr>
          <w:spacing w:val="-2"/>
          <w:sz w:val="21"/>
        </w:rPr>
        <w:t>承</w:t>
      </w:r>
      <w:r>
        <w:rPr>
          <w:spacing w:val="-2"/>
          <w:sz w:val="21"/>
        </w:rPr>
        <w:t>担</w:t>
      </w:r>
      <w:r>
        <w:rPr>
          <w:spacing w:val="-2"/>
          <w:sz w:val="21"/>
        </w:rPr>
        <w:t>如下保险责</w:t>
      </w:r>
      <w:r>
        <w:rPr>
          <w:spacing w:val="-2"/>
          <w:sz w:val="21"/>
        </w:rPr>
        <w:t>任</w:t>
      </w:r>
      <w:r>
        <w:rPr>
          <w:spacing w:val="-10"/>
          <w:sz w:val="21"/>
        </w:rPr>
        <w:t>：</w:t>
      </w:r>
    </w:p>
    <w:p>
      <w:pPr>
        <w:pStyle w:val="BodyText"/>
        <w:spacing w:before="6"/>
        <w:rPr>
          <w:sz w:val="11"/>
        </w:rPr>
      </w:pPr>
    </w:p>
    <w:p>
      <w:pPr>
        <w:spacing w:after="0"/>
        <w:rPr>
          <w:sz w:val="11"/>
        </w:rPr>
        <w:sectPr>
          <w:pgSz w:w="11910" w:h="16840"/>
          <w:pgMar w:header="0" w:footer="879" w:top="1040" w:bottom="1060" w:left="1460" w:right="720"/>
        </w:sectPr>
      </w:pPr>
    </w:p>
    <w:p>
      <w:pPr>
        <w:pStyle w:val="Heading3"/>
        <w:numPr>
          <w:ilvl w:val="2"/>
          <w:numId w:val="5"/>
        </w:numPr>
        <w:tabs>
          <w:tab w:pos="1341" w:val="left" w:leader="none"/>
          <w:tab w:pos="1342" w:val="left" w:leader="none"/>
        </w:tabs>
        <w:spacing w:line="242" w:lineRule="auto" w:before="94" w:after="0"/>
        <w:ind w:left="1341" w:right="0" w:hanging="1100"/>
        <w:jc w:val="left"/>
      </w:pPr>
      <w:r>
        <w:rPr>
          <w:spacing w:val="18"/>
        </w:rPr>
        <w:t>特定心脑血管轻</w:t>
      </w:r>
      <w:r>
        <w:rPr>
          <w:spacing w:val="-2"/>
        </w:rPr>
        <w:t>症疾病保险金</w:t>
      </w:r>
    </w:p>
    <w:p>
      <w:pPr>
        <w:spacing w:line="242" w:lineRule="auto" w:before="100"/>
        <w:ind w:left="177" w:right="449" w:firstLine="0"/>
        <w:jc w:val="both"/>
        <w:rPr>
          <w:b/>
          <w:sz w:val="21"/>
        </w:rPr>
      </w:pPr>
      <w:r>
        <w:rPr/>
        <w:br w:type="column"/>
      </w:r>
      <w:r>
        <w:rPr>
          <w:b/>
          <w:spacing w:val="-2"/>
          <w:sz w:val="21"/>
        </w:rPr>
        <w:t>若被保险人在等待期内确诊患有任何一种符合本合同第</w:t>
      </w:r>
      <w:r>
        <w:rPr>
          <w:rFonts w:ascii="Times New Roman" w:eastAsia="Times New Roman"/>
          <w:b/>
          <w:spacing w:val="-2"/>
          <w:sz w:val="21"/>
        </w:rPr>
        <w:t>8</w:t>
      </w:r>
      <w:r>
        <w:rPr>
          <w:b/>
          <w:spacing w:val="-2"/>
          <w:sz w:val="21"/>
        </w:rPr>
        <w:t>条约定保</w:t>
      </w:r>
      <w:r>
        <w:rPr>
          <w:b/>
          <w:spacing w:val="-2"/>
          <w:sz w:val="21"/>
        </w:rPr>
        <w:t>障范围及定义的特定心脑血管轻症疾病（无论一种或多种</w:t>
      </w:r>
      <w:r>
        <w:rPr>
          <w:b/>
          <w:spacing w:val="-104"/>
          <w:sz w:val="21"/>
        </w:rPr>
        <w:t>）</w:t>
      </w:r>
      <w:r>
        <w:rPr>
          <w:b/>
          <w:spacing w:val="-1"/>
          <w:sz w:val="21"/>
        </w:rPr>
        <w:t>，我们</w:t>
      </w:r>
      <w:r>
        <w:rPr>
          <w:b/>
          <w:spacing w:val="-2"/>
          <w:sz w:val="21"/>
        </w:rPr>
        <w:t>将按照本合同已交纳的保险费（不包含其附加合同的保险费）给付</w:t>
      </w:r>
      <w:r>
        <w:rPr>
          <w:b/>
          <w:spacing w:val="-2"/>
          <w:sz w:val="21"/>
        </w:rPr>
        <w:t>特定心脑血管轻症疾病保险金，同时本合同效力终止。</w:t>
      </w:r>
    </w:p>
    <w:p>
      <w:pPr>
        <w:pStyle w:val="BodyText"/>
        <w:rPr>
          <w:b/>
          <w:sz w:val="19"/>
        </w:rPr>
      </w:pPr>
    </w:p>
    <w:p>
      <w:pPr>
        <w:spacing w:line="242" w:lineRule="auto" w:before="0"/>
        <w:ind w:left="177" w:right="448" w:firstLine="0"/>
        <w:jc w:val="both"/>
        <w:rPr>
          <w:sz w:val="21"/>
        </w:rPr>
      </w:pPr>
      <w:r>
        <w:rPr>
          <w:spacing w:val="-4"/>
          <w:sz w:val="21"/>
        </w:rPr>
        <w:t>若被保险人在等待期后经</w:t>
      </w:r>
      <w:r>
        <w:rPr>
          <w:b/>
          <w:spacing w:val="-4"/>
          <w:sz w:val="21"/>
        </w:rPr>
        <w:t>专科医生</w:t>
      </w:r>
      <w:r>
        <w:rPr>
          <w:spacing w:val="-4"/>
          <w:sz w:val="21"/>
        </w:rPr>
        <w:t>（见</w:t>
      </w:r>
      <w:r>
        <w:rPr>
          <w:rFonts w:ascii="Times New Roman" w:eastAsia="Times New Roman"/>
          <w:spacing w:val="-4"/>
          <w:sz w:val="21"/>
        </w:rPr>
        <w:t>11.3</w:t>
      </w:r>
      <w:r>
        <w:rPr>
          <w:spacing w:val="-4"/>
          <w:sz w:val="21"/>
        </w:rPr>
        <w:t>）</w:t>
      </w:r>
      <w:r>
        <w:rPr>
          <w:b/>
          <w:spacing w:val="-4"/>
          <w:sz w:val="21"/>
        </w:rPr>
        <w:t>首次确诊</w:t>
      </w:r>
      <w:r>
        <w:rPr>
          <w:spacing w:val="-4"/>
          <w:sz w:val="21"/>
        </w:rPr>
        <w:t>（见</w:t>
      </w:r>
      <w:r>
        <w:rPr>
          <w:rFonts w:ascii="Times New Roman" w:eastAsia="Times New Roman"/>
          <w:spacing w:val="-4"/>
          <w:sz w:val="21"/>
        </w:rPr>
        <w:t>11.4</w:t>
      </w:r>
      <w:r>
        <w:rPr>
          <w:spacing w:val="-4"/>
          <w:sz w:val="21"/>
        </w:rPr>
        <w:t>）患</w:t>
      </w:r>
      <w:r>
        <w:rPr>
          <w:spacing w:val="-2"/>
          <w:sz w:val="21"/>
        </w:rPr>
        <w:t>有任何一种符合本合同第</w:t>
      </w:r>
      <w:r>
        <w:rPr>
          <w:rFonts w:ascii="Times New Roman" w:eastAsia="Times New Roman"/>
          <w:spacing w:val="-2"/>
          <w:sz w:val="21"/>
        </w:rPr>
        <w:t>8</w:t>
      </w:r>
      <w:r>
        <w:rPr>
          <w:spacing w:val="-2"/>
          <w:sz w:val="21"/>
        </w:rPr>
        <w:t>条约定保障范围及定义的特定心脑血管</w:t>
      </w:r>
      <w:r>
        <w:rPr>
          <w:spacing w:val="-2"/>
          <w:sz w:val="21"/>
        </w:rPr>
        <w:t>轻症疾病（无论一种或多种</w:t>
      </w:r>
      <w:r>
        <w:rPr>
          <w:spacing w:val="-74"/>
          <w:sz w:val="21"/>
        </w:rPr>
        <w:t>）</w:t>
      </w:r>
      <w:r>
        <w:rPr>
          <w:spacing w:val="-11"/>
          <w:sz w:val="21"/>
        </w:rPr>
        <w:t>，我们将按本合同基本保险金额的</w:t>
      </w:r>
      <w:r>
        <w:rPr>
          <w:rFonts w:ascii="Times New Roman" w:eastAsia="Times New Roman"/>
          <w:spacing w:val="-2"/>
          <w:sz w:val="21"/>
        </w:rPr>
        <w:t>20%</w:t>
      </w:r>
      <w:r>
        <w:rPr>
          <w:spacing w:val="-2"/>
          <w:sz w:val="21"/>
        </w:rPr>
        <w:t>给付特定心脑血管轻症疾病保险金，</w:t>
      </w:r>
      <w:r>
        <w:rPr>
          <w:b/>
          <w:spacing w:val="-2"/>
          <w:sz w:val="21"/>
        </w:rPr>
        <w:t>同时本合同特定心脑血管轻症</w:t>
      </w:r>
      <w:r>
        <w:rPr>
          <w:b/>
          <w:spacing w:val="-2"/>
          <w:sz w:val="21"/>
        </w:rPr>
        <w:t>疾病保险金责任终止</w:t>
      </w:r>
      <w:r>
        <w:rPr>
          <w:spacing w:val="-2"/>
          <w:sz w:val="21"/>
        </w:rPr>
        <w:t>。</w:t>
      </w:r>
    </w:p>
    <w:p>
      <w:pPr>
        <w:pStyle w:val="BodyText"/>
        <w:spacing w:before="1"/>
        <w:rPr>
          <w:sz w:val="19"/>
        </w:rPr>
      </w:pPr>
    </w:p>
    <w:p>
      <w:pPr>
        <w:spacing w:line="242" w:lineRule="auto" w:before="0"/>
        <w:ind w:left="177" w:right="450" w:firstLine="0"/>
        <w:jc w:val="both"/>
        <w:rPr>
          <w:sz w:val="21"/>
        </w:rPr>
      </w:pPr>
      <w:r>
        <w:rPr>
          <w:spacing w:val="-2"/>
          <w:sz w:val="21"/>
        </w:rPr>
        <w:t>若被保险人确诊的疾病同时符合本合同第</w:t>
      </w:r>
      <w:r>
        <w:rPr>
          <w:rFonts w:ascii="Times New Roman" w:eastAsia="Times New Roman"/>
          <w:spacing w:val="-2"/>
          <w:sz w:val="21"/>
        </w:rPr>
        <w:t>8</w:t>
      </w:r>
      <w:r>
        <w:rPr>
          <w:spacing w:val="-2"/>
          <w:sz w:val="21"/>
        </w:rPr>
        <w:t>条约定保障范围及定义</w:t>
      </w:r>
      <w:r>
        <w:rPr>
          <w:spacing w:val="-2"/>
          <w:sz w:val="21"/>
        </w:rPr>
        <w:t>的特定心脑血管轻症疾病和本合同第</w:t>
      </w:r>
      <w:r>
        <w:rPr>
          <w:rFonts w:ascii="Times New Roman" w:eastAsia="Times New Roman"/>
          <w:spacing w:val="-2"/>
          <w:sz w:val="21"/>
        </w:rPr>
        <w:t>9</w:t>
      </w:r>
      <w:r>
        <w:rPr>
          <w:spacing w:val="-2"/>
          <w:sz w:val="21"/>
        </w:rPr>
        <w:t>条约定保障范围及定义的特</w:t>
      </w:r>
      <w:r>
        <w:rPr>
          <w:spacing w:val="-2"/>
          <w:sz w:val="21"/>
        </w:rPr>
        <w:t>定心脑血管重大疾病，</w:t>
      </w:r>
      <w:r>
        <w:rPr>
          <w:b/>
          <w:spacing w:val="-2"/>
          <w:sz w:val="21"/>
        </w:rPr>
        <w:t>我们仅承担给付特定心脑血管重大疾病保险</w:t>
      </w:r>
      <w:r>
        <w:rPr>
          <w:b/>
          <w:spacing w:val="-2"/>
          <w:sz w:val="21"/>
        </w:rPr>
        <w:t>金的保险责任</w:t>
      </w:r>
      <w:r>
        <w:rPr>
          <w:spacing w:val="-2"/>
          <w:sz w:val="21"/>
        </w:rPr>
        <w:t>。</w:t>
      </w:r>
    </w:p>
    <w:p>
      <w:pPr>
        <w:spacing w:after="0" w:line="242" w:lineRule="auto"/>
        <w:jc w:val="both"/>
        <w:rPr>
          <w:sz w:val="21"/>
        </w:rPr>
        <w:sectPr>
          <w:type w:val="continuous"/>
          <w:pgSz w:w="11910" w:h="16840"/>
          <w:pgMar w:header="0" w:footer="879" w:top="300" w:bottom="280" w:left="1460" w:right="720"/>
          <w:cols w:num="2" w:equalWidth="0">
            <w:col w:w="2968" w:space="40"/>
            <w:col w:w="6722"/>
          </w:cols>
        </w:sectPr>
      </w:pPr>
    </w:p>
    <w:p>
      <w:pPr>
        <w:pStyle w:val="BodyText"/>
        <w:spacing w:before="4"/>
        <w:rPr>
          <w:sz w:val="11"/>
        </w:rPr>
      </w:pPr>
    </w:p>
    <w:p>
      <w:pPr>
        <w:spacing w:after="0"/>
        <w:rPr>
          <w:sz w:val="11"/>
        </w:rPr>
        <w:sectPr>
          <w:type w:val="continuous"/>
          <w:pgSz w:w="11910" w:h="16840"/>
          <w:pgMar w:header="0" w:footer="879" w:top="300" w:bottom="280" w:left="1460" w:right="720"/>
        </w:sectPr>
      </w:pPr>
    </w:p>
    <w:p>
      <w:pPr>
        <w:pStyle w:val="Heading3"/>
        <w:numPr>
          <w:ilvl w:val="2"/>
          <w:numId w:val="5"/>
        </w:numPr>
        <w:tabs>
          <w:tab w:pos="1341" w:val="left" w:leader="none"/>
          <w:tab w:pos="1342" w:val="left" w:leader="none"/>
        </w:tabs>
        <w:spacing w:line="242" w:lineRule="auto" w:before="94" w:after="0"/>
        <w:ind w:left="1341" w:right="0" w:hanging="1100"/>
        <w:jc w:val="left"/>
      </w:pPr>
      <w:r>
        <w:rPr>
          <w:spacing w:val="18"/>
        </w:rPr>
        <w:t>特定心脑血管重</w:t>
      </w:r>
      <w:r>
        <w:rPr>
          <w:spacing w:val="-2"/>
        </w:rPr>
        <w:t>大疾病保险金</w:t>
      </w:r>
    </w:p>
    <w:p>
      <w:pPr>
        <w:spacing w:line="242" w:lineRule="auto" w:before="100"/>
        <w:ind w:left="175" w:right="449" w:firstLine="0"/>
        <w:jc w:val="both"/>
        <w:rPr>
          <w:b/>
          <w:sz w:val="21"/>
        </w:rPr>
      </w:pPr>
      <w:r>
        <w:rPr/>
        <w:br w:type="column"/>
      </w:r>
      <w:r>
        <w:rPr>
          <w:b/>
          <w:spacing w:val="-2"/>
          <w:sz w:val="21"/>
        </w:rPr>
        <w:t>若被保险人在等待期内确诊患有任何一种符合本合同第</w:t>
      </w:r>
      <w:r>
        <w:rPr>
          <w:rFonts w:ascii="Times New Roman" w:eastAsia="Times New Roman"/>
          <w:b/>
          <w:spacing w:val="-2"/>
          <w:sz w:val="21"/>
        </w:rPr>
        <w:t>9</w:t>
      </w:r>
      <w:r>
        <w:rPr>
          <w:b/>
          <w:spacing w:val="-2"/>
          <w:sz w:val="21"/>
        </w:rPr>
        <w:t>条约定保</w:t>
      </w:r>
      <w:r>
        <w:rPr>
          <w:b/>
          <w:spacing w:val="-2"/>
          <w:sz w:val="21"/>
        </w:rPr>
        <w:t>障范围及定义的特定心脑血管重大疾病（无论一种或多种</w:t>
      </w:r>
      <w:r>
        <w:rPr>
          <w:b/>
          <w:spacing w:val="-104"/>
          <w:sz w:val="21"/>
        </w:rPr>
        <w:t>）</w:t>
      </w:r>
      <w:r>
        <w:rPr>
          <w:b/>
          <w:spacing w:val="-1"/>
          <w:sz w:val="21"/>
        </w:rPr>
        <w:t>，我们</w:t>
      </w:r>
      <w:r>
        <w:rPr>
          <w:b/>
          <w:spacing w:val="-2"/>
          <w:sz w:val="21"/>
        </w:rPr>
        <w:t>将按照本合同已交纳的保险费（不包含其附加合同的保险费）给付</w:t>
      </w:r>
      <w:r>
        <w:rPr>
          <w:b/>
          <w:spacing w:val="-2"/>
          <w:sz w:val="21"/>
        </w:rPr>
        <w:t>特定心脑血管重大疾病保险金，同时本合同效力终止。</w:t>
      </w:r>
    </w:p>
    <w:p>
      <w:pPr>
        <w:pStyle w:val="BodyText"/>
        <w:spacing w:before="12"/>
        <w:rPr>
          <w:b/>
          <w:sz w:val="18"/>
        </w:rPr>
      </w:pPr>
    </w:p>
    <w:p>
      <w:pPr>
        <w:pStyle w:val="BodyText"/>
        <w:spacing w:line="242" w:lineRule="auto"/>
        <w:ind w:left="175" w:right="449"/>
        <w:jc w:val="both"/>
      </w:pPr>
      <w:r>
        <w:rPr>
          <w:spacing w:val="3"/>
          <w:w w:val="100"/>
        </w:rPr>
        <w:t>若被保险人在等待期后经专科医生首次确诊患有任何一种符合本</w:t>
      </w:r>
      <w:r>
        <w:rPr>
          <w:spacing w:val="2"/>
          <w:w w:val="100"/>
        </w:rPr>
        <w:t>合同第</w:t>
      </w:r>
      <w:r>
        <w:rPr>
          <w:rFonts w:ascii="Times New Roman" w:eastAsia="Times New Roman"/>
          <w:spacing w:val="2"/>
          <w:w w:val="100"/>
        </w:rPr>
        <w:t>9</w:t>
      </w:r>
      <w:r>
        <w:rPr>
          <w:spacing w:val="2"/>
          <w:w w:val="100"/>
        </w:rPr>
        <w:t>条约定保障范围及定义的特定心脑血管重大疾病（无论一种或多种</w:t>
      </w:r>
      <w:r>
        <w:rPr>
          <w:spacing w:val="-101"/>
          <w:w w:val="100"/>
        </w:rPr>
        <w:t>）</w:t>
      </w:r>
      <w:r>
        <w:rPr>
          <w:w w:val="100"/>
        </w:rPr>
        <w:t>，我们将按本合同的基本保险金额给付特定心脑血管重</w:t>
      </w:r>
      <w:r>
        <w:rPr>
          <w:spacing w:val="-3"/>
          <w:w w:val="100"/>
        </w:rPr>
        <w:t>大疾病保险金，</w:t>
      </w:r>
      <w:r>
        <w:rPr>
          <w:b/>
          <w:spacing w:val="-1"/>
          <w:w w:val="100"/>
        </w:rPr>
        <w:t>同时本合同效力终止</w:t>
      </w:r>
      <w:r>
        <w:rPr>
          <w:w w:val="100"/>
        </w:rPr>
        <w:t>。</w:t>
      </w:r>
    </w:p>
    <w:p>
      <w:pPr>
        <w:spacing w:after="0" w:line="242" w:lineRule="auto"/>
        <w:jc w:val="both"/>
        <w:sectPr>
          <w:type w:val="continuous"/>
          <w:pgSz w:w="11910" w:h="16840"/>
          <w:pgMar w:header="0" w:footer="879" w:top="300" w:bottom="280" w:left="1460" w:right="720"/>
          <w:cols w:num="2" w:equalWidth="0">
            <w:col w:w="2970" w:space="40"/>
            <w:col w:w="6720"/>
          </w:cols>
        </w:sectPr>
      </w:pPr>
    </w:p>
    <w:p>
      <w:pPr>
        <w:pStyle w:val="BodyText"/>
        <w:spacing w:before="4"/>
        <w:rPr>
          <w:sz w:val="11"/>
        </w:rPr>
      </w:pPr>
    </w:p>
    <w:p>
      <w:pPr>
        <w:pStyle w:val="ListParagraph"/>
        <w:numPr>
          <w:ilvl w:val="1"/>
          <w:numId w:val="4"/>
        </w:numPr>
        <w:tabs>
          <w:tab w:pos="1341" w:val="left" w:leader="none"/>
          <w:tab w:pos="1342" w:val="left" w:leader="none"/>
          <w:tab w:pos="3184" w:val="left" w:leader="none"/>
        </w:tabs>
        <w:spacing w:line="240" w:lineRule="auto" w:before="94" w:after="0"/>
        <w:ind w:left="1341" w:right="0" w:hanging="1100"/>
        <w:jc w:val="left"/>
        <w:rPr>
          <w:b/>
          <w:sz w:val="21"/>
        </w:rPr>
      </w:pPr>
      <w:r>
        <w:rPr>
          <w:b/>
          <w:sz w:val="21"/>
        </w:rPr>
        <w:t>责任免</w:t>
      </w:r>
      <w:r>
        <w:rPr>
          <w:b/>
          <w:spacing w:val="-10"/>
          <w:sz w:val="21"/>
        </w:rPr>
        <w:t>除</w:t>
      </w:r>
      <w:r>
        <w:rPr>
          <w:b/>
          <w:sz w:val="21"/>
        </w:rPr>
        <w:tab/>
        <w:t>因下列情形之一导致被保险人</w:t>
      </w:r>
      <w:r>
        <w:rPr>
          <w:b/>
          <w:spacing w:val="10"/>
          <w:sz w:val="21"/>
        </w:rPr>
        <w:t>患</w:t>
      </w:r>
      <w:r>
        <w:rPr>
          <w:b/>
          <w:sz w:val="21"/>
        </w:rPr>
        <w:t>本合同约定保障范围及定义的</w:t>
      </w:r>
      <w:r>
        <w:rPr>
          <w:b/>
          <w:spacing w:val="-10"/>
          <w:sz w:val="21"/>
        </w:rPr>
        <w:t>特</w:t>
      </w:r>
    </w:p>
    <w:p>
      <w:pPr>
        <w:spacing w:before="3"/>
        <w:ind w:left="3185" w:right="0" w:firstLine="0"/>
        <w:jc w:val="left"/>
        <w:rPr>
          <w:b/>
          <w:sz w:val="21"/>
        </w:rPr>
      </w:pPr>
      <w:r>
        <w:rPr>
          <w:b/>
          <w:spacing w:val="-3"/>
          <w:sz w:val="21"/>
        </w:rPr>
        <w:t>定疾病的，我们不承担给付保险金的责任：</w:t>
      </w:r>
    </w:p>
    <w:p>
      <w:pPr>
        <w:pStyle w:val="ListParagraph"/>
        <w:numPr>
          <w:ilvl w:val="0"/>
          <w:numId w:val="6"/>
        </w:numPr>
        <w:tabs>
          <w:tab w:pos="3714" w:val="left" w:leader="none"/>
        </w:tabs>
        <w:spacing w:line="240" w:lineRule="auto" w:before="4" w:after="0"/>
        <w:ind w:left="3714" w:right="0" w:hanging="529"/>
        <w:jc w:val="left"/>
        <w:rPr>
          <w:b/>
          <w:sz w:val="21"/>
        </w:rPr>
      </w:pPr>
      <w:r>
        <w:rPr>
          <w:b/>
          <w:spacing w:val="-3"/>
          <w:sz w:val="21"/>
        </w:rPr>
        <w:t>投保人对被保险人的故意杀害、故意伤害；</w:t>
      </w:r>
    </w:p>
    <w:p>
      <w:pPr>
        <w:pStyle w:val="ListParagraph"/>
        <w:numPr>
          <w:ilvl w:val="0"/>
          <w:numId w:val="6"/>
        </w:numPr>
        <w:tabs>
          <w:tab w:pos="3714" w:val="left" w:leader="none"/>
        </w:tabs>
        <w:spacing w:line="244" w:lineRule="auto" w:before="3" w:after="0"/>
        <w:ind w:left="3712" w:right="462" w:hanging="528"/>
        <w:jc w:val="left"/>
        <w:rPr>
          <w:b/>
          <w:sz w:val="21"/>
        </w:rPr>
      </w:pPr>
      <w:r>
        <w:rPr>
          <w:b/>
          <w:spacing w:val="-2"/>
          <w:sz w:val="21"/>
        </w:rPr>
        <w:t>被保险人故意自伤、故意犯罪或者抗拒依法采取的刑事强制</w:t>
      </w:r>
      <w:r>
        <w:rPr>
          <w:b/>
          <w:spacing w:val="-4"/>
          <w:sz w:val="21"/>
        </w:rPr>
        <w:t>措施；</w:t>
      </w:r>
    </w:p>
    <w:p>
      <w:pPr>
        <w:pStyle w:val="ListParagraph"/>
        <w:numPr>
          <w:ilvl w:val="0"/>
          <w:numId w:val="6"/>
        </w:numPr>
        <w:tabs>
          <w:tab w:pos="3714" w:val="left" w:leader="none"/>
        </w:tabs>
        <w:spacing w:line="244" w:lineRule="auto" w:before="0" w:after="0"/>
        <w:ind w:left="3712" w:right="449" w:hanging="528"/>
        <w:jc w:val="left"/>
        <w:rPr>
          <w:b/>
          <w:sz w:val="21"/>
        </w:rPr>
      </w:pPr>
      <w:r>
        <w:rPr>
          <w:b/>
          <w:spacing w:val="-6"/>
          <w:sz w:val="21"/>
        </w:rPr>
        <w:t>被保险人未经医师</w:t>
      </w:r>
      <w:r>
        <w:rPr>
          <w:spacing w:val="-6"/>
          <w:sz w:val="21"/>
        </w:rPr>
        <w:t>（</w:t>
      </w:r>
      <w:r>
        <w:rPr>
          <w:spacing w:val="-26"/>
          <w:sz w:val="21"/>
        </w:rPr>
        <w:t>见 </w:t>
      </w:r>
      <w:r>
        <w:rPr>
          <w:rFonts w:ascii="Times New Roman" w:eastAsia="Times New Roman"/>
          <w:spacing w:val="-6"/>
          <w:sz w:val="21"/>
        </w:rPr>
        <w:t>11.5</w:t>
      </w:r>
      <w:r>
        <w:rPr>
          <w:spacing w:val="-6"/>
          <w:sz w:val="21"/>
        </w:rPr>
        <w:t>）</w:t>
      </w:r>
      <w:r>
        <w:rPr>
          <w:b/>
          <w:spacing w:val="-6"/>
          <w:sz w:val="21"/>
        </w:rPr>
        <w:t>处方注射、吸食、服用毒品</w:t>
      </w:r>
      <w:r>
        <w:rPr>
          <w:spacing w:val="-6"/>
          <w:sz w:val="21"/>
        </w:rPr>
        <w:t>（见</w:t>
      </w:r>
      <w:r>
        <w:rPr>
          <w:spacing w:val="-6"/>
          <w:sz w:val="21"/>
        </w:rPr>
        <w:t> </w:t>
      </w:r>
      <w:r>
        <w:rPr>
          <w:rFonts w:ascii="Times New Roman" w:eastAsia="Times New Roman"/>
          <w:spacing w:val="-2"/>
          <w:sz w:val="21"/>
        </w:rPr>
        <w:t>11.6</w:t>
      </w:r>
      <w:r>
        <w:rPr>
          <w:spacing w:val="-2"/>
          <w:sz w:val="21"/>
        </w:rPr>
        <w:t>）</w:t>
      </w:r>
      <w:r>
        <w:rPr>
          <w:b/>
          <w:spacing w:val="-2"/>
          <w:sz w:val="21"/>
        </w:rPr>
        <w:t>或处方药品；</w:t>
      </w:r>
    </w:p>
    <w:p>
      <w:pPr>
        <w:pStyle w:val="ListParagraph"/>
        <w:numPr>
          <w:ilvl w:val="0"/>
          <w:numId w:val="6"/>
        </w:numPr>
        <w:tabs>
          <w:tab w:pos="3714" w:val="left" w:leader="none"/>
        </w:tabs>
        <w:spacing w:line="242" w:lineRule="auto" w:before="0" w:after="0"/>
        <w:ind w:left="3712" w:right="348" w:hanging="528"/>
        <w:jc w:val="left"/>
        <w:rPr>
          <w:b/>
          <w:sz w:val="21"/>
        </w:rPr>
      </w:pPr>
      <w:r>
        <w:rPr>
          <w:b/>
          <w:sz w:val="21"/>
        </w:rPr>
        <w:t>被保险人酒后驾驶</w:t>
      </w:r>
      <w:r>
        <w:rPr>
          <w:sz w:val="21"/>
        </w:rPr>
        <w:t>（见 </w:t>
      </w:r>
      <w:r>
        <w:rPr>
          <w:rFonts w:ascii="Times New Roman" w:eastAsia="Times New Roman"/>
          <w:spacing w:val="11"/>
          <w:sz w:val="21"/>
        </w:rPr>
        <w:t>1</w:t>
      </w:r>
      <w:r>
        <w:rPr>
          <w:rFonts w:ascii="Times New Roman" w:eastAsia="Times New Roman"/>
          <w:spacing w:val="21"/>
          <w:sz w:val="21"/>
        </w:rPr>
        <w:t>1</w:t>
      </w:r>
      <w:r>
        <w:rPr>
          <w:rFonts w:ascii="Times New Roman" w:eastAsia="Times New Roman"/>
          <w:spacing w:val="20"/>
          <w:sz w:val="21"/>
        </w:rPr>
        <w:t>.</w:t>
      </w:r>
      <w:r>
        <w:rPr>
          <w:rFonts w:ascii="Times New Roman" w:eastAsia="Times New Roman"/>
          <w:spacing w:val="25"/>
          <w:sz w:val="21"/>
        </w:rPr>
        <w:t>7</w:t>
      </w:r>
      <w:r>
        <w:rPr>
          <w:spacing w:val="-80"/>
          <w:sz w:val="21"/>
        </w:rPr>
        <w:t>）</w:t>
      </w:r>
      <w:r>
        <w:rPr>
          <w:b/>
          <w:sz w:val="21"/>
        </w:rPr>
        <w:t>、无合法有效驾驶证驾驶</w:t>
      </w:r>
      <w:r>
        <w:rPr>
          <w:sz w:val="21"/>
        </w:rPr>
        <w:t>（见 </w:t>
      </w:r>
      <w:r>
        <w:rPr>
          <w:rFonts w:ascii="Times New Roman" w:eastAsia="Times New Roman"/>
          <w:spacing w:val="5"/>
          <w:sz w:val="21"/>
        </w:rPr>
        <w:t>1</w:t>
      </w:r>
      <w:r>
        <w:rPr>
          <w:rFonts w:ascii="Times New Roman" w:eastAsia="Times New Roman"/>
          <w:spacing w:val="13"/>
          <w:sz w:val="21"/>
        </w:rPr>
        <w:t>1</w:t>
      </w:r>
      <w:r>
        <w:rPr>
          <w:rFonts w:ascii="Times New Roman" w:eastAsia="Times New Roman"/>
          <w:spacing w:val="12"/>
          <w:sz w:val="21"/>
        </w:rPr>
        <w:t>.</w:t>
      </w:r>
      <w:r>
        <w:rPr>
          <w:rFonts w:ascii="Times New Roman" w:eastAsia="Times New Roman"/>
          <w:spacing w:val="13"/>
          <w:sz w:val="21"/>
        </w:rPr>
        <w:t>8</w:t>
      </w:r>
      <w:r>
        <w:rPr>
          <w:spacing w:val="-95"/>
          <w:sz w:val="21"/>
        </w:rPr>
        <w:t>）</w:t>
      </w:r>
      <w:r>
        <w:rPr>
          <w:b/>
          <w:spacing w:val="-8"/>
          <w:sz w:val="21"/>
        </w:rPr>
        <w:t>，或驾驶无有效行驶证</w:t>
      </w:r>
      <w:r>
        <w:rPr>
          <w:spacing w:val="-8"/>
          <w:sz w:val="21"/>
        </w:rPr>
        <w:t>（</w:t>
      </w:r>
      <w:r>
        <w:rPr>
          <w:spacing w:val="-32"/>
          <w:sz w:val="21"/>
        </w:rPr>
        <w:t>见 </w:t>
      </w:r>
      <w:r>
        <w:rPr>
          <w:rFonts w:ascii="Times New Roman" w:eastAsia="Times New Roman"/>
          <w:spacing w:val="-8"/>
          <w:sz w:val="21"/>
        </w:rPr>
        <w:t>11.9</w:t>
      </w:r>
      <w:r>
        <w:rPr>
          <w:spacing w:val="-8"/>
          <w:sz w:val="21"/>
        </w:rPr>
        <w:t>）</w:t>
      </w:r>
      <w:r>
        <w:rPr>
          <w:b/>
          <w:spacing w:val="-8"/>
          <w:sz w:val="21"/>
        </w:rPr>
        <w:t>的机动车</w:t>
      </w:r>
      <w:r>
        <w:rPr>
          <w:spacing w:val="-8"/>
          <w:sz w:val="21"/>
        </w:rPr>
        <w:t>（</w:t>
      </w:r>
      <w:r>
        <w:rPr>
          <w:spacing w:val="-31"/>
          <w:sz w:val="21"/>
        </w:rPr>
        <w:t>见 </w:t>
      </w:r>
      <w:r>
        <w:rPr>
          <w:rFonts w:ascii="Times New Roman" w:eastAsia="Times New Roman"/>
          <w:spacing w:val="1"/>
          <w:sz w:val="21"/>
        </w:rPr>
        <w:t>1</w:t>
      </w:r>
      <w:r>
        <w:rPr>
          <w:rFonts w:ascii="Times New Roman" w:eastAsia="Times New Roman"/>
          <w:spacing w:val="9"/>
          <w:sz w:val="21"/>
        </w:rPr>
        <w:t>1</w:t>
      </w:r>
      <w:r>
        <w:rPr>
          <w:rFonts w:ascii="Times New Roman" w:eastAsia="Times New Roman"/>
          <w:spacing w:val="6"/>
          <w:sz w:val="21"/>
        </w:rPr>
        <w:t>.</w:t>
      </w:r>
      <w:r>
        <w:rPr>
          <w:rFonts w:ascii="Times New Roman" w:eastAsia="Times New Roman"/>
          <w:spacing w:val="9"/>
          <w:sz w:val="21"/>
        </w:rPr>
        <w:t>1</w:t>
      </w:r>
      <w:r>
        <w:rPr>
          <w:rFonts w:ascii="Times New Roman" w:eastAsia="Times New Roman"/>
          <w:spacing w:val="6"/>
          <w:sz w:val="21"/>
        </w:rPr>
        <w:t>0</w:t>
      </w:r>
      <w:r>
        <w:rPr>
          <w:spacing w:val="-99"/>
          <w:sz w:val="21"/>
        </w:rPr>
        <w:t>）</w:t>
      </w:r>
      <w:r>
        <w:rPr>
          <w:b/>
          <w:spacing w:val="9"/>
          <w:sz w:val="21"/>
        </w:rPr>
        <w:t>；</w:t>
      </w:r>
    </w:p>
    <w:p>
      <w:pPr>
        <w:pStyle w:val="ListParagraph"/>
        <w:numPr>
          <w:ilvl w:val="0"/>
          <w:numId w:val="6"/>
        </w:numPr>
        <w:tabs>
          <w:tab w:pos="3714" w:val="left" w:leader="none"/>
        </w:tabs>
        <w:spacing w:line="240" w:lineRule="auto" w:before="0" w:after="0"/>
        <w:ind w:left="3714" w:right="0" w:hanging="529"/>
        <w:jc w:val="left"/>
        <w:rPr>
          <w:b/>
          <w:sz w:val="21"/>
        </w:rPr>
      </w:pPr>
      <w:r>
        <w:rPr>
          <w:b/>
          <w:spacing w:val="-2"/>
          <w:sz w:val="21"/>
        </w:rPr>
        <w:t>被保险人感染艾滋病病毒或患艾滋病</w:t>
      </w:r>
      <w:r>
        <w:rPr>
          <w:spacing w:val="-2"/>
          <w:sz w:val="21"/>
        </w:rPr>
        <w:t>（</w:t>
      </w:r>
      <w:r>
        <w:rPr>
          <w:spacing w:val="-15"/>
          <w:sz w:val="21"/>
        </w:rPr>
        <w:t>见 </w:t>
      </w:r>
      <w:r>
        <w:rPr>
          <w:rFonts w:ascii="Times New Roman" w:eastAsia="Times New Roman"/>
          <w:spacing w:val="6"/>
          <w:sz w:val="21"/>
        </w:rPr>
        <w:t>1</w:t>
      </w:r>
      <w:r>
        <w:rPr>
          <w:rFonts w:ascii="Times New Roman" w:eastAsia="Times New Roman"/>
          <w:spacing w:val="16"/>
          <w:sz w:val="21"/>
        </w:rPr>
        <w:t>1</w:t>
      </w:r>
      <w:r>
        <w:rPr>
          <w:rFonts w:ascii="Times New Roman" w:eastAsia="Times New Roman"/>
          <w:spacing w:val="15"/>
          <w:sz w:val="21"/>
        </w:rPr>
        <w:t>.</w:t>
      </w:r>
      <w:r>
        <w:rPr>
          <w:rFonts w:ascii="Times New Roman" w:eastAsia="Times New Roman"/>
          <w:spacing w:val="9"/>
          <w:sz w:val="21"/>
        </w:rPr>
        <w:t>1</w:t>
      </w:r>
      <w:r>
        <w:rPr>
          <w:rFonts w:ascii="Times New Roman" w:eastAsia="Times New Roman"/>
          <w:spacing w:val="13"/>
          <w:sz w:val="21"/>
        </w:rPr>
        <w:t>1</w:t>
      </w:r>
      <w:r>
        <w:rPr>
          <w:spacing w:val="-92"/>
          <w:sz w:val="21"/>
        </w:rPr>
        <w:t>）</w:t>
      </w:r>
      <w:r>
        <w:rPr>
          <w:b/>
          <w:spacing w:val="16"/>
          <w:sz w:val="21"/>
        </w:rPr>
        <w:t>；</w:t>
      </w:r>
    </w:p>
    <w:p>
      <w:pPr>
        <w:pStyle w:val="Heading3"/>
        <w:numPr>
          <w:ilvl w:val="0"/>
          <w:numId w:val="6"/>
        </w:numPr>
        <w:tabs>
          <w:tab w:pos="3714" w:val="left" w:leader="none"/>
        </w:tabs>
        <w:spacing w:line="240" w:lineRule="auto" w:before="0" w:after="0"/>
        <w:ind w:left="3714" w:right="0" w:hanging="529"/>
        <w:jc w:val="left"/>
      </w:pPr>
      <w:r>
        <w:rPr>
          <w:spacing w:val="-3"/>
        </w:rPr>
        <w:t>战争、军事冲突、暴乱或武装叛乱；</w:t>
      </w:r>
    </w:p>
    <w:p>
      <w:pPr>
        <w:pStyle w:val="ListParagraph"/>
        <w:numPr>
          <w:ilvl w:val="0"/>
          <w:numId w:val="6"/>
        </w:numPr>
        <w:tabs>
          <w:tab w:pos="3714" w:val="left" w:leader="none"/>
        </w:tabs>
        <w:spacing w:line="240" w:lineRule="auto" w:before="0" w:after="0"/>
        <w:ind w:left="3714" w:right="0" w:hanging="529"/>
        <w:jc w:val="left"/>
        <w:rPr>
          <w:b/>
          <w:sz w:val="21"/>
        </w:rPr>
      </w:pPr>
      <w:r>
        <w:rPr>
          <w:b/>
          <w:spacing w:val="-3"/>
          <w:sz w:val="21"/>
        </w:rPr>
        <w:t>核爆炸、核辐射或核污染；</w:t>
      </w:r>
    </w:p>
    <w:p>
      <w:pPr>
        <w:pStyle w:val="ListParagraph"/>
        <w:numPr>
          <w:ilvl w:val="0"/>
          <w:numId w:val="6"/>
        </w:numPr>
        <w:tabs>
          <w:tab w:pos="3714" w:val="left" w:leader="none"/>
        </w:tabs>
        <w:spacing w:line="244" w:lineRule="auto" w:before="2" w:after="0"/>
        <w:ind w:left="3712" w:right="449" w:hanging="528"/>
        <w:jc w:val="left"/>
        <w:rPr>
          <w:b/>
          <w:sz w:val="21"/>
        </w:rPr>
      </w:pPr>
      <w:r>
        <w:rPr>
          <w:b/>
          <w:spacing w:val="-8"/>
          <w:sz w:val="21"/>
        </w:rPr>
        <w:t>遗传性疾病</w:t>
      </w:r>
      <w:r>
        <w:rPr>
          <w:spacing w:val="-8"/>
          <w:sz w:val="21"/>
        </w:rPr>
        <w:t>（</w:t>
      </w:r>
      <w:r>
        <w:rPr>
          <w:spacing w:val="-32"/>
          <w:sz w:val="21"/>
        </w:rPr>
        <w:t>见 </w:t>
      </w:r>
      <w:r>
        <w:rPr>
          <w:rFonts w:ascii="Times New Roman" w:eastAsia="Times New Roman"/>
          <w:spacing w:val="3"/>
          <w:sz w:val="21"/>
        </w:rPr>
        <w:t>1</w:t>
      </w:r>
      <w:r>
        <w:rPr>
          <w:rFonts w:ascii="Times New Roman" w:eastAsia="Times New Roman"/>
          <w:spacing w:val="11"/>
          <w:sz w:val="21"/>
        </w:rPr>
        <w:t>1</w:t>
      </w:r>
      <w:r>
        <w:rPr>
          <w:rFonts w:ascii="Times New Roman" w:eastAsia="Times New Roman"/>
          <w:spacing w:val="8"/>
          <w:sz w:val="21"/>
        </w:rPr>
        <w:t>.</w:t>
      </w:r>
      <w:r>
        <w:rPr>
          <w:rFonts w:ascii="Times New Roman" w:eastAsia="Times New Roman"/>
          <w:spacing w:val="11"/>
          <w:sz w:val="21"/>
        </w:rPr>
        <w:t>12</w:t>
      </w:r>
      <w:r>
        <w:rPr>
          <w:spacing w:val="-97"/>
          <w:sz w:val="21"/>
        </w:rPr>
        <w:t>）</w:t>
      </w:r>
      <w:r>
        <w:rPr>
          <w:b/>
          <w:spacing w:val="-8"/>
          <w:sz w:val="21"/>
        </w:rPr>
        <w:t>、先天性畸形、变形或染色体异常</w:t>
      </w:r>
      <w:r>
        <w:rPr>
          <w:spacing w:val="-8"/>
          <w:sz w:val="21"/>
        </w:rPr>
        <w:t>（见</w:t>
      </w:r>
      <w:r>
        <w:rPr>
          <w:spacing w:val="-8"/>
          <w:sz w:val="21"/>
        </w:rPr>
        <w:t> </w:t>
      </w:r>
      <w:r>
        <w:rPr>
          <w:rFonts w:ascii="Times New Roman" w:eastAsia="Times New Roman"/>
          <w:spacing w:val="10"/>
          <w:sz w:val="21"/>
        </w:rPr>
        <w:t>1</w:t>
      </w:r>
      <w:r>
        <w:rPr>
          <w:rFonts w:ascii="Times New Roman" w:eastAsia="Times New Roman"/>
          <w:spacing w:val="18"/>
          <w:sz w:val="21"/>
        </w:rPr>
        <w:t>1</w:t>
      </w:r>
      <w:r>
        <w:rPr>
          <w:rFonts w:ascii="Times New Roman" w:eastAsia="Times New Roman"/>
          <w:spacing w:val="17"/>
          <w:sz w:val="21"/>
        </w:rPr>
        <w:t>.</w:t>
      </w:r>
      <w:r>
        <w:rPr>
          <w:rFonts w:ascii="Times New Roman" w:eastAsia="Times New Roman"/>
          <w:spacing w:val="18"/>
          <w:sz w:val="21"/>
        </w:rPr>
        <w:t>1</w:t>
      </w:r>
      <w:r>
        <w:rPr>
          <w:rFonts w:ascii="Times New Roman" w:eastAsia="Times New Roman"/>
          <w:spacing w:val="15"/>
          <w:sz w:val="21"/>
        </w:rPr>
        <w:t>3</w:t>
      </w:r>
      <w:r>
        <w:rPr>
          <w:spacing w:val="-90"/>
          <w:sz w:val="21"/>
        </w:rPr>
        <w:t>）</w:t>
      </w:r>
      <w:r>
        <w:rPr>
          <w:b/>
          <w:spacing w:val="-2"/>
          <w:sz w:val="21"/>
        </w:rPr>
        <w:t>。</w:t>
      </w:r>
    </w:p>
    <w:p>
      <w:pPr>
        <w:pStyle w:val="BodyText"/>
        <w:spacing w:before="7"/>
        <w:rPr>
          <w:b/>
          <w:sz w:val="18"/>
        </w:rPr>
      </w:pPr>
    </w:p>
    <w:p>
      <w:pPr>
        <w:spacing w:line="242" w:lineRule="auto" w:before="0"/>
        <w:ind w:left="3185" w:right="346" w:firstLine="0"/>
        <w:jc w:val="left"/>
        <w:rPr>
          <w:b/>
          <w:sz w:val="21"/>
        </w:rPr>
      </w:pPr>
      <w:r>
        <w:rPr>
          <w:b/>
          <w:spacing w:val="2"/>
          <w:w w:val="100"/>
          <w:sz w:val="21"/>
        </w:rPr>
        <w:t>发生上述第</w:t>
      </w:r>
      <w:r>
        <w:rPr>
          <w:b/>
          <w:spacing w:val="4"/>
          <w:w w:val="100"/>
          <w:sz w:val="21"/>
        </w:rPr>
        <w:t>（</w:t>
      </w:r>
      <w:r>
        <w:rPr>
          <w:rFonts w:ascii="Times New Roman" w:eastAsia="Times New Roman"/>
          <w:b/>
          <w:w w:val="100"/>
          <w:sz w:val="21"/>
        </w:rPr>
        <w:t>1</w:t>
      </w:r>
      <w:r>
        <w:rPr>
          <w:b/>
          <w:spacing w:val="2"/>
          <w:w w:val="100"/>
          <w:sz w:val="21"/>
        </w:rPr>
        <w:t>）项情形导致被保险人患本合同约定保障范围及定</w:t>
      </w:r>
      <w:r>
        <w:rPr>
          <w:b/>
          <w:spacing w:val="-13"/>
          <w:w w:val="100"/>
          <w:sz w:val="21"/>
        </w:rPr>
        <w:t>义的特定疾病的，本合同效力终止。若本合同尚未发生保险金赔付，</w:t>
      </w:r>
      <w:r>
        <w:rPr>
          <w:b/>
          <w:spacing w:val="-2"/>
          <w:w w:val="100"/>
          <w:sz w:val="21"/>
        </w:rPr>
        <w:t>我们向被保险人退还本合同的未满期净保险费</w:t>
      </w:r>
      <w:r>
        <w:rPr>
          <w:spacing w:val="-3"/>
          <w:w w:val="100"/>
          <w:sz w:val="21"/>
        </w:rPr>
        <w:t>（</w:t>
      </w:r>
      <w:r>
        <w:rPr>
          <w:w w:val="100"/>
          <w:sz w:val="21"/>
        </w:rPr>
        <w:t>见</w:t>
      </w:r>
      <w:r>
        <w:rPr>
          <w:spacing w:val="-55"/>
          <w:sz w:val="21"/>
        </w:rPr>
        <w:t> </w:t>
      </w:r>
      <w:r>
        <w:rPr>
          <w:rFonts w:ascii="Times New Roman" w:eastAsia="Times New Roman"/>
          <w:spacing w:val="-8"/>
          <w:w w:val="100"/>
          <w:sz w:val="21"/>
        </w:rPr>
        <w:t>1</w:t>
      </w:r>
      <w:r>
        <w:rPr>
          <w:rFonts w:ascii="Times New Roman" w:eastAsia="Times New Roman"/>
          <w:w w:val="100"/>
          <w:sz w:val="21"/>
        </w:rPr>
        <w:t>1.1</w:t>
      </w:r>
      <w:r>
        <w:rPr>
          <w:rFonts w:ascii="Times New Roman" w:eastAsia="Times New Roman"/>
          <w:spacing w:val="-3"/>
          <w:w w:val="100"/>
          <w:sz w:val="21"/>
        </w:rPr>
        <w:t>4</w:t>
      </w:r>
      <w:r>
        <w:rPr>
          <w:spacing w:val="-108"/>
          <w:w w:val="100"/>
          <w:sz w:val="21"/>
        </w:rPr>
        <w:t>）</w:t>
      </w:r>
      <w:r>
        <w:rPr>
          <w:b/>
          <w:w w:val="100"/>
          <w:sz w:val="21"/>
        </w:rPr>
        <w:t>。</w:t>
      </w:r>
    </w:p>
    <w:p>
      <w:pPr>
        <w:pStyle w:val="BodyText"/>
        <w:rPr>
          <w:b/>
          <w:sz w:val="19"/>
        </w:rPr>
      </w:pPr>
    </w:p>
    <w:p>
      <w:pPr>
        <w:spacing w:line="242" w:lineRule="auto" w:before="1"/>
        <w:ind w:left="3185" w:right="480" w:firstLine="0"/>
        <w:jc w:val="both"/>
        <w:rPr>
          <w:b/>
          <w:sz w:val="21"/>
        </w:rPr>
      </w:pPr>
      <w:r>
        <w:rPr>
          <w:b/>
          <w:spacing w:val="3"/>
          <w:w w:val="100"/>
          <w:sz w:val="21"/>
        </w:rPr>
        <w:t>发生上述其他情形导致被保险人患本合同约定保障范围及定义的</w:t>
      </w:r>
      <w:r>
        <w:rPr>
          <w:b/>
          <w:spacing w:val="-7"/>
          <w:w w:val="100"/>
          <w:sz w:val="21"/>
        </w:rPr>
        <w:t>特定疾病的，本合同效力终止。若本合同尚未发生保险金赔付，我</w:t>
      </w:r>
      <w:r>
        <w:rPr>
          <w:b/>
          <w:spacing w:val="-2"/>
          <w:w w:val="100"/>
          <w:sz w:val="21"/>
        </w:rPr>
        <w:t>们向您退还本合同的未满期净保险费。</w:t>
      </w:r>
    </w:p>
    <w:p>
      <w:pPr>
        <w:pStyle w:val="BodyText"/>
        <w:rPr>
          <w:b/>
          <w:sz w:val="20"/>
        </w:rPr>
      </w:pPr>
    </w:p>
    <w:p>
      <w:pPr>
        <w:pStyle w:val="BodyText"/>
        <w:spacing w:before="8"/>
        <w:rPr>
          <w:b/>
          <w:sz w:val="25"/>
        </w:rPr>
      </w:pPr>
    </w:p>
    <w:p>
      <w:pPr>
        <w:pStyle w:val="Heading2"/>
        <w:numPr>
          <w:ilvl w:val="0"/>
          <w:numId w:val="4"/>
        </w:numPr>
        <w:tabs>
          <w:tab w:pos="1341" w:val="left" w:leader="none"/>
          <w:tab w:pos="1342" w:val="left" w:leader="none"/>
        </w:tabs>
        <w:spacing w:line="240" w:lineRule="auto" w:before="0" w:after="0"/>
        <w:ind w:left="1341" w:right="0" w:hanging="1100"/>
        <w:jc w:val="left"/>
      </w:pPr>
      <w:r>
        <w:rPr>
          <w:w w:val="95"/>
        </w:rPr>
        <w:t>保险金</w:t>
      </w:r>
      <w:r>
        <w:rPr>
          <w:w w:val="95"/>
        </w:rPr>
        <w:t>的</w:t>
      </w:r>
      <w:r>
        <w:rPr>
          <w:w w:val="95"/>
        </w:rPr>
        <w:t>申</w:t>
      </w:r>
      <w:r>
        <w:rPr>
          <w:spacing w:val="-10"/>
          <w:w w:val="95"/>
        </w:rPr>
        <w:t>请</w:t>
      </w:r>
    </w:p>
    <w:p>
      <w:pPr>
        <w:pStyle w:val="BodyText"/>
        <w:spacing w:before="3"/>
        <w:rPr>
          <w:b/>
          <w:sz w:val="4"/>
        </w:rPr>
      </w:pPr>
      <w:r>
        <w:rPr/>
        <w:drawing>
          <wp:anchor distT="0" distB="0" distL="0" distR="0" allowOverlap="1" layoutInCell="1" locked="0" behindDoc="0" simplePos="0" relativeHeight="5">
            <wp:simplePos x="0" y="0"/>
            <wp:positionH relativeFrom="page">
              <wp:posOffset>1003096</wp:posOffset>
            </wp:positionH>
            <wp:positionV relativeFrom="paragraph">
              <wp:posOffset>49688</wp:posOffset>
            </wp:positionV>
            <wp:extent cx="5695427" cy="5905"/>
            <wp:effectExtent l="0" t="0" r="0" b="0"/>
            <wp:wrapTopAndBottom/>
            <wp:docPr id="13" name="image7.png"/>
            <wp:cNvGraphicFramePr>
              <a:graphicFrameLocks noChangeAspect="1"/>
            </wp:cNvGraphicFramePr>
            <a:graphic>
              <a:graphicData uri="http://schemas.openxmlformats.org/drawingml/2006/picture">
                <pic:pic>
                  <pic:nvPicPr>
                    <pic:cNvPr id="14" name="image7.png"/>
                    <pic:cNvPicPr/>
                  </pic:nvPicPr>
                  <pic:blipFill>
                    <a:blip r:embed="rId12" cstate="print"/>
                    <a:stretch>
                      <a:fillRect/>
                    </a:stretch>
                  </pic:blipFill>
                  <pic:spPr>
                    <a:xfrm>
                      <a:off x="0" y="0"/>
                      <a:ext cx="5695427" cy="5905"/>
                    </a:xfrm>
                    <a:prstGeom prst="rect">
                      <a:avLst/>
                    </a:prstGeom>
                  </pic:spPr>
                </pic:pic>
              </a:graphicData>
            </a:graphic>
          </wp:anchor>
        </w:drawing>
      </w:r>
    </w:p>
    <w:p>
      <w:pPr>
        <w:spacing w:after="0"/>
        <w:rPr>
          <w:sz w:val="4"/>
        </w:rPr>
        <w:sectPr>
          <w:type w:val="continuous"/>
          <w:pgSz w:w="11910" w:h="16840"/>
          <w:pgMar w:header="0" w:footer="879" w:top="300" w:bottom="280" w:left="1460" w:right="720"/>
        </w:sectPr>
      </w:pPr>
    </w:p>
    <w:p>
      <w:pPr>
        <w:pStyle w:val="BodyText"/>
        <w:spacing w:line="20" w:lineRule="exact"/>
        <w:ind w:left="134"/>
        <w:rPr>
          <w:sz w:val="2"/>
        </w:rPr>
      </w:pPr>
      <w:r>
        <w:rPr>
          <w:sz w:val="2"/>
        </w:rPr>
        <w:drawing>
          <wp:inline distT="0" distB="0" distL="0" distR="0">
            <wp:extent cx="5943262" cy="2571"/>
            <wp:effectExtent l="0" t="0" r="0" b="0"/>
            <wp:docPr id="15" name="image6.png"/>
            <wp:cNvGraphicFramePr>
              <a:graphicFrameLocks noChangeAspect="1"/>
            </wp:cNvGraphicFramePr>
            <a:graphic>
              <a:graphicData uri="http://schemas.openxmlformats.org/drawingml/2006/picture">
                <pic:pic>
                  <pic:nvPicPr>
                    <pic:cNvPr id="16" name="image6.png"/>
                    <pic:cNvPicPr/>
                  </pic:nvPicPr>
                  <pic:blipFill>
                    <a:blip r:embed="rId11" cstate="print"/>
                    <a:stretch>
                      <a:fillRect/>
                    </a:stretch>
                  </pic:blipFill>
                  <pic:spPr>
                    <a:xfrm>
                      <a:off x="0" y="0"/>
                      <a:ext cx="5943262" cy="2571"/>
                    </a:xfrm>
                    <a:prstGeom prst="rect">
                      <a:avLst/>
                    </a:prstGeom>
                  </pic:spPr>
                </pic:pic>
              </a:graphicData>
            </a:graphic>
          </wp:inline>
        </w:drawing>
      </w:r>
      <w:r>
        <w:rPr>
          <w:sz w:val="2"/>
        </w:rPr>
      </w:r>
    </w:p>
    <w:p>
      <w:pPr>
        <w:pStyle w:val="BodyText"/>
        <w:spacing w:before="9" w:after="1"/>
        <w:rPr>
          <w:b/>
          <w:sz w:val="17"/>
        </w:rPr>
      </w:pPr>
    </w:p>
    <w:tbl>
      <w:tblPr>
        <w:tblW w:w="0" w:type="auto"/>
        <w:jc w:val="left"/>
        <w:tblInd w:w="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11"/>
        <w:gridCol w:w="2086"/>
        <w:gridCol w:w="6236"/>
      </w:tblGrid>
      <w:tr>
        <w:trPr>
          <w:trHeight w:val="376" w:hRule="atLeast"/>
        </w:trPr>
        <w:tc>
          <w:tcPr>
            <w:tcW w:w="811" w:type="dxa"/>
          </w:tcPr>
          <w:p>
            <w:pPr>
              <w:pStyle w:val="TableParagraph"/>
              <w:spacing w:line="234" w:lineRule="exact"/>
              <w:ind w:left="50"/>
              <w:rPr>
                <w:rFonts w:ascii="Times New Roman"/>
                <w:sz w:val="21"/>
              </w:rPr>
            </w:pPr>
            <w:r>
              <w:rPr>
                <w:rFonts w:ascii="Times New Roman"/>
                <w:spacing w:val="-5"/>
                <w:sz w:val="21"/>
              </w:rPr>
              <w:t>3.1</w:t>
            </w:r>
          </w:p>
        </w:tc>
        <w:tc>
          <w:tcPr>
            <w:tcW w:w="2086" w:type="dxa"/>
          </w:tcPr>
          <w:p>
            <w:pPr>
              <w:pStyle w:val="TableParagraph"/>
              <w:ind w:left="338"/>
              <w:rPr>
                <w:b/>
                <w:sz w:val="21"/>
              </w:rPr>
            </w:pPr>
            <w:r>
              <w:rPr>
                <w:b/>
                <w:spacing w:val="-4"/>
                <w:sz w:val="21"/>
              </w:rPr>
              <w:t>受益人</w:t>
            </w:r>
          </w:p>
        </w:tc>
        <w:tc>
          <w:tcPr>
            <w:tcW w:w="6236" w:type="dxa"/>
          </w:tcPr>
          <w:p>
            <w:pPr>
              <w:pStyle w:val="TableParagraph"/>
              <w:ind w:left="95"/>
              <w:rPr>
                <w:sz w:val="21"/>
              </w:rPr>
            </w:pPr>
            <w:r>
              <w:rPr>
                <w:spacing w:val="-3"/>
                <w:sz w:val="21"/>
              </w:rPr>
              <w:t>除另有约定外，本合同受益人为被保险人本人。</w:t>
            </w:r>
          </w:p>
        </w:tc>
      </w:tr>
      <w:tr>
        <w:trPr>
          <w:trHeight w:val="415" w:hRule="atLeast"/>
        </w:trPr>
        <w:tc>
          <w:tcPr>
            <w:tcW w:w="811" w:type="dxa"/>
          </w:tcPr>
          <w:p>
            <w:pPr>
              <w:pStyle w:val="TableParagraph"/>
              <w:spacing w:before="129"/>
              <w:ind w:left="50"/>
              <w:rPr>
                <w:rFonts w:ascii="Times New Roman"/>
                <w:sz w:val="21"/>
              </w:rPr>
            </w:pPr>
            <w:r>
              <w:rPr>
                <w:rFonts w:ascii="Times New Roman"/>
                <w:spacing w:val="-5"/>
                <w:sz w:val="21"/>
              </w:rPr>
              <w:t>3.2</w:t>
            </w:r>
          </w:p>
        </w:tc>
        <w:tc>
          <w:tcPr>
            <w:tcW w:w="2086" w:type="dxa"/>
          </w:tcPr>
          <w:p>
            <w:pPr>
              <w:pStyle w:val="TableParagraph"/>
              <w:spacing w:line="259" w:lineRule="exact" w:before="137"/>
              <w:ind w:left="338"/>
              <w:rPr>
                <w:b/>
                <w:sz w:val="21"/>
              </w:rPr>
            </w:pPr>
            <w:r>
              <w:rPr>
                <w:b/>
                <w:spacing w:val="-2"/>
                <w:sz w:val="21"/>
              </w:rPr>
              <w:t>保险事故通知</w:t>
            </w:r>
          </w:p>
        </w:tc>
        <w:tc>
          <w:tcPr>
            <w:tcW w:w="6236" w:type="dxa"/>
          </w:tcPr>
          <w:p>
            <w:pPr>
              <w:pStyle w:val="TableParagraph"/>
              <w:spacing w:line="259" w:lineRule="exact" w:before="137"/>
              <w:ind w:left="95"/>
              <w:rPr>
                <w:sz w:val="21"/>
              </w:rPr>
            </w:pPr>
            <w:r>
              <w:rPr>
                <w:spacing w:val="-2"/>
                <w:sz w:val="21"/>
              </w:rPr>
              <w:t>您、被保险人或受益人知道或应当知道保险事故后应当在</w:t>
            </w:r>
            <w:r>
              <w:rPr>
                <w:rFonts w:ascii="Times New Roman" w:eastAsia="Times New Roman"/>
                <w:spacing w:val="-2"/>
                <w:sz w:val="21"/>
              </w:rPr>
              <w:t>10</w:t>
            </w:r>
            <w:r>
              <w:rPr>
                <w:spacing w:val="-5"/>
                <w:sz w:val="21"/>
              </w:rPr>
              <w:t>日内通</w:t>
            </w:r>
          </w:p>
        </w:tc>
      </w:tr>
      <w:tr>
        <w:trPr>
          <w:trHeight w:val="264" w:hRule="atLeast"/>
        </w:trPr>
        <w:tc>
          <w:tcPr>
            <w:tcW w:w="811" w:type="dxa"/>
          </w:tcPr>
          <w:p>
            <w:pPr>
              <w:pStyle w:val="TableParagraph"/>
              <w:rPr>
                <w:rFonts w:ascii="Times New Roman"/>
                <w:sz w:val="18"/>
              </w:rPr>
            </w:pPr>
          </w:p>
        </w:tc>
        <w:tc>
          <w:tcPr>
            <w:tcW w:w="2086" w:type="dxa"/>
          </w:tcPr>
          <w:p>
            <w:pPr>
              <w:pStyle w:val="TableParagraph"/>
              <w:rPr>
                <w:rFonts w:ascii="Times New Roman"/>
                <w:sz w:val="18"/>
              </w:rPr>
            </w:pPr>
          </w:p>
        </w:tc>
        <w:tc>
          <w:tcPr>
            <w:tcW w:w="6236" w:type="dxa"/>
          </w:tcPr>
          <w:p>
            <w:pPr>
              <w:pStyle w:val="TableParagraph"/>
              <w:spacing w:line="244" w:lineRule="exact"/>
              <w:ind w:left="95"/>
              <w:rPr>
                <w:b/>
                <w:sz w:val="21"/>
              </w:rPr>
            </w:pPr>
            <w:r>
              <w:rPr>
                <w:spacing w:val="-2"/>
                <w:sz w:val="21"/>
              </w:rPr>
              <w:t>知我们。</w:t>
            </w:r>
            <w:r>
              <w:rPr>
                <w:b/>
                <w:spacing w:val="-3"/>
                <w:sz w:val="21"/>
              </w:rPr>
              <w:t>如果您、被保险人或受益人故意或者因重大过失未及时通</w:t>
            </w:r>
          </w:p>
        </w:tc>
      </w:tr>
      <w:tr>
        <w:trPr>
          <w:trHeight w:val="272" w:hRule="atLeast"/>
        </w:trPr>
        <w:tc>
          <w:tcPr>
            <w:tcW w:w="811" w:type="dxa"/>
          </w:tcPr>
          <w:p>
            <w:pPr>
              <w:pStyle w:val="TableParagraph"/>
              <w:rPr>
                <w:rFonts w:ascii="Times New Roman"/>
                <w:sz w:val="20"/>
              </w:rPr>
            </w:pPr>
          </w:p>
        </w:tc>
        <w:tc>
          <w:tcPr>
            <w:tcW w:w="2086" w:type="dxa"/>
          </w:tcPr>
          <w:p>
            <w:pPr>
              <w:pStyle w:val="TableParagraph"/>
              <w:rPr>
                <w:rFonts w:ascii="Times New Roman"/>
                <w:sz w:val="20"/>
              </w:rPr>
            </w:pPr>
          </w:p>
        </w:tc>
        <w:tc>
          <w:tcPr>
            <w:tcW w:w="6236" w:type="dxa"/>
          </w:tcPr>
          <w:p>
            <w:pPr>
              <w:pStyle w:val="TableParagraph"/>
              <w:spacing w:line="251" w:lineRule="exact" w:before="1"/>
              <w:ind w:left="95"/>
              <w:rPr>
                <w:b/>
                <w:sz w:val="21"/>
              </w:rPr>
            </w:pPr>
            <w:r>
              <w:rPr>
                <w:b/>
                <w:spacing w:val="-3"/>
                <w:sz w:val="21"/>
              </w:rPr>
              <w:t>知，致使保险事故的性质、原因、损失程度等难以确定的，我们对</w:t>
            </w:r>
          </w:p>
        </w:tc>
      </w:tr>
      <w:tr>
        <w:trPr>
          <w:trHeight w:val="272" w:hRule="atLeast"/>
        </w:trPr>
        <w:tc>
          <w:tcPr>
            <w:tcW w:w="811" w:type="dxa"/>
          </w:tcPr>
          <w:p>
            <w:pPr>
              <w:pStyle w:val="TableParagraph"/>
              <w:rPr>
                <w:rFonts w:ascii="Times New Roman"/>
                <w:sz w:val="20"/>
              </w:rPr>
            </w:pPr>
          </w:p>
        </w:tc>
        <w:tc>
          <w:tcPr>
            <w:tcW w:w="2086" w:type="dxa"/>
          </w:tcPr>
          <w:p>
            <w:pPr>
              <w:pStyle w:val="TableParagraph"/>
              <w:rPr>
                <w:rFonts w:ascii="Times New Roman"/>
                <w:sz w:val="20"/>
              </w:rPr>
            </w:pPr>
          </w:p>
        </w:tc>
        <w:tc>
          <w:tcPr>
            <w:tcW w:w="6236" w:type="dxa"/>
          </w:tcPr>
          <w:p>
            <w:pPr>
              <w:pStyle w:val="TableParagraph"/>
              <w:spacing w:line="250" w:lineRule="exact" w:before="2"/>
              <w:ind w:left="95"/>
              <w:rPr>
                <w:sz w:val="21"/>
              </w:rPr>
            </w:pPr>
            <w:r>
              <w:rPr>
                <w:b/>
                <w:spacing w:val="-2"/>
                <w:sz w:val="21"/>
              </w:rPr>
              <w:t>无法确定的部分，不承担给付保险金的责任，</w:t>
            </w:r>
            <w:r>
              <w:rPr>
                <w:spacing w:val="-3"/>
                <w:sz w:val="21"/>
              </w:rPr>
              <w:t>但我们通过其他途径</w:t>
            </w:r>
          </w:p>
        </w:tc>
      </w:tr>
      <w:tr>
        <w:trPr>
          <w:trHeight w:val="272" w:hRule="atLeast"/>
        </w:trPr>
        <w:tc>
          <w:tcPr>
            <w:tcW w:w="811" w:type="dxa"/>
          </w:tcPr>
          <w:p>
            <w:pPr>
              <w:pStyle w:val="TableParagraph"/>
              <w:rPr>
                <w:rFonts w:ascii="Times New Roman"/>
                <w:sz w:val="20"/>
              </w:rPr>
            </w:pPr>
          </w:p>
        </w:tc>
        <w:tc>
          <w:tcPr>
            <w:tcW w:w="2086" w:type="dxa"/>
          </w:tcPr>
          <w:p>
            <w:pPr>
              <w:pStyle w:val="TableParagraph"/>
              <w:rPr>
                <w:rFonts w:ascii="Times New Roman"/>
                <w:sz w:val="20"/>
              </w:rPr>
            </w:pPr>
          </w:p>
        </w:tc>
        <w:tc>
          <w:tcPr>
            <w:tcW w:w="6236" w:type="dxa"/>
          </w:tcPr>
          <w:p>
            <w:pPr>
              <w:pStyle w:val="TableParagraph"/>
              <w:spacing w:line="251" w:lineRule="exact" w:before="1"/>
              <w:ind w:left="95"/>
              <w:rPr>
                <w:sz w:val="21"/>
              </w:rPr>
            </w:pPr>
            <w:r>
              <w:rPr>
                <w:spacing w:val="-1"/>
                <w:sz w:val="21"/>
              </w:rPr>
              <w:t>已经及时知道或者应当及时知道保险事故发生或者虽未及时通知</w:t>
            </w:r>
          </w:p>
        </w:tc>
      </w:tr>
      <w:tr>
        <w:trPr>
          <w:trHeight w:val="379" w:hRule="atLeast"/>
        </w:trPr>
        <w:tc>
          <w:tcPr>
            <w:tcW w:w="811" w:type="dxa"/>
          </w:tcPr>
          <w:p>
            <w:pPr>
              <w:pStyle w:val="TableParagraph"/>
              <w:rPr>
                <w:rFonts w:ascii="Times New Roman"/>
                <w:sz w:val="20"/>
              </w:rPr>
            </w:pPr>
          </w:p>
        </w:tc>
        <w:tc>
          <w:tcPr>
            <w:tcW w:w="2086" w:type="dxa"/>
          </w:tcPr>
          <w:p>
            <w:pPr>
              <w:pStyle w:val="TableParagraph"/>
              <w:rPr>
                <w:rFonts w:ascii="Times New Roman"/>
                <w:sz w:val="20"/>
              </w:rPr>
            </w:pPr>
          </w:p>
        </w:tc>
        <w:tc>
          <w:tcPr>
            <w:tcW w:w="6236" w:type="dxa"/>
          </w:tcPr>
          <w:p>
            <w:pPr>
              <w:pStyle w:val="TableParagraph"/>
              <w:spacing w:before="2"/>
              <w:ind w:left="95"/>
              <w:rPr>
                <w:sz w:val="21"/>
              </w:rPr>
            </w:pPr>
            <w:r>
              <w:rPr>
                <w:spacing w:val="-3"/>
                <w:sz w:val="21"/>
              </w:rPr>
              <w:t>但不影响我们确定保险事故的性质、原因、损失程度的除外。</w:t>
            </w:r>
          </w:p>
        </w:tc>
      </w:tr>
      <w:tr>
        <w:trPr>
          <w:trHeight w:val="784" w:hRule="atLeast"/>
        </w:trPr>
        <w:tc>
          <w:tcPr>
            <w:tcW w:w="811" w:type="dxa"/>
          </w:tcPr>
          <w:p>
            <w:pPr>
              <w:pStyle w:val="TableParagraph"/>
              <w:spacing w:before="129"/>
              <w:ind w:left="50"/>
              <w:rPr>
                <w:rFonts w:ascii="Times New Roman"/>
                <w:sz w:val="21"/>
              </w:rPr>
            </w:pPr>
            <w:r>
              <w:rPr>
                <w:rFonts w:ascii="Times New Roman"/>
                <w:spacing w:val="-5"/>
                <w:sz w:val="21"/>
              </w:rPr>
              <w:t>3.3</w:t>
            </w:r>
          </w:p>
        </w:tc>
        <w:tc>
          <w:tcPr>
            <w:tcW w:w="2086" w:type="dxa"/>
          </w:tcPr>
          <w:p>
            <w:pPr>
              <w:pStyle w:val="TableParagraph"/>
              <w:spacing w:before="137"/>
              <w:ind w:left="338"/>
              <w:rPr>
                <w:b/>
                <w:sz w:val="21"/>
              </w:rPr>
            </w:pPr>
            <w:r>
              <w:rPr>
                <w:b/>
                <w:spacing w:val="-2"/>
                <w:sz w:val="21"/>
              </w:rPr>
              <w:t>保险金的申请</w:t>
            </w:r>
          </w:p>
        </w:tc>
        <w:tc>
          <w:tcPr>
            <w:tcW w:w="6236" w:type="dxa"/>
          </w:tcPr>
          <w:p>
            <w:pPr>
              <w:pStyle w:val="TableParagraph"/>
              <w:spacing w:line="242" w:lineRule="auto" w:before="137"/>
              <w:ind w:left="95" w:right="53"/>
              <w:rPr>
                <w:sz w:val="21"/>
              </w:rPr>
            </w:pPr>
            <w:r>
              <w:rPr>
                <w:spacing w:val="-2"/>
                <w:sz w:val="21"/>
              </w:rPr>
              <w:t>受益人或者其他有权领取保险金的人（简称</w:t>
            </w:r>
            <w:r>
              <w:rPr>
                <w:rFonts w:ascii="Times New Roman" w:hAnsi="Times New Roman" w:eastAsia="Times New Roman"/>
                <w:spacing w:val="-2"/>
                <w:sz w:val="21"/>
              </w:rPr>
              <w:t>“</w:t>
            </w:r>
            <w:r>
              <w:rPr>
                <w:spacing w:val="-2"/>
                <w:sz w:val="21"/>
              </w:rPr>
              <w:t>保险金申请人</w:t>
            </w:r>
            <w:r>
              <w:rPr>
                <w:rFonts w:ascii="Times New Roman" w:hAnsi="Times New Roman" w:eastAsia="Times New Roman"/>
                <w:spacing w:val="-2"/>
                <w:sz w:val="21"/>
              </w:rPr>
              <w:t>”</w:t>
            </w:r>
            <w:r>
              <w:rPr>
                <w:spacing w:val="-2"/>
                <w:sz w:val="21"/>
              </w:rPr>
              <w:t>）可以</w:t>
            </w:r>
            <w:r>
              <w:rPr>
                <w:spacing w:val="-2"/>
                <w:sz w:val="21"/>
              </w:rPr>
              <w:t>申请保险金。</w:t>
            </w:r>
          </w:p>
        </w:tc>
      </w:tr>
      <w:tr>
        <w:trPr>
          <w:trHeight w:val="407" w:hRule="atLeast"/>
        </w:trPr>
        <w:tc>
          <w:tcPr>
            <w:tcW w:w="811" w:type="dxa"/>
          </w:tcPr>
          <w:p>
            <w:pPr>
              <w:pStyle w:val="TableParagraph"/>
              <w:spacing w:before="129"/>
              <w:ind w:left="50"/>
              <w:rPr>
                <w:rFonts w:ascii="Times New Roman"/>
                <w:sz w:val="21"/>
              </w:rPr>
            </w:pPr>
            <w:r>
              <w:rPr>
                <w:rFonts w:ascii="Times New Roman"/>
                <w:spacing w:val="-2"/>
                <w:sz w:val="21"/>
              </w:rPr>
              <w:t>3.3.1</w:t>
            </w:r>
          </w:p>
        </w:tc>
        <w:tc>
          <w:tcPr>
            <w:tcW w:w="2086" w:type="dxa"/>
          </w:tcPr>
          <w:p>
            <w:pPr>
              <w:pStyle w:val="TableParagraph"/>
              <w:spacing w:line="251" w:lineRule="exact" w:before="137"/>
              <w:ind w:left="338"/>
              <w:rPr>
                <w:b/>
                <w:sz w:val="21"/>
              </w:rPr>
            </w:pPr>
            <w:r>
              <w:rPr>
                <w:b/>
                <w:spacing w:val="18"/>
                <w:sz w:val="21"/>
              </w:rPr>
              <w:t>特定心脑血管轻</w:t>
            </w:r>
          </w:p>
        </w:tc>
        <w:tc>
          <w:tcPr>
            <w:tcW w:w="6236" w:type="dxa"/>
          </w:tcPr>
          <w:p>
            <w:pPr>
              <w:pStyle w:val="TableParagraph"/>
              <w:spacing w:line="251" w:lineRule="exact" w:before="137"/>
              <w:ind w:left="95"/>
              <w:rPr>
                <w:sz w:val="21"/>
              </w:rPr>
            </w:pPr>
            <w:r>
              <w:rPr>
                <w:spacing w:val="-1"/>
                <w:sz w:val="21"/>
              </w:rPr>
              <w:t>保险金申请人须填写保险金给付申请书，并须提供下列证明和资</w:t>
            </w:r>
          </w:p>
        </w:tc>
      </w:tr>
      <w:tr>
        <w:trPr>
          <w:trHeight w:val="269" w:hRule="atLeast"/>
        </w:trPr>
        <w:tc>
          <w:tcPr>
            <w:tcW w:w="811" w:type="dxa"/>
          </w:tcPr>
          <w:p>
            <w:pPr>
              <w:pStyle w:val="TableParagraph"/>
              <w:rPr>
                <w:rFonts w:ascii="Times New Roman"/>
                <w:sz w:val="18"/>
              </w:rPr>
            </w:pPr>
          </w:p>
        </w:tc>
        <w:tc>
          <w:tcPr>
            <w:tcW w:w="2086" w:type="dxa"/>
          </w:tcPr>
          <w:p>
            <w:pPr>
              <w:pStyle w:val="TableParagraph"/>
              <w:spacing w:line="246" w:lineRule="exact" w:before="2"/>
              <w:ind w:left="338"/>
              <w:rPr>
                <w:b/>
                <w:sz w:val="21"/>
              </w:rPr>
            </w:pPr>
            <w:r>
              <w:rPr>
                <w:b/>
                <w:spacing w:val="-10"/>
                <w:sz w:val="21"/>
              </w:rPr>
              <w:t>症疾病保险金、特</w:t>
            </w:r>
          </w:p>
        </w:tc>
        <w:tc>
          <w:tcPr>
            <w:tcW w:w="6236" w:type="dxa"/>
          </w:tcPr>
          <w:p>
            <w:pPr>
              <w:pStyle w:val="TableParagraph"/>
              <w:spacing w:line="246" w:lineRule="exact" w:before="2"/>
              <w:ind w:left="95"/>
              <w:rPr>
                <w:sz w:val="21"/>
              </w:rPr>
            </w:pPr>
            <w:r>
              <w:rPr>
                <w:spacing w:val="-5"/>
                <w:sz w:val="21"/>
              </w:rPr>
              <w:t>料：</w:t>
            </w:r>
          </w:p>
        </w:tc>
      </w:tr>
      <w:tr>
        <w:trPr>
          <w:trHeight w:val="1079" w:hRule="atLeast"/>
        </w:trPr>
        <w:tc>
          <w:tcPr>
            <w:tcW w:w="811" w:type="dxa"/>
          </w:tcPr>
          <w:p>
            <w:pPr>
              <w:pStyle w:val="TableParagraph"/>
              <w:rPr>
                <w:rFonts w:ascii="Times New Roman"/>
                <w:sz w:val="20"/>
              </w:rPr>
            </w:pPr>
          </w:p>
        </w:tc>
        <w:tc>
          <w:tcPr>
            <w:tcW w:w="2086" w:type="dxa"/>
          </w:tcPr>
          <w:p>
            <w:pPr>
              <w:pStyle w:val="TableParagraph"/>
              <w:spacing w:line="242" w:lineRule="auto" w:before="5"/>
              <w:ind w:left="338" w:right="94"/>
              <w:jc w:val="both"/>
              <w:rPr>
                <w:b/>
                <w:sz w:val="21"/>
              </w:rPr>
            </w:pPr>
            <w:r>
              <w:rPr>
                <w:b/>
                <w:spacing w:val="18"/>
                <w:sz w:val="21"/>
              </w:rPr>
              <w:t>定心脑血管重大疾病保险金的申</w:t>
            </w:r>
            <w:r>
              <w:rPr>
                <w:b/>
                <w:spacing w:val="-10"/>
                <w:sz w:val="21"/>
              </w:rPr>
              <w:t>请</w:t>
            </w:r>
          </w:p>
        </w:tc>
        <w:tc>
          <w:tcPr>
            <w:tcW w:w="6236" w:type="dxa"/>
          </w:tcPr>
          <w:p>
            <w:pPr>
              <w:pStyle w:val="TableParagraph"/>
              <w:numPr>
                <w:ilvl w:val="0"/>
                <w:numId w:val="7"/>
              </w:numPr>
              <w:tabs>
                <w:tab w:pos="625" w:val="left" w:leader="none"/>
              </w:tabs>
              <w:spacing w:line="240" w:lineRule="auto" w:before="5" w:after="0"/>
              <w:ind w:left="624" w:right="0" w:hanging="530"/>
              <w:jc w:val="left"/>
              <w:rPr>
                <w:sz w:val="21"/>
              </w:rPr>
            </w:pPr>
            <w:r>
              <w:rPr>
                <w:spacing w:val="-4"/>
                <w:sz w:val="21"/>
              </w:rPr>
              <w:t>保险合同；</w:t>
            </w:r>
          </w:p>
          <w:p>
            <w:pPr>
              <w:pStyle w:val="TableParagraph"/>
              <w:numPr>
                <w:ilvl w:val="0"/>
                <w:numId w:val="7"/>
              </w:numPr>
              <w:tabs>
                <w:tab w:pos="625" w:val="left" w:leader="none"/>
              </w:tabs>
              <w:spacing w:line="240" w:lineRule="auto" w:before="4" w:after="0"/>
              <w:ind w:left="624" w:right="0" w:hanging="530"/>
              <w:jc w:val="left"/>
              <w:rPr>
                <w:sz w:val="21"/>
              </w:rPr>
            </w:pPr>
            <w:r>
              <w:rPr>
                <w:spacing w:val="-2"/>
                <w:sz w:val="21"/>
              </w:rPr>
              <w:t>保险金申请人的</w:t>
            </w:r>
            <w:r>
              <w:rPr>
                <w:b/>
                <w:spacing w:val="-2"/>
                <w:sz w:val="21"/>
              </w:rPr>
              <w:t>有效身份证件</w:t>
            </w:r>
            <w:r>
              <w:rPr>
                <w:spacing w:val="-2"/>
                <w:sz w:val="21"/>
              </w:rPr>
              <w:t>（见</w:t>
            </w:r>
            <w:r>
              <w:rPr>
                <w:rFonts w:ascii="Times New Roman" w:eastAsia="Times New Roman"/>
                <w:spacing w:val="20"/>
                <w:sz w:val="21"/>
              </w:rPr>
              <w:t>1</w:t>
            </w:r>
            <w:r>
              <w:rPr>
                <w:rFonts w:ascii="Times New Roman" w:eastAsia="Times New Roman"/>
                <w:spacing w:val="28"/>
                <w:sz w:val="21"/>
              </w:rPr>
              <w:t>1</w:t>
            </w:r>
            <w:r>
              <w:rPr>
                <w:rFonts w:ascii="Times New Roman" w:eastAsia="Times New Roman"/>
                <w:spacing w:val="27"/>
                <w:sz w:val="21"/>
              </w:rPr>
              <w:t>.</w:t>
            </w:r>
            <w:r>
              <w:rPr>
                <w:rFonts w:ascii="Times New Roman" w:eastAsia="Times New Roman"/>
                <w:spacing w:val="25"/>
                <w:sz w:val="21"/>
              </w:rPr>
              <w:t>1</w:t>
            </w:r>
            <w:r>
              <w:rPr>
                <w:rFonts w:ascii="Times New Roman" w:eastAsia="Times New Roman"/>
                <w:spacing w:val="28"/>
                <w:sz w:val="21"/>
              </w:rPr>
              <w:t>5</w:t>
            </w:r>
            <w:r>
              <w:rPr>
                <w:spacing w:val="-78"/>
                <w:sz w:val="21"/>
              </w:rPr>
              <w:t>）；</w:t>
            </w:r>
          </w:p>
          <w:p>
            <w:pPr>
              <w:pStyle w:val="TableParagraph"/>
              <w:numPr>
                <w:ilvl w:val="0"/>
                <w:numId w:val="7"/>
              </w:numPr>
              <w:tabs>
                <w:tab w:pos="625" w:val="left" w:leader="none"/>
              </w:tabs>
              <w:spacing w:line="240" w:lineRule="auto" w:before="3" w:after="0"/>
              <w:ind w:left="624" w:right="0" w:hanging="530"/>
              <w:jc w:val="left"/>
              <w:rPr>
                <w:sz w:val="21"/>
              </w:rPr>
            </w:pPr>
            <w:r>
              <w:rPr>
                <w:b/>
                <w:spacing w:val="-2"/>
                <w:sz w:val="21"/>
              </w:rPr>
              <w:t>医院</w:t>
            </w:r>
            <w:r>
              <w:rPr>
                <w:spacing w:val="-2"/>
                <w:sz w:val="21"/>
              </w:rPr>
              <w:t>（见</w:t>
            </w:r>
            <w:r>
              <w:rPr>
                <w:rFonts w:ascii="Times New Roman" w:eastAsia="Times New Roman"/>
                <w:spacing w:val="-2"/>
                <w:sz w:val="21"/>
              </w:rPr>
              <w:t>11.16</w:t>
            </w:r>
            <w:r>
              <w:rPr>
                <w:spacing w:val="-2"/>
                <w:sz w:val="21"/>
              </w:rPr>
              <w:t>）</w:t>
            </w:r>
            <w:r>
              <w:rPr>
                <w:spacing w:val="-3"/>
                <w:sz w:val="21"/>
              </w:rPr>
              <w:t>出具的诊断证明、病历及检查报告；</w:t>
            </w:r>
          </w:p>
          <w:p>
            <w:pPr>
              <w:pStyle w:val="TableParagraph"/>
              <w:numPr>
                <w:ilvl w:val="0"/>
                <w:numId w:val="7"/>
              </w:numPr>
              <w:tabs>
                <w:tab w:pos="625" w:val="left" w:leader="none"/>
              </w:tabs>
              <w:spacing w:line="236" w:lineRule="exact" w:before="4" w:after="0"/>
              <w:ind w:left="624" w:right="0" w:hanging="530"/>
              <w:jc w:val="left"/>
              <w:rPr>
                <w:sz w:val="21"/>
              </w:rPr>
            </w:pPr>
            <w:r>
              <w:rPr>
                <w:spacing w:val="-1"/>
                <w:sz w:val="21"/>
              </w:rPr>
              <w:t>所能提供的与确认保险事故的性质、原因等有关的其他证明</w:t>
            </w:r>
          </w:p>
        </w:tc>
      </w:tr>
    </w:tbl>
    <w:p>
      <w:pPr>
        <w:pStyle w:val="BodyText"/>
        <w:spacing w:before="21"/>
        <w:ind w:left="222" w:right="1682"/>
        <w:jc w:val="center"/>
      </w:pPr>
      <w:r>
        <w:rPr>
          <w:spacing w:val="-4"/>
        </w:rPr>
        <w:t>和资料。</w:t>
      </w:r>
    </w:p>
    <w:p>
      <w:pPr>
        <w:pStyle w:val="BodyText"/>
        <w:spacing w:before="1"/>
        <w:rPr>
          <w:sz w:val="19"/>
        </w:rPr>
      </w:pPr>
    </w:p>
    <w:p>
      <w:pPr>
        <w:pStyle w:val="BodyText"/>
        <w:spacing w:line="244" w:lineRule="auto"/>
        <w:ind w:left="3185" w:right="449"/>
      </w:pPr>
      <w:r>
        <w:rPr>
          <w:spacing w:val="-2"/>
        </w:rPr>
        <w:t>若以上申请资料和证明不完整的，我们将及时一次性通知保险金申</w:t>
      </w:r>
      <w:r>
        <w:rPr>
          <w:spacing w:val="-2"/>
        </w:rPr>
        <w:t>请人补充提供有关资料和证明。</w:t>
      </w:r>
    </w:p>
    <w:p>
      <w:pPr>
        <w:pStyle w:val="BodyText"/>
        <w:spacing w:before="2"/>
        <w:rPr>
          <w:sz w:val="18"/>
        </w:rPr>
      </w:pPr>
    </w:p>
    <w:p>
      <w:pPr>
        <w:pStyle w:val="ListParagraph"/>
        <w:numPr>
          <w:ilvl w:val="1"/>
          <w:numId w:val="8"/>
        </w:numPr>
        <w:tabs>
          <w:tab w:pos="1341" w:val="left" w:leader="none"/>
          <w:tab w:pos="1342" w:val="left" w:leader="none"/>
          <w:tab w:pos="3184" w:val="left" w:leader="none"/>
        </w:tabs>
        <w:spacing w:line="240" w:lineRule="auto" w:before="0" w:after="0"/>
        <w:ind w:left="1341" w:right="0" w:hanging="1100"/>
        <w:jc w:val="left"/>
        <w:rPr>
          <w:sz w:val="21"/>
        </w:rPr>
      </w:pPr>
      <w:r>
        <w:rPr>
          <w:b/>
          <w:sz w:val="21"/>
        </w:rPr>
        <w:t>司法鉴</w:t>
      </w:r>
      <w:r>
        <w:rPr>
          <w:b/>
          <w:spacing w:val="-10"/>
          <w:sz w:val="21"/>
        </w:rPr>
        <w:t>定</w:t>
      </w:r>
      <w:r>
        <w:rPr>
          <w:b/>
          <w:sz w:val="21"/>
        </w:rPr>
        <w:tab/>
      </w:r>
      <w:r>
        <w:rPr>
          <w:spacing w:val="-2"/>
          <w:sz w:val="21"/>
        </w:rPr>
        <w:t>保</w:t>
      </w:r>
      <w:r>
        <w:rPr>
          <w:spacing w:val="-2"/>
          <w:sz w:val="21"/>
        </w:rPr>
        <w:t>险</w:t>
      </w:r>
      <w:r>
        <w:rPr>
          <w:spacing w:val="-2"/>
          <w:sz w:val="21"/>
        </w:rPr>
        <w:t>事故发</w:t>
      </w:r>
      <w:r>
        <w:rPr>
          <w:spacing w:val="-2"/>
          <w:sz w:val="21"/>
        </w:rPr>
        <w:t>生</w:t>
      </w:r>
      <w:r>
        <w:rPr>
          <w:spacing w:val="-2"/>
          <w:sz w:val="21"/>
        </w:rPr>
        <w:t>后</w:t>
      </w:r>
      <w:r>
        <w:rPr>
          <w:spacing w:val="-2"/>
          <w:sz w:val="21"/>
        </w:rPr>
        <w:t>，我们有</w:t>
      </w:r>
      <w:r>
        <w:rPr>
          <w:spacing w:val="-2"/>
          <w:sz w:val="21"/>
        </w:rPr>
        <w:t>权</w:t>
      </w:r>
      <w:r>
        <w:rPr>
          <w:spacing w:val="-2"/>
          <w:sz w:val="21"/>
        </w:rPr>
        <w:t>要</w:t>
      </w:r>
      <w:r>
        <w:rPr>
          <w:spacing w:val="-2"/>
          <w:sz w:val="21"/>
        </w:rPr>
        <w:t>求进行尸检或要求司</w:t>
      </w:r>
      <w:r>
        <w:rPr>
          <w:spacing w:val="-2"/>
          <w:sz w:val="21"/>
        </w:rPr>
        <w:t>法</w:t>
      </w:r>
      <w:r>
        <w:rPr>
          <w:spacing w:val="-2"/>
          <w:sz w:val="21"/>
        </w:rPr>
        <w:t>鉴</w:t>
      </w:r>
      <w:r>
        <w:rPr>
          <w:spacing w:val="-2"/>
          <w:sz w:val="21"/>
        </w:rPr>
        <w:t>定机构</w:t>
      </w:r>
      <w:r>
        <w:rPr>
          <w:spacing w:val="-2"/>
          <w:sz w:val="21"/>
        </w:rPr>
        <w:t>或</w:t>
      </w:r>
      <w:r>
        <w:rPr>
          <w:spacing w:val="-10"/>
          <w:sz w:val="21"/>
        </w:rPr>
        <w:t>医</w:t>
      </w:r>
    </w:p>
    <w:p>
      <w:pPr>
        <w:pStyle w:val="BodyText"/>
        <w:spacing w:line="244" w:lineRule="auto" w:before="2"/>
        <w:ind w:left="3185" w:right="449"/>
      </w:pPr>
      <w:r>
        <w:rPr>
          <w:spacing w:val="-2"/>
        </w:rPr>
        <w:t>疗机构对保险事故及被保险人身体机能状况进行鉴定，费用由我们</w:t>
      </w:r>
      <w:r>
        <w:rPr>
          <w:spacing w:val="-4"/>
        </w:rPr>
        <w:t>承担。</w:t>
      </w:r>
    </w:p>
    <w:p>
      <w:pPr>
        <w:pStyle w:val="BodyText"/>
        <w:spacing w:before="1"/>
        <w:rPr>
          <w:sz w:val="18"/>
        </w:rPr>
      </w:pPr>
    </w:p>
    <w:p>
      <w:pPr>
        <w:pStyle w:val="ListParagraph"/>
        <w:numPr>
          <w:ilvl w:val="1"/>
          <w:numId w:val="8"/>
        </w:numPr>
        <w:tabs>
          <w:tab w:pos="1341" w:val="left" w:leader="none"/>
          <w:tab w:pos="1342" w:val="left" w:leader="none"/>
        </w:tabs>
        <w:spacing w:line="240" w:lineRule="auto" w:before="1" w:after="0"/>
        <w:ind w:left="1341" w:right="0" w:hanging="1100"/>
        <w:jc w:val="both"/>
        <w:rPr>
          <w:rFonts w:ascii="Times New Roman" w:eastAsia="Times New Roman"/>
          <w:sz w:val="21"/>
        </w:rPr>
      </w:pPr>
      <w:r>
        <w:rPr>
          <w:b/>
          <w:spacing w:val="90"/>
          <w:sz w:val="21"/>
        </w:rPr>
        <w:t>保险金给付  </w:t>
      </w:r>
      <w:r>
        <w:rPr>
          <w:sz w:val="21"/>
        </w:rPr>
        <w:t>我们在收到保险金给付申请书及合同约定的证明和资料后，将在</w:t>
      </w:r>
      <w:r>
        <w:rPr>
          <w:rFonts w:ascii="Times New Roman" w:eastAsia="Times New Roman"/>
          <w:spacing w:val="-10"/>
          <w:sz w:val="21"/>
        </w:rPr>
        <w:t>5</w:t>
      </w:r>
    </w:p>
    <w:p>
      <w:pPr>
        <w:pStyle w:val="BodyText"/>
        <w:spacing w:line="242" w:lineRule="auto" w:before="2"/>
        <w:ind w:left="3185" w:right="449"/>
        <w:jc w:val="both"/>
      </w:pPr>
      <w:r>
        <w:rPr>
          <w:spacing w:val="-4"/>
          <w:w w:val="100"/>
        </w:rPr>
        <w:t>个工作日内作出核定；情形复杂的，在</w:t>
      </w:r>
      <w:r>
        <w:rPr>
          <w:rFonts w:ascii="Times New Roman" w:eastAsia="Times New Roman"/>
          <w:w w:val="100"/>
        </w:rPr>
        <w:t>3</w:t>
      </w:r>
      <w:r>
        <w:rPr>
          <w:rFonts w:ascii="Times New Roman" w:eastAsia="Times New Roman"/>
          <w:spacing w:val="-3"/>
          <w:w w:val="100"/>
        </w:rPr>
        <w:t>0</w:t>
      </w:r>
      <w:r>
        <w:rPr>
          <w:spacing w:val="-4"/>
          <w:w w:val="100"/>
        </w:rPr>
        <w:t>日内作出核定。对属于保</w:t>
      </w:r>
      <w:r>
        <w:rPr>
          <w:spacing w:val="4"/>
          <w:w w:val="100"/>
        </w:rPr>
        <w:t>险责任的，我们在与保险金申请人达成给付保险金的协议后</w:t>
      </w:r>
      <w:r>
        <w:rPr>
          <w:rFonts w:ascii="Times New Roman" w:eastAsia="Times New Roman"/>
          <w:w w:val="100"/>
        </w:rPr>
        <w:t>1</w:t>
      </w:r>
      <w:r>
        <w:rPr>
          <w:rFonts w:ascii="Times New Roman" w:eastAsia="Times New Roman"/>
          <w:spacing w:val="7"/>
          <w:w w:val="100"/>
        </w:rPr>
        <w:t>0</w:t>
      </w:r>
      <w:r>
        <w:rPr>
          <w:w w:val="100"/>
        </w:rPr>
        <w:t>日</w:t>
      </w:r>
      <w:r>
        <w:rPr>
          <w:spacing w:val="-3"/>
          <w:w w:val="100"/>
        </w:rPr>
        <w:t>内，履行给付保险金义务；若我们在收到保险金给付申请书及上述有关证明和资料后第</w:t>
      </w:r>
      <w:r>
        <w:rPr>
          <w:rFonts w:ascii="Times New Roman" w:eastAsia="Times New Roman"/>
          <w:w w:val="100"/>
        </w:rPr>
        <w:t>30</w:t>
      </w:r>
      <w:r>
        <w:rPr>
          <w:spacing w:val="-4"/>
          <w:w w:val="100"/>
        </w:rPr>
        <w:t>日仍未作出核定，除支付保险金外，我们将从第</w:t>
      </w:r>
      <w:r>
        <w:rPr>
          <w:rFonts w:ascii="Times New Roman" w:eastAsia="Times New Roman"/>
          <w:spacing w:val="-4"/>
          <w:w w:val="100"/>
        </w:rPr>
        <w:t>3</w:t>
      </w:r>
      <w:r>
        <w:rPr>
          <w:rFonts w:ascii="Times New Roman" w:eastAsia="Times New Roman"/>
          <w:spacing w:val="-3"/>
          <w:w w:val="100"/>
        </w:rPr>
        <w:t>1</w:t>
      </w:r>
      <w:r>
        <w:rPr>
          <w:spacing w:val="-4"/>
          <w:w w:val="100"/>
        </w:rPr>
        <w:t>日起按超过天数赔偿保险金申请人因此受到的利息损失。利</w:t>
      </w:r>
      <w:r>
        <w:rPr>
          <w:spacing w:val="3"/>
          <w:w w:val="100"/>
        </w:rPr>
        <w:t>息按照中国人民银行公布的同期金融机构人民币一年期定期存款</w:t>
      </w:r>
      <w:r>
        <w:rPr>
          <w:spacing w:val="-3"/>
          <w:w w:val="100"/>
        </w:rPr>
        <w:t>利率单利计算。若我们要求保险金申请人补充提供有关证明和资料的，则上述的</w:t>
      </w:r>
      <w:r>
        <w:rPr>
          <w:rFonts w:ascii="Times New Roman" w:eastAsia="Times New Roman"/>
          <w:spacing w:val="-3"/>
          <w:w w:val="100"/>
        </w:rPr>
        <w:t>3</w:t>
      </w:r>
      <w:r>
        <w:rPr>
          <w:rFonts w:ascii="Times New Roman" w:eastAsia="Times New Roman"/>
          <w:w w:val="100"/>
        </w:rPr>
        <w:t>0</w:t>
      </w:r>
      <w:r>
        <w:rPr>
          <w:spacing w:val="-4"/>
          <w:w w:val="100"/>
        </w:rPr>
        <w:t>日不包括补充提供有关证明和资料的期间。对不属</w:t>
      </w:r>
      <w:r>
        <w:rPr>
          <w:spacing w:val="2"/>
          <w:w w:val="100"/>
        </w:rPr>
        <w:t>于保险责任的，我们自作出核定之日起</w:t>
      </w:r>
      <w:r>
        <w:rPr>
          <w:rFonts w:ascii="Times New Roman" w:eastAsia="Times New Roman"/>
          <w:spacing w:val="2"/>
          <w:w w:val="100"/>
        </w:rPr>
        <w:t>3</w:t>
      </w:r>
      <w:r>
        <w:rPr>
          <w:spacing w:val="2"/>
          <w:w w:val="100"/>
        </w:rPr>
        <w:t>日内向保险金申请人发出</w:t>
      </w:r>
      <w:r>
        <w:rPr>
          <w:spacing w:val="-3"/>
          <w:w w:val="100"/>
        </w:rPr>
        <w:t>拒绝给付保险金通知书并说明理由。</w:t>
      </w:r>
    </w:p>
    <w:p>
      <w:pPr>
        <w:pStyle w:val="BodyText"/>
        <w:spacing w:before="5"/>
        <w:rPr>
          <w:sz w:val="19"/>
        </w:rPr>
      </w:pPr>
    </w:p>
    <w:p>
      <w:pPr>
        <w:pStyle w:val="BodyText"/>
        <w:spacing w:line="242" w:lineRule="auto" w:before="1"/>
        <w:ind w:left="3185" w:right="449"/>
        <w:jc w:val="both"/>
      </w:pPr>
      <w:r>
        <w:rPr>
          <w:spacing w:val="-2"/>
        </w:rPr>
        <w:t>我们在收到保险金给付申请书及有关证明和资料之日起</w:t>
      </w:r>
      <w:r>
        <w:rPr>
          <w:rFonts w:ascii="Times New Roman" w:eastAsia="Times New Roman"/>
          <w:spacing w:val="-2"/>
        </w:rPr>
        <w:t>60</w:t>
      </w:r>
      <w:r>
        <w:rPr>
          <w:spacing w:val="-2"/>
        </w:rPr>
        <w:t>日内，对</w:t>
      </w:r>
      <w:r>
        <w:rPr>
          <w:spacing w:val="-2"/>
        </w:rPr>
        <w:t>给付保险金的数额不能确定的，根据已有证明和资料可以确定的数</w:t>
      </w:r>
      <w:r>
        <w:rPr>
          <w:spacing w:val="-2"/>
        </w:rPr>
        <w:t>额先予支付；我们最终确定给付保险金的数额后，将支付相应的差</w:t>
      </w:r>
      <w:r>
        <w:rPr>
          <w:spacing w:val="-6"/>
        </w:rPr>
        <w:t>额。</w:t>
      </w:r>
    </w:p>
    <w:p>
      <w:pPr>
        <w:pStyle w:val="BodyText"/>
        <w:spacing w:before="6"/>
        <w:rPr>
          <w:sz w:val="18"/>
        </w:rPr>
      </w:pPr>
    </w:p>
    <w:p>
      <w:pPr>
        <w:pStyle w:val="ListParagraph"/>
        <w:numPr>
          <w:ilvl w:val="1"/>
          <w:numId w:val="8"/>
        </w:numPr>
        <w:tabs>
          <w:tab w:pos="1341" w:val="left" w:leader="none"/>
          <w:tab w:pos="1342" w:val="left" w:leader="none"/>
        </w:tabs>
        <w:spacing w:line="240" w:lineRule="auto" w:before="0" w:after="0"/>
        <w:ind w:left="1341" w:right="0" w:hanging="1100"/>
        <w:jc w:val="both"/>
        <w:rPr>
          <w:sz w:val="21"/>
        </w:rPr>
      </w:pPr>
      <w:r>
        <w:rPr>
          <w:b/>
          <w:sz w:val="21"/>
        </w:rPr>
        <w:t>诉讼时效</w:t>
      </w:r>
      <w:r>
        <w:rPr>
          <w:b/>
          <w:spacing w:val="852"/>
          <w:sz w:val="21"/>
        </w:rPr>
        <w:t> </w:t>
      </w:r>
      <w:r>
        <w:rPr>
          <w:spacing w:val="-3"/>
          <w:sz w:val="21"/>
        </w:rPr>
        <w:t>保险金申请人向我们请求给付保险金的诉讼时效期间为 </w:t>
      </w:r>
      <w:r>
        <w:rPr>
          <w:rFonts w:ascii="Times New Roman" w:eastAsia="Times New Roman"/>
          <w:sz w:val="21"/>
        </w:rPr>
        <w:t>2</w:t>
      </w:r>
      <w:r>
        <w:rPr>
          <w:rFonts w:ascii="Times New Roman" w:eastAsia="Times New Roman"/>
          <w:spacing w:val="-4"/>
          <w:sz w:val="21"/>
        </w:rPr>
        <w:t> </w:t>
      </w:r>
      <w:r>
        <w:rPr>
          <w:spacing w:val="-3"/>
          <w:sz w:val="21"/>
        </w:rPr>
        <w:t>年，自其</w:t>
      </w:r>
    </w:p>
    <w:p>
      <w:pPr>
        <w:pStyle w:val="BodyText"/>
        <w:spacing w:before="5"/>
        <w:ind w:left="3185"/>
      </w:pPr>
      <w:r>
        <w:rPr>
          <w:spacing w:val="-3"/>
        </w:rPr>
        <w:t>知道或者应当知道保险事故发生之日起计算。</w:t>
      </w:r>
    </w:p>
    <w:p>
      <w:pPr>
        <w:pStyle w:val="BodyText"/>
        <w:spacing w:before="10"/>
        <w:rPr>
          <w:sz w:val="24"/>
        </w:rPr>
      </w:pPr>
    </w:p>
    <w:p>
      <w:pPr>
        <w:pStyle w:val="Heading2"/>
        <w:numPr>
          <w:ilvl w:val="0"/>
          <w:numId w:val="4"/>
        </w:numPr>
        <w:tabs>
          <w:tab w:pos="1341" w:val="left" w:leader="none"/>
          <w:tab w:pos="1342" w:val="left" w:leader="none"/>
        </w:tabs>
        <w:spacing w:line="240" w:lineRule="auto" w:before="0" w:after="0"/>
        <w:ind w:left="1341" w:right="0" w:hanging="1100"/>
        <w:jc w:val="both"/>
      </w:pPr>
      <w:r>
        <w:rPr>
          <w:w w:val="95"/>
        </w:rPr>
        <w:t>保险费</w:t>
      </w:r>
      <w:r>
        <w:rPr>
          <w:w w:val="95"/>
        </w:rPr>
        <w:t>的</w:t>
      </w:r>
      <w:r>
        <w:rPr>
          <w:w w:val="95"/>
        </w:rPr>
        <w:t>支</w:t>
      </w:r>
      <w:r>
        <w:rPr>
          <w:spacing w:val="-10"/>
          <w:w w:val="95"/>
        </w:rPr>
        <w:t>付</w:t>
      </w:r>
    </w:p>
    <w:p>
      <w:pPr>
        <w:pStyle w:val="BodyText"/>
        <w:spacing w:before="1"/>
        <w:rPr>
          <w:b/>
          <w:sz w:val="4"/>
        </w:rPr>
      </w:pPr>
      <w:r>
        <w:rPr/>
        <w:drawing>
          <wp:anchor distT="0" distB="0" distL="0" distR="0" allowOverlap="1" layoutInCell="1" locked="0" behindDoc="0" simplePos="0" relativeHeight="6">
            <wp:simplePos x="0" y="0"/>
            <wp:positionH relativeFrom="page">
              <wp:posOffset>1012240</wp:posOffset>
            </wp:positionH>
            <wp:positionV relativeFrom="paragraph">
              <wp:posOffset>48677</wp:posOffset>
            </wp:positionV>
            <wp:extent cx="5870133" cy="6096"/>
            <wp:effectExtent l="0" t="0" r="0" b="0"/>
            <wp:wrapTopAndBottom/>
            <wp:docPr id="17" name="image6.png"/>
            <wp:cNvGraphicFramePr>
              <a:graphicFrameLocks noChangeAspect="1"/>
            </wp:cNvGraphicFramePr>
            <a:graphic>
              <a:graphicData uri="http://schemas.openxmlformats.org/drawingml/2006/picture">
                <pic:pic>
                  <pic:nvPicPr>
                    <pic:cNvPr id="18" name="image6.png"/>
                    <pic:cNvPicPr/>
                  </pic:nvPicPr>
                  <pic:blipFill>
                    <a:blip r:embed="rId11" cstate="print"/>
                    <a:stretch>
                      <a:fillRect/>
                    </a:stretch>
                  </pic:blipFill>
                  <pic:spPr>
                    <a:xfrm>
                      <a:off x="0" y="0"/>
                      <a:ext cx="5870133" cy="6096"/>
                    </a:xfrm>
                    <a:prstGeom prst="rect">
                      <a:avLst/>
                    </a:prstGeom>
                  </pic:spPr>
                </pic:pic>
              </a:graphicData>
            </a:graphic>
          </wp:anchor>
        </w:drawing>
      </w:r>
    </w:p>
    <w:p>
      <w:pPr>
        <w:pStyle w:val="BodyText"/>
        <w:spacing w:before="6"/>
        <w:rPr>
          <w:b/>
          <w:sz w:val="18"/>
        </w:rPr>
      </w:pPr>
    </w:p>
    <w:p>
      <w:pPr>
        <w:pStyle w:val="ListParagraph"/>
        <w:numPr>
          <w:ilvl w:val="1"/>
          <w:numId w:val="4"/>
        </w:numPr>
        <w:tabs>
          <w:tab w:pos="1341" w:val="left" w:leader="none"/>
          <w:tab w:pos="1342" w:val="left" w:leader="none"/>
        </w:tabs>
        <w:spacing w:line="240" w:lineRule="auto" w:before="1" w:after="0"/>
        <w:ind w:left="1341" w:right="0" w:hanging="1100"/>
        <w:jc w:val="both"/>
        <w:rPr>
          <w:sz w:val="21"/>
        </w:rPr>
      </w:pPr>
      <w:r>
        <w:rPr>
          <w:b/>
          <w:spacing w:val="64"/>
          <w:sz w:val="21"/>
        </w:rPr>
        <w:t>保险费的支付 </w:t>
      </w:r>
      <w:r>
        <w:rPr>
          <w:spacing w:val="-1"/>
          <w:sz w:val="21"/>
        </w:rPr>
        <w:t>本合同保险费的支付方式为一次性付清。</w:t>
      </w:r>
    </w:p>
    <w:p>
      <w:pPr>
        <w:pStyle w:val="BodyText"/>
        <w:spacing w:before="10"/>
        <w:rPr>
          <w:sz w:val="24"/>
        </w:rPr>
      </w:pPr>
    </w:p>
    <w:p>
      <w:pPr>
        <w:pStyle w:val="Heading2"/>
        <w:numPr>
          <w:ilvl w:val="0"/>
          <w:numId w:val="4"/>
        </w:numPr>
        <w:tabs>
          <w:tab w:pos="1341" w:val="left" w:leader="none"/>
          <w:tab w:pos="1342" w:val="left" w:leader="none"/>
        </w:tabs>
        <w:spacing w:line="240" w:lineRule="auto" w:before="0" w:after="0"/>
        <w:ind w:left="1341" w:right="0" w:hanging="1100"/>
        <w:jc w:val="both"/>
      </w:pPr>
      <w:r>
        <w:rPr>
          <w:spacing w:val="-3"/>
          <w:w w:val="95"/>
        </w:rPr>
        <w:t>合同解除</w:t>
      </w:r>
    </w:p>
    <w:p>
      <w:pPr>
        <w:pStyle w:val="BodyText"/>
        <w:spacing w:before="1"/>
        <w:rPr>
          <w:b/>
          <w:sz w:val="4"/>
        </w:rPr>
      </w:pPr>
      <w:r>
        <w:rPr/>
        <w:drawing>
          <wp:anchor distT="0" distB="0" distL="0" distR="0" allowOverlap="1" layoutInCell="1" locked="0" behindDoc="0" simplePos="0" relativeHeight="7">
            <wp:simplePos x="0" y="0"/>
            <wp:positionH relativeFrom="page">
              <wp:posOffset>1003096</wp:posOffset>
            </wp:positionH>
            <wp:positionV relativeFrom="paragraph">
              <wp:posOffset>48418</wp:posOffset>
            </wp:positionV>
            <wp:extent cx="5787289" cy="6000"/>
            <wp:effectExtent l="0" t="0" r="0" b="0"/>
            <wp:wrapTopAndBottom/>
            <wp:docPr id="19" name="image8.png"/>
            <wp:cNvGraphicFramePr>
              <a:graphicFrameLocks noChangeAspect="1"/>
            </wp:cNvGraphicFramePr>
            <a:graphic>
              <a:graphicData uri="http://schemas.openxmlformats.org/drawingml/2006/picture">
                <pic:pic>
                  <pic:nvPicPr>
                    <pic:cNvPr id="20" name="image8.png"/>
                    <pic:cNvPicPr/>
                  </pic:nvPicPr>
                  <pic:blipFill>
                    <a:blip r:embed="rId13" cstate="print"/>
                    <a:stretch>
                      <a:fillRect/>
                    </a:stretch>
                  </pic:blipFill>
                  <pic:spPr>
                    <a:xfrm>
                      <a:off x="0" y="0"/>
                      <a:ext cx="5787289" cy="6000"/>
                    </a:xfrm>
                    <a:prstGeom prst="rect">
                      <a:avLst/>
                    </a:prstGeom>
                  </pic:spPr>
                </pic:pic>
              </a:graphicData>
            </a:graphic>
          </wp:anchor>
        </w:drawing>
      </w:r>
    </w:p>
    <w:p>
      <w:pPr>
        <w:spacing w:after="0"/>
        <w:rPr>
          <w:sz w:val="4"/>
        </w:rPr>
        <w:sectPr>
          <w:pgSz w:w="11910" w:h="16840"/>
          <w:pgMar w:header="0" w:footer="879" w:top="1120" w:bottom="1060" w:left="1460" w:right="720"/>
        </w:sectPr>
      </w:pPr>
    </w:p>
    <w:p>
      <w:pPr>
        <w:pStyle w:val="BodyText"/>
        <w:spacing w:line="20" w:lineRule="exact"/>
        <w:ind w:left="134"/>
        <w:rPr>
          <w:sz w:val="2"/>
        </w:rPr>
      </w:pPr>
      <w:r>
        <w:rPr>
          <w:sz w:val="2"/>
        </w:rPr>
        <w:drawing>
          <wp:inline distT="0" distB="0" distL="0" distR="0">
            <wp:extent cx="5943262" cy="2571"/>
            <wp:effectExtent l="0" t="0" r="0" b="0"/>
            <wp:docPr id="21" name="image6.png"/>
            <wp:cNvGraphicFramePr>
              <a:graphicFrameLocks noChangeAspect="1"/>
            </wp:cNvGraphicFramePr>
            <a:graphic>
              <a:graphicData uri="http://schemas.openxmlformats.org/drawingml/2006/picture">
                <pic:pic>
                  <pic:nvPicPr>
                    <pic:cNvPr id="22" name="image6.png"/>
                    <pic:cNvPicPr/>
                  </pic:nvPicPr>
                  <pic:blipFill>
                    <a:blip r:embed="rId11" cstate="print"/>
                    <a:stretch>
                      <a:fillRect/>
                    </a:stretch>
                  </pic:blipFill>
                  <pic:spPr>
                    <a:xfrm>
                      <a:off x="0" y="0"/>
                      <a:ext cx="5943262" cy="2571"/>
                    </a:xfrm>
                    <a:prstGeom prst="rect">
                      <a:avLst/>
                    </a:prstGeom>
                  </pic:spPr>
                </pic:pic>
              </a:graphicData>
            </a:graphic>
          </wp:inline>
        </w:drawing>
      </w:r>
      <w:r>
        <w:rPr>
          <w:sz w:val="2"/>
        </w:rPr>
      </w:r>
    </w:p>
    <w:p>
      <w:pPr>
        <w:pStyle w:val="BodyText"/>
        <w:spacing w:before="9" w:after="1"/>
        <w:rPr>
          <w:b/>
          <w:sz w:val="17"/>
        </w:rPr>
      </w:pPr>
    </w:p>
    <w:tbl>
      <w:tblPr>
        <w:tblW w:w="0" w:type="auto"/>
        <w:jc w:val="left"/>
        <w:tblInd w:w="1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0"/>
        <w:gridCol w:w="2183"/>
        <w:gridCol w:w="6272"/>
      </w:tblGrid>
      <w:tr>
        <w:trPr>
          <w:trHeight w:val="1217" w:hRule="atLeast"/>
        </w:trPr>
        <w:tc>
          <w:tcPr>
            <w:tcW w:w="790" w:type="dxa"/>
          </w:tcPr>
          <w:p>
            <w:pPr>
              <w:pStyle w:val="TableParagraph"/>
              <w:spacing w:line="234" w:lineRule="exact"/>
              <w:ind w:left="108"/>
              <w:rPr>
                <w:rFonts w:ascii="Times New Roman"/>
                <w:sz w:val="21"/>
              </w:rPr>
            </w:pPr>
            <w:r>
              <w:rPr>
                <w:rFonts w:ascii="Times New Roman"/>
                <w:spacing w:val="-5"/>
                <w:sz w:val="21"/>
              </w:rPr>
              <w:t>5.1</w:t>
            </w:r>
          </w:p>
        </w:tc>
        <w:tc>
          <w:tcPr>
            <w:tcW w:w="2183" w:type="dxa"/>
          </w:tcPr>
          <w:p>
            <w:pPr>
              <w:pStyle w:val="TableParagraph"/>
              <w:spacing w:line="244" w:lineRule="auto"/>
              <w:ind w:left="417" w:right="137"/>
              <w:rPr>
                <w:b/>
                <w:sz w:val="21"/>
              </w:rPr>
            </w:pPr>
            <w:r>
              <w:rPr>
                <w:b/>
                <w:spacing w:val="18"/>
                <w:sz w:val="21"/>
              </w:rPr>
              <w:t>解除合同的手续</w:t>
            </w:r>
            <w:r>
              <w:rPr>
                <w:b/>
                <w:spacing w:val="-4"/>
                <w:sz w:val="21"/>
              </w:rPr>
              <w:t>及风险</w:t>
            </w:r>
          </w:p>
        </w:tc>
        <w:tc>
          <w:tcPr>
            <w:tcW w:w="6272" w:type="dxa"/>
          </w:tcPr>
          <w:p>
            <w:pPr>
              <w:pStyle w:val="TableParagraph"/>
              <w:spacing w:line="244" w:lineRule="auto"/>
              <w:ind w:left="77" w:right="102"/>
              <w:rPr>
                <w:sz w:val="21"/>
              </w:rPr>
            </w:pPr>
            <w:r>
              <w:rPr>
                <w:spacing w:val="-2"/>
                <w:sz w:val="21"/>
              </w:rPr>
              <w:t>如您申请解除本合同，请填写解除合同申请书并向我们提供下列资</w:t>
            </w:r>
            <w:r>
              <w:rPr>
                <w:spacing w:val="-6"/>
                <w:sz w:val="21"/>
              </w:rPr>
              <w:t>料：</w:t>
            </w:r>
          </w:p>
          <w:p>
            <w:pPr>
              <w:pStyle w:val="TableParagraph"/>
              <w:numPr>
                <w:ilvl w:val="0"/>
                <w:numId w:val="9"/>
              </w:numPr>
              <w:tabs>
                <w:tab w:pos="607" w:val="left" w:leader="none"/>
              </w:tabs>
              <w:spacing w:line="265" w:lineRule="exact" w:before="0" w:after="0"/>
              <w:ind w:left="606" w:right="0" w:hanging="530"/>
              <w:jc w:val="left"/>
              <w:rPr>
                <w:sz w:val="21"/>
              </w:rPr>
            </w:pPr>
            <w:r>
              <w:rPr>
                <w:spacing w:val="-4"/>
                <w:sz w:val="21"/>
              </w:rPr>
              <w:t>保险合同；</w:t>
            </w:r>
          </w:p>
          <w:p>
            <w:pPr>
              <w:pStyle w:val="TableParagraph"/>
              <w:numPr>
                <w:ilvl w:val="0"/>
                <w:numId w:val="9"/>
              </w:numPr>
              <w:tabs>
                <w:tab w:pos="607" w:val="left" w:leader="none"/>
              </w:tabs>
              <w:spacing w:line="240" w:lineRule="auto" w:before="4" w:after="0"/>
              <w:ind w:left="606" w:right="0" w:hanging="530"/>
              <w:jc w:val="left"/>
              <w:rPr>
                <w:sz w:val="21"/>
              </w:rPr>
            </w:pPr>
            <w:r>
              <w:rPr>
                <w:spacing w:val="-3"/>
                <w:sz w:val="21"/>
              </w:rPr>
              <w:t>您的有效身份证件。</w:t>
            </w:r>
          </w:p>
        </w:tc>
      </w:tr>
      <w:tr>
        <w:trPr>
          <w:trHeight w:val="384"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0" w:lineRule="exact" w:before="114"/>
              <w:ind w:left="77"/>
              <w:rPr>
                <w:sz w:val="21"/>
              </w:rPr>
            </w:pPr>
            <w:r>
              <w:rPr>
                <w:spacing w:val="-3"/>
                <w:sz w:val="21"/>
              </w:rPr>
              <w:t>自我们收到解除合同申请书时起，本合同效力终止。当您申请解除</w:t>
            </w:r>
          </w:p>
        </w:tc>
      </w:tr>
      <w:tr>
        <w:trPr>
          <w:trHeight w:val="269" w:hRule="atLeast"/>
        </w:trPr>
        <w:tc>
          <w:tcPr>
            <w:tcW w:w="790" w:type="dxa"/>
          </w:tcPr>
          <w:p>
            <w:pPr>
              <w:pStyle w:val="TableParagraph"/>
              <w:rPr>
                <w:rFonts w:ascii="Times New Roman"/>
                <w:sz w:val="18"/>
              </w:rPr>
            </w:pPr>
          </w:p>
        </w:tc>
        <w:tc>
          <w:tcPr>
            <w:tcW w:w="2183" w:type="dxa"/>
          </w:tcPr>
          <w:p>
            <w:pPr>
              <w:pStyle w:val="TableParagraph"/>
              <w:rPr>
                <w:rFonts w:ascii="Times New Roman"/>
                <w:sz w:val="18"/>
              </w:rPr>
            </w:pPr>
          </w:p>
        </w:tc>
        <w:tc>
          <w:tcPr>
            <w:tcW w:w="6272" w:type="dxa"/>
          </w:tcPr>
          <w:p>
            <w:pPr>
              <w:pStyle w:val="TableParagraph"/>
              <w:spacing w:line="248" w:lineRule="exact" w:before="1"/>
              <w:ind w:left="77"/>
              <w:rPr>
                <w:sz w:val="21"/>
              </w:rPr>
            </w:pPr>
            <w:r>
              <w:rPr>
                <w:spacing w:val="-3"/>
                <w:sz w:val="21"/>
              </w:rPr>
              <w:t>本合同时，若本合同尚未发生保险金赔付，我们在收到上述证明和</w:t>
            </w:r>
          </w:p>
        </w:tc>
      </w:tr>
      <w:tr>
        <w:trPr>
          <w:trHeight w:val="283"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8" w:lineRule="exact" w:before="6"/>
              <w:ind w:left="77"/>
              <w:rPr>
                <w:b/>
                <w:sz w:val="21"/>
              </w:rPr>
            </w:pPr>
            <w:r>
              <w:rPr>
                <w:spacing w:val="-4"/>
                <w:sz w:val="21"/>
              </w:rPr>
              <w:t>资料之日起 </w:t>
            </w:r>
            <w:r>
              <w:rPr>
                <w:rFonts w:ascii="Times New Roman" w:eastAsia="Times New Roman"/>
                <w:sz w:val="21"/>
              </w:rPr>
              <w:t>30</w:t>
            </w:r>
            <w:r>
              <w:rPr>
                <w:rFonts w:ascii="Times New Roman" w:eastAsia="Times New Roman"/>
                <w:spacing w:val="32"/>
                <w:sz w:val="21"/>
              </w:rPr>
              <w:t> </w:t>
            </w:r>
            <w:r>
              <w:rPr>
                <w:sz w:val="21"/>
              </w:rPr>
              <w:t>日内向您退还未满期净保险费。</w:t>
            </w:r>
            <w:r>
              <w:rPr>
                <w:b/>
                <w:spacing w:val="-2"/>
                <w:sz w:val="21"/>
              </w:rPr>
              <w:t>若本合同已发生保</w:t>
            </w:r>
          </w:p>
        </w:tc>
      </w:tr>
      <w:tr>
        <w:trPr>
          <w:trHeight w:val="384"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63" w:lineRule="exact"/>
              <w:ind w:left="77"/>
              <w:rPr>
                <w:b/>
                <w:sz w:val="21"/>
              </w:rPr>
            </w:pPr>
            <w:r>
              <w:rPr>
                <w:b/>
                <w:spacing w:val="-3"/>
                <w:sz w:val="21"/>
              </w:rPr>
              <w:t>险金赔付，我们不退还未满期净保险费。</w:t>
            </w:r>
          </w:p>
        </w:tc>
      </w:tr>
      <w:tr>
        <w:trPr>
          <w:trHeight w:val="549"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before="122"/>
              <w:ind w:left="77"/>
              <w:rPr>
                <w:b/>
                <w:sz w:val="21"/>
              </w:rPr>
            </w:pPr>
            <w:r>
              <w:rPr>
                <w:b/>
                <w:spacing w:val="-3"/>
                <w:sz w:val="21"/>
              </w:rPr>
              <w:t>您解除合同会遭受一定损失。</w:t>
            </w:r>
          </w:p>
        </w:tc>
      </w:tr>
      <w:tr>
        <w:trPr>
          <w:trHeight w:val="546" w:hRule="atLeast"/>
        </w:trPr>
        <w:tc>
          <w:tcPr>
            <w:tcW w:w="790" w:type="dxa"/>
            <w:tcBorders>
              <w:bottom w:val="single" w:sz="4" w:space="0" w:color="000000"/>
            </w:tcBorders>
          </w:tcPr>
          <w:p>
            <w:pPr>
              <w:pStyle w:val="TableParagraph"/>
              <w:spacing w:before="176"/>
              <w:ind w:left="108"/>
              <w:rPr>
                <w:rFonts w:ascii="Times New Roman"/>
                <w:b/>
                <w:sz w:val="24"/>
              </w:rPr>
            </w:pPr>
            <w:r>
              <w:rPr>
                <w:rFonts w:ascii="Times New Roman"/>
                <w:b/>
                <w:sz w:val="24"/>
              </w:rPr>
              <w:t>6</w:t>
            </w:r>
          </w:p>
        </w:tc>
        <w:tc>
          <w:tcPr>
            <w:tcW w:w="2183" w:type="dxa"/>
            <w:tcBorders>
              <w:bottom w:val="single" w:sz="4" w:space="0" w:color="000000"/>
            </w:tcBorders>
          </w:tcPr>
          <w:p>
            <w:pPr>
              <w:pStyle w:val="TableParagraph"/>
              <w:spacing w:before="160"/>
              <w:ind w:left="417"/>
              <w:rPr>
                <w:b/>
                <w:sz w:val="24"/>
              </w:rPr>
            </w:pPr>
            <w:r>
              <w:rPr>
                <w:b/>
                <w:w w:val="95"/>
                <w:sz w:val="24"/>
              </w:rPr>
              <w:t>合同效</w:t>
            </w:r>
            <w:r>
              <w:rPr>
                <w:b/>
                <w:w w:val="95"/>
                <w:sz w:val="24"/>
              </w:rPr>
              <w:t>力</w:t>
            </w:r>
            <w:r>
              <w:rPr>
                <w:b/>
                <w:w w:val="95"/>
                <w:sz w:val="24"/>
              </w:rPr>
              <w:t>的</w:t>
            </w:r>
            <w:r>
              <w:rPr>
                <w:b/>
                <w:spacing w:val="-5"/>
                <w:w w:val="95"/>
                <w:sz w:val="24"/>
              </w:rPr>
              <w:t>终止</w:t>
            </w:r>
          </w:p>
        </w:tc>
        <w:tc>
          <w:tcPr>
            <w:tcW w:w="6272" w:type="dxa"/>
            <w:tcBorders>
              <w:bottom w:val="single" w:sz="4" w:space="0" w:color="000000"/>
            </w:tcBorders>
          </w:tcPr>
          <w:p>
            <w:pPr>
              <w:pStyle w:val="TableParagraph"/>
              <w:rPr>
                <w:rFonts w:ascii="Times New Roman"/>
                <w:sz w:val="20"/>
              </w:rPr>
            </w:pPr>
          </w:p>
        </w:tc>
      </w:tr>
      <w:tr>
        <w:trPr>
          <w:trHeight w:val="508" w:hRule="atLeast"/>
        </w:trPr>
        <w:tc>
          <w:tcPr>
            <w:tcW w:w="790" w:type="dxa"/>
            <w:tcBorders>
              <w:top w:val="single" w:sz="4" w:space="0" w:color="000000"/>
            </w:tcBorders>
          </w:tcPr>
          <w:p>
            <w:pPr>
              <w:pStyle w:val="TableParagraph"/>
              <w:spacing w:before="2"/>
              <w:rPr>
                <w:b/>
                <w:sz w:val="18"/>
              </w:rPr>
            </w:pPr>
          </w:p>
          <w:p>
            <w:pPr>
              <w:pStyle w:val="TableParagraph"/>
              <w:ind w:left="108"/>
              <w:rPr>
                <w:rFonts w:ascii="Times New Roman"/>
                <w:sz w:val="21"/>
              </w:rPr>
            </w:pPr>
            <w:r>
              <w:rPr>
                <w:rFonts w:ascii="Times New Roman"/>
                <w:spacing w:val="-5"/>
                <w:sz w:val="21"/>
              </w:rPr>
              <w:t>6.1</w:t>
            </w:r>
          </w:p>
        </w:tc>
        <w:tc>
          <w:tcPr>
            <w:tcW w:w="2183" w:type="dxa"/>
            <w:tcBorders>
              <w:top w:val="single" w:sz="4" w:space="0" w:color="000000"/>
            </w:tcBorders>
          </w:tcPr>
          <w:p>
            <w:pPr>
              <w:pStyle w:val="TableParagraph"/>
              <w:spacing w:before="10"/>
              <w:rPr>
                <w:b/>
                <w:sz w:val="18"/>
              </w:rPr>
            </w:pPr>
          </w:p>
          <w:p>
            <w:pPr>
              <w:pStyle w:val="TableParagraph"/>
              <w:spacing w:line="248" w:lineRule="exact"/>
              <w:ind w:left="417"/>
              <w:rPr>
                <w:b/>
                <w:sz w:val="21"/>
              </w:rPr>
            </w:pPr>
            <w:r>
              <w:rPr>
                <w:b/>
                <w:spacing w:val="-2"/>
                <w:sz w:val="21"/>
              </w:rPr>
              <w:t>合同效力的终止</w:t>
            </w:r>
          </w:p>
        </w:tc>
        <w:tc>
          <w:tcPr>
            <w:tcW w:w="6272" w:type="dxa"/>
            <w:tcBorders>
              <w:top w:val="single" w:sz="4" w:space="0" w:color="000000"/>
            </w:tcBorders>
          </w:tcPr>
          <w:p>
            <w:pPr>
              <w:pStyle w:val="TableParagraph"/>
              <w:spacing w:before="10"/>
              <w:rPr>
                <w:b/>
                <w:sz w:val="18"/>
              </w:rPr>
            </w:pPr>
          </w:p>
          <w:p>
            <w:pPr>
              <w:pStyle w:val="TableParagraph"/>
              <w:spacing w:line="248" w:lineRule="exact"/>
              <w:ind w:left="77"/>
              <w:rPr>
                <w:sz w:val="21"/>
              </w:rPr>
            </w:pPr>
            <w:r>
              <w:rPr>
                <w:spacing w:val="-3"/>
                <w:sz w:val="21"/>
              </w:rPr>
              <w:t>发生下列情况之一，本合同效力即时终止：</w:t>
            </w:r>
          </w:p>
        </w:tc>
      </w:tr>
      <w:tr>
        <w:trPr>
          <w:trHeight w:val="280"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4" w:lineRule="exact" w:before="6"/>
              <w:ind w:left="77"/>
              <w:rPr>
                <w:sz w:val="21"/>
              </w:rPr>
            </w:pPr>
            <w:r>
              <w:rPr>
                <w:spacing w:val="-2"/>
                <w:sz w:val="21"/>
              </w:rPr>
              <w:t>（</w:t>
            </w:r>
            <w:r>
              <w:rPr>
                <w:rFonts w:ascii="Times New Roman" w:eastAsia="Times New Roman"/>
                <w:spacing w:val="-2"/>
                <w:sz w:val="21"/>
              </w:rPr>
              <w:t>1</w:t>
            </w:r>
            <w:r>
              <w:rPr>
                <w:spacing w:val="-2"/>
                <w:sz w:val="21"/>
              </w:rPr>
              <w:t>）</w:t>
            </w:r>
            <w:r>
              <w:rPr>
                <w:spacing w:val="-3"/>
                <w:sz w:val="21"/>
              </w:rPr>
              <w:t>我们收到解除合同申请书；</w:t>
            </w:r>
          </w:p>
        </w:tc>
      </w:tr>
      <w:tr>
        <w:trPr>
          <w:trHeight w:val="27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2" w:lineRule="exact"/>
              <w:ind w:left="77"/>
              <w:rPr>
                <w:sz w:val="21"/>
              </w:rPr>
            </w:pPr>
            <w:r>
              <w:rPr>
                <w:spacing w:val="-2"/>
                <w:sz w:val="21"/>
              </w:rPr>
              <w:t>（</w:t>
            </w:r>
            <w:r>
              <w:rPr>
                <w:rFonts w:ascii="Times New Roman" w:eastAsia="Times New Roman"/>
                <w:spacing w:val="-2"/>
                <w:sz w:val="21"/>
              </w:rPr>
              <w:t>2</w:t>
            </w:r>
            <w:r>
              <w:rPr>
                <w:spacing w:val="-2"/>
                <w:sz w:val="21"/>
              </w:rPr>
              <w:t>）</w:t>
            </w:r>
            <w:r>
              <w:rPr>
                <w:spacing w:val="-4"/>
                <w:sz w:val="21"/>
              </w:rPr>
              <w:t>被保险人身故；</w:t>
            </w:r>
          </w:p>
        </w:tc>
      </w:tr>
      <w:tr>
        <w:trPr>
          <w:trHeight w:val="27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2" w:lineRule="exact"/>
              <w:ind w:left="77"/>
              <w:rPr>
                <w:sz w:val="21"/>
              </w:rPr>
            </w:pPr>
            <w:r>
              <w:rPr>
                <w:spacing w:val="-2"/>
                <w:sz w:val="21"/>
              </w:rPr>
              <w:t>（</w:t>
            </w:r>
            <w:r>
              <w:rPr>
                <w:rFonts w:ascii="Times New Roman" w:eastAsia="Times New Roman"/>
                <w:spacing w:val="-2"/>
                <w:sz w:val="21"/>
              </w:rPr>
              <w:t>3</w:t>
            </w:r>
            <w:r>
              <w:rPr>
                <w:spacing w:val="-2"/>
                <w:sz w:val="21"/>
              </w:rPr>
              <w:t>）</w:t>
            </w:r>
            <w:r>
              <w:rPr>
                <w:spacing w:val="-4"/>
                <w:sz w:val="21"/>
              </w:rPr>
              <w:t>保险期间届满；</w:t>
            </w:r>
          </w:p>
        </w:tc>
      </w:tr>
      <w:tr>
        <w:trPr>
          <w:trHeight w:val="429"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66" w:lineRule="exact"/>
              <w:ind w:left="77"/>
              <w:rPr>
                <w:sz w:val="21"/>
              </w:rPr>
            </w:pPr>
            <w:r>
              <w:rPr>
                <w:spacing w:val="-2"/>
                <w:sz w:val="21"/>
              </w:rPr>
              <w:t>（</w:t>
            </w:r>
            <w:r>
              <w:rPr>
                <w:rFonts w:ascii="Times New Roman" w:eastAsia="Times New Roman"/>
                <w:spacing w:val="-2"/>
                <w:sz w:val="21"/>
              </w:rPr>
              <w:t>4</w:t>
            </w:r>
            <w:r>
              <w:rPr>
                <w:spacing w:val="-2"/>
                <w:sz w:val="21"/>
              </w:rPr>
              <w:t>）</w:t>
            </w:r>
            <w:r>
              <w:rPr>
                <w:spacing w:val="-3"/>
                <w:sz w:val="21"/>
              </w:rPr>
              <w:t>因本合同其他条款约定情形而终止。</w:t>
            </w:r>
          </w:p>
        </w:tc>
      </w:tr>
      <w:tr>
        <w:trPr>
          <w:trHeight w:val="535" w:hRule="atLeast"/>
        </w:trPr>
        <w:tc>
          <w:tcPr>
            <w:tcW w:w="790" w:type="dxa"/>
            <w:tcBorders>
              <w:bottom w:val="single" w:sz="4" w:space="0" w:color="000000"/>
            </w:tcBorders>
          </w:tcPr>
          <w:p>
            <w:pPr>
              <w:pStyle w:val="TableParagraph"/>
              <w:spacing w:before="167"/>
              <w:ind w:left="108"/>
              <w:rPr>
                <w:rFonts w:ascii="Times New Roman"/>
                <w:b/>
                <w:sz w:val="24"/>
              </w:rPr>
            </w:pPr>
            <w:r>
              <w:rPr>
                <w:rFonts w:ascii="Times New Roman"/>
                <w:b/>
                <w:sz w:val="24"/>
              </w:rPr>
              <w:t>7</w:t>
            </w:r>
          </w:p>
        </w:tc>
        <w:tc>
          <w:tcPr>
            <w:tcW w:w="2183" w:type="dxa"/>
            <w:tcBorders>
              <w:bottom w:val="single" w:sz="4" w:space="0" w:color="000000"/>
            </w:tcBorders>
          </w:tcPr>
          <w:p>
            <w:pPr>
              <w:pStyle w:val="TableParagraph"/>
              <w:spacing w:before="151"/>
              <w:ind w:left="417"/>
              <w:rPr>
                <w:b/>
                <w:sz w:val="24"/>
              </w:rPr>
            </w:pPr>
            <w:r>
              <w:rPr>
                <w:b/>
                <w:spacing w:val="-3"/>
                <w:w w:val="95"/>
                <w:sz w:val="24"/>
              </w:rPr>
              <w:t>如实告知</w:t>
            </w:r>
          </w:p>
        </w:tc>
        <w:tc>
          <w:tcPr>
            <w:tcW w:w="6272" w:type="dxa"/>
            <w:tcBorders>
              <w:bottom w:val="single" w:sz="4" w:space="0" w:color="000000"/>
            </w:tcBorders>
          </w:tcPr>
          <w:p>
            <w:pPr>
              <w:pStyle w:val="TableParagraph"/>
              <w:rPr>
                <w:rFonts w:ascii="Times New Roman"/>
                <w:sz w:val="20"/>
              </w:rPr>
            </w:pPr>
          </w:p>
        </w:tc>
      </w:tr>
      <w:tr>
        <w:trPr>
          <w:trHeight w:val="511" w:hRule="atLeast"/>
        </w:trPr>
        <w:tc>
          <w:tcPr>
            <w:tcW w:w="790" w:type="dxa"/>
            <w:tcBorders>
              <w:top w:val="single" w:sz="4" w:space="0" w:color="000000"/>
            </w:tcBorders>
          </w:tcPr>
          <w:p>
            <w:pPr>
              <w:pStyle w:val="TableParagraph"/>
              <w:spacing w:before="2"/>
              <w:rPr>
                <w:b/>
                <w:sz w:val="18"/>
              </w:rPr>
            </w:pPr>
          </w:p>
          <w:p>
            <w:pPr>
              <w:pStyle w:val="TableParagraph"/>
              <w:ind w:left="108"/>
              <w:rPr>
                <w:rFonts w:ascii="Times New Roman"/>
                <w:sz w:val="21"/>
              </w:rPr>
            </w:pPr>
            <w:r>
              <w:rPr>
                <w:rFonts w:ascii="Times New Roman"/>
                <w:spacing w:val="-5"/>
                <w:sz w:val="21"/>
              </w:rPr>
              <w:t>7.1</w:t>
            </w:r>
          </w:p>
        </w:tc>
        <w:tc>
          <w:tcPr>
            <w:tcW w:w="2183" w:type="dxa"/>
            <w:tcBorders>
              <w:top w:val="single" w:sz="4" w:space="0" w:color="000000"/>
            </w:tcBorders>
          </w:tcPr>
          <w:p>
            <w:pPr>
              <w:pStyle w:val="TableParagraph"/>
              <w:spacing w:before="10"/>
              <w:rPr>
                <w:b/>
                <w:sz w:val="18"/>
              </w:rPr>
            </w:pPr>
          </w:p>
          <w:p>
            <w:pPr>
              <w:pStyle w:val="TableParagraph"/>
              <w:spacing w:line="251" w:lineRule="exact"/>
              <w:ind w:left="417"/>
              <w:rPr>
                <w:b/>
                <w:sz w:val="21"/>
              </w:rPr>
            </w:pPr>
            <w:r>
              <w:rPr>
                <w:b/>
                <w:spacing w:val="18"/>
                <w:sz w:val="21"/>
              </w:rPr>
              <w:t>明确说明与如实</w:t>
            </w:r>
          </w:p>
        </w:tc>
        <w:tc>
          <w:tcPr>
            <w:tcW w:w="6272" w:type="dxa"/>
            <w:tcBorders>
              <w:top w:val="single" w:sz="4" w:space="0" w:color="000000"/>
            </w:tcBorders>
          </w:tcPr>
          <w:p>
            <w:pPr>
              <w:pStyle w:val="TableParagraph"/>
              <w:spacing w:before="10"/>
              <w:rPr>
                <w:b/>
                <w:sz w:val="18"/>
              </w:rPr>
            </w:pPr>
          </w:p>
          <w:p>
            <w:pPr>
              <w:pStyle w:val="TableParagraph"/>
              <w:spacing w:line="251" w:lineRule="exact"/>
              <w:ind w:left="77"/>
              <w:rPr>
                <w:sz w:val="21"/>
              </w:rPr>
            </w:pPr>
            <w:r>
              <w:rPr>
                <w:spacing w:val="-3"/>
                <w:sz w:val="21"/>
              </w:rPr>
              <w:t>订立本合同时，我们应向您说明本合同的内容。</w:t>
            </w:r>
          </w:p>
        </w:tc>
      </w:tr>
      <w:tr>
        <w:trPr>
          <w:trHeight w:val="513" w:hRule="atLeast"/>
        </w:trPr>
        <w:tc>
          <w:tcPr>
            <w:tcW w:w="790" w:type="dxa"/>
          </w:tcPr>
          <w:p>
            <w:pPr>
              <w:pStyle w:val="TableParagraph"/>
              <w:rPr>
                <w:rFonts w:ascii="Times New Roman"/>
                <w:sz w:val="20"/>
              </w:rPr>
            </w:pPr>
          </w:p>
        </w:tc>
        <w:tc>
          <w:tcPr>
            <w:tcW w:w="2183" w:type="dxa"/>
          </w:tcPr>
          <w:p>
            <w:pPr>
              <w:pStyle w:val="TableParagraph"/>
              <w:spacing w:before="2"/>
              <w:ind w:left="417"/>
              <w:rPr>
                <w:b/>
                <w:sz w:val="21"/>
              </w:rPr>
            </w:pPr>
            <w:r>
              <w:rPr>
                <w:b/>
                <w:spacing w:val="-5"/>
                <w:sz w:val="21"/>
              </w:rPr>
              <w:t>告知</w:t>
            </w:r>
          </w:p>
        </w:tc>
        <w:tc>
          <w:tcPr>
            <w:tcW w:w="6272" w:type="dxa"/>
          </w:tcPr>
          <w:p>
            <w:pPr>
              <w:pStyle w:val="TableParagraph"/>
              <w:spacing w:before="12"/>
              <w:rPr>
                <w:b/>
                <w:sz w:val="18"/>
              </w:rPr>
            </w:pPr>
          </w:p>
          <w:p>
            <w:pPr>
              <w:pStyle w:val="TableParagraph"/>
              <w:spacing w:line="251" w:lineRule="exact"/>
              <w:ind w:left="77"/>
              <w:rPr>
                <w:sz w:val="21"/>
              </w:rPr>
            </w:pPr>
            <w:r>
              <w:rPr>
                <w:spacing w:val="-3"/>
                <w:sz w:val="21"/>
              </w:rPr>
              <w:t>对保险条款中免除我们责任的条款，我们在订立合同时应当在投保</w:t>
            </w:r>
          </w:p>
        </w:tc>
      </w:tr>
      <w:tr>
        <w:trPr>
          <w:trHeight w:val="27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0" w:lineRule="exact" w:before="2"/>
              <w:ind w:left="77"/>
              <w:rPr>
                <w:sz w:val="21"/>
              </w:rPr>
            </w:pPr>
            <w:r>
              <w:rPr>
                <w:spacing w:val="-3"/>
                <w:sz w:val="21"/>
              </w:rPr>
              <w:t>单、保险单或者其他保险凭证上作出足以引起您注意的提示，并对</w:t>
            </w:r>
          </w:p>
        </w:tc>
      </w:tr>
      <w:tr>
        <w:trPr>
          <w:trHeight w:val="27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1" w:lineRule="exact" w:before="1"/>
              <w:ind w:left="77"/>
              <w:rPr>
                <w:sz w:val="21"/>
              </w:rPr>
            </w:pPr>
            <w:r>
              <w:rPr>
                <w:spacing w:val="-3"/>
                <w:sz w:val="21"/>
              </w:rPr>
              <w:t>该条款的内容以书面或者口头形式向您作出明确说明，未作提示或</w:t>
            </w:r>
          </w:p>
        </w:tc>
      </w:tr>
      <w:tr>
        <w:trPr>
          <w:trHeight w:val="393"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before="2"/>
              <w:ind w:left="77"/>
              <w:rPr>
                <w:sz w:val="21"/>
              </w:rPr>
            </w:pPr>
            <w:r>
              <w:rPr>
                <w:spacing w:val="-3"/>
                <w:sz w:val="21"/>
              </w:rPr>
              <w:t>者明确说明的，该条款不产生效力。</w:t>
            </w:r>
          </w:p>
        </w:tc>
      </w:tr>
      <w:tr>
        <w:trPr>
          <w:trHeight w:val="513"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before="123"/>
              <w:ind w:left="77"/>
              <w:rPr>
                <w:sz w:val="21"/>
              </w:rPr>
            </w:pPr>
            <w:r>
              <w:rPr>
                <w:spacing w:val="-3"/>
                <w:sz w:val="21"/>
              </w:rPr>
              <w:t>我们就您和被保险人的有关情况提出询问，您应当如实告知。</w:t>
            </w:r>
          </w:p>
        </w:tc>
      </w:tr>
      <w:tr>
        <w:trPr>
          <w:trHeight w:val="393"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1" w:lineRule="exact" w:before="122"/>
              <w:ind w:left="77"/>
              <w:rPr>
                <w:b/>
                <w:sz w:val="21"/>
              </w:rPr>
            </w:pPr>
            <w:r>
              <w:rPr>
                <w:b/>
                <w:spacing w:val="-3"/>
                <w:sz w:val="21"/>
              </w:rPr>
              <w:t>如果您故意或者因重大过失未履行前款规定的如实告知义务，足以</w:t>
            </w:r>
          </w:p>
        </w:tc>
      </w:tr>
      <w:tr>
        <w:trPr>
          <w:trHeight w:val="27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0" w:lineRule="exact" w:before="2"/>
              <w:ind w:left="77"/>
              <w:rPr>
                <w:b/>
                <w:sz w:val="21"/>
              </w:rPr>
            </w:pPr>
            <w:r>
              <w:rPr>
                <w:b/>
                <w:spacing w:val="-3"/>
                <w:sz w:val="21"/>
              </w:rPr>
              <w:t>影响我们决定是否同意承保或者提高保险费率的，我们有权解除本</w:t>
            </w:r>
          </w:p>
        </w:tc>
      </w:tr>
      <w:tr>
        <w:trPr>
          <w:trHeight w:val="39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before="1"/>
              <w:ind w:left="77"/>
              <w:rPr>
                <w:b/>
                <w:sz w:val="21"/>
              </w:rPr>
            </w:pPr>
            <w:r>
              <w:rPr>
                <w:b/>
                <w:spacing w:val="-4"/>
                <w:sz w:val="21"/>
              </w:rPr>
              <w:t>合同。</w:t>
            </w:r>
          </w:p>
        </w:tc>
      </w:tr>
      <w:tr>
        <w:trPr>
          <w:trHeight w:val="393"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1" w:lineRule="exact" w:before="122"/>
              <w:ind w:left="77"/>
              <w:rPr>
                <w:b/>
                <w:sz w:val="21"/>
              </w:rPr>
            </w:pPr>
            <w:r>
              <w:rPr>
                <w:b/>
                <w:spacing w:val="-3"/>
                <w:sz w:val="21"/>
              </w:rPr>
              <w:t>如果您故意不履行如实告知义务，对于本合同解除前发生的保险事</w:t>
            </w:r>
          </w:p>
        </w:tc>
      </w:tr>
      <w:tr>
        <w:trPr>
          <w:trHeight w:val="27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0" w:lineRule="exact" w:before="2"/>
              <w:ind w:left="77"/>
              <w:rPr>
                <w:b/>
                <w:sz w:val="21"/>
              </w:rPr>
            </w:pPr>
            <w:r>
              <w:rPr>
                <w:b/>
                <w:spacing w:val="-3"/>
                <w:sz w:val="21"/>
              </w:rPr>
              <w:t>故，我们不承担给付保险金的责任，并不退还保险费。如果您因重</w:t>
            </w:r>
          </w:p>
        </w:tc>
      </w:tr>
      <w:tr>
        <w:trPr>
          <w:trHeight w:val="27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1" w:lineRule="exact" w:before="1"/>
              <w:ind w:left="77"/>
              <w:rPr>
                <w:b/>
                <w:sz w:val="21"/>
              </w:rPr>
            </w:pPr>
            <w:r>
              <w:rPr>
                <w:b/>
                <w:spacing w:val="-3"/>
                <w:sz w:val="21"/>
              </w:rPr>
              <w:t>大过失未履行如实告知义务，对保险事故的发生有严重影响的，对</w:t>
            </w:r>
          </w:p>
        </w:tc>
      </w:tr>
      <w:tr>
        <w:trPr>
          <w:trHeight w:val="27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0" w:lineRule="exact" w:before="2"/>
              <w:ind w:left="77"/>
              <w:rPr>
                <w:b/>
                <w:sz w:val="21"/>
              </w:rPr>
            </w:pPr>
            <w:r>
              <w:rPr>
                <w:b/>
                <w:spacing w:val="-3"/>
                <w:sz w:val="21"/>
              </w:rPr>
              <w:t>于本合同解除前发生的保险事故，我们不承担给付保险金的责任，</w:t>
            </w:r>
          </w:p>
        </w:tc>
      </w:tr>
      <w:tr>
        <w:trPr>
          <w:trHeight w:val="39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before="1"/>
              <w:ind w:left="77"/>
              <w:rPr>
                <w:b/>
                <w:sz w:val="21"/>
              </w:rPr>
            </w:pPr>
            <w:r>
              <w:rPr>
                <w:b/>
                <w:spacing w:val="-2"/>
                <w:sz w:val="21"/>
              </w:rPr>
              <w:t>但应当退还保险费。</w:t>
            </w:r>
          </w:p>
        </w:tc>
      </w:tr>
      <w:tr>
        <w:trPr>
          <w:trHeight w:val="393"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1" w:lineRule="exact" w:before="122"/>
              <w:ind w:left="77"/>
              <w:rPr>
                <w:sz w:val="21"/>
              </w:rPr>
            </w:pPr>
            <w:r>
              <w:rPr>
                <w:spacing w:val="-3"/>
                <w:sz w:val="21"/>
              </w:rPr>
              <w:t>我们在合同订立时已经知道您未如实告知的情况的，我们不得解除</w:t>
            </w:r>
          </w:p>
        </w:tc>
      </w:tr>
      <w:tr>
        <w:trPr>
          <w:trHeight w:val="379"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before="2"/>
              <w:ind w:left="77"/>
              <w:rPr>
                <w:sz w:val="21"/>
              </w:rPr>
            </w:pPr>
            <w:r>
              <w:rPr>
                <w:spacing w:val="-3"/>
                <w:sz w:val="21"/>
              </w:rPr>
              <w:t>合同；发生保险事故的，我们承担给付保险金的责任。</w:t>
            </w:r>
          </w:p>
        </w:tc>
      </w:tr>
      <w:tr>
        <w:trPr>
          <w:trHeight w:val="414" w:hRule="atLeast"/>
        </w:trPr>
        <w:tc>
          <w:tcPr>
            <w:tcW w:w="790" w:type="dxa"/>
          </w:tcPr>
          <w:p>
            <w:pPr>
              <w:pStyle w:val="TableParagraph"/>
              <w:spacing w:before="129"/>
              <w:ind w:left="108"/>
              <w:rPr>
                <w:rFonts w:ascii="Times New Roman"/>
                <w:sz w:val="21"/>
              </w:rPr>
            </w:pPr>
            <w:r>
              <w:rPr>
                <w:rFonts w:ascii="Times New Roman"/>
                <w:spacing w:val="-5"/>
                <w:sz w:val="21"/>
              </w:rPr>
              <w:t>7.2</w:t>
            </w:r>
          </w:p>
        </w:tc>
        <w:tc>
          <w:tcPr>
            <w:tcW w:w="2183" w:type="dxa"/>
          </w:tcPr>
          <w:p>
            <w:pPr>
              <w:pStyle w:val="TableParagraph"/>
              <w:spacing w:line="258" w:lineRule="exact" w:before="137"/>
              <w:ind w:left="417"/>
              <w:rPr>
                <w:b/>
                <w:sz w:val="21"/>
              </w:rPr>
            </w:pPr>
            <w:r>
              <w:rPr>
                <w:b/>
                <w:spacing w:val="18"/>
                <w:sz w:val="21"/>
              </w:rPr>
              <w:t>本公司合同解除</w:t>
            </w:r>
          </w:p>
        </w:tc>
        <w:tc>
          <w:tcPr>
            <w:tcW w:w="6272" w:type="dxa"/>
          </w:tcPr>
          <w:p>
            <w:pPr>
              <w:pStyle w:val="TableParagraph"/>
              <w:spacing w:line="258" w:lineRule="exact" w:before="137"/>
              <w:ind w:left="77"/>
              <w:rPr>
                <w:sz w:val="21"/>
              </w:rPr>
            </w:pPr>
            <w:r>
              <w:rPr>
                <w:spacing w:val="-2"/>
                <w:sz w:val="21"/>
              </w:rPr>
              <w:t>前条规定的合同解除权，自我们知道有解除事由之日起，超过</w:t>
            </w:r>
            <w:r>
              <w:rPr>
                <w:rFonts w:ascii="Times New Roman" w:eastAsia="Times New Roman"/>
                <w:spacing w:val="-2"/>
                <w:sz w:val="21"/>
              </w:rPr>
              <w:t>30</w:t>
            </w:r>
            <w:r>
              <w:rPr>
                <w:spacing w:val="-10"/>
                <w:sz w:val="21"/>
              </w:rPr>
              <w:t>日</w:t>
            </w:r>
          </w:p>
        </w:tc>
      </w:tr>
      <w:tr>
        <w:trPr>
          <w:trHeight w:val="233" w:hRule="atLeast"/>
        </w:trPr>
        <w:tc>
          <w:tcPr>
            <w:tcW w:w="790" w:type="dxa"/>
          </w:tcPr>
          <w:p>
            <w:pPr>
              <w:pStyle w:val="TableParagraph"/>
              <w:rPr>
                <w:rFonts w:ascii="Times New Roman"/>
                <w:sz w:val="16"/>
              </w:rPr>
            </w:pPr>
          </w:p>
        </w:tc>
        <w:tc>
          <w:tcPr>
            <w:tcW w:w="2183" w:type="dxa"/>
          </w:tcPr>
          <w:p>
            <w:pPr>
              <w:pStyle w:val="TableParagraph"/>
              <w:spacing w:line="213" w:lineRule="exact"/>
              <w:ind w:left="417"/>
              <w:rPr>
                <w:b/>
                <w:sz w:val="21"/>
              </w:rPr>
            </w:pPr>
            <w:r>
              <w:rPr>
                <w:b/>
                <w:spacing w:val="-3"/>
                <w:sz w:val="21"/>
              </w:rPr>
              <w:t>权的限制</w:t>
            </w:r>
          </w:p>
        </w:tc>
        <w:tc>
          <w:tcPr>
            <w:tcW w:w="6272" w:type="dxa"/>
          </w:tcPr>
          <w:p>
            <w:pPr>
              <w:pStyle w:val="TableParagraph"/>
              <w:spacing w:line="213" w:lineRule="exact"/>
              <w:ind w:left="77"/>
              <w:rPr>
                <w:sz w:val="21"/>
              </w:rPr>
            </w:pPr>
            <w:r>
              <w:rPr>
                <w:spacing w:val="-4"/>
                <w:sz w:val="21"/>
              </w:rPr>
              <w:t>不行使而消灭。</w:t>
            </w:r>
          </w:p>
        </w:tc>
      </w:tr>
    </w:tbl>
    <w:p>
      <w:pPr>
        <w:pStyle w:val="BodyText"/>
        <w:spacing w:before="2"/>
        <w:rPr>
          <w:b/>
          <w:sz w:val="22"/>
        </w:rPr>
      </w:pPr>
    </w:p>
    <w:p>
      <w:pPr>
        <w:pStyle w:val="ListParagraph"/>
        <w:numPr>
          <w:ilvl w:val="0"/>
          <w:numId w:val="10"/>
        </w:numPr>
        <w:tabs>
          <w:tab w:pos="1341" w:val="left" w:leader="none"/>
          <w:tab w:pos="1342" w:val="left" w:leader="none"/>
        </w:tabs>
        <w:spacing w:line="240" w:lineRule="auto" w:before="77" w:after="0"/>
        <w:ind w:left="1341" w:right="0" w:hanging="1100"/>
        <w:jc w:val="left"/>
        <w:rPr>
          <w:b/>
          <w:sz w:val="24"/>
        </w:rPr>
      </w:pPr>
      <w:r>
        <w:rPr>
          <w:b/>
          <w:w w:val="95"/>
          <w:sz w:val="24"/>
        </w:rPr>
        <w:t>特定心</w:t>
      </w:r>
      <w:r>
        <w:rPr>
          <w:b/>
          <w:w w:val="95"/>
          <w:sz w:val="24"/>
        </w:rPr>
        <w:t>脑</w:t>
      </w:r>
      <w:r>
        <w:rPr>
          <w:b/>
          <w:w w:val="95"/>
          <w:sz w:val="24"/>
        </w:rPr>
        <w:t>血</w:t>
      </w:r>
      <w:r>
        <w:rPr>
          <w:b/>
          <w:w w:val="95"/>
          <w:sz w:val="24"/>
        </w:rPr>
        <w:t>管轻症疾病的定义</w:t>
      </w:r>
      <w:r>
        <w:rPr>
          <w:b/>
          <w:w w:val="95"/>
          <w:sz w:val="24"/>
        </w:rPr>
        <w:t>及</w:t>
      </w:r>
      <w:r>
        <w:rPr>
          <w:b/>
          <w:w w:val="95"/>
          <w:sz w:val="24"/>
        </w:rPr>
        <w:t>范</w:t>
      </w:r>
      <w:r>
        <w:rPr>
          <w:b/>
          <w:spacing w:val="-10"/>
          <w:w w:val="95"/>
          <w:sz w:val="24"/>
        </w:rPr>
        <w:t>围</w:t>
      </w:r>
    </w:p>
    <w:p>
      <w:pPr>
        <w:pStyle w:val="BodyText"/>
        <w:spacing w:before="11"/>
        <w:rPr>
          <w:b/>
          <w:sz w:val="3"/>
        </w:rPr>
      </w:pPr>
      <w:r>
        <w:rPr/>
        <w:drawing>
          <wp:anchor distT="0" distB="0" distL="0" distR="0" allowOverlap="1" layoutInCell="1" locked="0" behindDoc="0" simplePos="0" relativeHeight="8">
            <wp:simplePos x="0" y="0"/>
            <wp:positionH relativeFrom="page">
              <wp:posOffset>1012240</wp:posOffset>
            </wp:positionH>
            <wp:positionV relativeFrom="paragraph">
              <wp:posOffset>47007</wp:posOffset>
            </wp:positionV>
            <wp:extent cx="5869400" cy="6096"/>
            <wp:effectExtent l="0" t="0" r="0" b="0"/>
            <wp:wrapTopAndBottom/>
            <wp:docPr id="23" name="image5.png"/>
            <wp:cNvGraphicFramePr>
              <a:graphicFrameLocks noChangeAspect="1"/>
            </wp:cNvGraphicFramePr>
            <a:graphic>
              <a:graphicData uri="http://schemas.openxmlformats.org/drawingml/2006/picture">
                <pic:pic>
                  <pic:nvPicPr>
                    <pic:cNvPr id="24" name="image5.png"/>
                    <pic:cNvPicPr/>
                  </pic:nvPicPr>
                  <pic:blipFill>
                    <a:blip r:embed="rId10" cstate="print"/>
                    <a:stretch>
                      <a:fillRect/>
                    </a:stretch>
                  </pic:blipFill>
                  <pic:spPr>
                    <a:xfrm>
                      <a:off x="0" y="0"/>
                      <a:ext cx="5869400" cy="6096"/>
                    </a:xfrm>
                    <a:prstGeom prst="rect">
                      <a:avLst/>
                    </a:prstGeom>
                  </pic:spPr>
                </pic:pic>
              </a:graphicData>
            </a:graphic>
          </wp:anchor>
        </w:drawing>
      </w:r>
    </w:p>
    <w:p>
      <w:pPr>
        <w:pStyle w:val="BodyText"/>
        <w:rPr>
          <w:b/>
          <w:sz w:val="19"/>
        </w:rPr>
      </w:pPr>
    </w:p>
    <w:p>
      <w:pPr>
        <w:pStyle w:val="BodyText"/>
        <w:spacing w:line="244" w:lineRule="auto"/>
        <w:ind w:left="1341" w:right="452"/>
      </w:pPr>
      <w:r>
        <w:rPr>
          <w:spacing w:val="-2"/>
        </w:rPr>
        <w:t>本合同所指特定心脑血管轻症疾病，是被保险人发生符合以下定义所述条件的疾病、疾</w:t>
      </w:r>
      <w:r>
        <w:rPr>
          <w:spacing w:val="-2"/>
        </w:rPr>
        <w:t>病状态或手术，应当由专科医生明确诊断。</w:t>
      </w:r>
    </w:p>
    <w:p>
      <w:pPr>
        <w:spacing w:after="0" w:line="244" w:lineRule="auto"/>
        <w:sectPr>
          <w:pgSz w:w="11910" w:h="16840"/>
          <w:pgMar w:header="0" w:footer="879" w:top="1120" w:bottom="1060" w:left="1460" w:right="720"/>
        </w:sectPr>
      </w:pPr>
    </w:p>
    <w:tbl>
      <w:tblPr>
        <w:tblW w:w="0" w:type="auto"/>
        <w:jc w:val="left"/>
        <w:tblInd w:w="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2"/>
        <w:gridCol w:w="2079"/>
        <w:gridCol w:w="6328"/>
      </w:tblGrid>
      <w:tr>
        <w:trPr>
          <w:trHeight w:val="270" w:hRule="atLeast"/>
        </w:trPr>
        <w:tc>
          <w:tcPr>
            <w:tcW w:w="732" w:type="dxa"/>
          </w:tcPr>
          <w:p>
            <w:pPr>
              <w:pStyle w:val="TableParagraph"/>
              <w:spacing w:line="229" w:lineRule="exact"/>
              <w:ind w:left="50"/>
              <w:rPr>
                <w:rFonts w:ascii="Times New Roman"/>
                <w:sz w:val="21"/>
              </w:rPr>
            </w:pPr>
            <w:r>
              <w:rPr>
                <w:rFonts w:ascii="Times New Roman"/>
                <w:spacing w:val="-5"/>
                <w:sz w:val="21"/>
              </w:rPr>
              <w:t>8.1</w:t>
            </w:r>
          </w:p>
        </w:tc>
        <w:tc>
          <w:tcPr>
            <w:tcW w:w="2079" w:type="dxa"/>
          </w:tcPr>
          <w:p>
            <w:pPr>
              <w:pStyle w:val="TableParagraph"/>
              <w:spacing w:line="251" w:lineRule="exact"/>
              <w:ind w:left="417"/>
              <w:rPr>
                <w:b/>
                <w:sz w:val="21"/>
              </w:rPr>
            </w:pPr>
            <w:r>
              <w:rPr>
                <w:b/>
                <w:spacing w:val="-2"/>
                <w:sz w:val="21"/>
              </w:rPr>
              <w:t>不典型的急性心</w:t>
            </w:r>
          </w:p>
        </w:tc>
        <w:tc>
          <w:tcPr>
            <w:tcW w:w="6328" w:type="dxa"/>
          </w:tcPr>
          <w:p>
            <w:pPr>
              <w:pStyle w:val="TableParagraph"/>
              <w:spacing w:line="251" w:lineRule="exact"/>
              <w:ind w:left="181"/>
              <w:rPr>
                <w:sz w:val="21"/>
              </w:rPr>
            </w:pPr>
            <w:r>
              <w:rPr>
                <w:spacing w:val="-3"/>
                <w:sz w:val="21"/>
              </w:rPr>
              <w:t>指被临床诊断为急性心肌梗塞并接受了急性心肌梗塞治疗，且满足</w:t>
            </w:r>
          </w:p>
        </w:tc>
      </w:tr>
      <w:tr>
        <w:trPr>
          <w:trHeight w:val="272" w:hRule="atLeast"/>
        </w:trPr>
        <w:tc>
          <w:tcPr>
            <w:tcW w:w="732" w:type="dxa"/>
          </w:tcPr>
          <w:p>
            <w:pPr>
              <w:pStyle w:val="TableParagraph"/>
              <w:rPr>
                <w:rFonts w:ascii="Times New Roman"/>
                <w:sz w:val="20"/>
              </w:rPr>
            </w:pPr>
          </w:p>
        </w:tc>
        <w:tc>
          <w:tcPr>
            <w:tcW w:w="2079" w:type="dxa"/>
          </w:tcPr>
          <w:p>
            <w:pPr>
              <w:pStyle w:val="TableParagraph"/>
              <w:spacing w:line="253" w:lineRule="exact"/>
              <w:ind w:left="417"/>
              <w:rPr>
                <w:b/>
                <w:sz w:val="21"/>
              </w:rPr>
            </w:pPr>
            <w:r>
              <w:rPr>
                <w:b/>
                <w:spacing w:val="-4"/>
                <w:sz w:val="21"/>
              </w:rPr>
              <w:t>肌梗塞</w:t>
            </w:r>
          </w:p>
        </w:tc>
        <w:tc>
          <w:tcPr>
            <w:tcW w:w="6328" w:type="dxa"/>
          </w:tcPr>
          <w:p>
            <w:pPr>
              <w:pStyle w:val="TableParagraph"/>
              <w:spacing w:line="253" w:lineRule="exact"/>
              <w:ind w:left="181"/>
              <w:rPr>
                <w:sz w:val="21"/>
              </w:rPr>
            </w:pPr>
            <w:r>
              <w:rPr>
                <w:spacing w:val="-3"/>
                <w:sz w:val="21"/>
              </w:rPr>
              <w:t>下列全部条件，但未达到本合同所指重大疾病“急性心肌梗塞”的</w:t>
            </w:r>
          </w:p>
        </w:tc>
      </w:tr>
      <w:tr>
        <w:trPr>
          <w:trHeight w:val="269" w:hRule="atLeast"/>
        </w:trPr>
        <w:tc>
          <w:tcPr>
            <w:tcW w:w="732" w:type="dxa"/>
          </w:tcPr>
          <w:p>
            <w:pPr>
              <w:pStyle w:val="TableParagraph"/>
              <w:rPr>
                <w:rFonts w:ascii="Times New Roman"/>
                <w:sz w:val="18"/>
              </w:rPr>
            </w:pPr>
          </w:p>
        </w:tc>
        <w:tc>
          <w:tcPr>
            <w:tcW w:w="2079" w:type="dxa"/>
          </w:tcPr>
          <w:p>
            <w:pPr>
              <w:pStyle w:val="TableParagraph"/>
              <w:rPr>
                <w:rFonts w:ascii="Times New Roman"/>
                <w:sz w:val="18"/>
              </w:rPr>
            </w:pPr>
          </w:p>
        </w:tc>
        <w:tc>
          <w:tcPr>
            <w:tcW w:w="6328" w:type="dxa"/>
          </w:tcPr>
          <w:p>
            <w:pPr>
              <w:pStyle w:val="TableParagraph"/>
              <w:spacing w:line="249" w:lineRule="exact"/>
              <w:ind w:left="181"/>
              <w:rPr>
                <w:sz w:val="21"/>
              </w:rPr>
            </w:pPr>
            <w:r>
              <w:rPr>
                <w:spacing w:val="-4"/>
                <w:sz w:val="21"/>
              </w:rPr>
              <w:t>标准：</w:t>
            </w:r>
          </w:p>
        </w:tc>
      </w:tr>
      <w:tr>
        <w:trPr>
          <w:trHeight w:val="661" w:hRule="atLeast"/>
        </w:trPr>
        <w:tc>
          <w:tcPr>
            <w:tcW w:w="732" w:type="dxa"/>
          </w:tcPr>
          <w:p>
            <w:pPr>
              <w:pStyle w:val="TableParagraph"/>
              <w:rPr>
                <w:rFonts w:ascii="Times New Roman"/>
                <w:sz w:val="20"/>
              </w:rPr>
            </w:pPr>
          </w:p>
        </w:tc>
        <w:tc>
          <w:tcPr>
            <w:tcW w:w="2079" w:type="dxa"/>
          </w:tcPr>
          <w:p>
            <w:pPr>
              <w:pStyle w:val="TableParagraph"/>
              <w:rPr>
                <w:rFonts w:ascii="Times New Roman"/>
                <w:sz w:val="20"/>
              </w:rPr>
            </w:pPr>
          </w:p>
        </w:tc>
        <w:tc>
          <w:tcPr>
            <w:tcW w:w="6328" w:type="dxa"/>
          </w:tcPr>
          <w:p>
            <w:pPr>
              <w:pStyle w:val="TableParagraph"/>
              <w:numPr>
                <w:ilvl w:val="0"/>
                <w:numId w:val="11"/>
              </w:numPr>
              <w:tabs>
                <w:tab w:pos="711" w:val="left" w:leader="none"/>
              </w:tabs>
              <w:spacing w:line="240" w:lineRule="auto" w:before="2" w:after="0"/>
              <w:ind w:left="710" w:right="0" w:hanging="530"/>
              <w:jc w:val="left"/>
              <w:rPr>
                <w:sz w:val="21"/>
              </w:rPr>
            </w:pPr>
            <w:r>
              <w:rPr>
                <w:spacing w:val="-3"/>
                <w:sz w:val="21"/>
              </w:rPr>
              <w:t>心肌酶或肌钙蛋白有诊断意义的升高；</w:t>
            </w:r>
          </w:p>
          <w:p>
            <w:pPr>
              <w:pStyle w:val="TableParagraph"/>
              <w:numPr>
                <w:ilvl w:val="0"/>
                <w:numId w:val="11"/>
              </w:numPr>
              <w:tabs>
                <w:tab w:pos="711" w:val="left" w:leader="none"/>
              </w:tabs>
              <w:spacing w:line="240" w:lineRule="auto" w:before="2" w:after="0"/>
              <w:ind w:left="710" w:right="0" w:hanging="530"/>
              <w:jc w:val="left"/>
              <w:rPr>
                <w:sz w:val="21"/>
              </w:rPr>
            </w:pPr>
            <w:r>
              <w:rPr>
                <w:spacing w:val="-8"/>
                <w:sz w:val="21"/>
              </w:rPr>
              <w:t>心电图有损伤性的 </w:t>
            </w:r>
            <w:r>
              <w:rPr>
                <w:rFonts w:ascii="Times New Roman" w:eastAsia="Times New Roman"/>
                <w:spacing w:val="-2"/>
                <w:sz w:val="21"/>
              </w:rPr>
              <w:t>ST</w:t>
            </w:r>
            <w:r>
              <w:rPr>
                <w:rFonts w:ascii="Times New Roman" w:eastAsia="Times New Roman"/>
                <w:spacing w:val="5"/>
                <w:sz w:val="21"/>
              </w:rPr>
              <w:t> </w:t>
            </w:r>
            <w:r>
              <w:rPr>
                <w:spacing w:val="-4"/>
                <w:sz w:val="21"/>
              </w:rPr>
              <w:t>段改变。</w:t>
            </w:r>
          </w:p>
        </w:tc>
      </w:tr>
      <w:tr>
        <w:trPr>
          <w:trHeight w:val="396" w:hRule="atLeast"/>
        </w:trPr>
        <w:tc>
          <w:tcPr>
            <w:tcW w:w="732" w:type="dxa"/>
          </w:tcPr>
          <w:p>
            <w:pPr>
              <w:pStyle w:val="TableParagraph"/>
              <w:spacing w:before="117"/>
              <w:ind w:left="50"/>
              <w:rPr>
                <w:rFonts w:ascii="Times New Roman"/>
                <w:sz w:val="21"/>
              </w:rPr>
            </w:pPr>
            <w:r>
              <w:rPr>
                <w:rFonts w:ascii="Times New Roman"/>
                <w:spacing w:val="-5"/>
                <w:sz w:val="21"/>
              </w:rPr>
              <w:t>8.2</w:t>
            </w:r>
          </w:p>
        </w:tc>
        <w:tc>
          <w:tcPr>
            <w:tcW w:w="2079" w:type="dxa"/>
          </w:tcPr>
          <w:p>
            <w:pPr>
              <w:pStyle w:val="TableParagraph"/>
              <w:spacing w:line="252" w:lineRule="exact" w:before="124"/>
              <w:ind w:left="417"/>
              <w:rPr>
                <w:b/>
                <w:sz w:val="21"/>
              </w:rPr>
            </w:pPr>
            <w:r>
              <w:rPr>
                <w:b/>
                <w:spacing w:val="-2"/>
                <w:sz w:val="21"/>
              </w:rPr>
              <w:t>轻微脑中风后遗</w:t>
            </w:r>
          </w:p>
        </w:tc>
        <w:tc>
          <w:tcPr>
            <w:tcW w:w="6328" w:type="dxa"/>
          </w:tcPr>
          <w:p>
            <w:pPr>
              <w:pStyle w:val="TableParagraph"/>
              <w:spacing w:line="252" w:lineRule="exact" w:before="124"/>
              <w:ind w:left="181"/>
              <w:rPr>
                <w:sz w:val="21"/>
              </w:rPr>
            </w:pPr>
            <w:r>
              <w:rPr>
                <w:spacing w:val="-1"/>
                <w:sz w:val="21"/>
              </w:rPr>
              <w:t>指被保险人实际实施发生了脑血管的突发病变并出现神经系统功</w:t>
            </w:r>
          </w:p>
        </w:tc>
      </w:tr>
      <w:tr>
        <w:trPr>
          <w:trHeight w:val="544" w:hRule="atLeast"/>
        </w:trPr>
        <w:tc>
          <w:tcPr>
            <w:tcW w:w="732" w:type="dxa"/>
          </w:tcPr>
          <w:p>
            <w:pPr>
              <w:pStyle w:val="TableParagraph"/>
              <w:rPr>
                <w:rFonts w:ascii="Times New Roman"/>
                <w:sz w:val="20"/>
              </w:rPr>
            </w:pPr>
          </w:p>
        </w:tc>
        <w:tc>
          <w:tcPr>
            <w:tcW w:w="2079" w:type="dxa"/>
          </w:tcPr>
          <w:p>
            <w:pPr>
              <w:pStyle w:val="TableParagraph"/>
              <w:spacing w:before="2"/>
              <w:ind w:left="417"/>
              <w:rPr>
                <w:b/>
                <w:sz w:val="21"/>
              </w:rPr>
            </w:pPr>
            <w:r>
              <w:rPr>
                <w:b/>
                <w:w w:val="100"/>
                <w:sz w:val="21"/>
              </w:rPr>
              <w:t>症</w:t>
            </w:r>
          </w:p>
        </w:tc>
        <w:tc>
          <w:tcPr>
            <w:tcW w:w="6328" w:type="dxa"/>
          </w:tcPr>
          <w:p>
            <w:pPr>
              <w:pStyle w:val="TableParagraph"/>
              <w:spacing w:before="2"/>
              <w:ind w:left="181"/>
              <w:rPr>
                <w:sz w:val="21"/>
              </w:rPr>
            </w:pPr>
            <w:r>
              <w:rPr>
                <w:spacing w:val="-4"/>
                <w:sz w:val="21"/>
              </w:rPr>
              <w:t>能障碍表现，头颅断层扫描</w:t>
            </w:r>
            <w:r>
              <w:rPr>
                <w:spacing w:val="23"/>
                <w:sz w:val="21"/>
              </w:rPr>
              <w:t>（</w:t>
            </w:r>
            <w:r>
              <w:rPr>
                <w:rFonts w:ascii="Times New Roman" w:eastAsia="Times New Roman"/>
                <w:spacing w:val="21"/>
                <w:sz w:val="21"/>
              </w:rPr>
              <w:t>C</w:t>
            </w:r>
            <w:r>
              <w:rPr>
                <w:rFonts w:ascii="Times New Roman" w:eastAsia="Times New Roman"/>
                <w:spacing w:val="24"/>
                <w:sz w:val="21"/>
              </w:rPr>
              <w:t>T</w:t>
            </w:r>
            <w:r>
              <w:rPr>
                <w:spacing w:val="-85"/>
                <w:sz w:val="21"/>
              </w:rPr>
              <w:t>）</w:t>
            </w:r>
            <w:r>
              <w:rPr>
                <w:spacing w:val="-4"/>
                <w:sz w:val="21"/>
              </w:rPr>
              <w:t>、核磁共振（</w:t>
            </w:r>
            <w:r>
              <w:rPr>
                <w:rFonts w:ascii="Times New Roman" w:eastAsia="Times New Roman"/>
                <w:spacing w:val="-4"/>
                <w:sz w:val="21"/>
              </w:rPr>
              <w:t>MRI</w:t>
            </w:r>
            <w:r>
              <w:rPr>
                <w:spacing w:val="-4"/>
                <w:sz w:val="21"/>
              </w:rPr>
              <w:t>）</w:t>
            </w:r>
            <w:r>
              <w:rPr>
                <w:spacing w:val="-6"/>
                <w:sz w:val="21"/>
              </w:rPr>
              <w:t>等影像学检</w:t>
            </w:r>
          </w:p>
          <w:p>
            <w:pPr>
              <w:pStyle w:val="TableParagraph"/>
              <w:spacing w:line="252" w:lineRule="exact" w:before="2"/>
              <w:ind w:left="181"/>
              <w:rPr>
                <w:sz w:val="21"/>
              </w:rPr>
            </w:pPr>
            <w:r>
              <w:rPr>
                <w:spacing w:val="-3"/>
                <w:sz w:val="21"/>
              </w:rPr>
              <w:t>查证实存在对应病灶，诊断为脑出血、脑栓塞或者脑梗塞，在确诊</w:t>
            </w:r>
          </w:p>
        </w:tc>
      </w:tr>
      <w:tr>
        <w:trPr>
          <w:trHeight w:val="548" w:hRule="atLeast"/>
        </w:trPr>
        <w:tc>
          <w:tcPr>
            <w:tcW w:w="732" w:type="dxa"/>
          </w:tcPr>
          <w:p>
            <w:pPr>
              <w:pStyle w:val="TableParagraph"/>
              <w:rPr>
                <w:rFonts w:ascii="Times New Roman"/>
                <w:sz w:val="20"/>
              </w:rPr>
            </w:pPr>
          </w:p>
        </w:tc>
        <w:tc>
          <w:tcPr>
            <w:tcW w:w="2079" w:type="dxa"/>
          </w:tcPr>
          <w:p>
            <w:pPr>
              <w:pStyle w:val="TableParagraph"/>
              <w:rPr>
                <w:rFonts w:ascii="Times New Roman"/>
                <w:sz w:val="20"/>
              </w:rPr>
            </w:pPr>
          </w:p>
        </w:tc>
        <w:tc>
          <w:tcPr>
            <w:tcW w:w="6328" w:type="dxa"/>
          </w:tcPr>
          <w:p>
            <w:pPr>
              <w:pStyle w:val="TableParagraph"/>
              <w:spacing w:before="2"/>
              <w:ind w:left="181"/>
              <w:rPr>
                <w:sz w:val="21"/>
              </w:rPr>
            </w:pPr>
            <w:r>
              <w:rPr>
                <w:rFonts w:ascii="Times New Roman" w:eastAsia="Times New Roman"/>
                <w:spacing w:val="-2"/>
                <w:sz w:val="21"/>
              </w:rPr>
              <w:t>180</w:t>
            </w:r>
            <w:r>
              <w:rPr>
                <w:rFonts w:ascii="Times New Roman" w:eastAsia="Times New Roman"/>
                <w:spacing w:val="67"/>
                <w:sz w:val="21"/>
              </w:rPr>
              <w:t> </w:t>
            </w:r>
            <w:r>
              <w:rPr>
                <w:spacing w:val="-3"/>
                <w:sz w:val="21"/>
              </w:rPr>
              <w:t>天后遗留神经系统功能障碍。后遗的神经系统功能障碍程度虽</w:t>
            </w:r>
          </w:p>
          <w:p>
            <w:pPr>
              <w:pStyle w:val="TableParagraph"/>
              <w:spacing w:line="255" w:lineRule="exact" w:before="2"/>
              <w:ind w:left="181"/>
              <w:rPr>
                <w:sz w:val="21"/>
              </w:rPr>
            </w:pPr>
            <w:r>
              <w:rPr>
                <w:spacing w:val="-3"/>
                <w:sz w:val="21"/>
              </w:rPr>
              <w:t>未达到重大疾病“脑中风后遗症”的给付标准，但遗留的神经系统</w:t>
            </w:r>
          </w:p>
        </w:tc>
      </w:tr>
      <w:tr>
        <w:trPr>
          <w:trHeight w:val="269" w:hRule="atLeast"/>
        </w:trPr>
        <w:tc>
          <w:tcPr>
            <w:tcW w:w="732" w:type="dxa"/>
          </w:tcPr>
          <w:p>
            <w:pPr>
              <w:pStyle w:val="TableParagraph"/>
              <w:rPr>
                <w:rFonts w:ascii="Times New Roman"/>
                <w:sz w:val="18"/>
              </w:rPr>
            </w:pPr>
          </w:p>
        </w:tc>
        <w:tc>
          <w:tcPr>
            <w:tcW w:w="2079" w:type="dxa"/>
          </w:tcPr>
          <w:p>
            <w:pPr>
              <w:pStyle w:val="TableParagraph"/>
              <w:rPr>
                <w:rFonts w:ascii="Times New Roman"/>
                <w:sz w:val="18"/>
              </w:rPr>
            </w:pPr>
          </w:p>
        </w:tc>
        <w:tc>
          <w:tcPr>
            <w:tcW w:w="6328" w:type="dxa"/>
          </w:tcPr>
          <w:p>
            <w:pPr>
              <w:pStyle w:val="TableParagraph"/>
              <w:spacing w:line="249" w:lineRule="exact"/>
              <w:ind w:left="181"/>
              <w:rPr>
                <w:sz w:val="21"/>
              </w:rPr>
            </w:pPr>
            <w:r>
              <w:rPr>
                <w:spacing w:val="-3"/>
                <w:sz w:val="21"/>
              </w:rPr>
              <w:t>功能障碍达下列一种或者一种以上障碍：</w:t>
            </w:r>
          </w:p>
        </w:tc>
      </w:tr>
      <w:tr>
        <w:trPr>
          <w:trHeight w:val="260" w:hRule="atLeast"/>
        </w:trPr>
        <w:tc>
          <w:tcPr>
            <w:tcW w:w="732" w:type="dxa"/>
          </w:tcPr>
          <w:p>
            <w:pPr>
              <w:pStyle w:val="TableParagraph"/>
              <w:rPr>
                <w:rFonts w:ascii="Times New Roman"/>
                <w:sz w:val="18"/>
              </w:rPr>
            </w:pPr>
          </w:p>
        </w:tc>
        <w:tc>
          <w:tcPr>
            <w:tcW w:w="2079" w:type="dxa"/>
          </w:tcPr>
          <w:p>
            <w:pPr>
              <w:pStyle w:val="TableParagraph"/>
              <w:rPr>
                <w:rFonts w:ascii="Times New Roman"/>
                <w:sz w:val="18"/>
              </w:rPr>
            </w:pPr>
          </w:p>
        </w:tc>
        <w:tc>
          <w:tcPr>
            <w:tcW w:w="6328" w:type="dxa"/>
          </w:tcPr>
          <w:p>
            <w:pPr>
              <w:pStyle w:val="TableParagraph"/>
              <w:spacing w:line="240" w:lineRule="exact"/>
              <w:ind w:left="181"/>
              <w:rPr>
                <w:sz w:val="21"/>
              </w:rPr>
            </w:pPr>
            <w:r>
              <w:rPr>
                <w:sz w:val="21"/>
              </w:rPr>
              <w:t>（</w:t>
            </w:r>
            <w:r>
              <w:rPr>
                <w:rFonts w:ascii="Times New Roman" w:hAnsi="Times New Roman" w:eastAsia="Times New Roman"/>
                <w:sz w:val="21"/>
              </w:rPr>
              <w:t>1</w:t>
            </w:r>
            <w:r>
              <w:rPr>
                <w:sz w:val="21"/>
              </w:rPr>
              <w:t>）</w:t>
            </w:r>
            <w:r>
              <w:rPr>
                <w:spacing w:val="-1"/>
                <w:sz w:val="21"/>
              </w:rPr>
              <w:t>一肢或者一肢以上肢体机能部分丧失，其肢体肌力为Ⅲ级，</w:t>
            </w:r>
          </w:p>
        </w:tc>
      </w:tr>
    </w:tbl>
    <w:p>
      <w:pPr>
        <w:pStyle w:val="BodyText"/>
        <w:spacing w:before="18"/>
        <w:ind w:left="3710"/>
      </w:pPr>
      <w:r>
        <w:rPr>
          <w:spacing w:val="-4"/>
        </w:rPr>
        <w:t>或者小于Ⅲ级；</w:t>
      </w:r>
    </w:p>
    <w:p>
      <w:pPr>
        <w:pStyle w:val="BodyText"/>
        <w:spacing w:line="244" w:lineRule="auto" w:before="2"/>
        <w:ind w:left="3710" w:right="454" w:hanging="526"/>
      </w:pPr>
      <w:r>
        <w:rPr>
          <w:spacing w:val="-2"/>
        </w:rPr>
        <w:t>（</w:t>
      </w:r>
      <w:r>
        <w:rPr>
          <w:rFonts w:ascii="Times New Roman" w:eastAsia="Times New Roman"/>
          <w:spacing w:val="-2"/>
        </w:rPr>
        <w:t>2</w:t>
      </w:r>
      <w:r>
        <w:rPr>
          <w:spacing w:val="-2"/>
        </w:rPr>
        <w:t>）自主生活能力部分丧失，无法独立完成</w:t>
      </w:r>
      <w:r>
        <w:rPr>
          <w:b/>
          <w:spacing w:val="-2"/>
        </w:rPr>
        <w:t>六项基本日常生活活</w:t>
      </w:r>
      <w:r>
        <w:rPr>
          <w:b/>
        </w:rPr>
        <w:t>动</w:t>
      </w:r>
      <w:r>
        <w:rPr/>
        <w:t>（</w:t>
      </w:r>
      <w:r>
        <w:rPr>
          <w:spacing w:val="-23"/>
        </w:rPr>
        <w:t>见 </w:t>
      </w:r>
      <w:r>
        <w:rPr>
          <w:rFonts w:ascii="Times New Roman" w:eastAsia="Times New Roman"/>
        </w:rPr>
        <w:t>11.17</w:t>
      </w:r>
      <w:r>
        <w:rPr/>
        <w:t>）中的两项或者两项以上。</w:t>
      </w:r>
    </w:p>
    <w:p>
      <w:pPr>
        <w:pStyle w:val="Heading3"/>
        <w:spacing w:line="244" w:lineRule="auto" w:before="0"/>
        <w:ind w:left="3185" w:right="452"/>
      </w:pPr>
      <w:r>
        <w:rPr>
          <w:spacing w:val="-2"/>
        </w:rPr>
        <w:t>因“脑动脉瘤、脑血管瘤”所致轻微脑中风后遗症不在本保障范围</w:t>
      </w:r>
      <w:r>
        <w:rPr>
          <w:spacing w:val="-6"/>
        </w:rPr>
        <w:t>内。</w:t>
      </w:r>
    </w:p>
    <w:p>
      <w:pPr>
        <w:pStyle w:val="BodyText"/>
        <w:spacing w:before="7"/>
        <w:rPr>
          <w:b/>
          <w:sz w:val="10"/>
        </w:rPr>
      </w:pPr>
    </w:p>
    <w:p>
      <w:pPr>
        <w:spacing w:after="0"/>
        <w:rPr>
          <w:sz w:val="10"/>
        </w:rPr>
        <w:sectPr>
          <w:pgSz w:w="11910" w:h="16840"/>
          <w:pgMar w:header="0" w:footer="879" w:top="1120" w:bottom="1060" w:left="1460" w:right="720"/>
        </w:sectPr>
      </w:pPr>
    </w:p>
    <w:p>
      <w:pPr>
        <w:pStyle w:val="ListParagraph"/>
        <w:numPr>
          <w:ilvl w:val="1"/>
          <w:numId w:val="12"/>
        </w:numPr>
        <w:tabs>
          <w:tab w:pos="1341" w:val="left" w:leader="none"/>
          <w:tab w:pos="1342" w:val="left" w:leader="none"/>
        </w:tabs>
        <w:spacing w:line="242" w:lineRule="auto" w:before="94" w:after="0"/>
        <w:ind w:left="1341" w:right="0" w:hanging="1100"/>
        <w:jc w:val="left"/>
        <w:rPr>
          <w:b/>
          <w:sz w:val="21"/>
        </w:rPr>
      </w:pPr>
      <w:r>
        <w:rPr>
          <w:b/>
          <w:spacing w:val="-2"/>
          <w:sz w:val="21"/>
        </w:rPr>
        <w:t>冠状动脉介入手</w:t>
      </w:r>
      <w:r>
        <w:rPr>
          <w:b/>
          <w:spacing w:val="-2"/>
          <w:sz w:val="21"/>
        </w:rPr>
        <w:t> </w:t>
      </w:r>
      <w:r>
        <w:rPr>
          <w:b/>
          <w:spacing w:val="-2"/>
          <w:sz w:val="21"/>
        </w:rPr>
        <w:t>术（非开胸手术）</w:t>
      </w:r>
    </w:p>
    <w:p>
      <w:pPr>
        <w:pStyle w:val="BodyText"/>
        <w:spacing w:line="242" w:lineRule="auto" w:before="100"/>
        <w:ind w:left="114" w:right="449"/>
        <w:jc w:val="both"/>
      </w:pPr>
      <w:r>
        <w:rPr/>
        <w:br w:type="column"/>
      </w:r>
      <w:r>
        <w:rPr>
          <w:spacing w:val="-2"/>
        </w:rPr>
        <w:t>指为纠正冠状动脉的狭窄或堵塞，而实际实施的冠状动脉球囊扩张</w:t>
      </w:r>
      <w:r>
        <w:rPr>
          <w:spacing w:val="-2"/>
        </w:rPr>
        <w:t>成形术、冠状动脉支架植入术、冠状动脉粥肿斑块切除术、激光冠</w:t>
      </w:r>
      <w:r>
        <w:rPr>
          <w:spacing w:val="-2"/>
        </w:rPr>
        <w:t>状动脉成形术。</w:t>
      </w:r>
    </w:p>
    <w:p>
      <w:pPr>
        <w:spacing w:after="0" w:line="242" w:lineRule="auto"/>
        <w:jc w:val="both"/>
        <w:sectPr>
          <w:type w:val="continuous"/>
          <w:pgSz w:w="11910" w:h="16840"/>
          <w:pgMar w:header="0" w:footer="879" w:top="300" w:bottom="280" w:left="1460" w:right="720"/>
          <w:cols w:num="2" w:equalWidth="0">
            <w:col w:w="3031" w:space="40"/>
            <w:col w:w="6659"/>
          </w:cols>
        </w:sectPr>
      </w:pPr>
    </w:p>
    <w:p>
      <w:pPr>
        <w:pStyle w:val="BodyText"/>
        <w:spacing w:before="2"/>
        <w:rPr>
          <w:sz w:val="11"/>
        </w:rPr>
      </w:pPr>
    </w:p>
    <w:p>
      <w:pPr>
        <w:spacing w:after="0"/>
        <w:rPr>
          <w:sz w:val="11"/>
        </w:rPr>
        <w:sectPr>
          <w:type w:val="continuous"/>
          <w:pgSz w:w="11910" w:h="16840"/>
          <w:pgMar w:header="0" w:footer="879" w:top="300" w:bottom="280" w:left="1460" w:right="720"/>
        </w:sectPr>
      </w:pPr>
    </w:p>
    <w:p>
      <w:pPr>
        <w:pStyle w:val="Heading3"/>
        <w:numPr>
          <w:ilvl w:val="1"/>
          <w:numId w:val="12"/>
        </w:numPr>
        <w:tabs>
          <w:tab w:pos="1341" w:val="left" w:leader="none"/>
          <w:tab w:pos="1342" w:val="left" w:leader="none"/>
        </w:tabs>
        <w:spacing w:line="242" w:lineRule="auto" w:before="94" w:after="0"/>
        <w:ind w:left="1341" w:right="0" w:hanging="1100"/>
        <w:jc w:val="left"/>
      </w:pPr>
      <w:r>
        <w:rPr>
          <w:spacing w:val="-2"/>
        </w:rPr>
        <w:t>微创心脏瓣膜介</w:t>
      </w:r>
      <w:r>
        <w:rPr>
          <w:spacing w:val="-22"/>
        </w:rPr>
        <w:t>入手术</w:t>
      </w:r>
      <w:r>
        <w:rPr>
          <w:spacing w:val="-2"/>
        </w:rPr>
        <w:t>（非开胸手</w:t>
      </w:r>
      <w:r>
        <w:rPr>
          <w:spacing w:val="-6"/>
        </w:rPr>
        <w:t>术）</w:t>
      </w:r>
    </w:p>
    <w:p>
      <w:pPr>
        <w:pStyle w:val="BodyText"/>
        <w:spacing w:line="242" w:lineRule="auto" w:before="100"/>
        <w:ind w:left="174" w:right="449"/>
      </w:pPr>
      <w:r>
        <w:rPr/>
        <w:br w:type="column"/>
      </w:r>
      <w:r>
        <w:rPr>
          <w:spacing w:val="-2"/>
        </w:rPr>
        <w:t>为了治疗心脏瓣膜疾病，实际实施的非开胸的经胸壁打孔内镜手术</w:t>
      </w:r>
      <w:r>
        <w:rPr>
          <w:spacing w:val="-2"/>
        </w:rPr>
        <w:t>或经皮导管介入手术进行的心脏瓣膜置换或修复手术。</w:t>
      </w:r>
    </w:p>
    <w:p>
      <w:pPr>
        <w:spacing w:after="0" w:line="242" w:lineRule="auto"/>
        <w:sectPr>
          <w:type w:val="continuous"/>
          <w:pgSz w:w="11910" w:h="16840"/>
          <w:pgMar w:header="0" w:footer="879" w:top="300" w:bottom="280" w:left="1460" w:right="720"/>
          <w:cols w:num="2" w:equalWidth="0">
            <w:col w:w="2971" w:space="40"/>
            <w:col w:w="6719"/>
          </w:cols>
        </w:sectPr>
      </w:pPr>
    </w:p>
    <w:p>
      <w:pPr>
        <w:pStyle w:val="BodyText"/>
        <w:spacing w:before="2"/>
        <w:rPr>
          <w:sz w:val="11"/>
        </w:rPr>
      </w:pPr>
    </w:p>
    <w:p>
      <w:pPr>
        <w:spacing w:after="0"/>
        <w:rPr>
          <w:sz w:val="11"/>
        </w:rPr>
        <w:sectPr>
          <w:type w:val="continuous"/>
          <w:pgSz w:w="11910" w:h="16840"/>
          <w:pgMar w:header="0" w:footer="879" w:top="300" w:bottom="280" w:left="1460" w:right="720"/>
        </w:sectPr>
      </w:pPr>
    </w:p>
    <w:p>
      <w:pPr>
        <w:pStyle w:val="Heading3"/>
        <w:numPr>
          <w:ilvl w:val="1"/>
          <w:numId w:val="12"/>
        </w:numPr>
        <w:tabs>
          <w:tab w:pos="1341" w:val="left" w:leader="none"/>
          <w:tab w:pos="1342" w:val="left" w:leader="none"/>
        </w:tabs>
        <w:spacing w:line="242" w:lineRule="auto" w:before="94" w:after="0"/>
        <w:ind w:left="1341" w:right="0" w:hanging="1100"/>
        <w:jc w:val="left"/>
      </w:pPr>
      <w:r>
        <w:rPr>
          <w:spacing w:val="-2"/>
        </w:rPr>
        <w:t>主动脉内介入手</w:t>
      </w:r>
      <w:r>
        <w:rPr>
          <w:spacing w:val="-2"/>
        </w:rPr>
        <w:t> </w:t>
      </w:r>
      <w:r>
        <w:rPr>
          <w:spacing w:val="-2"/>
        </w:rPr>
        <w:t>术（非开胸手术）</w:t>
      </w:r>
    </w:p>
    <w:p>
      <w:pPr>
        <w:pStyle w:val="BodyText"/>
        <w:spacing w:line="242" w:lineRule="auto" w:before="100"/>
        <w:ind w:left="114" w:right="449"/>
        <w:jc w:val="both"/>
      </w:pPr>
      <w:r>
        <w:rPr/>
        <w:br w:type="column"/>
      </w:r>
      <w:r>
        <w:rPr>
          <w:spacing w:val="-2"/>
        </w:rPr>
        <w:t>为了治疗主动脉疾病实际实施了经皮经导管进行的动脉内手术。主</w:t>
      </w:r>
      <w:r>
        <w:rPr>
          <w:spacing w:val="-2"/>
        </w:rPr>
        <w:t>动脉指胸主动脉和腹主动脉，不包括胸主动脉和腹主动脉的分支血</w:t>
      </w:r>
      <w:r>
        <w:rPr>
          <w:spacing w:val="-6"/>
        </w:rPr>
        <w:t>管。</w:t>
      </w:r>
    </w:p>
    <w:p>
      <w:pPr>
        <w:pStyle w:val="Heading3"/>
        <w:spacing w:before="1"/>
        <w:ind w:left="114"/>
      </w:pPr>
      <w:r>
        <w:rPr>
          <w:spacing w:val="-3"/>
        </w:rPr>
        <w:t>实施开胸或开腹主动脉手术的，本公司不承担本项手术保险责任。</w:t>
      </w:r>
    </w:p>
    <w:p>
      <w:pPr>
        <w:spacing w:after="0"/>
        <w:sectPr>
          <w:type w:val="continuous"/>
          <w:pgSz w:w="11910" w:h="16840"/>
          <w:pgMar w:header="0" w:footer="879" w:top="300" w:bottom="280" w:left="1460" w:right="720"/>
          <w:cols w:num="2" w:equalWidth="0">
            <w:col w:w="3031" w:space="40"/>
            <w:col w:w="6659"/>
          </w:cols>
        </w:sectPr>
      </w:pPr>
    </w:p>
    <w:p>
      <w:pPr>
        <w:pStyle w:val="BodyText"/>
        <w:spacing w:before="4"/>
        <w:rPr>
          <w:b/>
          <w:sz w:val="11"/>
        </w:rPr>
      </w:pPr>
    </w:p>
    <w:p>
      <w:pPr>
        <w:spacing w:after="0"/>
        <w:rPr>
          <w:sz w:val="11"/>
        </w:rPr>
        <w:sectPr>
          <w:type w:val="continuous"/>
          <w:pgSz w:w="11910" w:h="16840"/>
          <w:pgMar w:header="0" w:footer="879" w:top="300" w:bottom="280" w:left="1460" w:right="720"/>
        </w:sectPr>
      </w:pPr>
    </w:p>
    <w:p>
      <w:pPr>
        <w:pStyle w:val="ListParagraph"/>
        <w:numPr>
          <w:ilvl w:val="1"/>
          <w:numId w:val="12"/>
        </w:numPr>
        <w:tabs>
          <w:tab w:pos="1341" w:val="left" w:leader="none"/>
          <w:tab w:pos="1342" w:val="left" w:leader="none"/>
        </w:tabs>
        <w:spacing w:line="244" w:lineRule="auto" w:before="94" w:after="0"/>
        <w:ind w:left="1341" w:right="38" w:hanging="1100"/>
        <w:jc w:val="left"/>
        <w:rPr>
          <w:b/>
          <w:sz w:val="21"/>
        </w:rPr>
      </w:pPr>
      <w:r>
        <w:rPr>
          <w:b/>
          <w:spacing w:val="-2"/>
          <w:sz w:val="21"/>
        </w:rPr>
        <w:t>脑垂体瘤及脑囊</w:t>
      </w:r>
      <w:r>
        <w:rPr>
          <w:b/>
          <w:spacing w:val="-10"/>
          <w:sz w:val="21"/>
        </w:rPr>
        <w:t>肿</w:t>
      </w:r>
    </w:p>
    <w:p>
      <w:pPr>
        <w:pStyle w:val="BodyText"/>
        <w:spacing w:line="242" w:lineRule="auto" w:before="100"/>
        <w:ind w:left="242" w:right="449"/>
        <w:jc w:val="both"/>
      </w:pPr>
      <w:r>
        <w:rPr/>
        <w:br w:type="column"/>
      </w:r>
      <w:r>
        <w:rPr>
          <w:spacing w:val="-2"/>
        </w:rPr>
        <w:t>指被保险人经头颅断层扫描</w:t>
      </w:r>
      <w:r>
        <w:rPr>
          <w:spacing w:val="25"/>
        </w:rPr>
        <w:t>（</w:t>
      </w:r>
      <w:r>
        <w:rPr>
          <w:rFonts w:ascii="Times New Roman" w:eastAsia="Times New Roman"/>
          <w:spacing w:val="23"/>
        </w:rPr>
        <w:t>C</w:t>
      </w:r>
      <w:r>
        <w:rPr>
          <w:rFonts w:ascii="Times New Roman" w:eastAsia="Times New Roman"/>
          <w:spacing w:val="26"/>
        </w:rPr>
        <w:t>T</w:t>
      </w:r>
      <w:r>
        <w:rPr>
          <w:spacing w:val="-83"/>
        </w:rPr>
        <w:t>）</w:t>
      </w:r>
      <w:r>
        <w:rPr>
          <w:spacing w:val="-2"/>
        </w:rPr>
        <w:t>、核磁共振（</w:t>
      </w:r>
      <w:r>
        <w:rPr>
          <w:rFonts w:ascii="Times New Roman" w:eastAsia="Times New Roman"/>
          <w:spacing w:val="-2"/>
        </w:rPr>
        <w:t>MRI</w:t>
      </w:r>
      <w:r>
        <w:rPr>
          <w:spacing w:val="-2"/>
        </w:rPr>
        <w:t>）或其他影像</w:t>
      </w:r>
      <w:r>
        <w:rPr>
          <w:spacing w:val="-2"/>
        </w:rPr>
        <w:t>学检查被确诊为脑垂体瘤或脑囊肿病变，并实际接受了手术或放射</w:t>
      </w:r>
      <w:r>
        <w:rPr>
          <w:spacing w:val="-4"/>
        </w:rPr>
        <w:t>治疗。</w:t>
      </w:r>
    </w:p>
    <w:p>
      <w:pPr>
        <w:spacing w:after="0" w:line="242" w:lineRule="auto"/>
        <w:jc w:val="both"/>
        <w:sectPr>
          <w:type w:val="continuous"/>
          <w:pgSz w:w="11910" w:h="16840"/>
          <w:pgMar w:header="0" w:footer="879" w:top="300" w:bottom="280" w:left="1460" w:right="720"/>
          <w:cols w:num="2" w:equalWidth="0">
            <w:col w:w="2860" w:space="83"/>
            <w:col w:w="6787"/>
          </w:cols>
        </w:sectPr>
      </w:pPr>
    </w:p>
    <w:p>
      <w:pPr>
        <w:pStyle w:val="BodyText"/>
        <w:spacing w:before="2"/>
        <w:rPr>
          <w:sz w:val="11"/>
        </w:rPr>
      </w:pPr>
    </w:p>
    <w:p>
      <w:pPr>
        <w:spacing w:after="0"/>
        <w:rPr>
          <w:sz w:val="11"/>
        </w:rPr>
        <w:sectPr>
          <w:type w:val="continuous"/>
          <w:pgSz w:w="11910" w:h="16840"/>
          <w:pgMar w:header="0" w:footer="879" w:top="300" w:bottom="280" w:left="1460" w:right="720"/>
        </w:sectPr>
      </w:pPr>
    </w:p>
    <w:p>
      <w:pPr>
        <w:pStyle w:val="Heading3"/>
        <w:numPr>
          <w:ilvl w:val="1"/>
          <w:numId w:val="12"/>
        </w:numPr>
        <w:tabs>
          <w:tab w:pos="1341" w:val="left" w:leader="none"/>
          <w:tab w:pos="1342" w:val="left" w:leader="none"/>
        </w:tabs>
        <w:spacing w:line="242" w:lineRule="auto" w:before="94" w:after="0"/>
        <w:ind w:left="1341" w:right="38" w:hanging="1100"/>
        <w:jc w:val="both"/>
      </w:pPr>
      <w:r>
        <w:rPr>
          <w:spacing w:val="-2"/>
        </w:rPr>
        <w:t>特定周围动脉疾</w:t>
      </w:r>
      <w:r>
        <w:rPr>
          <w:spacing w:val="-2"/>
        </w:rPr>
        <w:t>病的血管介入治</w:t>
      </w:r>
      <w:r>
        <w:rPr>
          <w:spacing w:val="-10"/>
        </w:rPr>
        <w:t>疗</w:t>
      </w:r>
    </w:p>
    <w:p>
      <w:pPr>
        <w:pStyle w:val="BodyText"/>
        <w:spacing w:line="244" w:lineRule="auto" w:before="100"/>
        <w:ind w:left="242" w:right="458"/>
      </w:pPr>
      <w:r>
        <w:rPr/>
        <w:br w:type="column"/>
      </w:r>
      <w:r>
        <w:rPr>
          <w:spacing w:val="3"/>
          <w:w w:val="100"/>
        </w:rPr>
        <w:t>指为治疗一条或者一条以上的下列动脉狭窄而实施的血管介入治疗：</w:t>
      </w:r>
    </w:p>
    <w:p>
      <w:pPr>
        <w:pStyle w:val="ListParagraph"/>
        <w:numPr>
          <w:ilvl w:val="0"/>
          <w:numId w:val="13"/>
        </w:numPr>
        <w:tabs>
          <w:tab w:pos="772" w:val="left" w:leader="none"/>
        </w:tabs>
        <w:spacing w:line="265" w:lineRule="exact" w:before="0" w:after="0"/>
        <w:ind w:left="771" w:right="0" w:hanging="530"/>
        <w:jc w:val="left"/>
        <w:rPr>
          <w:sz w:val="21"/>
        </w:rPr>
      </w:pPr>
      <w:r>
        <w:rPr>
          <w:spacing w:val="-3"/>
          <w:sz w:val="21"/>
        </w:rPr>
        <w:t>为下肢或者上肢供血的动脉；</w:t>
      </w:r>
    </w:p>
    <w:p>
      <w:pPr>
        <w:pStyle w:val="ListParagraph"/>
        <w:numPr>
          <w:ilvl w:val="0"/>
          <w:numId w:val="13"/>
        </w:numPr>
        <w:tabs>
          <w:tab w:pos="772" w:val="left" w:leader="none"/>
        </w:tabs>
        <w:spacing w:line="240" w:lineRule="auto" w:before="5" w:after="0"/>
        <w:ind w:left="771" w:right="0" w:hanging="530"/>
        <w:jc w:val="left"/>
        <w:rPr>
          <w:sz w:val="21"/>
        </w:rPr>
      </w:pPr>
      <w:r>
        <w:rPr>
          <w:spacing w:val="-4"/>
          <w:sz w:val="21"/>
        </w:rPr>
        <w:t>肾动脉；</w:t>
      </w:r>
    </w:p>
    <w:p>
      <w:pPr>
        <w:pStyle w:val="ListParagraph"/>
        <w:numPr>
          <w:ilvl w:val="0"/>
          <w:numId w:val="13"/>
        </w:numPr>
        <w:tabs>
          <w:tab w:pos="772" w:val="left" w:leader="none"/>
        </w:tabs>
        <w:spacing w:line="240" w:lineRule="auto" w:before="2" w:after="0"/>
        <w:ind w:left="771" w:right="0" w:hanging="530"/>
        <w:jc w:val="left"/>
        <w:rPr>
          <w:sz w:val="21"/>
        </w:rPr>
      </w:pPr>
      <w:r>
        <w:rPr>
          <w:spacing w:val="-4"/>
          <w:sz w:val="21"/>
        </w:rPr>
        <w:t>肠系膜动脉。</w:t>
      </w:r>
    </w:p>
    <w:p>
      <w:pPr>
        <w:pStyle w:val="BodyText"/>
        <w:spacing w:before="4"/>
        <w:ind w:left="242"/>
      </w:pPr>
      <w:r>
        <w:rPr>
          <w:spacing w:val="-3"/>
        </w:rPr>
        <w:t>必须满足下列全部条件：</w:t>
      </w:r>
    </w:p>
    <w:p>
      <w:pPr>
        <w:pStyle w:val="ListParagraph"/>
        <w:numPr>
          <w:ilvl w:val="0"/>
          <w:numId w:val="14"/>
        </w:numPr>
        <w:tabs>
          <w:tab w:pos="772" w:val="left" w:leader="none"/>
        </w:tabs>
        <w:spacing w:line="240" w:lineRule="auto" w:before="2" w:after="0"/>
        <w:ind w:left="771" w:right="0" w:hanging="530"/>
        <w:jc w:val="left"/>
        <w:rPr>
          <w:sz w:val="21"/>
        </w:rPr>
      </w:pPr>
      <w:r>
        <w:rPr>
          <w:spacing w:val="8"/>
          <w:sz w:val="21"/>
        </w:rPr>
        <w:t>经血管造影术证实一条或者一条以上的上述动脉狭窄达到</w:t>
      </w:r>
    </w:p>
    <w:p>
      <w:pPr>
        <w:pStyle w:val="BodyText"/>
        <w:spacing w:before="5"/>
        <w:ind w:left="767"/>
      </w:pPr>
      <w:r>
        <w:rPr>
          <w:rFonts w:ascii="Times New Roman" w:eastAsia="Times New Roman"/>
          <w:spacing w:val="-2"/>
        </w:rPr>
        <w:t>50%</w:t>
      </w:r>
      <w:r>
        <w:rPr>
          <w:spacing w:val="-4"/>
        </w:rPr>
        <w:t>或者以上；</w:t>
      </w:r>
    </w:p>
    <w:p>
      <w:pPr>
        <w:pStyle w:val="ListParagraph"/>
        <w:numPr>
          <w:ilvl w:val="0"/>
          <w:numId w:val="14"/>
        </w:numPr>
        <w:tabs>
          <w:tab w:pos="772" w:val="left" w:leader="none"/>
        </w:tabs>
        <w:spacing w:line="244" w:lineRule="auto" w:before="2" w:after="0"/>
        <w:ind w:left="767" w:right="454" w:hanging="526"/>
        <w:jc w:val="left"/>
        <w:rPr>
          <w:sz w:val="21"/>
        </w:rPr>
      </w:pPr>
      <w:r>
        <w:rPr>
          <w:spacing w:val="-2"/>
          <w:sz w:val="21"/>
        </w:rPr>
        <w:t>对一条或者一条以上的上述动脉施行了血管介入治疗，如血</w:t>
      </w:r>
      <w:r>
        <w:rPr>
          <w:spacing w:val="-2"/>
          <w:sz w:val="21"/>
        </w:rPr>
        <w:t>管成形术及</w:t>
      </w:r>
      <w:r>
        <w:rPr>
          <w:rFonts w:ascii="Times New Roman" w:eastAsia="Times New Roman"/>
          <w:spacing w:val="-2"/>
          <w:sz w:val="21"/>
        </w:rPr>
        <w:t>/</w:t>
      </w:r>
      <w:r>
        <w:rPr>
          <w:spacing w:val="-2"/>
          <w:sz w:val="21"/>
        </w:rPr>
        <w:t>或者进行植入支架或者动脉粥样瘤清除手术。</w:t>
      </w:r>
    </w:p>
    <w:p>
      <w:pPr>
        <w:spacing w:after="0" w:line="244" w:lineRule="auto"/>
        <w:jc w:val="left"/>
        <w:rPr>
          <w:sz w:val="21"/>
        </w:rPr>
        <w:sectPr>
          <w:type w:val="continuous"/>
          <w:pgSz w:w="11910" w:h="16840"/>
          <w:pgMar w:header="0" w:footer="879" w:top="300" w:bottom="280" w:left="1460" w:right="720"/>
          <w:cols w:num="2" w:equalWidth="0">
            <w:col w:w="2860" w:space="83"/>
            <w:col w:w="6787"/>
          </w:cols>
        </w:sectPr>
      </w:pPr>
    </w:p>
    <w:p>
      <w:pPr>
        <w:pStyle w:val="BodyText"/>
        <w:rPr>
          <w:sz w:val="2"/>
        </w:rPr>
      </w:pPr>
    </w:p>
    <w:tbl>
      <w:tblPr>
        <w:tblW w:w="0" w:type="auto"/>
        <w:jc w:val="left"/>
        <w:tblInd w:w="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2"/>
        <w:gridCol w:w="2079"/>
        <w:gridCol w:w="6325"/>
      </w:tblGrid>
      <w:tr>
        <w:trPr>
          <w:trHeight w:val="621" w:hRule="atLeast"/>
        </w:trPr>
        <w:tc>
          <w:tcPr>
            <w:tcW w:w="2811" w:type="dxa"/>
            <w:gridSpan w:val="2"/>
          </w:tcPr>
          <w:p>
            <w:pPr>
              <w:pStyle w:val="TableParagraph"/>
              <w:rPr>
                <w:rFonts w:ascii="Times New Roman"/>
                <w:sz w:val="20"/>
              </w:rPr>
            </w:pPr>
          </w:p>
        </w:tc>
        <w:tc>
          <w:tcPr>
            <w:tcW w:w="6325" w:type="dxa"/>
          </w:tcPr>
          <w:p>
            <w:pPr>
              <w:pStyle w:val="TableParagraph"/>
              <w:spacing w:line="241" w:lineRule="exact"/>
              <w:ind w:left="181"/>
              <w:rPr>
                <w:sz w:val="21"/>
              </w:rPr>
            </w:pPr>
            <w:r>
              <w:rPr>
                <w:spacing w:val="-1"/>
                <w:sz w:val="21"/>
              </w:rPr>
              <w:t>上述动脉疾病的诊断以及相关治疗的必要性必须由血管疾病的专</w:t>
            </w:r>
          </w:p>
          <w:p>
            <w:pPr>
              <w:pStyle w:val="TableParagraph"/>
              <w:spacing w:before="4"/>
              <w:ind w:left="181"/>
              <w:rPr>
                <w:sz w:val="21"/>
              </w:rPr>
            </w:pPr>
            <w:r>
              <w:rPr>
                <w:spacing w:val="-4"/>
                <w:sz w:val="21"/>
              </w:rPr>
              <w:t>科医生确定。</w:t>
            </w:r>
          </w:p>
        </w:tc>
      </w:tr>
      <w:tr>
        <w:trPr>
          <w:trHeight w:val="403" w:hRule="atLeast"/>
        </w:trPr>
        <w:tc>
          <w:tcPr>
            <w:tcW w:w="732" w:type="dxa"/>
          </w:tcPr>
          <w:p>
            <w:pPr>
              <w:pStyle w:val="TableParagraph"/>
              <w:spacing w:before="129"/>
              <w:ind w:left="50"/>
              <w:rPr>
                <w:rFonts w:ascii="Times New Roman"/>
                <w:sz w:val="21"/>
              </w:rPr>
            </w:pPr>
            <w:r>
              <w:rPr>
                <w:rFonts w:ascii="Times New Roman"/>
                <w:spacing w:val="-5"/>
                <w:sz w:val="21"/>
              </w:rPr>
              <w:t>8.8</w:t>
            </w:r>
          </w:p>
        </w:tc>
        <w:tc>
          <w:tcPr>
            <w:tcW w:w="2079" w:type="dxa"/>
          </w:tcPr>
          <w:p>
            <w:pPr>
              <w:pStyle w:val="TableParagraph"/>
              <w:spacing w:line="246" w:lineRule="exact" w:before="137"/>
              <w:ind w:left="417"/>
              <w:rPr>
                <w:b/>
                <w:sz w:val="21"/>
              </w:rPr>
            </w:pPr>
            <w:r>
              <w:rPr>
                <w:b/>
                <w:spacing w:val="-2"/>
                <w:sz w:val="21"/>
              </w:rPr>
              <w:t>原发性肺动脉高</w:t>
            </w:r>
          </w:p>
        </w:tc>
        <w:tc>
          <w:tcPr>
            <w:tcW w:w="6325" w:type="dxa"/>
          </w:tcPr>
          <w:p>
            <w:pPr>
              <w:pStyle w:val="TableParagraph"/>
              <w:spacing w:line="246" w:lineRule="exact" w:before="137"/>
              <w:ind w:left="181"/>
              <w:rPr>
                <w:sz w:val="21"/>
              </w:rPr>
            </w:pPr>
            <w:r>
              <w:rPr>
                <w:spacing w:val="-3"/>
                <w:sz w:val="21"/>
              </w:rPr>
              <w:t>指由于原发性肺动脉高压进行性发展而导致右心室肥厚，已经造成</w:t>
            </w:r>
          </w:p>
        </w:tc>
      </w:tr>
      <w:tr>
        <w:trPr>
          <w:trHeight w:val="1078" w:hRule="atLeast"/>
        </w:trPr>
        <w:tc>
          <w:tcPr>
            <w:tcW w:w="732" w:type="dxa"/>
          </w:tcPr>
          <w:p>
            <w:pPr>
              <w:pStyle w:val="TableParagraph"/>
              <w:rPr>
                <w:rFonts w:ascii="Times New Roman"/>
                <w:sz w:val="20"/>
              </w:rPr>
            </w:pPr>
          </w:p>
        </w:tc>
        <w:tc>
          <w:tcPr>
            <w:tcW w:w="2079" w:type="dxa"/>
          </w:tcPr>
          <w:p>
            <w:pPr>
              <w:pStyle w:val="TableParagraph"/>
              <w:spacing w:before="5"/>
              <w:ind w:left="417"/>
              <w:rPr>
                <w:b/>
                <w:sz w:val="21"/>
              </w:rPr>
            </w:pPr>
            <w:r>
              <w:rPr>
                <w:b/>
                <w:w w:val="100"/>
                <w:sz w:val="21"/>
              </w:rPr>
              <w:t>压</w:t>
            </w:r>
          </w:p>
        </w:tc>
        <w:tc>
          <w:tcPr>
            <w:tcW w:w="6325" w:type="dxa"/>
          </w:tcPr>
          <w:p>
            <w:pPr>
              <w:pStyle w:val="TableParagraph"/>
              <w:spacing w:line="242" w:lineRule="auto" w:before="5"/>
              <w:ind w:left="181" w:right="48"/>
              <w:jc w:val="both"/>
              <w:rPr>
                <w:sz w:val="21"/>
              </w:rPr>
            </w:pPr>
            <w:r>
              <w:rPr>
                <w:b/>
                <w:sz w:val="21"/>
              </w:rPr>
              <w:t>永久不可逆</w:t>
            </w:r>
            <w:r>
              <w:rPr>
                <w:sz w:val="21"/>
              </w:rPr>
              <w:t>（见 </w:t>
            </w:r>
            <w:r>
              <w:rPr>
                <w:rFonts w:ascii="Times New Roman" w:hAnsi="Times New Roman" w:eastAsia="Times New Roman"/>
                <w:sz w:val="21"/>
              </w:rPr>
              <w:t>11.18</w:t>
            </w:r>
            <w:r>
              <w:rPr>
                <w:sz w:val="21"/>
              </w:rPr>
              <w:t>）性的体力活动能力受限，达到</w:t>
            </w:r>
            <w:r>
              <w:rPr>
                <w:b/>
                <w:sz w:val="21"/>
              </w:rPr>
              <w:t>美国纽约心</w:t>
            </w:r>
            <w:r>
              <w:rPr>
                <w:b/>
                <w:sz w:val="21"/>
              </w:rPr>
              <w:t>脏病学会心功能状态分级Ⅲ级</w:t>
            </w:r>
            <w:r>
              <w:rPr>
                <w:sz w:val="21"/>
              </w:rPr>
              <w:t>（见 </w:t>
            </w:r>
            <w:r>
              <w:rPr>
                <w:rFonts w:ascii="Times New Roman" w:hAnsi="Times New Roman" w:eastAsia="Times New Roman"/>
                <w:sz w:val="21"/>
              </w:rPr>
              <w:t>11.19</w:t>
            </w:r>
            <w:r>
              <w:rPr>
                <w:sz w:val="21"/>
              </w:rPr>
              <w:t>）及以上，但尚未达到Ⅳ</w:t>
            </w:r>
            <w:r>
              <w:rPr>
                <w:spacing w:val="11"/>
                <w:sz w:val="21"/>
              </w:rPr>
              <w:t>级， 且静息状态下肺动脉平均压超过 </w:t>
            </w:r>
            <w:r>
              <w:rPr>
                <w:rFonts w:ascii="Times New Roman" w:hAnsi="Times New Roman" w:eastAsia="Times New Roman"/>
                <w:sz w:val="21"/>
              </w:rPr>
              <w:t>25mmHg</w:t>
            </w:r>
            <w:r>
              <w:rPr>
                <w:sz w:val="21"/>
              </w:rPr>
              <w:t>， 但尚未超过</w:t>
            </w:r>
          </w:p>
          <w:p>
            <w:pPr>
              <w:pStyle w:val="TableParagraph"/>
              <w:spacing w:line="236" w:lineRule="exact" w:before="3"/>
              <w:ind w:left="181"/>
              <w:rPr>
                <w:sz w:val="21"/>
              </w:rPr>
            </w:pPr>
            <w:r>
              <w:rPr>
                <w:rFonts w:ascii="Times New Roman" w:eastAsia="Times New Roman"/>
                <w:spacing w:val="-2"/>
                <w:sz w:val="21"/>
              </w:rPr>
              <w:t>30mmHg</w:t>
            </w:r>
            <w:r>
              <w:rPr>
                <w:spacing w:val="-10"/>
                <w:sz w:val="21"/>
              </w:rPr>
              <w:t>。</w:t>
            </w:r>
          </w:p>
        </w:tc>
      </w:tr>
    </w:tbl>
    <w:p>
      <w:pPr>
        <w:spacing w:after="0" w:line="236" w:lineRule="exact"/>
        <w:rPr>
          <w:sz w:val="21"/>
        </w:rPr>
        <w:sectPr>
          <w:type w:val="continuous"/>
          <w:pgSz w:w="11910" w:h="16840"/>
          <w:pgMar w:header="0" w:footer="879" w:top="300" w:bottom="280" w:left="1460" w:right="720"/>
        </w:sectPr>
      </w:pPr>
    </w:p>
    <w:tbl>
      <w:tblPr>
        <w:tblW w:w="0" w:type="auto"/>
        <w:jc w:val="left"/>
        <w:tblInd w:w="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4"/>
        <w:gridCol w:w="2026"/>
        <w:gridCol w:w="6330"/>
      </w:tblGrid>
      <w:tr>
        <w:trPr>
          <w:trHeight w:val="921" w:hRule="atLeast"/>
        </w:trPr>
        <w:tc>
          <w:tcPr>
            <w:tcW w:w="784" w:type="dxa"/>
          </w:tcPr>
          <w:p>
            <w:pPr>
              <w:pStyle w:val="TableParagraph"/>
              <w:spacing w:line="234" w:lineRule="exact"/>
              <w:ind w:left="50"/>
              <w:rPr>
                <w:rFonts w:ascii="Times New Roman"/>
                <w:sz w:val="21"/>
              </w:rPr>
            </w:pPr>
            <w:r>
              <w:rPr>
                <w:rFonts w:ascii="Times New Roman"/>
                <w:spacing w:val="-5"/>
                <w:sz w:val="21"/>
              </w:rPr>
              <w:t>8.9</w:t>
            </w:r>
          </w:p>
        </w:tc>
        <w:tc>
          <w:tcPr>
            <w:tcW w:w="2026" w:type="dxa"/>
          </w:tcPr>
          <w:p>
            <w:pPr>
              <w:pStyle w:val="TableParagraph"/>
              <w:spacing w:line="244" w:lineRule="auto"/>
              <w:ind w:left="365" w:right="180"/>
              <w:rPr>
                <w:b/>
                <w:sz w:val="21"/>
              </w:rPr>
            </w:pPr>
            <w:r>
              <w:rPr>
                <w:b/>
                <w:spacing w:val="-2"/>
                <w:sz w:val="21"/>
              </w:rPr>
              <w:t>脑动脉瘤及脑血</w:t>
            </w:r>
            <w:r>
              <w:rPr>
                <w:b/>
                <w:spacing w:val="-6"/>
                <w:sz w:val="21"/>
              </w:rPr>
              <w:t>管瘤</w:t>
            </w:r>
          </w:p>
        </w:tc>
        <w:tc>
          <w:tcPr>
            <w:tcW w:w="6330" w:type="dxa"/>
          </w:tcPr>
          <w:p>
            <w:pPr>
              <w:pStyle w:val="TableParagraph"/>
              <w:spacing w:line="242" w:lineRule="auto"/>
              <w:ind w:left="182" w:right="55"/>
              <w:jc w:val="both"/>
              <w:rPr>
                <w:sz w:val="21"/>
              </w:rPr>
            </w:pPr>
            <w:r>
              <w:rPr>
                <w:spacing w:val="-2"/>
                <w:sz w:val="21"/>
              </w:rPr>
              <w:t>指被保险人经头颅断层扫描</w:t>
            </w:r>
            <w:r>
              <w:rPr>
                <w:spacing w:val="25"/>
                <w:sz w:val="21"/>
              </w:rPr>
              <w:t>（</w:t>
            </w:r>
            <w:r>
              <w:rPr>
                <w:rFonts w:ascii="Times New Roman" w:eastAsia="Times New Roman"/>
                <w:spacing w:val="23"/>
                <w:sz w:val="21"/>
              </w:rPr>
              <w:t>C</w:t>
            </w:r>
            <w:r>
              <w:rPr>
                <w:rFonts w:ascii="Times New Roman" w:eastAsia="Times New Roman"/>
                <w:spacing w:val="26"/>
                <w:sz w:val="21"/>
              </w:rPr>
              <w:t>T</w:t>
            </w:r>
            <w:r>
              <w:rPr>
                <w:spacing w:val="-83"/>
                <w:sz w:val="21"/>
              </w:rPr>
              <w:t>）</w:t>
            </w:r>
            <w:r>
              <w:rPr>
                <w:spacing w:val="-2"/>
                <w:sz w:val="21"/>
              </w:rPr>
              <w:t>、核磁共振（</w:t>
            </w:r>
            <w:r>
              <w:rPr>
                <w:rFonts w:ascii="Times New Roman" w:eastAsia="Times New Roman"/>
                <w:spacing w:val="-2"/>
                <w:sz w:val="21"/>
              </w:rPr>
              <w:t>MRI</w:t>
            </w:r>
            <w:r>
              <w:rPr>
                <w:spacing w:val="-2"/>
                <w:sz w:val="21"/>
              </w:rPr>
              <w:t>）或其他影像</w:t>
            </w:r>
            <w:r>
              <w:rPr>
                <w:spacing w:val="-2"/>
                <w:sz w:val="21"/>
              </w:rPr>
              <w:t>学检查被确诊为脑动脉瘤或脑血管瘤病变，并实际接受了手术或放</w:t>
            </w:r>
            <w:r>
              <w:rPr>
                <w:spacing w:val="-4"/>
                <w:sz w:val="21"/>
              </w:rPr>
              <w:t>射治疗。</w:t>
            </w:r>
          </w:p>
        </w:tc>
      </w:tr>
      <w:tr>
        <w:trPr>
          <w:trHeight w:val="407" w:hRule="atLeast"/>
        </w:trPr>
        <w:tc>
          <w:tcPr>
            <w:tcW w:w="784" w:type="dxa"/>
          </w:tcPr>
          <w:p>
            <w:pPr>
              <w:pStyle w:val="TableParagraph"/>
              <w:spacing w:before="129"/>
              <w:ind w:left="50"/>
              <w:rPr>
                <w:rFonts w:ascii="Times New Roman"/>
                <w:sz w:val="21"/>
              </w:rPr>
            </w:pPr>
            <w:r>
              <w:rPr>
                <w:rFonts w:ascii="Times New Roman"/>
                <w:spacing w:val="-4"/>
                <w:sz w:val="21"/>
              </w:rPr>
              <w:t>8.10</w:t>
            </w:r>
          </w:p>
        </w:tc>
        <w:tc>
          <w:tcPr>
            <w:tcW w:w="2026" w:type="dxa"/>
          </w:tcPr>
          <w:p>
            <w:pPr>
              <w:pStyle w:val="TableParagraph"/>
              <w:spacing w:line="251" w:lineRule="exact" w:before="137"/>
              <w:ind w:left="365"/>
              <w:rPr>
                <w:b/>
                <w:sz w:val="21"/>
              </w:rPr>
            </w:pPr>
            <w:r>
              <w:rPr>
                <w:b/>
                <w:spacing w:val="-2"/>
                <w:sz w:val="21"/>
              </w:rPr>
              <w:t>微创冠状动脉搭</w:t>
            </w:r>
          </w:p>
        </w:tc>
        <w:tc>
          <w:tcPr>
            <w:tcW w:w="6330" w:type="dxa"/>
          </w:tcPr>
          <w:p>
            <w:pPr>
              <w:pStyle w:val="TableParagraph"/>
              <w:spacing w:line="251" w:lineRule="exact" w:before="137"/>
              <w:ind w:left="182"/>
              <w:rPr>
                <w:sz w:val="21"/>
              </w:rPr>
            </w:pPr>
            <w:r>
              <w:rPr>
                <w:spacing w:val="-2"/>
                <w:sz w:val="21"/>
              </w:rPr>
              <w:t>指确实透过微型的胸壁锁孔（于肋骨之间开一个细小的切口</w:t>
            </w:r>
            <w:r>
              <w:rPr>
                <w:spacing w:val="-54"/>
                <w:sz w:val="21"/>
              </w:rPr>
              <w:t>）</w:t>
            </w:r>
            <w:r>
              <w:rPr>
                <w:spacing w:val="19"/>
                <w:sz w:val="21"/>
              </w:rPr>
              <w:t>，进</w:t>
            </w:r>
          </w:p>
        </w:tc>
      </w:tr>
      <w:tr>
        <w:trPr>
          <w:trHeight w:val="272" w:hRule="atLeast"/>
        </w:trPr>
        <w:tc>
          <w:tcPr>
            <w:tcW w:w="784" w:type="dxa"/>
          </w:tcPr>
          <w:p>
            <w:pPr>
              <w:pStyle w:val="TableParagraph"/>
              <w:rPr>
                <w:rFonts w:ascii="Times New Roman"/>
                <w:sz w:val="20"/>
              </w:rPr>
            </w:pPr>
          </w:p>
        </w:tc>
        <w:tc>
          <w:tcPr>
            <w:tcW w:w="2026" w:type="dxa"/>
          </w:tcPr>
          <w:p>
            <w:pPr>
              <w:pStyle w:val="TableParagraph"/>
              <w:spacing w:line="250" w:lineRule="exact" w:before="2"/>
              <w:ind w:left="365"/>
              <w:rPr>
                <w:b/>
                <w:sz w:val="21"/>
              </w:rPr>
            </w:pPr>
            <w:r>
              <w:rPr>
                <w:b/>
                <w:spacing w:val="-5"/>
                <w:sz w:val="21"/>
              </w:rPr>
              <w:t>桥术</w:t>
            </w:r>
          </w:p>
        </w:tc>
        <w:tc>
          <w:tcPr>
            <w:tcW w:w="6330" w:type="dxa"/>
          </w:tcPr>
          <w:p>
            <w:pPr>
              <w:pStyle w:val="TableParagraph"/>
              <w:spacing w:line="250" w:lineRule="exact" w:before="2"/>
              <w:ind w:left="182"/>
              <w:rPr>
                <w:sz w:val="21"/>
              </w:rPr>
            </w:pPr>
            <w:r>
              <w:rPr>
                <w:spacing w:val="-3"/>
                <w:sz w:val="21"/>
              </w:rPr>
              <w:t>行非体外循环下的冠状动脉搭桥手术，以矫正一条或者以上冠状动</w:t>
            </w:r>
          </w:p>
        </w:tc>
      </w:tr>
      <w:tr>
        <w:trPr>
          <w:trHeight w:val="272" w:hRule="atLeast"/>
        </w:trPr>
        <w:tc>
          <w:tcPr>
            <w:tcW w:w="784" w:type="dxa"/>
          </w:tcPr>
          <w:p>
            <w:pPr>
              <w:pStyle w:val="TableParagraph"/>
              <w:rPr>
                <w:rFonts w:ascii="Times New Roman"/>
                <w:sz w:val="20"/>
              </w:rPr>
            </w:pPr>
          </w:p>
        </w:tc>
        <w:tc>
          <w:tcPr>
            <w:tcW w:w="2026" w:type="dxa"/>
          </w:tcPr>
          <w:p>
            <w:pPr>
              <w:pStyle w:val="TableParagraph"/>
              <w:rPr>
                <w:rFonts w:ascii="Times New Roman"/>
                <w:sz w:val="20"/>
              </w:rPr>
            </w:pPr>
          </w:p>
        </w:tc>
        <w:tc>
          <w:tcPr>
            <w:tcW w:w="6330" w:type="dxa"/>
          </w:tcPr>
          <w:p>
            <w:pPr>
              <w:pStyle w:val="TableParagraph"/>
              <w:spacing w:line="251" w:lineRule="exact" w:before="1"/>
              <w:ind w:left="182"/>
              <w:rPr>
                <w:sz w:val="21"/>
              </w:rPr>
            </w:pPr>
            <w:r>
              <w:rPr>
                <w:spacing w:val="-3"/>
                <w:sz w:val="21"/>
              </w:rPr>
              <w:t>脉狭窄或闭塞。微创进行直接的冠状动脉搭桥手术亦可称“锁孔”</w:t>
            </w:r>
          </w:p>
        </w:tc>
      </w:tr>
      <w:tr>
        <w:trPr>
          <w:trHeight w:val="272" w:hRule="atLeast"/>
        </w:trPr>
        <w:tc>
          <w:tcPr>
            <w:tcW w:w="784" w:type="dxa"/>
          </w:tcPr>
          <w:p>
            <w:pPr>
              <w:pStyle w:val="TableParagraph"/>
              <w:rPr>
                <w:rFonts w:ascii="Times New Roman"/>
                <w:sz w:val="20"/>
              </w:rPr>
            </w:pPr>
          </w:p>
        </w:tc>
        <w:tc>
          <w:tcPr>
            <w:tcW w:w="2026" w:type="dxa"/>
          </w:tcPr>
          <w:p>
            <w:pPr>
              <w:pStyle w:val="TableParagraph"/>
              <w:rPr>
                <w:rFonts w:ascii="Times New Roman"/>
                <w:sz w:val="20"/>
              </w:rPr>
            </w:pPr>
          </w:p>
        </w:tc>
        <w:tc>
          <w:tcPr>
            <w:tcW w:w="6330" w:type="dxa"/>
          </w:tcPr>
          <w:p>
            <w:pPr>
              <w:pStyle w:val="TableParagraph"/>
              <w:spacing w:line="250" w:lineRule="exact" w:before="2"/>
              <w:ind w:left="182"/>
              <w:rPr>
                <w:sz w:val="21"/>
              </w:rPr>
            </w:pPr>
            <w:r>
              <w:rPr>
                <w:spacing w:val="-3"/>
                <w:sz w:val="21"/>
              </w:rPr>
              <w:t>式冠状动脉手术。有关程序为医疗所需及由本公司认可医院的心脏</w:t>
            </w:r>
          </w:p>
        </w:tc>
      </w:tr>
      <w:tr>
        <w:trPr>
          <w:trHeight w:val="392" w:hRule="atLeast"/>
        </w:trPr>
        <w:tc>
          <w:tcPr>
            <w:tcW w:w="784" w:type="dxa"/>
          </w:tcPr>
          <w:p>
            <w:pPr>
              <w:pStyle w:val="TableParagraph"/>
              <w:rPr>
                <w:rFonts w:ascii="Times New Roman"/>
                <w:sz w:val="20"/>
              </w:rPr>
            </w:pPr>
          </w:p>
        </w:tc>
        <w:tc>
          <w:tcPr>
            <w:tcW w:w="2026" w:type="dxa"/>
          </w:tcPr>
          <w:p>
            <w:pPr>
              <w:pStyle w:val="TableParagraph"/>
              <w:rPr>
                <w:rFonts w:ascii="Times New Roman"/>
                <w:sz w:val="20"/>
              </w:rPr>
            </w:pPr>
          </w:p>
        </w:tc>
        <w:tc>
          <w:tcPr>
            <w:tcW w:w="6330" w:type="dxa"/>
          </w:tcPr>
          <w:p>
            <w:pPr>
              <w:pStyle w:val="TableParagraph"/>
              <w:spacing w:before="1"/>
              <w:ind w:left="182"/>
              <w:rPr>
                <w:sz w:val="21"/>
              </w:rPr>
            </w:pPr>
            <w:r>
              <w:rPr>
                <w:spacing w:val="-4"/>
                <w:sz w:val="21"/>
              </w:rPr>
              <w:t>专科医生进行。</w:t>
            </w:r>
          </w:p>
        </w:tc>
      </w:tr>
      <w:tr>
        <w:trPr>
          <w:trHeight w:val="390" w:hRule="atLeast"/>
        </w:trPr>
        <w:tc>
          <w:tcPr>
            <w:tcW w:w="784" w:type="dxa"/>
          </w:tcPr>
          <w:p>
            <w:pPr>
              <w:pStyle w:val="TableParagraph"/>
              <w:rPr>
                <w:rFonts w:ascii="Times New Roman"/>
                <w:sz w:val="20"/>
              </w:rPr>
            </w:pPr>
          </w:p>
        </w:tc>
        <w:tc>
          <w:tcPr>
            <w:tcW w:w="2026" w:type="dxa"/>
          </w:tcPr>
          <w:p>
            <w:pPr>
              <w:pStyle w:val="TableParagraph"/>
              <w:rPr>
                <w:rFonts w:ascii="Times New Roman"/>
                <w:sz w:val="20"/>
              </w:rPr>
            </w:pPr>
          </w:p>
        </w:tc>
        <w:tc>
          <w:tcPr>
            <w:tcW w:w="6330" w:type="dxa"/>
          </w:tcPr>
          <w:p>
            <w:pPr>
              <w:pStyle w:val="TableParagraph"/>
              <w:spacing w:line="248" w:lineRule="exact" w:before="122"/>
              <w:ind w:left="182"/>
              <w:rPr>
                <w:sz w:val="21"/>
              </w:rPr>
            </w:pPr>
            <w:r>
              <w:rPr>
                <w:spacing w:val="-3"/>
                <w:sz w:val="21"/>
              </w:rPr>
              <w:t>必须满足下列全部条件：</w:t>
            </w:r>
          </w:p>
        </w:tc>
      </w:tr>
      <w:tr>
        <w:trPr>
          <w:trHeight w:val="949" w:hRule="atLeast"/>
        </w:trPr>
        <w:tc>
          <w:tcPr>
            <w:tcW w:w="784" w:type="dxa"/>
          </w:tcPr>
          <w:p>
            <w:pPr>
              <w:pStyle w:val="TableParagraph"/>
              <w:rPr>
                <w:rFonts w:ascii="Times New Roman"/>
                <w:sz w:val="20"/>
              </w:rPr>
            </w:pPr>
          </w:p>
        </w:tc>
        <w:tc>
          <w:tcPr>
            <w:tcW w:w="2026" w:type="dxa"/>
          </w:tcPr>
          <w:p>
            <w:pPr>
              <w:pStyle w:val="TableParagraph"/>
              <w:rPr>
                <w:rFonts w:ascii="Times New Roman"/>
                <w:sz w:val="20"/>
              </w:rPr>
            </w:pPr>
          </w:p>
        </w:tc>
        <w:tc>
          <w:tcPr>
            <w:tcW w:w="6330" w:type="dxa"/>
          </w:tcPr>
          <w:p>
            <w:pPr>
              <w:pStyle w:val="TableParagraph"/>
              <w:numPr>
                <w:ilvl w:val="0"/>
                <w:numId w:val="15"/>
              </w:numPr>
              <w:tabs>
                <w:tab w:pos="712" w:val="left" w:leader="none"/>
              </w:tabs>
              <w:spacing w:line="242" w:lineRule="auto" w:before="6" w:after="0"/>
              <w:ind w:left="708" w:right="55" w:hanging="526"/>
              <w:jc w:val="left"/>
              <w:rPr>
                <w:sz w:val="21"/>
              </w:rPr>
            </w:pPr>
            <w:r>
              <w:rPr>
                <w:spacing w:val="-1"/>
                <w:sz w:val="21"/>
              </w:rPr>
              <w:t>血管造影显示至少两支冠状动脉狭窄超过 </w:t>
            </w:r>
            <w:r>
              <w:rPr>
                <w:rFonts w:ascii="Times New Roman" w:eastAsia="Times New Roman"/>
                <w:sz w:val="21"/>
              </w:rPr>
              <w:t>50%</w:t>
            </w:r>
            <w:r>
              <w:rPr>
                <w:sz w:val="21"/>
              </w:rPr>
              <w:t>或一支冠状动</w:t>
            </w:r>
            <w:r>
              <w:rPr>
                <w:spacing w:val="-8"/>
                <w:sz w:val="21"/>
              </w:rPr>
              <w:t>脉狭窄超过 </w:t>
            </w:r>
            <w:r>
              <w:rPr>
                <w:rFonts w:ascii="Times New Roman" w:eastAsia="Times New Roman"/>
                <w:sz w:val="21"/>
              </w:rPr>
              <w:t>70%</w:t>
            </w:r>
            <w:r>
              <w:rPr>
                <w:sz w:val="21"/>
              </w:rPr>
              <w:t>；</w:t>
            </w:r>
          </w:p>
          <w:p>
            <w:pPr>
              <w:pStyle w:val="TableParagraph"/>
              <w:numPr>
                <w:ilvl w:val="0"/>
                <w:numId w:val="15"/>
              </w:numPr>
              <w:tabs>
                <w:tab w:pos="712" w:val="left" w:leader="none"/>
              </w:tabs>
              <w:spacing w:line="240" w:lineRule="auto" w:before="1" w:after="0"/>
              <w:ind w:left="711" w:right="0" w:hanging="530"/>
              <w:jc w:val="left"/>
              <w:rPr>
                <w:sz w:val="21"/>
              </w:rPr>
            </w:pPr>
            <w:r>
              <w:rPr>
                <w:spacing w:val="-3"/>
                <w:sz w:val="21"/>
              </w:rPr>
              <w:t>手术须由心脏专科医师进行，并确认该手术的必要性。</w:t>
            </w:r>
          </w:p>
        </w:tc>
      </w:tr>
      <w:tr>
        <w:trPr>
          <w:trHeight w:val="384" w:hRule="atLeast"/>
        </w:trPr>
        <w:tc>
          <w:tcPr>
            <w:tcW w:w="784" w:type="dxa"/>
          </w:tcPr>
          <w:p>
            <w:pPr>
              <w:pStyle w:val="TableParagraph"/>
              <w:rPr>
                <w:rFonts w:ascii="Times New Roman"/>
                <w:sz w:val="20"/>
              </w:rPr>
            </w:pPr>
          </w:p>
        </w:tc>
        <w:tc>
          <w:tcPr>
            <w:tcW w:w="2026" w:type="dxa"/>
          </w:tcPr>
          <w:p>
            <w:pPr>
              <w:pStyle w:val="TableParagraph"/>
              <w:rPr>
                <w:rFonts w:ascii="Times New Roman"/>
                <w:sz w:val="20"/>
              </w:rPr>
            </w:pPr>
          </w:p>
        </w:tc>
        <w:tc>
          <w:tcPr>
            <w:tcW w:w="6330" w:type="dxa"/>
          </w:tcPr>
          <w:p>
            <w:pPr>
              <w:pStyle w:val="TableParagraph"/>
              <w:spacing w:line="250" w:lineRule="exact" w:before="114"/>
              <w:ind w:left="182"/>
              <w:rPr>
                <w:b/>
                <w:sz w:val="21"/>
              </w:rPr>
            </w:pPr>
            <w:r>
              <w:rPr>
                <w:b/>
                <w:spacing w:val="-3"/>
                <w:sz w:val="21"/>
              </w:rPr>
              <w:t>被保险人已达到本合同所指重大疾病“急性心肌梗塞”或“严重冠</w:t>
            </w:r>
          </w:p>
        </w:tc>
      </w:tr>
      <w:tr>
        <w:trPr>
          <w:trHeight w:val="378" w:hRule="atLeast"/>
        </w:trPr>
        <w:tc>
          <w:tcPr>
            <w:tcW w:w="784" w:type="dxa"/>
          </w:tcPr>
          <w:p>
            <w:pPr>
              <w:pStyle w:val="TableParagraph"/>
              <w:rPr>
                <w:rFonts w:ascii="Times New Roman"/>
                <w:sz w:val="20"/>
              </w:rPr>
            </w:pPr>
          </w:p>
        </w:tc>
        <w:tc>
          <w:tcPr>
            <w:tcW w:w="2026" w:type="dxa"/>
          </w:tcPr>
          <w:p>
            <w:pPr>
              <w:pStyle w:val="TableParagraph"/>
              <w:rPr>
                <w:rFonts w:ascii="Times New Roman"/>
                <w:sz w:val="20"/>
              </w:rPr>
            </w:pPr>
          </w:p>
        </w:tc>
        <w:tc>
          <w:tcPr>
            <w:tcW w:w="6330" w:type="dxa"/>
          </w:tcPr>
          <w:p>
            <w:pPr>
              <w:pStyle w:val="TableParagraph"/>
              <w:spacing w:before="2"/>
              <w:ind w:left="182"/>
              <w:rPr>
                <w:b/>
                <w:sz w:val="21"/>
              </w:rPr>
            </w:pPr>
            <w:r>
              <w:rPr>
                <w:b/>
                <w:spacing w:val="-3"/>
                <w:sz w:val="21"/>
              </w:rPr>
              <w:t>心病”标准的，本公司不承担本项手术保险责任。</w:t>
            </w:r>
          </w:p>
        </w:tc>
      </w:tr>
      <w:tr>
        <w:trPr>
          <w:trHeight w:val="404" w:hRule="atLeast"/>
        </w:trPr>
        <w:tc>
          <w:tcPr>
            <w:tcW w:w="784" w:type="dxa"/>
          </w:tcPr>
          <w:p>
            <w:pPr>
              <w:pStyle w:val="TableParagraph"/>
              <w:spacing w:before="129"/>
              <w:ind w:left="50"/>
              <w:rPr>
                <w:rFonts w:ascii="Times New Roman"/>
                <w:sz w:val="21"/>
              </w:rPr>
            </w:pPr>
            <w:r>
              <w:rPr>
                <w:rFonts w:ascii="Times New Roman"/>
                <w:spacing w:val="-4"/>
                <w:sz w:val="21"/>
              </w:rPr>
              <w:t>8.11</w:t>
            </w:r>
          </w:p>
        </w:tc>
        <w:tc>
          <w:tcPr>
            <w:tcW w:w="2026" w:type="dxa"/>
          </w:tcPr>
          <w:p>
            <w:pPr>
              <w:pStyle w:val="TableParagraph"/>
              <w:spacing w:line="248" w:lineRule="exact" w:before="137"/>
              <w:ind w:left="365"/>
              <w:rPr>
                <w:b/>
                <w:sz w:val="21"/>
              </w:rPr>
            </w:pPr>
            <w:r>
              <w:rPr>
                <w:b/>
                <w:spacing w:val="-2"/>
                <w:sz w:val="21"/>
              </w:rPr>
              <w:t>于颈动脉进行血</w:t>
            </w:r>
          </w:p>
        </w:tc>
        <w:tc>
          <w:tcPr>
            <w:tcW w:w="6330" w:type="dxa"/>
          </w:tcPr>
          <w:p>
            <w:pPr>
              <w:pStyle w:val="TableParagraph"/>
              <w:spacing w:line="248" w:lineRule="exact" w:before="137"/>
              <w:ind w:left="182"/>
              <w:rPr>
                <w:sz w:val="21"/>
              </w:rPr>
            </w:pPr>
            <w:r>
              <w:rPr>
                <w:spacing w:val="-3"/>
                <w:sz w:val="21"/>
              </w:rPr>
              <w:t>指根据颈动脉造影检查结果，确诊一条或者以上颈动脉存在严重狭</w:t>
            </w:r>
          </w:p>
        </w:tc>
      </w:tr>
      <w:tr>
        <w:trPr>
          <w:trHeight w:val="548" w:hRule="atLeast"/>
        </w:trPr>
        <w:tc>
          <w:tcPr>
            <w:tcW w:w="784" w:type="dxa"/>
          </w:tcPr>
          <w:p>
            <w:pPr>
              <w:pStyle w:val="TableParagraph"/>
              <w:rPr>
                <w:rFonts w:ascii="Times New Roman"/>
                <w:sz w:val="20"/>
              </w:rPr>
            </w:pPr>
          </w:p>
        </w:tc>
        <w:tc>
          <w:tcPr>
            <w:tcW w:w="2026" w:type="dxa"/>
          </w:tcPr>
          <w:p>
            <w:pPr>
              <w:pStyle w:val="TableParagraph"/>
              <w:spacing w:line="270" w:lineRule="atLeast"/>
              <w:ind w:left="365" w:right="180"/>
              <w:rPr>
                <w:b/>
                <w:sz w:val="21"/>
              </w:rPr>
            </w:pPr>
            <w:r>
              <w:rPr>
                <w:b/>
                <w:spacing w:val="-2"/>
                <w:sz w:val="21"/>
              </w:rPr>
              <w:t>管成形术或内膜</w:t>
            </w:r>
            <w:r>
              <w:rPr>
                <w:b/>
                <w:spacing w:val="-4"/>
                <w:sz w:val="21"/>
              </w:rPr>
              <w:t>切除术</w:t>
            </w:r>
          </w:p>
        </w:tc>
        <w:tc>
          <w:tcPr>
            <w:tcW w:w="6330" w:type="dxa"/>
          </w:tcPr>
          <w:p>
            <w:pPr>
              <w:pStyle w:val="TableParagraph"/>
              <w:spacing w:line="270" w:lineRule="atLeast"/>
              <w:ind w:left="182" w:right="55"/>
              <w:rPr>
                <w:sz w:val="21"/>
              </w:rPr>
            </w:pPr>
            <w:r>
              <w:rPr>
                <w:sz w:val="21"/>
              </w:rPr>
              <w:t>窄性病变（</w:t>
            </w:r>
            <w:r>
              <w:rPr>
                <w:spacing w:val="-1"/>
                <w:sz w:val="21"/>
              </w:rPr>
              <w:t>至少一支血管管腔直径减少 </w:t>
            </w:r>
            <w:r>
              <w:rPr>
                <w:rFonts w:ascii="Times New Roman" w:eastAsia="Times New Roman"/>
                <w:sz w:val="21"/>
              </w:rPr>
              <w:t>75%</w:t>
            </w:r>
            <w:r>
              <w:rPr>
                <w:sz w:val="21"/>
              </w:rPr>
              <w:t>以上</w:t>
            </w:r>
            <w:r>
              <w:rPr>
                <w:spacing w:val="-106"/>
                <w:sz w:val="21"/>
              </w:rPr>
              <w:t>）</w:t>
            </w:r>
            <w:r>
              <w:rPr>
                <w:sz w:val="21"/>
              </w:rPr>
              <w:t>。本病须经国家</w:t>
            </w:r>
            <w:r>
              <w:rPr>
                <w:spacing w:val="-3"/>
                <w:sz w:val="21"/>
              </w:rPr>
              <w:t>机关认可的有合法资质的专科医生明确诊断，同时必须已经采取以</w:t>
            </w:r>
          </w:p>
        </w:tc>
      </w:tr>
      <w:tr>
        <w:trPr>
          <w:trHeight w:val="269" w:hRule="atLeast"/>
        </w:trPr>
        <w:tc>
          <w:tcPr>
            <w:tcW w:w="784" w:type="dxa"/>
          </w:tcPr>
          <w:p>
            <w:pPr>
              <w:pStyle w:val="TableParagraph"/>
              <w:rPr>
                <w:rFonts w:ascii="Times New Roman"/>
                <w:sz w:val="18"/>
              </w:rPr>
            </w:pPr>
          </w:p>
        </w:tc>
        <w:tc>
          <w:tcPr>
            <w:tcW w:w="2026" w:type="dxa"/>
          </w:tcPr>
          <w:p>
            <w:pPr>
              <w:pStyle w:val="TableParagraph"/>
              <w:rPr>
                <w:rFonts w:ascii="Times New Roman"/>
                <w:sz w:val="18"/>
              </w:rPr>
            </w:pPr>
          </w:p>
        </w:tc>
        <w:tc>
          <w:tcPr>
            <w:tcW w:w="6330" w:type="dxa"/>
          </w:tcPr>
          <w:p>
            <w:pPr>
              <w:pStyle w:val="TableParagraph"/>
              <w:spacing w:line="246" w:lineRule="exact" w:before="2"/>
              <w:ind w:left="182"/>
              <w:rPr>
                <w:sz w:val="21"/>
              </w:rPr>
            </w:pPr>
            <w:r>
              <w:rPr>
                <w:spacing w:val="-3"/>
                <w:sz w:val="21"/>
              </w:rPr>
              <w:t>下手术以减轻症状：</w:t>
            </w:r>
          </w:p>
        </w:tc>
      </w:tr>
      <w:tr>
        <w:trPr>
          <w:trHeight w:val="789" w:hRule="atLeast"/>
        </w:trPr>
        <w:tc>
          <w:tcPr>
            <w:tcW w:w="784" w:type="dxa"/>
          </w:tcPr>
          <w:p>
            <w:pPr>
              <w:pStyle w:val="TableParagraph"/>
              <w:rPr>
                <w:rFonts w:ascii="Times New Roman"/>
                <w:sz w:val="20"/>
              </w:rPr>
            </w:pPr>
          </w:p>
        </w:tc>
        <w:tc>
          <w:tcPr>
            <w:tcW w:w="2026" w:type="dxa"/>
          </w:tcPr>
          <w:p>
            <w:pPr>
              <w:pStyle w:val="TableParagraph"/>
              <w:rPr>
                <w:rFonts w:ascii="Times New Roman"/>
                <w:sz w:val="20"/>
              </w:rPr>
            </w:pPr>
          </w:p>
        </w:tc>
        <w:tc>
          <w:tcPr>
            <w:tcW w:w="6330" w:type="dxa"/>
          </w:tcPr>
          <w:p>
            <w:pPr>
              <w:pStyle w:val="TableParagraph"/>
              <w:numPr>
                <w:ilvl w:val="0"/>
                <w:numId w:val="16"/>
              </w:numPr>
              <w:tabs>
                <w:tab w:pos="712" w:val="left" w:leader="none"/>
              </w:tabs>
              <w:spacing w:line="240" w:lineRule="auto" w:before="5" w:after="0"/>
              <w:ind w:left="711" w:right="0" w:hanging="530"/>
              <w:jc w:val="left"/>
              <w:rPr>
                <w:sz w:val="21"/>
              </w:rPr>
            </w:pPr>
            <w:r>
              <w:rPr>
                <w:spacing w:val="-3"/>
                <w:sz w:val="21"/>
              </w:rPr>
              <w:t>确实进行动脉内膜切除术；</w:t>
            </w:r>
          </w:p>
          <w:p>
            <w:pPr>
              <w:pStyle w:val="TableParagraph"/>
              <w:numPr>
                <w:ilvl w:val="0"/>
                <w:numId w:val="16"/>
              </w:numPr>
              <w:tabs>
                <w:tab w:pos="715" w:val="left" w:leader="none"/>
              </w:tabs>
              <w:spacing w:line="270" w:lineRule="atLeast" w:before="0" w:after="0"/>
              <w:ind w:left="708" w:right="58" w:hanging="526"/>
              <w:jc w:val="left"/>
              <w:rPr>
                <w:sz w:val="21"/>
              </w:rPr>
            </w:pPr>
            <w:r>
              <w:rPr>
                <w:spacing w:val="-2"/>
                <w:sz w:val="21"/>
              </w:rPr>
              <w:t>确实进行血管介入治疗，例如血管成形术及</w:t>
            </w:r>
            <w:r>
              <w:rPr>
                <w:rFonts w:ascii="Times New Roman" w:eastAsia="Times New Roman"/>
                <w:spacing w:val="-2"/>
                <w:sz w:val="21"/>
              </w:rPr>
              <w:t>/</w:t>
            </w:r>
            <w:r>
              <w:rPr>
                <w:spacing w:val="-2"/>
                <w:sz w:val="21"/>
              </w:rPr>
              <w:t>或进行植入支架</w:t>
            </w:r>
            <w:r>
              <w:rPr>
                <w:spacing w:val="-4"/>
                <w:sz w:val="21"/>
              </w:rPr>
              <w:t>手术。</w:t>
            </w:r>
          </w:p>
        </w:tc>
      </w:tr>
    </w:tbl>
    <w:p>
      <w:pPr>
        <w:pStyle w:val="BodyText"/>
        <w:spacing w:before="12"/>
        <w:rPr>
          <w:sz w:val="13"/>
        </w:rPr>
      </w:pPr>
    </w:p>
    <w:p>
      <w:pPr>
        <w:spacing w:after="0"/>
        <w:rPr>
          <w:sz w:val="13"/>
        </w:rPr>
        <w:sectPr>
          <w:type w:val="continuous"/>
          <w:pgSz w:w="11910" w:h="16840"/>
          <w:pgMar w:header="0" w:footer="879" w:top="1360" w:bottom="1060" w:left="1460" w:right="720"/>
        </w:sectPr>
      </w:pPr>
    </w:p>
    <w:p>
      <w:pPr>
        <w:pStyle w:val="Heading3"/>
        <w:numPr>
          <w:ilvl w:val="1"/>
          <w:numId w:val="17"/>
        </w:numPr>
        <w:tabs>
          <w:tab w:pos="1341" w:val="left" w:leader="none"/>
          <w:tab w:pos="1342" w:val="left" w:leader="none"/>
        </w:tabs>
        <w:spacing w:line="244" w:lineRule="auto" w:before="93" w:after="0"/>
        <w:ind w:left="1341" w:right="38" w:hanging="1100"/>
        <w:jc w:val="left"/>
      </w:pPr>
      <w:r>
        <w:rPr>
          <w:spacing w:val="-2"/>
        </w:rPr>
        <w:t>早期原发性心肌</w:t>
      </w:r>
      <w:r>
        <w:rPr>
          <w:spacing w:val="-10"/>
        </w:rPr>
        <w:t>病</w:t>
      </w:r>
    </w:p>
    <w:p>
      <w:pPr>
        <w:pStyle w:val="BodyText"/>
        <w:spacing w:line="244" w:lineRule="auto" w:before="100"/>
        <w:ind w:left="242" w:right="348"/>
      </w:pPr>
      <w:r>
        <w:rPr/>
        <w:br w:type="column"/>
      </w:r>
      <w:r>
        <w:rPr>
          <w:spacing w:val="-2"/>
        </w:rPr>
        <w:t>被诊断为原发性心肌病，包括扩张型心肌病、肥厚型心肌病及限制</w:t>
      </w:r>
      <w:r>
        <w:rPr>
          <w:spacing w:val="-13"/>
        </w:rPr>
        <w:t>型心肌病，由我们认可医院的专科医生确诊，并符合下列所有条件：</w:t>
      </w:r>
    </w:p>
    <w:p>
      <w:pPr>
        <w:pStyle w:val="ListParagraph"/>
        <w:numPr>
          <w:ilvl w:val="0"/>
          <w:numId w:val="18"/>
        </w:numPr>
        <w:tabs>
          <w:tab w:pos="772" w:val="left" w:leader="none"/>
        </w:tabs>
        <w:spacing w:line="242" w:lineRule="auto" w:before="0" w:after="0"/>
        <w:ind w:left="767" w:right="457" w:hanging="526"/>
        <w:jc w:val="both"/>
        <w:rPr>
          <w:sz w:val="21"/>
        </w:rPr>
      </w:pPr>
      <w:r>
        <w:rPr>
          <w:spacing w:val="-2"/>
          <w:sz w:val="21"/>
        </w:rPr>
        <w:t>导致心室功能受损，其受损程度达到美国纽约心脏病学会心</w:t>
      </w:r>
      <w:r>
        <w:rPr>
          <w:spacing w:val="-2"/>
          <w:sz w:val="21"/>
        </w:rPr>
        <w:t>脏功能分级的第Ⅲ级，或其同等级別，即：体力活动明显受</w:t>
      </w:r>
      <w:r>
        <w:rPr>
          <w:spacing w:val="-2"/>
          <w:sz w:val="21"/>
        </w:rPr>
        <w:t>限，休息时无症状，轻于日常的活动即可引起充血性心力衰</w:t>
      </w:r>
      <w:r>
        <w:rPr>
          <w:spacing w:val="-2"/>
          <w:sz w:val="21"/>
        </w:rPr>
        <w:t>竭的症状；</w:t>
      </w:r>
    </w:p>
    <w:p>
      <w:pPr>
        <w:pStyle w:val="ListParagraph"/>
        <w:numPr>
          <w:ilvl w:val="0"/>
          <w:numId w:val="18"/>
        </w:numPr>
        <w:tabs>
          <w:tab w:pos="772" w:val="left" w:leader="none"/>
        </w:tabs>
        <w:spacing w:line="240" w:lineRule="auto" w:before="0" w:after="0"/>
        <w:ind w:left="771" w:right="0" w:hanging="530"/>
        <w:jc w:val="left"/>
        <w:rPr>
          <w:sz w:val="21"/>
        </w:rPr>
      </w:pPr>
      <w:r>
        <w:rPr>
          <w:spacing w:val="-3"/>
          <w:sz w:val="21"/>
        </w:rPr>
        <w:t>左室射血分数 </w:t>
      </w:r>
      <w:r>
        <w:rPr>
          <w:rFonts w:ascii="Times New Roman" w:eastAsia="Times New Roman"/>
          <w:sz w:val="21"/>
        </w:rPr>
        <w:t>LVEF</w:t>
      </w:r>
      <w:r>
        <w:rPr>
          <w:rFonts w:ascii="Times New Roman" w:eastAsia="Times New Roman"/>
          <w:spacing w:val="-13"/>
          <w:sz w:val="21"/>
        </w:rPr>
        <w:t> </w:t>
      </w:r>
      <w:r>
        <w:rPr>
          <w:rFonts w:ascii="Times New Roman" w:eastAsia="Times New Roman"/>
          <w:spacing w:val="-2"/>
          <w:sz w:val="21"/>
        </w:rPr>
        <w:t>&lt;35%</w:t>
      </w:r>
      <w:r>
        <w:rPr>
          <w:spacing w:val="-2"/>
          <w:sz w:val="21"/>
        </w:rPr>
        <w:t>；</w:t>
      </w:r>
    </w:p>
    <w:p>
      <w:pPr>
        <w:pStyle w:val="ListParagraph"/>
        <w:numPr>
          <w:ilvl w:val="0"/>
          <w:numId w:val="18"/>
        </w:numPr>
        <w:tabs>
          <w:tab w:pos="772" w:val="left" w:leader="none"/>
        </w:tabs>
        <w:spacing w:line="242" w:lineRule="auto" w:before="3" w:after="0"/>
        <w:ind w:left="767" w:right="449" w:hanging="526"/>
        <w:jc w:val="left"/>
        <w:rPr>
          <w:sz w:val="21"/>
        </w:rPr>
      </w:pPr>
      <w:r>
        <w:rPr>
          <w:sz w:val="21"/>
        </w:rPr>
        <w:t>原发性心肌病的诊断必须由我们认可医院的心脏专科医生确</w:t>
      </w:r>
      <w:r>
        <w:rPr>
          <w:spacing w:val="-2"/>
          <w:sz w:val="21"/>
        </w:rPr>
        <w:t>认，并提供心脏超声检查结果报告。</w:t>
      </w:r>
    </w:p>
    <w:p>
      <w:pPr>
        <w:pStyle w:val="Heading3"/>
        <w:spacing w:line="244" w:lineRule="auto" w:before="0"/>
        <w:ind w:left="242" w:right="458"/>
      </w:pPr>
      <w:r>
        <w:rPr>
          <w:spacing w:val="3"/>
          <w:w w:val="100"/>
        </w:rPr>
        <w:t>继发于全身性疾病或其他器官系统疾病造成的心肌病变不在保障范围内。</w:t>
      </w:r>
    </w:p>
    <w:p>
      <w:pPr>
        <w:spacing w:after="0" w:line="244" w:lineRule="auto"/>
        <w:sectPr>
          <w:type w:val="continuous"/>
          <w:pgSz w:w="11910" w:h="16840"/>
          <w:pgMar w:header="0" w:footer="879" w:top="300" w:bottom="280" w:left="1460" w:right="720"/>
          <w:cols w:num="2" w:equalWidth="0">
            <w:col w:w="2860" w:space="83"/>
            <w:col w:w="6787"/>
          </w:cols>
        </w:sectPr>
      </w:pPr>
    </w:p>
    <w:p>
      <w:pPr>
        <w:pStyle w:val="BodyText"/>
        <w:spacing w:before="9"/>
        <w:rPr>
          <w:b/>
          <w:sz w:val="10"/>
        </w:rPr>
      </w:pPr>
    </w:p>
    <w:p>
      <w:pPr>
        <w:pStyle w:val="ListParagraph"/>
        <w:numPr>
          <w:ilvl w:val="1"/>
          <w:numId w:val="17"/>
        </w:numPr>
        <w:tabs>
          <w:tab w:pos="1341" w:val="left" w:leader="none"/>
          <w:tab w:pos="1342" w:val="left" w:leader="none"/>
          <w:tab w:pos="3184" w:val="left" w:leader="none"/>
        </w:tabs>
        <w:spacing w:line="240" w:lineRule="auto" w:before="94" w:after="0"/>
        <w:ind w:left="1341" w:right="0" w:hanging="1100"/>
        <w:jc w:val="left"/>
        <w:rPr>
          <w:sz w:val="21"/>
        </w:rPr>
      </w:pPr>
      <w:r>
        <w:rPr>
          <w:b/>
          <w:sz w:val="21"/>
        </w:rPr>
        <w:t>心包膜切除</w:t>
      </w:r>
      <w:r>
        <w:rPr>
          <w:b/>
          <w:spacing w:val="-10"/>
          <w:sz w:val="21"/>
        </w:rPr>
        <w:t>术</w:t>
      </w:r>
      <w:r>
        <w:rPr>
          <w:b/>
          <w:sz w:val="21"/>
        </w:rPr>
        <w:tab/>
      </w:r>
      <w:r>
        <w:rPr>
          <w:spacing w:val="-2"/>
          <w:sz w:val="21"/>
        </w:rPr>
        <w:t>指</w:t>
      </w:r>
      <w:r>
        <w:rPr>
          <w:spacing w:val="-2"/>
          <w:sz w:val="21"/>
        </w:rPr>
        <w:t>为</w:t>
      </w:r>
      <w:r>
        <w:rPr>
          <w:spacing w:val="-2"/>
          <w:sz w:val="21"/>
        </w:rPr>
        <w:t>治疗心包膜疾病，已</w:t>
      </w:r>
      <w:r>
        <w:rPr>
          <w:spacing w:val="-2"/>
          <w:sz w:val="21"/>
        </w:rPr>
        <w:t>经</w:t>
      </w:r>
      <w:r>
        <w:rPr>
          <w:spacing w:val="-2"/>
          <w:sz w:val="21"/>
        </w:rPr>
        <w:t>实</w:t>
      </w:r>
      <w:r>
        <w:rPr>
          <w:spacing w:val="-2"/>
          <w:sz w:val="21"/>
        </w:rPr>
        <w:t>施了心包膜切除术，</w:t>
      </w:r>
      <w:r>
        <w:rPr>
          <w:spacing w:val="-2"/>
          <w:sz w:val="21"/>
        </w:rPr>
        <w:t>但</w:t>
      </w:r>
      <w:r>
        <w:rPr>
          <w:spacing w:val="-2"/>
          <w:sz w:val="21"/>
        </w:rPr>
        <w:t>未</w:t>
      </w:r>
      <w:r>
        <w:rPr>
          <w:spacing w:val="-2"/>
          <w:sz w:val="21"/>
        </w:rPr>
        <w:t>达到本</w:t>
      </w:r>
      <w:r>
        <w:rPr>
          <w:spacing w:val="-2"/>
          <w:sz w:val="21"/>
        </w:rPr>
        <w:t>合</w:t>
      </w:r>
      <w:r>
        <w:rPr>
          <w:spacing w:val="-10"/>
          <w:sz w:val="21"/>
        </w:rPr>
        <w:t>同</w:t>
      </w:r>
    </w:p>
    <w:p>
      <w:pPr>
        <w:pStyle w:val="BodyText"/>
        <w:spacing w:line="242" w:lineRule="auto" w:before="5"/>
        <w:ind w:left="3185" w:right="449"/>
      </w:pPr>
      <w:r>
        <w:rPr>
          <w:spacing w:val="-2"/>
        </w:rPr>
        <w:t>所指重大疾病“严重慢性缩窄性心包炎”的标准。手术必须在心脏</w:t>
      </w:r>
      <w:r>
        <w:rPr>
          <w:spacing w:val="-2"/>
        </w:rPr>
        <w:t>科医生认为是医学上必需的情况下进行。</w:t>
      </w:r>
    </w:p>
    <w:p>
      <w:pPr>
        <w:pStyle w:val="BodyText"/>
        <w:rPr>
          <w:sz w:val="11"/>
        </w:rPr>
      </w:pPr>
    </w:p>
    <w:p>
      <w:pPr>
        <w:spacing w:after="0"/>
        <w:rPr>
          <w:sz w:val="11"/>
        </w:rPr>
        <w:sectPr>
          <w:type w:val="continuous"/>
          <w:pgSz w:w="11910" w:h="16840"/>
          <w:pgMar w:header="0" w:footer="879" w:top="300" w:bottom="280" w:left="1460" w:right="720"/>
        </w:sectPr>
      </w:pPr>
    </w:p>
    <w:p>
      <w:pPr>
        <w:pStyle w:val="Heading3"/>
        <w:numPr>
          <w:ilvl w:val="1"/>
          <w:numId w:val="17"/>
        </w:numPr>
        <w:tabs>
          <w:tab w:pos="1341" w:val="left" w:leader="none"/>
          <w:tab w:pos="1342" w:val="left" w:leader="none"/>
        </w:tabs>
        <w:spacing w:line="244" w:lineRule="auto" w:before="94" w:after="0"/>
        <w:ind w:left="1341" w:right="38" w:hanging="1100"/>
        <w:jc w:val="left"/>
      </w:pPr>
      <w:r>
        <w:rPr>
          <w:spacing w:val="-2"/>
        </w:rPr>
        <w:t>植入心脏起搏器</w:t>
      </w:r>
      <w:r>
        <w:rPr>
          <w:spacing w:val="-4"/>
        </w:rPr>
        <w:t>或除颤器</w:t>
      </w:r>
    </w:p>
    <w:p>
      <w:pPr>
        <w:pStyle w:val="BodyText"/>
        <w:spacing w:line="242" w:lineRule="auto" w:before="100"/>
        <w:ind w:left="242" w:right="444"/>
        <w:jc w:val="both"/>
      </w:pPr>
      <w:r>
        <w:rPr/>
        <w:br w:type="column"/>
      </w:r>
      <w:r>
        <w:rPr>
          <w:spacing w:val="4"/>
          <w:w w:val="100"/>
        </w:rPr>
        <w:t>指因严重心律失常而确实已行植入永久性心脏起搏器或除颤器的</w:t>
      </w:r>
      <w:r>
        <w:rPr>
          <w:spacing w:val="-3"/>
          <w:w w:val="100"/>
        </w:rPr>
        <w:t>手术。理赔时须提供完整病历资料及手术记录以证实此严重心律失</w:t>
      </w:r>
      <w:r>
        <w:rPr>
          <w:spacing w:val="-4"/>
          <w:w w:val="100"/>
        </w:rPr>
        <w:t>常并不能以其他方法治疗。诊断及治疗均须在我们认可的医院内由专科医生认为是医疗必需的情况下进行。由于心脏再同步化治疗而</w:t>
      </w:r>
      <w:r>
        <w:rPr>
          <w:spacing w:val="-3"/>
          <w:w w:val="100"/>
        </w:rPr>
        <w:t>实施的植入心脏起博器包括在本项保障范围内。</w:t>
      </w:r>
    </w:p>
    <w:p>
      <w:pPr>
        <w:spacing w:after="0" w:line="242" w:lineRule="auto"/>
        <w:jc w:val="both"/>
        <w:sectPr>
          <w:type w:val="continuous"/>
          <w:pgSz w:w="11910" w:h="16840"/>
          <w:pgMar w:header="0" w:footer="879" w:top="300" w:bottom="280" w:left="1460" w:right="720"/>
          <w:cols w:num="2" w:equalWidth="0">
            <w:col w:w="2860" w:space="83"/>
            <w:col w:w="6787"/>
          </w:cols>
        </w:sectPr>
      </w:pPr>
    </w:p>
    <w:p>
      <w:pPr>
        <w:pStyle w:val="BodyText"/>
        <w:spacing w:before="4"/>
        <w:rPr>
          <w:sz w:val="11"/>
        </w:rPr>
      </w:pPr>
    </w:p>
    <w:p>
      <w:pPr>
        <w:spacing w:after="0"/>
        <w:rPr>
          <w:sz w:val="11"/>
        </w:rPr>
        <w:sectPr>
          <w:type w:val="continuous"/>
          <w:pgSz w:w="11910" w:h="16840"/>
          <w:pgMar w:header="0" w:footer="879" w:top="300" w:bottom="280" w:left="1460" w:right="720"/>
        </w:sectPr>
      </w:pPr>
    </w:p>
    <w:p>
      <w:pPr>
        <w:pStyle w:val="Heading3"/>
        <w:numPr>
          <w:ilvl w:val="1"/>
          <w:numId w:val="17"/>
        </w:numPr>
        <w:tabs>
          <w:tab w:pos="1341" w:val="left" w:leader="none"/>
          <w:tab w:pos="1342" w:val="left" w:leader="none"/>
        </w:tabs>
        <w:spacing w:line="244" w:lineRule="auto" w:before="94" w:after="0"/>
        <w:ind w:left="1341" w:right="38" w:hanging="1100"/>
        <w:jc w:val="left"/>
      </w:pPr>
      <w:r>
        <w:rPr>
          <w:spacing w:val="-2"/>
        </w:rPr>
        <w:t>激光心肌血运重</w:t>
      </w:r>
      <w:r>
        <w:rPr>
          <w:spacing w:val="-6"/>
        </w:rPr>
        <w:t>建术</w:t>
      </w:r>
    </w:p>
    <w:p>
      <w:pPr>
        <w:spacing w:line="242" w:lineRule="auto" w:before="100"/>
        <w:ind w:left="242" w:right="444" w:firstLine="0"/>
        <w:jc w:val="both"/>
        <w:rPr>
          <w:b/>
          <w:sz w:val="21"/>
        </w:rPr>
      </w:pPr>
      <w:r>
        <w:rPr/>
        <w:br w:type="column"/>
      </w:r>
      <w:r>
        <w:rPr>
          <w:spacing w:val="-2"/>
          <w:sz w:val="21"/>
        </w:rPr>
        <w:t>指患有顽固性心绞痛，经持续药物治疗后无改善，冠状动脉搭桥手</w:t>
      </w:r>
      <w:r>
        <w:rPr>
          <w:spacing w:val="-2"/>
          <w:sz w:val="21"/>
        </w:rPr>
        <w:t>术及经皮血管成形手术已失败或者被认为不适合。在本公司认可医</w:t>
      </w:r>
      <w:r>
        <w:rPr>
          <w:spacing w:val="-2"/>
          <w:sz w:val="21"/>
        </w:rPr>
        <w:t>院内实际进行了开胸手术下或者胸腔镜下的激光心肌血运重建术。</w:t>
      </w:r>
      <w:r>
        <w:rPr>
          <w:b/>
          <w:spacing w:val="-2"/>
          <w:sz w:val="21"/>
        </w:rPr>
        <w:t>被保险人已达到本合同所指重大疾病“急性心肌梗塞”或“严重冠</w:t>
      </w:r>
      <w:r>
        <w:rPr>
          <w:b/>
          <w:spacing w:val="-2"/>
          <w:sz w:val="21"/>
        </w:rPr>
        <w:t>心病”标准的，本公司不承担本项手术保险责任。</w:t>
      </w:r>
    </w:p>
    <w:p>
      <w:pPr>
        <w:spacing w:after="0" w:line="242" w:lineRule="auto"/>
        <w:jc w:val="both"/>
        <w:rPr>
          <w:sz w:val="21"/>
        </w:rPr>
        <w:sectPr>
          <w:type w:val="continuous"/>
          <w:pgSz w:w="11910" w:h="16840"/>
          <w:pgMar w:header="0" w:footer="879" w:top="300" w:bottom="280" w:left="1460" w:right="720"/>
          <w:cols w:num="2" w:equalWidth="0">
            <w:col w:w="2860" w:space="83"/>
            <w:col w:w="6787"/>
          </w:cols>
        </w:sectPr>
      </w:pPr>
    </w:p>
    <w:p>
      <w:pPr>
        <w:pStyle w:val="Heading2"/>
        <w:numPr>
          <w:ilvl w:val="0"/>
          <w:numId w:val="10"/>
        </w:numPr>
        <w:tabs>
          <w:tab w:pos="1341" w:val="left" w:leader="none"/>
          <w:tab w:pos="1342" w:val="left" w:leader="none"/>
        </w:tabs>
        <w:spacing w:line="240" w:lineRule="auto" w:before="57" w:after="0"/>
        <w:ind w:left="1341" w:right="0" w:hanging="1100"/>
        <w:jc w:val="left"/>
      </w:pPr>
      <w:r>
        <w:rPr>
          <w:w w:val="95"/>
        </w:rPr>
        <w:t>特定心</w:t>
      </w:r>
      <w:r>
        <w:rPr>
          <w:w w:val="95"/>
        </w:rPr>
        <w:t>脑</w:t>
      </w:r>
      <w:r>
        <w:rPr>
          <w:w w:val="95"/>
        </w:rPr>
        <w:t>血</w:t>
      </w:r>
      <w:r>
        <w:rPr>
          <w:w w:val="95"/>
        </w:rPr>
        <w:t>管重大</w:t>
      </w:r>
      <w:r>
        <w:rPr>
          <w:w w:val="95"/>
        </w:rPr>
        <w:t>疾</w:t>
      </w:r>
      <w:r>
        <w:rPr>
          <w:w w:val="95"/>
        </w:rPr>
        <w:t>病</w:t>
      </w:r>
      <w:r>
        <w:rPr>
          <w:w w:val="95"/>
        </w:rPr>
        <w:t>的定义</w:t>
      </w:r>
      <w:r>
        <w:rPr>
          <w:w w:val="95"/>
        </w:rPr>
        <w:t>及</w:t>
      </w:r>
      <w:r>
        <w:rPr>
          <w:w w:val="95"/>
        </w:rPr>
        <w:t>范</w:t>
      </w:r>
      <w:r>
        <w:rPr>
          <w:spacing w:val="-10"/>
          <w:w w:val="95"/>
        </w:rPr>
        <w:t>围</w:t>
      </w:r>
    </w:p>
    <w:p>
      <w:pPr>
        <w:pStyle w:val="BodyText"/>
        <w:spacing w:before="1"/>
        <w:rPr>
          <w:b/>
          <w:sz w:val="3"/>
        </w:rPr>
      </w:pPr>
      <w:r>
        <w:rPr/>
        <w:drawing>
          <wp:anchor distT="0" distB="0" distL="0" distR="0" allowOverlap="1" layoutInCell="1" locked="0" behindDoc="0" simplePos="0" relativeHeight="9">
            <wp:simplePos x="0" y="0"/>
            <wp:positionH relativeFrom="page">
              <wp:posOffset>1012240</wp:posOffset>
            </wp:positionH>
            <wp:positionV relativeFrom="paragraph">
              <wp:posOffset>40830</wp:posOffset>
            </wp:positionV>
            <wp:extent cx="5869762" cy="6096"/>
            <wp:effectExtent l="0" t="0" r="0" b="0"/>
            <wp:wrapTopAndBottom/>
            <wp:docPr id="25" name="image9.png"/>
            <wp:cNvGraphicFramePr>
              <a:graphicFrameLocks noChangeAspect="1"/>
            </wp:cNvGraphicFramePr>
            <a:graphic>
              <a:graphicData uri="http://schemas.openxmlformats.org/drawingml/2006/picture">
                <pic:pic>
                  <pic:nvPicPr>
                    <pic:cNvPr id="26" name="image9.png"/>
                    <pic:cNvPicPr/>
                  </pic:nvPicPr>
                  <pic:blipFill>
                    <a:blip r:embed="rId14" cstate="print"/>
                    <a:stretch>
                      <a:fillRect/>
                    </a:stretch>
                  </pic:blipFill>
                  <pic:spPr>
                    <a:xfrm>
                      <a:off x="0" y="0"/>
                      <a:ext cx="5869762" cy="6096"/>
                    </a:xfrm>
                    <a:prstGeom prst="rect">
                      <a:avLst/>
                    </a:prstGeom>
                  </pic:spPr>
                </pic:pic>
              </a:graphicData>
            </a:graphic>
          </wp:anchor>
        </w:drawing>
      </w:r>
    </w:p>
    <w:p>
      <w:pPr>
        <w:pStyle w:val="BodyText"/>
        <w:spacing w:before="8"/>
        <w:rPr>
          <w:b/>
        </w:rPr>
      </w:pPr>
    </w:p>
    <w:p>
      <w:pPr>
        <w:pStyle w:val="BodyText"/>
        <w:spacing w:line="242" w:lineRule="auto"/>
        <w:ind w:left="1341" w:right="452"/>
      </w:pPr>
      <w:r>
        <w:rPr>
          <w:spacing w:val="-2"/>
        </w:rPr>
        <w:t>本合同所指特定心脑血管重大疾病，是被保险人发生符合以下定义所述条件的疾病、疾</w:t>
      </w:r>
      <w:r>
        <w:rPr>
          <w:spacing w:val="-2"/>
        </w:rPr>
        <w:t>病状态或手术，应当由专科医生明确诊断。</w:t>
      </w:r>
    </w:p>
    <w:p>
      <w:pPr>
        <w:pStyle w:val="BodyText"/>
        <w:spacing w:before="5"/>
        <w:rPr>
          <w:sz w:val="18"/>
        </w:rPr>
      </w:pPr>
    </w:p>
    <w:p>
      <w:pPr>
        <w:pStyle w:val="ListParagraph"/>
        <w:numPr>
          <w:ilvl w:val="1"/>
          <w:numId w:val="10"/>
        </w:numPr>
        <w:tabs>
          <w:tab w:pos="1341" w:val="left" w:leader="none"/>
          <w:tab w:pos="1342" w:val="left" w:leader="none"/>
          <w:tab w:pos="3184" w:val="left" w:leader="none"/>
        </w:tabs>
        <w:spacing w:line="240" w:lineRule="auto" w:before="0" w:after="0"/>
        <w:ind w:left="1341" w:right="0" w:hanging="1100"/>
        <w:jc w:val="left"/>
        <w:rPr>
          <w:sz w:val="21"/>
        </w:rPr>
      </w:pPr>
      <w:r>
        <w:rPr>
          <w:b/>
          <w:sz w:val="21"/>
        </w:rPr>
        <w:t>急性心肌梗</w:t>
      </w:r>
      <w:r>
        <w:rPr>
          <w:b/>
          <w:spacing w:val="-10"/>
          <w:sz w:val="21"/>
        </w:rPr>
        <w:t>塞</w:t>
      </w:r>
      <w:r>
        <w:rPr>
          <w:b/>
          <w:sz w:val="21"/>
        </w:rPr>
        <w:tab/>
      </w:r>
      <w:r>
        <w:rPr>
          <w:spacing w:val="-2"/>
          <w:sz w:val="21"/>
        </w:rPr>
        <w:t>指</w:t>
      </w:r>
      <w:r>
        <w:rPr>
          <w:spacing w:val="-2"/>
          <w:sz w:val="21"/>
        </w:rPr>
        <w:t>因</w:t>
      </w:r>
      <w:r>
        <w:rPr>
          <w:spacing w:val="-2"/>
          <w:sz w:val="21"/>
        </w:rPr>
        <w:t>冠状动脉阻塞导致的</w:t>
      </w:r>
      <w:r>
        <w:rPr>
          <w:spacing w:val="-2"/>
          <w:sz w:val="21"/>
        </w:rPr>
        <w:t>相</w:t>
      </w:r>
      <w:r>
        <w:rPr>
          <w:spacing w:val="-2"/>
          <w:sz w:val="21"/>
        </w:rPr>
        <w:t>应</w:t>
      </w:r>
      <w:r>
        <w:rPr>
          <w:spacing w:val="-2"/>
          <w:sz w:val="21"/>
        </w:rPr>
        <w:t>区域供血不足造成部</w:t>
      </w:r>
      <w:r>
        <w:rPr>
          <w:spacing w:val="-2"/>
          <w:sz w:val="21"/>
        </w:rPr>
        <w:t>分</w:t>
      </w:r>
      <w:r>
        <w:rPr>
          <w:spacing w:val="-2"/>
          <w:sz w:val="21"/>
        </w:rPr>
        <w:t>心</w:t>
      </w:r>
      <w:r>
        <w:rPr>
          <w:spacing w:val="-2"/>
          <w:sz w:val="21"/>
        </w:rPr>
        <w:t>肌</w:t>
      </w:r>
      <w:r>
        <w:rPr>
          <w:spacing w:val="-2"/>
          <w:sz w:val="21"/>
        </w:rPr>
        <w:t>坏</w:t>
      </w:r>
      <w:r>
        <w:rPr>
          <w:spacing w:val="-2"/>
          <w:sz w:val="21"/>
        </w:rPr>
        <w:t>死</w:t>
      </w:r>
      <w:r>
        <w:rPr>
          <w:spacing w:val="-2"/>
          <w:sz w:val="21"/>
        </w:rPr>
        <w:t>。</w:t>
      </w:r>
      <w:r>
        <w:rPr>
          <w:spacing w:val="-10"/>
          <w:sz w:val="21"/>
        </w:rPr>
        <w:t>须</w:t>
      </w:r>
    </w:p>
    <w:p>
      <w:pPr>
        <w:pStyle w:val="BodyText"/>
        <w:spacing w:before="4"/>
        <w:ind w:left="3185"/>
      </w:pPr>
      <w:r>
        <w:rPr>
          <w:spacing w:val="-3"/>
        </w:rPr>
        <w:t>满足下列至少三项条件：</w:t>
      </w:r>
    </w:p>
    <w:p>
      <w:pPr>
        <w:pStyle w:val="ListParagraph"/>
        <w:numPr>
          <w:ilvl w:val="2"/>
          <w:numId w:val="10"/>
        </w:numPr>
        <w:tabs>
          <w:tab w:pos="3714" w:val="left" w:leader="none"/>
        </w:tabs>
        <w:spacing w:line="240" w:lineRule="auto" w:before="3" w:after="0"/>
        <w:ind w:left="3714" w:right="0" w:hanging="529"/>
        <w:jc w:val="left"/>
        <w:rPr>
          <w:sz w:val="21"/>
        </w:rPr>
      </w:pPr>
      <w:r>
        <w:rPr>
          <w:spacing w:val="-3"/>
          <w:sz w:val="21"/>
        </w:rPr>
        <w:t>典型临床表现，例如急性胸痛等；</w:t>
      </w:r>
    </w:p>
    <w:p>
      <w:pPr>
        <w:pStyle w:val="ListParagraph"/>
        <w:numPr>
          <w:ilvl w:val="2"/>
          <w:numId w:val="10"/>
        </w:numPr>
        <w:tabs>
          <w:tab w:pos="3714" w:val="left" w:leader="none"/>
        </w:tabs>
        <w:spacing w:line="240" w:lineRule="auto" w:before="4" w:after="0"/>
        <w:ind w:left="3714" w:right="0" w:hanging="529"/>
        <w:jc w:val="left"/>
        <w:rPr>
          <w:sz w:val="21"/>
        </w:rPr>
      </w:pPr>
      <w:r>
        <w:rPr>
          <w:spacing w:val="-3"/>
          <w:sz w:val="21"/>
        </w:rPr>
        <w:t>新近的心电图改变提示急性心肌梗塞；</w:t>
      </w:r>
    </w:p>
    <w:p>
      <w:pPr>
        <w:pStyle w:val="ListParagraph"/>
        <w:numPr>
          <w:ilvl w:val="2"/>
          <w:numId w:val="10"/>
        </w:numPr>
        <w:tabs>
          <w:tab w:pos="3721" w:val="left" w:leader="none"/>
        </w:tabs>
        <w:spacing w:line="244" w:lineRule="auto" w:before="2" w:after="0"/>
        <w:ind w:left="3710" w:right="450" w:hanging="526"/>
        <w:jc w:val="left"/>
        <w:rPr>
          <w:sz w:val="21"/>
        </w:rPr>
      </w:pPr>
      <w:r>
        <w:rPr>
          <w:spacing w:val="-2"/>
          <w:sz w:val="21"/>
        </w:rPr>
        <w:t>心肌酶或肌钙蛋白有诊断意义的升高，或呈符合急性心肌梗</w:t>
      </w:r>
      <w:r>
        <w:rPr>
          <w:spacing w:val="-2"/>
          <w:sz w:val="21"/>
        </w:rPr>
        <w:t>塞的动态性变化；</w:t>
      </w:r>
    </w:p>
    <w:p>
      <w:pPr>
        <w:pStyle w:val="ListParagraph"/>
        <w:numPr>
          <w:ilvl w:val="2"/>
          <w:numId w:val="10"/>
        </w:numPr>
        <w:tabs>
          <w:tab w:pos="3721" w:val="left" w:leader="none"/>
        </w:tabs>
        <w:spacing w:line="244" w:lineRule="auto" w:before="0" w:after="0"/>
        <w:ind w:left="3710" w:right="450" w:hanging="526"/>
        <w:jc w:val="left"/>
        <w:rPr>
          <w:sz w:val="21"/>
        </w:rPr>
      </w:pPr>
      <w:r>
        <w:rPr>
          <w:spacing w:val="-2"/>
          <w:sz w:val="21"/>
        </w:rPr>
        <w:t>发病</w:t>
      </w:r>
      <w:r>
        <w:rPr>
          <w:rFonts w:ascii="Times New Roman" w:eastAsia="Times New Roman"/>
          <w:spacing w:val="-2"/>
          <w:sz w:val="21"/>
        </w:rPr>
        <w:t>90</w:t>
      </w:r>
      <w:r>
        <w:rPr>
          <w:spacing w:val="-2"/>
          <w:sz w:val="21"/>
        </w:rPr>
        <w:t>天后，经检查证实左心室功能降低，如左心室射血分</w:t>
      </w:r>
      <w:r>
        <w:rPr>
          <w:spacing w:val="-2"/>
          <w:sz w:val="21"/>
        </w:rPr>
        <w:t>数低于</w:t>
      </w:r>
      <w:r>
        <w:rPr>
          <w:rFonts w:ascii="Times New Roman" w:eastAsia="Times New Roman"/>
          <w:spacing w:val="-2"/>
          <w:sz w:val="21"/>
        </w:rPr>
        <w:t>50%</w:t>
      </w:r>
      <w:r>
        <w:rPr>
          <w:spacing w:val="-2"/>
          <w:sz w:val="21"/>
        </w:rPr>
        <w:t>。</w:t>
      </w:r>
    </w:p>
    <w:p>
      <w:pPr>
        <w:pStyle w:val="BodyText"/>
        <w:spacing w:before="10"/>
        <w:rPr>
          <w:sz w:val="17"/>
        </w:rPr>
      </w:pPr>
    </w:p>
    <w:p>
      <w:pPr>
        <w:pStyle w:val="ListParagraph"/>
        <w:numPr>
          <w:ilvl w:val="1"/>
          <w:numId w:val="10"/>
        </w:numPr>
        <w:tabs>
          <w:tab w:pos="1341" w:val="left" w:leader="none"/>
          <w:tab w:pos="1342" w:val="left" w:leader="none"/>
          <w:tab w:pos="3184" w:val="left" w:leader="none"/>
        </w:tabs>
        <w:spacing w:line="240" w:lineRule="auto" w:before="1" w:after="0"/>
        <w:ind w:left="1341" w:right="0" w:hanging="1100"/>
        <w:jc w:val="left"/>
        <w:rPr>
          <w:sz w:val="21"/>
        </w:rPr>
      </w:pPr>
      <w:r>
        <w:rPr>
          <w:b/>
          <w:sz w:val="21"/>
        </w:rPr>
        <w:t>脑中风后遗</w:t>
      </w:r>
      <w:r>
        <w:rPr>
          <w:b/>
          <w:spacing w:val="-10"/>
          <w:sz w:val="21"/>
        </w:rPr>
        <w:t>症</w:t>
      </w:r>
      <w:r>
        <w:rPr>
          <w:b/>
          <w:sz w:val="21"/>
        </w:rPr>
        <w:tab/>
      </w:r>
      <w:r>
        <w:rPr>
          <w:spacing w:val="-2"/>
          <w:sz w:val="21"/>
        </w:rPr>
        <w:t>指</w:t>
      </w:r>
      <w:r>
        <w:rPr>
          <w:spacing w:val="-2"/>
          <w:sz w:val="21"/>
        </w:rPr>
        <w:t>因</w:t>
      </w:r>
      <w:r>
        <w:rPr>
          <w:spacing w:val="-2"/>
          <w:sz w:val="21"/>
        </w:rPr>
        <w:t>脑血管的突发病变引</w:t>
      </w:r>
      <w:r>
        <w:rPr>
          <w:spacing w:val="-2"/>
          <w:sz w:val="21"/>
        </w:rPr>
        <w:t>起</w:t>
      </w:r>
      <w:r>
        <w:rPr>
          <w:spacing w:val="-2"/>
          <w:sz w:val="21"/>
        </w:rPr>
        <w:t>脑</w:t>
      </w:r>
      <w:r>
        <w:rPr>
          <w:spacing w:val="-2"/>
          <w:sz w:val="21"/>
        </w:rPr>
        <w:t>血管出血、栓塞或梗塞，并导致神</w:t>
      </w:r>
      <w:r>
        <w:rPr>
          <w:spacing w:val="-10"/>
          <w:sz w:val="21"/>
        </w:rPr>
        <w:t>经</w:t>
      </w:r>
    </w:p>
    <w:p>
      <w:pPr>
        <w:pStyle w:val="BodyText"/>
        <w:spacing w:before="2"/>
        <w:ind w:left="3185"/>
      </w:pPr>
      <w:r>
        <w:rPr>
          <w:spacing w:val="-3"/>
        </w:rPr>
        <w:t>系统永久性的功能障碍。神经系统永久性的功能障碍，指疾病确诊</w:t>
      </w:r>
    </w:p>
    <w:p>
      <w:pPr>
        <w:pStyle w:val="BodyText"/>
        <w:spacing w:before="5"/>
        <w:ind w:left="3185"/>
      </w:pPr>
      <w:r>
        <w:rPr>
          <w:rFonts w:ascii="Times New Roman" w:eastAsia="Times New Roman"/>
          <w:spacing w:val="-2"/>
        </w:rPr>
        <w:t>180</w:t>
      </w:r>
      <w:r>
        <w:rPr>
          <w:spacing w:val="-3"/>
        </w:rPr>
        <w:t>天后，仍遗留下列一种或一种以上障碍：</w:t>
      </w:r>
    </w:p>
    <w:p>
      <w:pPr>
        <w:pStyle w:val="ListParagraph"/>
        <w:numPr>
          <w:ilvl w:val="0"/>
          <w:numId w:val="19"/>
        </w:numPr>
        <w:tabs>
          <w:tab w:pos="3714" w:val="left" w:leader="none"/>
        </w:tabs>
        <w:spacing w:line="240" w:lineRule="auto" w:before="2" w:after="0"/>
        <w:ind w:left="3714" w:right="0" w:hanging="529"/>
        <w:jc w:val="left"/>
        <w:rPr>
          <w:sz w:val="21"/>
        </w:rPr>
      </w:pPr>
      <w:r>
        <w:rPr>
          <w:spacing w:val="-2"/>
          <w:sz w:val="21"/>
        </w:rPr>
        <w:t>一肢或一肢以上</w:t>
      </w:r>
      <w:r>
        <w:rPr>
          <w:b/>
          <w:spacing w:val="-2"/>
          <w:sz w:val="21"/>
        </w:rPr>
        <w:t>肢体机能完全丧失</w:t>
      </w:r>
      <w:r>
        <w:rPr>
          <w:spacing w:val="-2"/>
          <w:sz w:val="21"/>
        </w:rPr>
        <w:t>（见</w:t>
      </w:r>
      <w:r>
        <w:rPr>
          <w:rFonts w:ascii="Times New Roman" w:eastAsia="Times New Roman"/>
          <w:spacing w:val="18"/>
          <w:sz w:val="21"/>
        </w:rPr>
        <w:t>1</w:t>
      </w:r>
      <w:r>
        <w:rPr>
          <w:rFonts w:ascii="Times New Roman" w:eastAsia="Times New Roman"/>
          <w:spacing w:val="28"/>
          <w:sz w:val="21"/>
        </w:rPr>
        <w:t>1.20</w:t>
      </w:r>
      <w:r>
        <w:rPr>
          <w:spacing w:val="-80"/>
          <w:sz w:val="21"/>
        </w:rPr>
        <w:t>）；</w:t>
      </w:r>
    </w:p>
    <w:p>
      <w:pPr>
        <w:pStyle w:val="ListParagraph"/>
        <w:numPr>
          <w:ilvl w:val="0"/>
          <w:numId w:val="19"/>
        </w:numPr>
        <w:tabs>
          <w:tab w:pos="3714" w:val="left" w:leader="none"/>
        </w:tabs>
        <w:spacing w:line="240" w:lineRule="auto" w:before="5" w:after="0"/>
        <w:ind w:left="3714" w:right="0" w:hanging="529"/>
        <w:jc w:val="left"/>
        <w:rPr>
          <w:sz w:val="21"/>
        </w:rPr>
      </w:pPr>
      <w:r>
        <w:rPr>
          <w:b/>
          <w:spacing w:val="-2"/>
          <w:sz w:val="21"/>
        </w:rPr>
        <w:t>语言能力或咀嚼吞咽能力完全丧失</w:t>
      </w:r>
      <w:r>
        <w:rPr>
          <w:spacing w:val="-2"/>
          <w:sz w:val="21"/>
        </w:rPr>
        <w:t>（见</w:t>
      </w:r>
      <w:r>
        <w:rPr>
          <w:rFonts w:ascii="Times New Roman" w:eastAsia="Times New Roman"/>
          <w:spacing w:val="5"/>
          <w:sz w:val="21"/>
        </w:rPr>
        <w:t>1</w:t>
      </w:r>
      <w:r>
        <w:rPr>
          <w:rFonts w:ascii="Times New Roman" w:eastAsia="Times New Roman"/>
          <w:spacing w:val="15"/>
          <w:sz w:val="21"/>
        </w:rPr>
        <w:t>1</w:t>
      </w:r>
      <w:r>
        <w:rPr>
          <w:rFonts w:ascii="Times New Roman" w:eastAsia="Times New Roman"/>
          <w:spacing w:val="14"/>
          <w:sz w:val="21"/>
        </w:rPr>
        <w:t>.</w:t>
      </w:r>
      <w:r>
        <w:rPr>
          <w:rFonts w:ascii="Times New Roman" w:eastAsia="Times New Roman"/>
          <w:spacing w:val="15"/>
          <w:sz w:val="21"/>
        </w:rPr>
        <w:t>21</w:t>
      </w:r>
      <w:r>
        <w:rPr>
          <w:spacing w:val="-93"/>
          <w:sz w:val="21"/>
        </w:rPr>
        <w:t>）</w:t>
      </w:r>
      <w:r>
        <w:rPr>
          <w:spacing w:val="15"/>
          <w:sz w:val="21"/>
        </w:rPr>
        <w:t>；</w:t>
      </w:r>
    </w:p>
    <w:p>
      <w:pPr>
        <w:pStyle w:val="ListParagraph"/>
        <w:numPr>
          <w:ilvl w:val="0"/>
          <w:numId w:val="19"/>
        </w:numPr>
        <w:tabs>
          <w:tab w:pos="3721" w:val="left" w:leader="none"/>
        </w:tabs>
        <w:spacing w:line="244" w:lineRule="auto" w:before="2" w:after="0"/>
        <w:ind w:left="3710" w:right="450" w:hanging="526"/>
        <w:jc w:val="left"/>
        <w:rPr>
          <w:sz w:val="21"/>
        </w:rPr>
      </w:pPr>
      <w:r>
        <w:rPr>
          <w:spacing w:val="-2"/>
          <w:sz w:val="21"/>
        </w:rPr>
        <w:t>自主生活能力完全丧失，无法独立完成六项基本日常生活活</w:t>
      </w:r>
      <w:r>
        <w:rPr>
          <w:spacing w:val="-2"/>
          <w:sz w:val="21"/>
        </w:rPr>
        <w:t>动中的三项或三项以上。</w:t>
      </w:r>
    </w:p>
    <w:p>
      <w:pPr>
        <w:pStyle w:val="BodyText"/>
        <w:spacing w:before="10"/>
        <w:rPr>
          <w:sz w:val="10"/>
        </w:rPr>
      </w:pPr>
    </w:p>
    <w:p>
      <w:pPr>
        <w:spacing w:after="0"/>
        <w:rPr>
          <w:sz w:val="10"/>
        </w:rPr>
        <w:sectPr>
          <w:pgSz w:w="11910" w:h="16840"/>
          <w:pgMar w:header="0" w:footer="879" w:top="1360" w:bottom="1060" w:left="1460" w:right="720"/>
        </w:sectPr>
      </w:pPr>
    </w:p>
    <w:p>
      <w:pPr>
        <w:pStyle w:val="Heading3"/>
        <w:numPr>
          <w:ilvl w:val="1"/>
          <w:numId w:val="10"/>
        </w:numPr>
        <w:tabs>
          <w:tab w:pos="1341" w:val="left" w:leader="none"/>
          <w:tab w:pos="1342" w:val="left" w:leader="none"/>
        </w:tabs>
        <w:spacing w:line="240" w:lineRule="auto" w:before="94" w:after="0"/>
        <w:ind w:left="1341" w:right="0" w:hanging="1100"/>
        <w:jc w:val="left"/>
      </w:pPr>
      <w:r>
        <w:rPr>
          <w:spacing w:val="-2"/>
        </w:rPr>
        <w:t>冠状动脉搭桥术</w:t>
      </w:r>
    </w:p>
    <w:p>
      <w:pPr>
        <w:spacing w:line="244" w:lineRule="auto" w:before="2"/>
        <w:ind w:left="1341" w:right="38" w:firstLine="0"/>
        <w:jc w:val="left"/>
        <w:rPr>
          <w:b/>
          <w:sz w:val="21"/>
        </w:rPr>
      </w:pPr>
      <w:r>
        <w:rPr>
          <w:b/>
          <w:spacing w:val="-2"/>
          <w:sz w:val="21"/>
        </w:rPr>
        <w:t>（或称冠状动脉</w:t>
      </w:r>
      <w:r>
        <w:rPr>
          <w:b/>
          <w:spacing w:val="-2"/>
          <w:sz w:val="21"/>
        </w:rPr>
        <w:t>旁路移植术）</w:t>
      </w:r>
    </w:p>
    <w:p>
      <w:pPr>
        <w:pStyle w:val="BodyText"/>
        <w:spacing w:line="242" w:lineRule="auto" w:before="100"/>
        <w:ind w:left="242" w:right="449"/>
      </w:pPr>
      <w:r>
        <w:rPr/>
        <w:br w:type="column"/>
      </w:r>
      <w:r>
        <w:rPr>
          <w:spacing w:val="-2"/>
        </w:rPr>
        <w:t>指为治疗严重的冠心病，实际实施了开胸进行的冠状动脉血管旁路</w:t>
      </w:r>
      <w:r>
        <w:rPr>
          <w:spacing w:val="-2"/>
        </w:rPr>
        <w:t>移植的手术。</w:t>
      </w:r>
    </w:p>
    <w:p>
      <w:pPr>
        <w:pStyle w:val="Heading3"/>
        <w:spacing w:line="242" w:lineRule="auto" w:before="1"/>
        <w:ind w:left="242" w:right="452"/>
      </w:pPr>
      <w:r>
        <w:rPr>
          <w:spacing w:val="-2"/>
        </w:rPr>
        <w:t>冠状动脉支架植入术、心导管球囊扩张术、激光射频技术及其它非</w:t>
      </w:r>
      <w:r>
        <w:rPr>
          <w:spacing w:val="-2"/>
        </w:rPr>
        <w:t>开胸的介入手术、腔镜手术不在保障范围内。</w:t>
      </w:r>
    </w:p>
    <w:p>
      <w:pPr>
        <w:spacing w:after="0" w:line="242" w:lineRule="auto"/>
        <w:sectPr>
          <w:type w:val="continuous"/>
          <w:pgSz w:w="11910" w:h="16840"/>
          <w:pgMar w:header="0" w:footer="879" w:top="300" w:bottom="280" w:left="1460" w:right="720"/>
          <w:cols w:num="2" w:equalWidth="0">
            <w:col w:w="2860" w:space="83"/>
            <w:col w:w="6787"/>
          </w:cols>
        </w:sectPr>
      </w:pPr>
    </w:p>
    <w:p>
      <w:pPr>
        <w:pStyle w:val="BodyText"/>
        <w:rPr>
          <w:b/>
          <w:sz w:val="11"/>
        </w:rPr>
      </w:pPr>
    </w:p>
    <w:p>
      <w:pPr>
        <w:pStyle w:val="ListParagraph"/>
        <w:numPr>
          <w:ilvl w:val="1"/>
          <w:numId w:val="10"/>
        </w:numPr>
        <w:tabs>
          <w:tab w:pos="1341" w:val="left" w:leader="none"/>
          <w:tab w:pos="1342" w:val="left" w:leader="none"/>
          <w:tab w:pos="3184" w:val="left" w:leader="none"/>
        </w:tabs>
        <w:spacing w:line="240" w:lineRule="auto" w:before="94" w:after="0"/>
        <w:ind w:left="1341" w:right="0" w:hanging="1100"/>
        <w:jc w:val="left"/>
        <w:rPr>
          <w:sz w:val="21"/>
        </w:rPr>
      </w:pPr>
      <w:r>
        <w:rPr>
          <w:b/>
          <w:sz w:val="21"/>
        </w:rPr>
        <w:t>心脏瓣膜手</w:t>
      </w:r>
      <w:r>
        <w:rPr>
          <w:b/>
          <w:spacing w:val="-10"/>
          <w:sz w:val="21"/>
        </w:rPr>
        <w:t>术</w:t>
      </w:r>
      <w:r>
        <w:rPr>
          <w:b/>
          <w:sz w:val="21"/>
        </w:rPr>
        <w:tab/>
      </w:r>
      <w:r>
        <w:rPr>
          <w:spacing w:val="-2"/>
          <w:sz w:val="21"/>
        </w:rPr>
        <w:t>指</w:t>
      </w:r>
      <w:r>
        <w:rPr>
          <w:spacing w:val="-2"/>
          <w:sz w:val="21"/>
        </w:rPr>
        <w:t>为</w:t>
      </w:r>
      <w:r>
        <w:rPr>
          <w:spacing w:val="-2"/>
          <w:sz w:val="21"/>
        </w:rPr>
        <w:t>治疗心脏瓣膜疾病，</w:t>
      </w:r>
      <w:r>
        <w:rPr>
          <w:spacing w:val="-2"/>
          <w:sz w:val="21"/>
        </w:rPr>
        <w:t>实</w:t>
      </w:r>
      <w:r>
        <w:rPr>
          <w:spacing w:val="-2"/>
          <w:sz w:val="21"/>
        </w:rPr>
        <w:t>际</w:t>
      </w:r>
      <w:r>
        <w:rPr>
          <w:spacing w:val="-2"/>
          <w:sz w:val="21"/>
        </w:rPr>
        <w:t>实施了开胸进行的心</w:t>
      </w:r>
      <w:r>
        <w:rPr>
          <w:spacing w:val="-2"/>
          <w:sz w:val="21"/>
        </w:rPr>
        <w:t>脏</w:t>
      </w:r>
      <w:r>
        <w:rPr>
          <w:spacing w:val="-2"/>
          <w:sz w:val="21"/>
        </w:rPr>
        <w:t>瓣</w:t>
      </w:r>
      <w:r>
        <w:rPr>
          <w:spacing w:val="-2"/>
          <w:sz w:val="21"/>
        </w:rPr>
        <w:t>膜置换</w:t>
      </w:r>
      <w:r>
        <w:rPr>
          <w:spacing w:val="-2"/>
          <w:sz w:val="21"/>
        </w:rPr>
        <w:t>或</w:t>
      </w:r>
      <w:r>
        <w:rPr>
          <w:spacing w:val="-10"/>
          <w:sz w:val="21"/>
        </w:rPr>
        <w:t>修</w:t>
      </w:r>
    </w:p>
    <w:p>
      <w:pPr>
        <w:pStyle w:val="BodyText"/>
        <w:spacing w:before="5"/>
        <w:ind w:left="3185"/>
      </w:pPr>
      <w:r>
        <w:rPr>
          <w:spacing w:val="-4"/>
        </w:rPr>
        <w:t>复的手术。</w:t>
      </w:r>
    </w:p>
    <w:p>
      <w:pPr>
        <w:pStyle w:val="BodyText"/>
        <w:spacing w:before="4"/>
        <w:rPr>
          <w:sz w:val="11"/>
        </w:rPr>
      </w:pPr>
    </w:p>
    <w:p>
      <w:pPr>
        <w:spacing w:after="0"/>
        <w:rPr>
          <w:sz w:val="11"/>
        </w:rPr>
        <w:sectPr>
          <w:type w:val="continuous"/>
          <w:pgSz w:w="11910" w:h="16840"/>
          <w:pgMar w:header="0" w:footer="879" w:top="300" w:bottom="280" w:left="1460" w:right="720"/>
        </w:sectPr>
      </w:pPr>
    </w:p>
    <w:p>
      <w:pPr>
        <w:pStyle w:val="Heading3"/>
        <w:numPr>
          <w:ilvl w:val="1"/>
          <w:numId w:val="10"/>
        </w:numPr>
        <w:tabs>
          <w:tab w:pos="1341" w:val="left" w:leader="none"/>
          <w:tab w:pos="1342" w:val="left" w:leader="none"/>
        </w:tabs>
        <w:spacing w:line="242" w:lineRule="auto" w:before="94" w:after="0"/>
        <w:ind w:left="1341" w:right="38" w:hanging="1100"/>
        <w:jc w:val="left"/>
      </w:pPr>
      <w:r>
        <w:rPr>
          <w:spacing w:val="-2"/>
        </w:rPr>
        <w:t>严重原发性肺动</w:t>
      </w:r>
      <w:r>
        <w:rPr>
          <w:spacing w:val="-4"/>
        </w:rPr>
        <w:t>脉高压</w:t>
      </w:r>
    </w:p>
    <w:p>
      <w:pPr>
        <w:pStyle w:val="BodyText"/>
        <w:spacing w:line="242" w:lineRule="auto" w:before="100"/>
        <w:ind w:left="242" w:right="449"/>
        <w:jc w:val="both"/>
      </w:pPr>
      <w:r>
        <w:rPr/>
        <w:br w:type="column"/>
      </w:r>
      <w:r>
        <w:rPr>
          <w:spacing w:val="-2"/>
        </w:rPr>
        <w:t>指不明原因的肺动脉压力持续性增高，进行性发展而导致的慢性疾</w:t>
      </w:r>
      <w:r>
        <w:rPr>
          <w:spacing w:val="-2"/>
        </w:rPr>
        <w:t>病，已经造成永久不可逆性的体力活动能力受限，达到</w:t>
      </w:r>
      <w:r>
        <w:rPr>
          <w:b/>
          <w:spacing w:val="-2"/>
        </w:rPr>
        <w:t>美国纽约心</w:t>
      </w:r>
      <w:r>
        <w:rPr>
          <w:b/>
          <w:spacing w:val="-2"/>
        </w:rPr>
        <w:t>脏病学会心功能状态分级Ⅳ级</w:t>
      </w:r>
      <w:r>
        <w:rPr>
          <w:spacing w:val="-2"/>
        </w:rPr>
        <w:t>（见</w:t>
      </w:r>
      <w:r>
        <w:rPr>
          <w:rFonts w:ascii="Times New Roman" w:hAnsi="Times New Roman" w:eastAsia="Times New Roman"/>
          <w:spacing w:val="4"/>
        </w:rPr>
        <w:t>1</w:t>
      </w:r>
      <w:r>
        <w:rPr>
          <w:rFonts w:ascii="Times New Roman" w:hAnsi="Times New Roman" w:eastAsia="Times New Roman"/>
          <w:spacing w:val="14"/>
        </w:rPr>
        <w:t>1</w:t>
      </w:r>
      <w:r>
        <w:rPr>
          <w:rFonts w:ascii="Times New Roman" w:hAnsi="Times New Roman" w:eastAsia="Times New Roman"/>
          <w:spacing w:val="13"/>
        </w:rPr>
        <w:t>.</w:t>
      </w:r>
      <w:r>
        <w:rPr>
          <w:rFonts w:ascii="Times New Roman" w:hAnsi="Times New Roman" w:eastAsia="Times New Roman"/>
          <w:spacing w:val="11"/>
        </w:rPr>
        <w:t>2</w:t>
      </w:r>
      <w:r>
        <w:rPr>
          <w:rFonts w:ascii="Times New Roman" w:hAnsi="Times New Roman" w:eastAsia="Times New Roman"/>
          <w:spacing w:val="16"/>
        </w:rPr>
        <w:t>2</w:t>
      </w:r>
      <w:r>
        <w:rPr>
          <w:spacing w:val="-92"/>
        </w:rPr>
        <w:t>）</w:t>
      </w:r>
      <w:r>
        <w:rPr>
          <w:spacing w:val="-2"/>
        </w:rPr>
        <w:t>，且静息状态下肺动脉平</w:t>
      </w:r>
      <w:r>
        <w:rPr>
          <w:spacing w:val="-2"/>
        </w:rPr>
        <w:t>均压超过</w:t>
      </w:r>
      <w:r>
        <w:rPr>
          <w:rFonts w:ascii="Times New Roman" w:hAnsi="Times New Roman" w:eastAsia="Times New Roman"/>
          <w:spacing w:val="-2"/>
        </w:rPr>
        <w:t>30mmHg</w:t>
      </w:r>
      <w:r>
        <w:rPr>
          <w:spacing w:val="-2"/>
        </w:rPr>
        <w:t>。</w:t>
      </w:r>
    </w:p>
    <w:p>
      <w:pPr>
        <w:spacing w:after="0" w:line="242" w:lineRule="auto"/>
        <w:jc w:val="both"/>
        <w:sectPr>
          <w:type w:val="continuous"/>
          <w:pgSz w:w="11910" w:h="16840"/>
          <w:pgMar w:header="0" w:footer="879" w:top="300" w:bottom="280" w:left="1460" w:right="720"/>
          <w:cols w:num="2" w:equalWidth="0">
            <w:col w:w="2860" w:space="83"/>
            <w:col w:w="6787"/>
          </w:cols>
        </w:sectPr>
      </w:pPr>
    </w:p>
    <w:p>
      <w:pPr>
        <w:pStyle w:val="BodyText"/>
        <w:spacing w:before="2"/>
        <w:rPr>
          <w:sz w:val="11"/>
        </w:rPr>
      </w:pPr>
    </w:p>
    <w:p>
      <w:pPr>
        <w:pStyle w:val="ListParagraph"/>
        <w:numPr>
          <w:ilvl w:val="1"/>
          <w:numId w:val="10"/>
        </w:numPr>
        <w:tabs>
          <w:tab w:pos="1341" w:val="left" w:leader="none"/>
          <w:tab w:pos="1342" w:val="left" w:leader="none"/>
          <w:tab w:pos="3184" w:val="left" w:leader="none"/>
        </w:tabs>
        <w:spacing w:line="240" w:lineRule="auto" w:before="94" w:after="0"/>
        <w:ind w:left="1341" w:right="0" w:hanging="1100"/>
        <w:jc w:val="left"/>
        <w:rPr>
          <w:sz w:val="21"/>
        </w:rPr>
      </w:pPr>
      <w:r>
        <w:rPr>
          <w:b/>
          <w:sz w:val="21"/>
        </w:rPr>
        <w:t>主动脉手</w:t>
      </w:r>
      <w:r>
        <w:rPr>
          <w:b/>
          <w:spacing w:val="-10"/>
          <w:sz w:val="21"/>
        </w:rPr>
        <w:t>术</w:t>
      </w:r>
      <w:r>
        <w:rPr>
          <w:b/>
          <w:sz w:val="21"/>
        </w:rPr>
        <w:tab/>
      </w:r>
      <w:r>
        <w:rPr>
          <w:spacing w:val="-2"/>
          <w:sz w:val="21"/>
        </w:rPr>
        <w:t>指</w:t>
      </w:r>
      <w:r>
        <w:rPr>
          <w:spacing w:val="-2"/>
          <w:sz w:val="21"/>
        </w:rPr>
        <w:t>为</w:t>
      </w:r>
      <w:r>
        <w:rPr>
          <w:spacing w:val="-2"/>
          <w:sz w:val="21"/>
        </w:rPr>
        <w:t>治疗主动脉疾病，实</w:t>
      </w:r>
      <w:r>
        <w:rPr>
          <w:spacing w:val="-2"/>
          <w:sz w:val="21"/>
        </w:rPr>
        <w:t>际</w:t>
      </w:r>
      <w:r>
        <w:rPr>
          <w:spacing w:val="-2"/>
          <w:sz w:val="21"/>
        </w:rPr>
        <w:t>实</w:t>
      </w:r>
      <w:r>
        <w:rPr>
          <w:spacing w:val="-2"/>
          <w:sz w:val="21"/>
        </w:rPr>
        <w:t>施了开胸或开腹进行</w:t>
      </w:r>
      <w:r>
        <w:rPr>
          <w:spacing w:val="-2"/>
          <w:sz w:val="21"/>
        </w:rPr>
        <w:t>的</w:t>
      </w:r>
      <w:r>
        <w:rPr>
          <w:spacing w:val="-2"/>
          <w:sz w:val="21"/>
        </w:rPr>
        <w:t>切</w:t>
      </w:r>
      <w:r>
        <w:rPr>
          <w:spacing w:val="-2"/>
          <w:sz w:val="21"/>
        </w:rPr>
        <w:t>除、置</w:t>
      </w:r>
      <w:r>
        <w:rPr>
          <w:spacing w:val="-2"/>
          <w:sz w:val="21"/>
        </w:rPr>
        <w:t>换</w:t>
      </w:r>
      <w:r>
        <w:rPr>
          <w:spacing w:val="-10"/>
          <w:sz w:val="21"/>
        </w:rPr>
        <w:t>、</w:t>
      </w:r>
    </w:p>
    <w:p>
      <w:pPr>
        <w:pStyle w:val="BodyText"/>
        <w:spacing w:line="242" w:lineRule="auto" w:before="4"/>
        <w:ind w:left="3185" w:right="451"/>
      </w:pPr>
      <w:r>
        <w:rPr>
          <w:spacing w:val="-2"/>
        </w:rPr>
        <w:t>修补病损主动脉血管的手术。主动脉指胸主动脉和腹主动脉，不包</w:t>
      </w:r>
      <w:r>
        <w:rPr>
          <w:spacing w:val="-2"/>
        </w:rPr>
        <w:t>括胸主动脉和腹主动脉的分支血管。</w:t>
      </w:r>
    </w:p>
    <w:p>
      <w:pPr>
        <w:pStyle w:val="Heading3"/>
        <w:spacing w:before="1"/>
        <w:ind w:left="3185"/>
      </w:pPr>
      <w:r>
        <w:rPr>
          <w:spacing w:val="-3"/>
        </w:rPr>
        <w:t>动脉内血管成形术不在保障范围内。</w:t>
      </w:r>
    </w:p>
    <w:p>
      <w:pPr>
        <w:pStyle w:val="BodyText"/>
        <w:spacing w:before="4"/>
        <w:rPr>
          <w:b/>
          <w:sz w:val="11"/>
        </w:rPr>
      </w:pPr>
    </w:p>
    <w:p>
      <w:pPr>
        <w:spacing w:after="0"/>
        <w:rPr>
          <w:sz w:val="11"/>
        </w:rPr>
        <w:sectPr>
          <w:type w:val="continuous"/>
          <w:pgSz w:w="11910" w:h="16840"/>
          <w:pgMar w:header="0" w:footer="879" w:top="300" w:bottom="280" w:left="1460" w:right="720"/>
        </w:sectPr>
      </w:pPr>
    </w:p>
    <w:p>
      <w:pPr>
        <w:pStyle w:val="ListParagraph"/>
        <w:numPr>
          <w:ilvl w:val="1"/>
          <w:numId w:val="10"/>
        </w:numPr>
        <w:tabs>
          <w:tab w:pos="1341" w:val="left" w:leader="none"/>
          <w:tab w:pos="1342" w:val="left" w:leader="none"/>
        </w:tabs>
        <w:spacing w:line="242" w:lineRule="auto" w:before="94" w:after="0"/>
        <w:ind w:left="1341" w:right="38" w:hanging="1100"/>
        <w:jc w:val="left"/>
        <w:rPr>
          <w:b/>
          <w:sz w:val="21"/>
        </w:rPr>
      </w:pPr>
      <w:r>
        <w:rPr>
          <w:b/>
          <w:spacing w:val="-2"/>
          <w:sz w:val="21"/>
        </w:rPr>
        <w:t>破裂脑动脉瘤夹</w:t>
      </w:r>
      <w:r>
        <w:rPr>
          <w:b/>
          <w:spacing w:val="-4"/>
          <w:sz w:val="21"/>
        </w:rPr>
        <w:t>闭手术</w:t>
      </w:r>
    </w:p>
    <w:p>
      <w:pPr>
        <w:pStyle w:val="BodyText"/>
        <w:spacing w:line="242" w:lineRule="auto" w:before="100"/>
        <w:ind w:left="242" w:right="449"/>
      </w:pPr>
      <w:r>
        <w:rPr/>
        <w:br w:type="column"/>
      </w:r>
      <w:r>
        <w:rPr>
          <w:spacing w:val="-2"/>
        </w:rPr>
        <w:t>指因脑动脉瘤破裂造成蛛网膜下腔出血，被保险人实际接受了在全</w:t>
      </w:r>
      <w:r>
        <w:rPr>
          <w:spacing w:val="-2"/>
        </w:rPr>
        <w:t>麻下进行的开颅动脉瘤夹闭手术。</w:t>
      </w:r>
    </w:p>
    <w:p>
      <w:pPr>
        <w:pStyle w:val="Heading3"/>
        <w:spacing w:line="242" w:lineRule="auto" w:before="1"/>
        <w:ind w:left="242" w:right="347"/>
      </w:pPr>
      <w:r>
        <w:rPr>
          <w:spacing w:val="-6"/>
        </w:rPr>
        <w:t>脑动脉瘤（未破裂）预防性手术、颅骨打孔手术、动脉瘤栓塞手术、</w:t>
      </w:r>
      <w:r>
        <w:rPr>
          <w:spacing w:val="-2"/>
        </w:rPr>
        <w:t>血管内手术及其他颅脑手术不在本保障范围内。</w:t>
      </w:r>
    </w:p>
    <w:p>
      <w:pPr>
        <w:spacing w:after="0" w:line="242" w:lineRule="auto"/>
        <w:sectPr>
          <w:type w:val="continuous"/>
          <w:pgSz w:w="11910" w:h="16840"/>
          <w:pgMar w:header="0" w:footer="879" w:top="300" w:bottom="280" w:left="1460" w:right="720"/>
          <w:cols w:num="2" w:equalWidth="0">
            <w:col w:w="2860" w:space="83"/>
            <w:col w:w="6787"/>
          </w:cols>
        </w:sectPr>
      </w:pPr>
    </w:p>
    <w:p>
      <w:pPr>
        <w:pStyle w:val="BodyText"/>
        <w:spacing w:before="1"/>
        <w:rPr>
          <w:b/>
          <w:sz w:val="11"/>
        </w:rPr>
      </w:pPr>
    </w:p>
    <w:p>
      <w:pPr>
        <w:pStyle w:val="ListParagraph"/>
        <w:numPr>
          <w:ilvl w:val="1"/>
          <w:numId w:val="10"/>
        </w:numPr>
        <w:tabs>
          <w:tab w:pos="1341" w:val="left" w:leader="none"/>
          <w:tab w:pos="1342" w:val="left" w:leader="none"/>
          <w:tab w:pos="3184" w:val="left" w:leader="none"/>
        </w:tabs>
        <w:spacing w:line="240" w:lineRule="auto" w:before="94" w:after="0"/>
        <w:ind w:left="1341" w:right="0" w:hanging="1100"/>
        <w:jc w:val="left"/>
        <w:rPr>
          <w:sz w:val="21"/>
        </w:rPr>
      </w:pPr>
      <w:r>
        <w:rPr>
          <w:b/>
          <w:sz w:val="21"/>
        </w:rPr>
        <w:t>严重心肌</w:t>
      </w:r>
      <w:r>
        <w:rPr>
          <w:b/>
          <w:spacing w:val="-10"/>
          <w:sz w:val="21"/>
        </w:rPr>
        <w:t>病</w:t>
      </w:r>
      <w:r>
        <w:rPr>
          <w:b/>
          <w:sz w:val="21"/>
        </w:rPr>
        <w:tab/>
      </w:r>
      <w:r>
        <w:rPr>
          <w:sz w:val="21"/>
        </w:rPr>
        <w:t>指被保险人因心肌病导致慢性心功能损害造成永久不可逆性的</w:t>
      </w:r>
      <w:r>
        <w:rPr>
          <w:spacing w:val="-10"/>
          <w:sz w:val="21"/>
        </w:rPr>
        <w:t>体</w:t>
      </w:r>
    </w:p>
    <w:p>
      <w:pPr>
        <w:pStyle w:val="BodyText"/>
        <w:spacing w:line="242" w:lineRule="auto" w:before="5"/>
        <w:ind w:left="3185" w:right="447"/>
      </w:pPr>
      <w:r>
        <w:rPr>
          <w:spacing w:val="-2"/>
        </w:rPr>
        <w:t>力活动能力受限，达到美国纽约心脏病学会心功能状态分级Ⅳ级。</w:t>
      </w:r>
      <w:r>
        <w:rPr>
          <w:spacing w:val="-2"/>
        </w:rPr>
        <w:t>心肌病必须经医院的超声心动图检查来确认。</w:t>
      </w:r>
    </w:p>
    <w:p>
      <w:pPr>
        <w:pStyle w:val="Heading3"/>
        <w:spacing w:before="1"/>
        <w:ind w:left="3185"/>
      </w:pPr>
      <w:r>
        <w:rPr>
          <w:spacing w:val="-3"/>
        </w:rPr>
        <w:t>因酗酒或药物滥用导致的心肌病不在保障范围内。</w:t>
      </w:r>
    </w:p>
    <w:p>
      <w:pPr>
        <w:pStyle w:val="BodyText"/>
        <w:spacing w:before="8"/>
        <w:rPr>
          <w:b/>
          <w:sz w:val="18"/>
        </w:rPr>
      </w:pPr>
    </w:p>
    <w:p>
      <w:pPr>
        <w:pStyle w:val="ListParagraph"/>
        <w:numPr>
          <w:ilvl w:val="1"/>
          <w:numId w:val="10"/>
        </w:numPr>
        <w:tabs>
          <w:tab w:pos="1099" w:val="left" w:leader="none"/>
          <w:tab w:pos="1342" w:val="left" w:leader="none"/>
          <w:tab w:pos="2942" w:val="left" w:leader="none"/>
        </w:tabs>
        <w:spacing w:line="240" w:lineRule="auto" w:before="0" w:after="0"/>
        <w:ind w:left="1341" w:right="458" w:hanging="1342"/>
        <w:jc w:val="right"/>
        <w:rPr>
          <w:sz w:val="21"/>
        </w:rPr>
      </w:pPr>
      <w:r>
        <w:rPr>
          <w:b/>
          <w:sz w:val="21"/>
        </w:rPr>
        <w:t>肺源性心脏</w:t>
      </w:r>
      <w:r>
        <w:rPr>
          <w:b/>
          <w:spacing w:val="-10"/>
          <w:sz w:val="21"/>
        </w:rPr>
        <w:t>病</w:t>
      </w:r>
      <w:r>
        <w:rPr>
          <w:b/>
          <w:sz w:val="21"/>
        </w:rPr>
        <w:tab/>
      </w:r>
      <w:r>
        <w:rPr>
          <w:sz w:val="21"/>
        </w:rPr>
        <w:t>指被保人因慢性肺部疾病导致慢性心功能损害造成永久不可逆</w:t>
      </w:r>
      <w:r>
        <w:rPr>
          <w:spacing w:val="-10"/>
          <w:sz w:val="21"/>
        </w:rPr>
        <w:t>性</w:t>
      </w:r>
    </w:p>
    <w:p>
      <w:pPr>
        <w:pStyle w:val="BodyText"/>
        <w:spacing w:before="2"/>
        <w:ind w:right="449"/>
        <w:jc w:val="right"/>
      </w:pPr>
      <w:r>
        <w:rPr>
          <w:spacing w:val="-3"/>
        </w:rPr>
        <w:t>的心功能衰竭。心功能衰竭程度达到美国纽约心脏病学会心功能状</w:t>
      </w:r>
    </w:p>
    <w:p>
      <w:pPr>
        <w:spacing w:after="0"/>
        <w:jc w:val="right"/>
        <w:sectPr>
          <w:type w:val="continuous"/>
          <w:pgSz w:w="11910" w:h="16840"/>
          <w:pgMar w:header="0" w:footer="879" w:top="300" w:bottom="280" w:left="1460" w:right="720"/>
        </w:sectPr>
      </w:pPr>
    </w:p>
    <w:p>
      <w:pPr>
        <w:pStyle w:val="BodyText"/>
        <w:spacing w:line="244" w:lineRule="auto" w:before="55"/>
        <w:ind w:left="3185" w:right="452"/>
      </w:pPr>
      <w:r>
        <w:rPr>
          <w:spacing w:val="-2"/>
        </w:rPr>
        <w:t>态分级Ⅳ级。被保险人永久不可逆性的体力活动能力受限，不能从</w:t>
      </w:r>
      <w:r>
        <w:rPr>
          <w:spacing w:val="-2"/>
        </w:rPr>
        <w:t>事任何体力活动。</w:t>
      </w:r>
    </w:p>
    <w:p>
      <w:pPr>
        <w:pStyle w:val="BodyText"/>
        <w:spacing w:before="2"/>
        <w:rPr>
          <w:sz w:val="18"/>
        </w:rPr>
      </w:pPr>
    </w:p>
    <w:p>
      <w:pPr>
        <w:pStyle w:val="ListParagraph"/>
        <w:numPr>
          <w:ilvl w:val="1"/>
          <w:numId w:val="10"/>
        </w:numPr>
        <w:tabs>
          <w:tab w:pos="1341" w:val="left" w:leader="none"/>
          <w:tab w:pos="1342" w:val="left" w:leader="none"/>
          <w:tab w:pos="3184" w:val="left" w:leader="none"/>
        </w:tabs>
        <w:spacing w:line="240" w:lineRule="auto" w:before="0" w:after="0"/>
        <w:ind w:left="1341" w:right="0" w:hanging="1100"/>
        <w:jc w:val="left"/>
        <w:rPr>
          <w:sz w:val="21"/>
        </w:rPr>
      </w:pPr>
      <w:r>
        <w:rPr>
          <w:b/>
          <w:sz w:val="21"/>
        </w:rPr>
        <w:t>严重心肌</w:t>
      </w:r>
      <w:r>
        <w:rPr>
          <w:b/>
          <w:spacing w:val="-10"/>
          <w:sz w:val="21"/>
        </w:rPr>
        <w:t>炎</w:t>
      </w:r>
      <w:r>
        <w:rPr>
          <w:b/>
          <w:sz w:val="21"/>
        </w:rPr>
        <w:tab/>
      </w:r>
      <w:r>
        <w:rPr>
          <w:sz w:val="21"/>
        </w:rPr>
        <w:t>指</w:t>
      </w:r>
      <w:r>
        <w:rPr>
          <w:sz w:val="21"/>
        </w:rPr>
        <w:t>被</w:t>
      </w:r>
      <w:r>
        <w:rPr>
          <w:sz w:val="21"/>
        </w:rPr>
        <w:t>保</w:t>
      </w:r>
      <w:r>
        <w:rPr>
          <w:sz w:val="21"/>
        </w:rPr>
        <w:t>险人因严重心肌炎性病变导致心功能损害造成持续的永</w:t>
      </w:r>
      <w:r>
        <w:rPr>
          <w:spacing w:val="-10"/>
          <w:sz w:val="21"/>
        </w:rPr>
        <w:t>久</w:t>
      </w:r>
    </w:p>
    <w:p>
      <w:pPr>
        <w:pStyle w:val="BodyText"/>
        <w:spacing w:before="5"/>
        <w:ind w:left="3185"/>
      </w:pPr>
      <w:r>
        <w:rPr>
          <w:spacing w:val="-3"/>
        </w:rPr>
        <w:t>不可逆性的心功能衰竭。必须满足所有以下条件：</w:t>
      </w:r>
    </w:p>
    <w:p>
      <w:pPr>
        <w:pStyle w:val="ListParagraph"/>
        <w:numPr>
          <w:ilvl w:val="0"/>
          <w:numId w:val="20"/>
        </w:numPr>
        <w:tabs>
          <w:tab w:pos="3721" w:val="left" w:leader="none"/>
        </w:tabs>
        <w:spacing w:line="242" w:lineRule="auto" w:before="2" w:after="0"/>
        <w:ind w:left="3710" w:right="452" w:hanging="526"/>
        <w:jc w:val="left"/>
        <w:rPr>
          <w:sz w:val="21"/>
        </w:rPr>
      </w:pPr>
      <w:r>
        <w:rPr>
          <w:spacing w:val="-2"/>
          <w:sz w:val="21"/>
        </w:rPr>
        <w:t>心功能衰竭程度达到美国纽约心脏病学会心功能状态分级Ⅳ</w:t>
      </w:r>
      <w:r>
        <w:rPr>
          <w:spacing w:val="-2"/>
          <w:sz w:val="21"/>
        </w:rPr>
        <w:t>级，或左室射血分数低于</w:t>
      </w:r>
      <w:r>
        <w:rPr>
          <w:rFonts w:ascii="Times New Roman" w:hAnsi="Times New Roman" w:eastAsia="Times New Roman"/>
          <w:spacing w:val="-2"/>
          <w:sz w:val="21"/>
        </w:rPr>
        <w:t>30%</w:t>
      </w:r>
      <w:r>
        <w:rPr>
          <w:spacing w:val="-2"/>
          <w:sz w:val="21"/>
        </w:rPr>
        <w:t>；</w:t>
      </w:r>
    </w:p>
    <w:p>
      <w:pPr>
        <w:pStyle w:val="ListParagraph"/>
        <w:numPr>
          <w:ilvl w:val="0"/>
          <w:numId w:val="20"/>
        </w:numPr>
        <w:tabs>
          <w:tab w:pos="3714" w:val="left" w:leader="none"/>
        </w:tabs>
        <w:spacing w:line="240" w:lineRule="auto" w:before="1" w:after="0"/>
        <w:ind w:left="3714" w:right="0" w:hanging="529"/>
        <w:jc w:val="left"/>
        <w:rPr>
          <w:sz w:val="21"/>
        </w:rPr>
      </w:pPr>
      <w:r>
        <w:rPr>
          <w:spacing w:val="-2"/>
          <w:sz w:val="21"/>
        </w:rPr>
        <w:t>心功能</w:t>
      </w:r>
      <w:r>
        <w:rPr>
          <w:rFonts w:ascii="Times New Roman" w:eastAsia="Times New Roman"/>
          <w:spacing w:val="-2"/>
          <w:sz w:val="21"/>
        </w:rPr>
        <w:t>IV</w:t>
      </w:r>
      <w:r>
        <w:rPr>
          <w:spacing w:val="-2"/>
          <w:sz w:val="21"/>
        </w:rPr>
        <w:t>级状态持续不间断</w:t>
      </w:r>
      <w:r>
        <w:rPr>
          <w:rFonts w:ascii="Times New Roman" w:eastAsia="Times New Roman"/>
          <w:spacing w:val="-2"/>
          <w:sz w:val="21"/>
        </w:rPr>
        <w:t>180</w:t>
      </w:r>
      <w:r>
        <w:rPr>
          <w:spacing w:val="-4"/>
          <w:sz w:val="21"/>
        </w:rPr>
        <w:t>天以上；</w:t>
      </w:r>
    </w:p>
    <w:p>
      <w:pPr>
        <w:pStyle w:val="ListParagraph"/>
        <w:numPr>
          <w:ilvl w:val="0"/>
          <w:numId w:val="20"/>
        </w:numPr>
        <w:tabs>
          <w:tab w:pos="3721" w:val="left" w:leader="none"/>
        </w:tabs>
        <w:spacing w:line="244" w:lineRule="auto" w:before="2" w:after="0"/>
        <w:ind w:left="3710" w:right="450" w:hanging="526"/>
        <w:jc w:val="left"/>
        <w:rPr>
          <w:sz w:val="21"/>
        </w:rPr>
      </w:pPr>
      <w:r>
        <w:rPr>
          <w:spacing w:val="-2"/>
          <w:sz w:val="21"/>
        </w:rPr>
        <w:t>被保险人永久不可逆性的体力活动能力受限，不能从事任何</w:t>
      </w:r>
      <w:r>
        <w:rPr>
          <w:spacing w:val="-2"/>
          <w:sz w:val="21"/>
        </w:rPr>
        <w:t>体力活动。</w:t>
      </w:r>
    </w:p>
    <w:p>
      <w:pPr>
        <w:pStyle w:val="BodyText"/>
        <w:spacing w:before="8"/>
        <w:rPr>
          <w:sz w:val="18"/>
        </w:rPr>
      </w:pPr>
    </w:p>
    <w:tbl>
      <w:tblPr>
        <w:tblW w:w="0" w:type="auto"/>
        <w:jc w:val="left"/>
        <w:tblInd w:w="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4"/>
        <w:gridCol w:w="2026"/>
        <w:gridCol w:w="6330"/>
      </w:tblGrid>
      <w:tr>
        <w:trPr>
          <w:trHeight w:val="266" w:hRule="atLeast"/>
        </w:trPr>
        <w:tc>
          <w:tcPr>
            <w:tcW w:w="784" w:type="dxa"/>
          </w:tcPr>
          <w:p>
            <w:pPr>
              <w:pStyle w:val="TableParagraph"/>
              <w:spacing w:line="234" w:lineRule="exact"/>
              <w:ind w:left="50"/>
              <w:rPr>
                <w:rFonts w:ascii="Times New Roman"/>
                <w:sz w:val="21"/>
              </w:rPr>
            </w:pPr>
            <w:r>
              <w:rPr>
                <w:rFonts w:ascii="Times New Roman"/>
                <w:spacing w:val="-4"/>
                <w:sz w:val="21"/>
              </w:rPr>
              <w:t>9.11</w:t>
            </w:r>
          </w:p>
        </w:tc>
        <w:tc>
          <w:tcPr>
            <w:tcW w:w="2026" w:type="dxa"/>
          </w:tcPr>
          <w:p>
            <w:pPr>
              <w:pStyle w:val="TableParagraph"/>
              <w:spacing w:line="246" w:lineRule="exact"/>
              <w:ind w:left="365"/>
              <w:rPr>
                <w:b/>
                <w:sz w:val="21"/>
              </w:rPr>
            </w:pPr>
            <w:r>
              <w:rPr>
                <w:b/>
                <w:spacing w:val="-2"/>
                <w:sz w:val="21"/>
              </w:rPr>
              <w:t>严重冠心病</w:t>
            </w:r>
          </w:p>
        </w:tc>
        <w:tc>
          <w:tcPr>
            <w:tcW w:w="6330" w:type="dxa"/>
          </w:tcPr>
          <w:p>
            <w:pPr>
              <w:pStyle w:val="TableParagraph"/>
              <w:spacing w:line="246" w:lineRule="exact"/>
              <w:ind w:left="182"/>
              <w:rPr>
                <w:sz w:val="21"/>
              </w:rPr>
            </w:pPr>
            <w:r>
              <w:rPr>
                <w:spacing w:val="-1"/>
                <w:sz w:val="21"/>
              </w:rPr>
              <w:t>指经根据冠状动脉造影检查结果明确诊断为三支主要血管严重狭</w:t>
            </w:r>
          </w:p>
        </w:tc>
      </w:tr>
      <w:tr>
        <w:trPr>
          <w:trHeight w:val="820" w:hRule="atLeast"/>
        </w:trPr>
        <w:tc>
          <w:tcPr>
            <w:tcW w:w="784" w:type="dxa"/>
          </w:tcPr>
          <w:p>
            <w:pPr>
              <w:pStyle w:val="TableParagraph"/>
              <w:rPr>
                <w:rFonts w:ascii="Times New Roman"/>
                <w:sz w:val="20"/>
              </w:rPr>
            </w:pPr>
          </w:p>
        </w:tc>
        <w:tc>
          <w:tcPr>
            <w:tcW w:w="2026" w:type="dxa"/>
          </w:tcPr>
          <w:p>
            <w:pPr>
              <w:pStyle w:val="TableParagraph"/>
              <w:rPr>
                <w:rFonts w:ascii="Times New Roman"/>
                <w:sz w:val="20"/>
              </w:rPr>
            </w:pPr>
          </w:p>
        </w:tc>
        <w:tc>
          <w:tcPr>
            <w:tcW w:w="6330" w:type="dxa"/>
          </w:tcPr>
          <w:p>
            <w:pPr>
              <w:pStyle w:val="TableParagraph"/>
              <w:spacing w:before="5"/>
              <w:ind w:left="182"/>
              <w:rPr>
                <w:sz w:val="21"/>
              </w:rPr>
            </w:pPr>
            <w:r>
              <w:rPr>
                <w:spacing w:val="-2"/>
                <w:sz w:val="21"/>
              </w:rPr>
              <w:t>窄性病变（至少一支血管管腔直径减少</w:t>
            </w:r>
            <w:r>
              <w:rPr>
                <w:rFonts w:ascii="Times New Roman" w:eastAsia="Times New Roman"/>
                <w:spacing w:val="-2"/>
                <w:sz w:val="21"/>
              </w:rPr>
              <w:t>75%</w:t>
            </w:r>
            <w:r>
              <w:rPr>
                <w:spacing w:val="-3"/>
                <w:sz w:val="21"/>
              </w:rPr>
              <w:t>以上和其他两支血管管</w:t>
            </w:r>
          </w:p>
          <w:p>
            <w:pPr>
              <w:pStyle w:val="TableParagraph"/>
              <w:spacing w:line="270" w:lineRule="atLeast"/>
              <w:ind w:left="182" w:right="55"/>
              <w:rPr>
                <w:sz w:val="21"/>
              </w:rPr>
            </w:pPr>
            <w:r>
              <w:rPr>
                <w:spacing w:val="-4"/>
                <w:sz w:val="21"/>
              </w:rPr>
              <w:t>腔直径减少</w:t>
            </w:r>
            <w:r>
              <w:rPr>
                <w:rFonts w:ascii="Times New Roman" w:eastAsia="Times New Roman"/>
                <w:spacing w:val="-4"/>
                <w:sz w:val="21"/>
              </w:rPr>
              <w:t>60%</w:t>
            </w:r>
            <w:r>
              <w:rPr>
                <w:spacing w:val="-4"/>
                <w:sz w:val="21"/>
              </w:rPr>
              <w:t>以上</w:t>
            </w:r>
            <w:r>
              <w:rPr>
                <w:spacing w:val="-108"/>
                <w:sz w:val="21"/>
              </w:rPr>
              <w:t>）</w:t>
            </w:r>
            <w:r>
              <w:rPr>
                <w:spacing w:val="-4"/>
                <w:sz w:val="21"/>
              </w:rPr>
              <w:t>。冠状动脉的主要血管指左冠状动脉主干、前</w:t>
            </w:r>
            <w:r>
              <w:rPr>
                <w:spacing w:val="-2"/>
                <w:sz w:val="21"/>
              </w:rPr>
              <w:t>降支、左旋支及右冠状动脉。</w:t>
            </w:r>
          </w:p>
        </w:tc>
      </w:tr>
      <w:tr>
        <w:trPr>
          <w:trHeight w:val="272" w:hRule="atLeast"/>
        </w:trPr>
        <w:tc>
          <w:tcPr>
            <w:tcW w:w="784" w:type="dxa"/>
          </w:tcPr>
          <w:p>
            <w:pPr>
              <w:pStyle w:val="TableParagraph"/>
              <w:rPr>
                <w:rFonts w:ascii="Times New Roman"/>
                <w:sz w:val="20"/>
              </w:rPr>
            </w:pPr>
          </w:p>
        </w:tc>
        <w:tc>
          <w:tcPr>
            <w:tcW w:w="2026" w:type="dxa"/>
          </w:tcPr>
          <w:p>
            <w:pPr>
              <w:pStyle w:val="TableParagraph"/>
              <w:rPr>
                <w:rFonts w:ascii="Times New Roman"/>
                <w:sz w:val="20"/>
              </w:rPr>
            </w:pPr>
          </w:p>
        </w:tc>
        <w:tc>
          <w:tcPr>
            <w:tcW w:w="6330" w:type="dxa"/>
          </w:tcPr>
          <w:p>
            <w:pPr>
              <w:pStyle w:val="TableParagraph"/>
              <w:spacing w:line="250" w:lineRule="exact" w:before="2"/>
              <w:ind w:left="182"/>
              <w:rPr>
                <w:b/>
                <w:sz w:val="21"/>
              </w:rPr>
            </w:pPr>
            <w:r>
              <w:rPr>
                <w:b/>
                <w:spacing w:val="-3"/>
                <w:sz w:val="21"/>
              </w:rPr>
              <w:t>前降支、左旋支及右冠状动脉的分支血管的狭窄不作为本保障的衡</w:t>
            </w:r>
          </w:p>
        </w:tc>
      </w:tr>
      <w:tr>
        <w:trPr>
          <w:trHeight w:val="378" w:hRule="atLeast"/>
        </w:trPr>
        <w:tc>
          <w:tcPr>
            <w:tcW w:w="784" w:type="dxa"/>
          </w:tcPr>
          <w:p>
            <w:pPr>
              <w:pStyle w:val="TableParagraph"/>
              <w:rPr>
                <w:rFonts w:ascii="Times New Roman"/>
                <w:sz w:val="20"/>
              </w:rPr>
            </w:pPr>
          </w:p>
        </w:tc>
        <w:tc>
          <w:tcPr>
            <w:tcW w:w="2026" w:type="dxa"/>
          </w:tcPr>
          <w:p>
            <w:pPr>
              <w:pStyle w:val="TableParagraph"/>
              <w:rPr>
                <w:rFonts w:ascii="Times New Roman"/>
                <w:sz w:val="20"/>
              </w:rPr>
            </w:pPr>
          </w:p>
        </w:tc>
        <w:tc>
          <w:tcPr>
            <w:tcW w:w="6330" w:type="dxa"/>
          </w:tcPr>
          <w:p>
            <w:pPr>
              <w:pStyle w:val="TableParagraph"/>
              <w:spacing w:before="1"/>
              <w:ind w:left="182"/>
              <w:rPr>
                <w:sz w:val="21"/>
              </w:rPr>
            </w:pPr>
            <w:r>
              <w:rPr>
                <w:b/>
                <w:sz w:val="21"/>
              </w:rPr>
              <w:t>量指标</w:t>
            </w:r>
            <w:r>
              <w:rPr>
                <w:spacing w:val="-10"/>
                <w:sz w:val="21"/>
              </w:rPr>
              <w:t>。</w:t>
            </w:r>
          </w:p>
        </w:tc>
      </w:tr>
      <w:tr>
        <w:trPr>
          <w:trHeight w:val="408" w:hRule="atLeast"/>
        </w:trPr>
        <w:tc>
          <w:tcPr>
            <w:tcW w:w="784" w:type="dxa"/>
          </w:tcPr>
          <w:p>
            <w:pPr>
              <w:pStyle w:val="TableParagraph"/>
              <w:spacing w:before="129"/>
              <w:ind w:left="50"/>
              <w:rPr>
                <w:rFonts w:ascii="Times New Roman"/>
                <w:sz w:val="21"/>
              </w:rPr>
            </w:pPr>
            <w:r>
              <w:rPr>
                <w:rFonts w:ascii="Times New Roman"/>
                <w:spacing w:val="-4"/>
                <w:sz w:val="21"/>
              </w:rPr>
              <w:t>9.12</w:t>
            </w:r>
          </w:p>
        </w:tc>
        <w:tc>
          <w:tcPr>
            <w:tcW w:w="2026" w:type="dxa"/>
          </w:tcPr>
          <w:p>
            <w:pPr>
              <w:pStyle w:val="TableParagraph"/>
              <w:spacing w:line="251" w:lineRule="exact" w:before="137"/>
              <w:ind w:left="365"/>
              <w:rPr>
                <w:b/>
                <w:sz w:val="21"/>
              </w:rPr>
            </w:pPr>
            <w:r>
              <w:rPr>
                <w:b/>
                <w:spacing w:val="-2"/>
                <w:sz w:val="21"/>
              </w:rPr>
              <w:t>严重感染性心内</w:t>
            </w:r>
          </w:p>
        </w:tc>
        <w:tc>
          <w:tcPr>
            <w:tcW w:w="6330" w:type="dxa"/>
          </w:tcPr>
          <w:p>
            <w:pPr>
              <w:pStyle w:val="TableParagraph"/>
              <w:spacing w:line="251" w:lineRule="exact" w:before="137"/>
              <w:ind w:left="182"/>
              <w:rPr>
                <w:sz w:val="21"/>
              </w:rPr>
            </w:pPr>
            <w:r>
              <w:rPr>
                <w:spacing w:val="-3"/>
                <w:sz w:val="21"/>
              </w:rPr>
              <w:t>感染性心内膜炎是指因细菌或其他致病菌感染造成心脏内膜感染，</w:t>
            </w:r>
          </w:p>
        </w:tc>
      </w:tr>
      <w:tr>
        <w:trPr>
          <w:trHeight w:val="272" w:hRule="atLeast"/>
        </w:trPr>
        <w:tc>
          <w:tcPr>
            <w:tcW w:w="784" w:type="dxa"/>
          </w:tcPr>
          <w:p>
            <w:pPr>
              <w:pStyle w:val="TableParagraph"/>
              <w:rPr>
                <w:rFonts w:ascii="Times New Roman"/>
                <w:sz w:val="20"/>
              </w:rPr>
            </w:pPr>
          </w:p>
        </w:tc>
        <w:tc>
          <w:tcPr>
            <w:tcW w:w="2026" w:type="dxa"/>
          </w:tcPr>
          <w:p>
            <w:pPr>
              <w:pStyle w:val="TableParagraph"/>
              <w:spacing w:line="250" w:lineRule="exact" w:before="2"/>
              <w:ind w:left="365"/>
              <w:rPr>
                <w:b/>
                <w:sz w:val="21"/>
              </w:rPr>
            </w:pPr>
            <w:r>
              <w:rPr>
                <w:b/>
                <w:spacing w:val="-5"/>
                <w:sz w:val="21"/>
              </w:rPr>
              <w:t>膜炎</w:t>
            </w:r>
          </w:p>
        </w:tc>
        <w:tc>
          <w:tcPr>
            <w:tcW w:w="6330" w:type="dxa"/>
          </w:tcPr>
          <w:p>
            <w:pPr>
              <w:pStyle w:val="TableParagraph"/>
              <w:spacing w:line="250" w:lineRule="exact" w:before="2"/>
              <w:ind w:left="182"/>
              <w:rPr>
                <w:sz w:val="21"/>
              </w:rPr>
            </w:pPr>
            <w:r>
              <w:rPr>
                <w:spacing w:val="-3"/>
                <w:sz w:val="21"/>
              </w:rPr>
              <w:t>瓣膜为最常受累部位，引起心脏瓣膜关闭不全。必须满足下列至少</w:t>
            </w:r>
          </w:p>
        </w:tc>
      </w:tr>
      <w:tr>
        <w:trPr>
          <w:trHeight w:val="269" w:hRule="atLeast"/>
        </w:trPr>
        <w:tc>
          <w:tcPr>
            <w:tcW w:w="784" w:type="dxa"/>
          </w:tcPr>
          <w:p>
            <w:pPr>
              <w:pStyle w:val="TableParagraph"/>
              <w:rPr>
                <w:rFonts w:ascii="Times New Roman"/>
                <w:sz w:val="18"/>
              </w:rPr>
            </w:pPr>
          </w:p>
        </w:tc>
        <w:tc>
          <w:tcPr>
            <w:tcW w:w="2026" w:type="dxa"/>
          </w:tcPr>
          <w:p>
            <w:pPr>
              <w:pStyle w:val="TableParagraph"/>
              <w:rPr>
                <w:rFonts w:ascii="Times New Roman"/>
                <w:sz w:val="18"/>
              </w:rPr>
            </w:pPr>
          </w:p>
        </w:tc>
        <w:tc>
          <w:tcPr>
            <w:tcW w:w="6330" w:type="dxa"/>
          </w:tcPr>
          <w:p>
            <w:pPr>
              <w:pStyle w:val="TableParagraph"/>
              <w:spacing w:line="248" w:lineRule="exact" w:before="1"/>
              <w:ind w:left="182"/>
              <w:rPr>
                <w:sz w:val="21"/>
              </w:rPr>
            </w:pPr>
            <w:r>
              <w:rPr>
                <w:spacing w:val="-4"/>
                <w:sz w:val="21"/>
              </w:rPr>
              <w:t>三项条件：</w:t>
            </w:r>
          </w:p>
        </w:tc>
      </w:tr>
      <w:tr>
        <w:trPr>
          <w:trHeight w:val="1100" w:hRule="atLeast"/>
        </w:trPr>
        <w:tc>
          <w:tcPr>
            <w:tcW w:w="784" w:type="dxa"/>
          </w:tcPr>
          <w:p>
            <w:pPr>
              <w:pStyle w:val="TableParagraph"/>
              <w:rPr>
                <w:rFonts w:ascii="Times New Roman"/>
                <w:sz w:val="20"/>
              </w:rPr>
            </w:pPr>
          </w:p>
        </w:tc>
        <w:tc>
          <w:tcPr>
            <w:tcW w:w="2026" w:type="dxa"/>
          </w:tcPr>
          <w:p>
            <w:pPr>
              <w:pStyle w:val="TableParagraph"/>
              <w:rPr>
                <w:rFonts w:ascii="Times New Roman"/>
                <w:sz w:val="20"/>
              </w:rPr>
            </w:pPr>
          </w:p>
        </w:tc>
        <w:tc>
          <w:tcPr>
            <w:tcW w:w="6330" w:type="dxa"/>
          </w:tcPr>
          <w:p>
            <w:pPr>
              <w:pStyle w:val="TableParagraph"/>
              <w:numPr>
                <w:ilvl w:val="0"/>
                <w:numId w:val="21"/>
              </w:numPr>
              <w:tabs>
                <w:tab w:pos="712" w:val="left" w:leader="none"/>
              </w:tabs>
              <w:spacing w:line="240" w:lineRule="auto" w:before="6" w:after="0"/>
              <w:ind w:left="711" w:right="0" w:hanging="530"/>
              <w:jc w:val="left"/>
              <w:rPr>
                <w:sz w:val="21"/>
              </w:rPr>
            </w:pPr>
            <w:r>
              <w:rPr>
                <w:spacing w:val="-3"/>
                <w:sz w:val="21"/>
              </w:rPr>
              <w:t>急性或亚急性感染性心内膜炎临床表现；</w:t>
            </w:r>
          </w:p>
          <w:p>
            <w:pPr>
              <w:pStyle w:val="TableParagraph"/>
              <w:numPr>
                <w:ilvl w:val="0"/>
                <w:numId w:val="21"/>
              </w:numPr>
              <w:tabs>
                <w:tab w:pos="712" w:val="left" w:leader="none"/>
              </w:tabs>
              <w:spacing w:line="240" w:lineRule="auto" w:before="2" w:after="0"/>
              <w:ind w:left="711" w:right="0" w:hanging="530"/>
              <w:jc w:val="left"/>
              <w:rPr>
                <w:sz w:val="21"/>
              </w:rPr>
            </w:pPr>
            <w:r>
              <w:rPr>
                <w:spacing w:val="-3"/>
                <w:sz w:val="21"/>
              </w:rPr>
              <w:t>血培养病原体阳性；</w:t>
            </w:r>
          </w:p>
          <w:p>
            <w:pPr>
              <w:pStyle w:val="TableParagraph"/>
              <w:numPr>
                <w:ilvl w:val="0"/>
                <w:numId w:val="21"/>
              </w:numPr>
              <w:tabs>
                <w:tab w:pos="712" w:val="left" w:leader="none"/>
              </w:tabs>
              <w:spacing w:line="240" w:lineRule="auto" w:before="4" w:after="0"/>
              <w:ind w:left="711" w:right="0" w:hanging="530"/>
              <w:jc w:val="left"/>
              <w:rPr>
                <w:sz w:val="21"/>
              </w:rPr>
            </w:pPr>
            <w:r>
              <w:rPr>
                <w:spacing w:val="-3"/>
                <w:sz w:val="21"/>
              </w:rPr>
              <w:t>心功能衰竭并实际接受了心脏瓣膜置换手术；</w:t>
            </w:r>
          </w:p>
          <w:p>
            <w:pPr>
              <w:pStyle w:val="TableParagraph"/>
              <w:numPr>
                <w:ilvl w:val="0"/>
                <w:numId w:val="21"/>
              </w:numPr>
              <w:tabs>
                <w:tab w:pos="712" w:val="left" w:leader="none"/>
              </w:tabs>
              <w:spacing w:line="259" w:lineRule="exact" w:before="3" w:after="0"/>
              <w:ind w:left="711" w:right="0" w:hanging="530"/>
              <w:jc w:val="left"/>
              <w:rPr>
                <w:sz w:val="21"/>
              </w:rPr>
            </w:pPr>
            <w:r>
              <w:rPr>
                <w:spacing w:val="-3"/>
                <w:sz w:val="21"/>
              </w:rPr>
              <w:t>并发动脉栓塞导致脑梗塞、肾梗塞或心肌梗塞。</w:t>
            </w:r>
          </w:p>
        </w:tc>
      </w:tr>
      <w:tr>
        <w:trPr>
          <w:trHeight w:val="371" w:hRule="atLeast"/>
        </w:trPr>
        <w:tc>
          <w:tcPr>
            <w:tcW w:w="784" w:type="dxa"/>
          </w:tcPr>
          <w:p>
            <w:pPr>
              <w:pStyle w:val="TableParagraph"/>
              <w:rPr>
                <w:rFonts w:ascii="Times New Roman"/>
                <w:sz w:val="20"/>
              </w:rPr>
            </w:pPr>
          </w:p>
        </w:tc>
        <w:tc>
          <w:tcPr>
            <w:tcW w:w="2026" w:type="dxa"/>
          </w:tcPr>
          <w:p>
            <w:pPr>
              <w:pStyle w:val="TableParagraph"/>
              <w:rPr>
                <w:rFonts w:ascii="Times New Roman"/>
                <w:sz w:val="20"/>
              </w:rPr>
            </w:pPr>
          </w:p>
        </w:tc>
        <w:tc>
          <w:tcPr>
            <w:tcW w:w="6330" w:type="dxa"/>
          </w:tcPr>
          <w:p>
            <w:pPr>
              <w:pStyle w:val="TableParagraph"/>
              <w:spacing w:line="264" w:lineRule="exact"/>
              <w:ind w:left="182"/>
              <w:rPr>
                <w:b/>
                <w:sz w:val="21"/>
              </w:rPr>
            </w:pPr>
            <w:r>
              <w:rPr>
                <w:b/>
                <w:spacing w:val="-3"/>
                <w:sz w:val="21"/>
              </w:rPr>
              <w:t>药物滥用者所患感染性心内膜炎除外。</w:t>
            </w:r>
          </w:p>
        </w:tc>
      </w:tr>
      <w:tr>
        <w:trPr>
          <w:trHeight w:val="406" w:hRule="atLeast"/>
        </w:trPr>
        <w:tc>
          <w:tcPr>
            <w:tcW w:w="784" w:type="dxa"/>
          </w:tcPr>
          <w:p>
            <w:pPr>
              <w:pStyle w:val="TableParagraph"/>
              <w:spacing w:before="129"/>
              <w:ind w:left="50"/>
              <w:rPr>
                <w:rFonts w:ascii="Times New Roman"/>
                <w:sz w:val="21"/>
              </w:rPr>
            </w:pPr>
            <w:r>
              <w:rPr>
                <w:rFonts w:ascii="Times New Roman"/>
                <w:spacing w:val="-4"/>
                <w:sz w:val="21"/>
              </w:rPr>
              <w:t>9.13</w:t>
            </w:r>
          </w:p>
        </w:tc>
        <w:tc>
          <w:tcPr>
            <w:tcW w:w="2026" w:type="dxa"/>
          </w:tcPr>
          <w:p>
            <w:pPr>
              <w:pStyle w:val="TableParagraph"/>
              <w:spacing w:line="250" w:lineRule="exact" w:before="137"/>
              <w:ind w:left="365"/>
              <w:rPr>
                <w:b/>
                <w:sz w:val="21"/>
              </w:rPr>
            </w:pPr>
            <w:r>
              <w:rPr>
                <w:b/>
                <w:spacing w:val="-2"/>
                <w:sz w:val="21"/>
              </w:rPr>
              <w:t>严重继发性肺动</w:t>
            </w:r>
          </w:p>
        </w:tc>
        <w:tc>
          <w:tcPr>
            <w:tcW w:w="6330" w:type="dxa"/>
          </w:tcPr>
          <w:p>
            <w:pPr>
              <w:pStyle w:val="TableParagraph"/>
              <w:spacing w:line="250" w:lineRule="exact" w:before="137"/>
              <w:ind w:left="182"/>
              <w:rPr>
                <w:sz w:val="21"/>
              </w:rPr>
            </w:pPr>
            <w:r>
              <w:rPr>
                <w:spacing w:val="-3"/>
                <w:sz w:val="21"/>
              </w:rPr>
              <w:t>指继发性肺动脉压力持续增高，导致右心室肥厚，已经造成永久不</w:t>
            </w:r>
          </w:p>
        </w:tc>
      </w:tr>
      <w:tr>
        <w:trPr>
          <w:trHeight w:val="272" w:hRule="atLeast"/>
        </w:trPr>
        <w:tc>
          <w:tcPr>
            <w:tcW w:w="784" w:type="dxa"/>
          </w:tcPr>
          <w:p>
            <w:pPr>
              <w:pStyle w:val="TableParagraph"/>
              <w:rPr>
                <w:rFonts w:ascii="Times New Roman"/>
                <w:sz w:val="20"/>
              </w:rPr>
            </w:pPr>
          </w:p>
        </w:tc>
        <w:tc>
          <w:tcPr>
            <w:tcW w:w="2026" w:type="dxa"/>
          </w:tcPr>
          <w:p>
            <w:pPr>
              <w:pStyle w:val="TableParagraph"/>
              <w:spacing w:line="251" w:lineRule="exact" w:before="1"/>
              <w:ind w:left="365"/>
              <w:rPr>
                <w:b/>
                <w:sz w:val="21"/>
              </w:rPr>
            </w:pPr>
            <w:r>
              <w:rPr>
                <w:b/>
                <w:spacing w:val="-4"/>
                <w:sz w:val="21"/>
              </w:rPr>
              <w:t>脉高压</w:t>
            </w:r>
          </w:p>
        </w:tc>
        <w:tc>
          <w:tcPr>
            <w:tcW w:w="6330" w:type="dxa"/>
          </w:tcPr>
          <w:p>
            <w:pPr>
              <w:pStyle w:val="TableParagraph"/>
              <w:spacing w:line="251" w:lineRule="exact" w:before="1"/>
              <w:ind w:left="182"/>
              <w:rPr>
                <w:sz w:val="21"/>
              </w:rPr>
            </w:pPr>
            <w:r>
              <w:rPr>
                <w:spacing w:val="-3"/>
                <w:sz w:val="21"/>
              </w:rPr>
              <w:t>可逆性的体力活动能力受限，达到美国纽约心脏病学会心功能状态</w:t>
            </w:r>
          </w:p>
        </w:tc>
      </w:tr>
      <w:tr>
        <w:trPr>
          <w:trHeight w:val="269" w:hRule="atLeast"/>
        </w:trPr>
        <w:tc>
          <w:tcPr>
            <w:tcW w:w="784" w:type="dxa"/>
          </w:tcPr>
          <w:p>
            <w:pPr>
              <w:pStyle w:val="TableParagraph"/>
              <w:rPr>
                <w:rFonts w:ascii="Times New Roman"/>
                <w:sz w:val="18"/>
              </w:rPr>
            </w:pPr>
          </w:p>
        </w:tc>
        <w:tc>
          <w:tcPr>
            <w:tcW w:w="2026" w:type="dxa"/>
          </w:tcPr>
          <w:p>
            <w:pPr>
              <w:pStyle w:val="TableParagraph"/>
              <w:rPr>
                <w:rFonts w:ascii="Times New Roman"/>
                <w:sz w:val="18"/>
              </w:rPr>
            </w:pPr>
          </w:p>
        </w:tc>
        <w:tc>
          <w:tcPr>
            <w:tcW w:w="6330" w:type="dxa"/>
          </w:tcPr>
          <w:p>
            <w:pPr>
              <w:pStyle w:val="TableParagraph"/>
              <w:spacing w:line="246" w:lineRule="exact" w:before="2"/>
              <w:ind w:left="182"/>
              <w:rPr>
                <w:sz w:val="21"/>
              </w:rPr>
            </w:pPr>
            <w:r>
              <w:rPr>
                <w:spacing w:val="-3"/>
                <w:sz w:val="21"/>
              </w:rPr>
              <w:t>分级Ⅳ级。诊断需要由心脏科专家确诊，并且心导管检查报告显示</w:t>
            </w:r>
          </w:p>
        </w:tc>
      </w:tr>
      <w:tr>
        <w:trPr>
          <w:trHeight w:val="283" w:hRule="atLeast"/>
        </w:trPr>
        <w:tc>
          <w:tcPr>
            <w:tcW w:w="784" w:type="dxa"/>
          </w:tcPr>
          <w:p>
            <w:pPr>
              <w:pStyle w:val="TableParagraph"/>
              <w:rPr>
                <w:rFonts w:ascii="Times New Roman"/>
                <w:sz w:val="20"/>
              </w:rPr>
            </w:pPr>
          </w:p>
        </w:tc>
        <w:tc>
          <w:tcPr>
            <w:tcW w:w="2026" w:type="dxa"/>
          </w:tcPr>
          <w:p>
            <w:pPr>
              <w:pStyle w:val="TableParagraph"/>
              <w:rPr>
                <w:rFonts w:ascii="Times New Roman"/>
                <w:sz w:val="20"/>
              </w:rPr>
            </w:pPr>
          </w:p>
        </w:tc>
        <w:tc>
          <w:tcPr>
            <w:tcW w:w="6330" w:type="dxa"/>
          </w:tcPr>
          <w:p>
            <w:pPr>
              <w:pStyle w:val="TableParagraph"/>
              <w:spacing w:line="259" w:lineRule="exact" w:before="5"/>
              <w:ind w:left="182"/>
              <w:rPr>
                <w:sz w:val="21"/>
              </w:rPr>
            </w:pPr>
            <w:r>
              <w:rPr>
                <w:spacing w:val="-2"/>
                <w:sz w:val="21"/>
              </w:rPr>
              <w:t>静息状态下肺动脉平均压超过</w:t>
            </w:r>
            <w:r>
              <w:rPr>
                <w:rFonts w:ascii="Times New Roman" w:eastAsia="Times New Roman"/>
                <w:spacing w:val="-2"/>
                <w:sz w:val="21"/>
              </w:rPr>
              <w:t>30mmHg</w:t>
            </w:r>
            <w:r>
              <w:rPr>
                <w:spacing w:val="-10"/>
                <w:sz w:val="21"/>
              </w:rPr>
              <w:t>。</w:t>
            </w:r>
          </w:p>
        </w:tc>
      </w:tr>
      <w:tr>
        <w:trPr>
          <w:trHeight w:val="264" w:hRule="atLeast"/>
        </w:trPr>
        <w:tc>
          <w:tcPr>
            <w:tcW w:w="784" w:type="dxa"/>
          </w:tcPr>
          <w:p>
            <w:pPr>
              <w:pStyle w:val="TableParagraph"/>
              <w:rPr>
                <w:rFonts w:ascii="Times New Roman"/>
                <w:sz w:val="18"/>
              </w:rPr>
            </w:pPr>
          </w:p>
        </w:tc>
        <w:tc>
          <w:tcPr>
            <w:tcW w:w="2026" w:type="dxa"/>
          </w:tcPr>
          <w:p>
            <w:pPr>
              <w:pStyle w:val="TableParagraph"/>
              <w:rPr>
                <w:rFonts w:ascii="Times New Roman"/>
                <w:sz w:val="18"/>
              </w:rPr>
            </w:pPr>
          </w:p>
        </w:tc>
        <w:tc>
          <w:tcPr>
            <w:tcW w:w="6330" w:type="dxa"/>
          </w:tcPr>
          <w:p>
            <w:pPr>
              <w:pStyle w:val="TableParagraph"/>
              <w:spacing w:line="245" w:lineRule="exact"/>
              <w:ind w:left="182"/>
              <w:rPr>
                <w:b/>
                <w:sz w:val="21"/>
              </w:rPr>
            </w:pPr>
            <w:r>
              <w:rPr>
                <w:b/>
                <w:spacing w:val="-1"/>
                <w:sz w:val="21"/>
              </w:rPr>
              <w:t>所有先天性心脏疾病直接或间接引起的肺动脉高压不在保障范围</w:t>
            </w:r>
          </w:p>
        </w:tc>
      </w:tr>
      <w:tr>
        <w:trPr>
          <w:trHeight w:val="378" w:hRule="atLeast"/>
        </w:trPr>
        <w:tc>
          <w:tcPr>
            <w:tcW w:w="784" w:type="dxa"/>
          </w:tcPr>
          <w:p>
            <w:pPr>
              <w:pStyle w:val="TableParagraph"/>
              <w:rPr>
                <w:rFonts w:ascii="Times New Roman"/>
                <w:sz w:val="20"/>
              </w:rPr>
            </w:pPr>
          </w:p>
        </w:tc>
        <w:tc>
          <w:tcPr>
            <w:tcW w:w="2026" w:type="dxa"/>
          </w:tcPr>
          <w:p>
            <w:pPr>
              <w:pStyle w:val="TableParagraph"/>
              <w:rPr>
                <w:rFonts w:ascii="Times New Roman"/>
                <w:sz w:val="20"/>
              </w:rPr>
            </w:pPr>
          </w:p>
        </w:tc>
        <w:tc>
          <w:tcPr>
            <w:tcW w:w="6330" w:type="dxa"/>
          </w:tcPr>
          <w:p>
            <w:pPr>
              <w:pStyle w:val="TableParagraph"/>
              <w:spacing w:before="1"/>
              <w:ind w:left="182"/>
              <w:rPr>
                <w:b/>
                <w:sz w:val="21"/>
              </w:rPr>
            </w:pPr>
            <w:r>
              <w:rPr>
                <w:b/>
                <w:spacing w:val="-5"/>
                <w:sz w:val="21"/>
              </w:rPr>
              <w:t>内。</w:t>
            </w:r>
          </w:p>
        </w:tc>
      </w:tr>
      <w:tr>
        <w:trPr>
          <w:trHeight w:val="407" w:hRule="atLeast"/>
        </w:trPr>
        <w:tc>
          <w:tcPr>
            <w:tcW w:w="784" w:type="dxa"/>
          </w:tcPr>
          <w:p>
            <w:pPr>
              <w:pStyle w:val="TableParagraph"/>
              <w:spacing w:before="129"/>
              <w:ind w:left="50"/>
              <w:rPr>
                <w:rFonts w:ascii="Times New Roman"/>
                <w:sz w:val="21"/>
              </w:rPr>
            </w:pPr>
            <w:r>
              <w:rPr>
                <w:rFonts w:ascii="Times New Roman"/>
                <w:spacing w:val="-4"/>
                <w:sz w:val="21"/>
              </w:rPr>
              <w:t>9.14</w:t>
            </w:r>
          </w:p>
        </w:tc>
        <w:tc>
          <w:tcPr>
            <w:tcW w:w="2026" w:type="dxa"/>
          </w:tcPr>
          <w:p>
            <w:pPr>
              <w:pStyle w:val="TableParagraph"/>
              <w:spacing w:line="251" w:lineRule="exact" w:before="137"/>
              <w:ind w:left="365"/>
              <w:rPr>
                <w:b/>
                <w:sz w:val="21"/>
              </w:rPr>
            </w:pPr>
            <w:r>
              <w:rPr>
                <w:b/>
                <w:spacing w:val="-2"/>
                <w:sz w:val="21"/>
              </w:rPr>
              <w:t>严重慢性缩窄性</w:t>
            </w:r>
          </w:p>
        </w:tc>
        <w:tc>
          <w:tcPr>
            <w:tcW w:w="6330" w:type="dxa"/>
          </w:tcPr>
          <w:p>
            <w:pPr>
              <w:pStyle w:val="TableParagraph"/>
              <w:spacing w:line="251" w:lineRule="exact" w:before="137"/>
              <w:ind w:left="182"/>
              <w:rPr>
                <w:sz w:val="21"/>
              </w:rPr>
            </w:pPr>
            <w:r>
              <w:rPr>
                <w:spacing w:val="-1"/>
                <w:sz w:val="21"/>
              </w:rPr>
              <w:t>由于慢性心包炎症导致心包脏层和壁层广泛瘢痕粘连、增厚和钙</w:t>
            </w:r>
          </w:p>
        </w:tc>
      </w:tr>
      <w:tr>
        <w:trPr>
          <w:trHeight w:val="272" w:hRule="atLeast"/>
        </w:trPr>
        <w:tc>
          <w:tcPr>
            <w:tcW w:w="784" w:type="dxa"/>
          </w:tcPr>
          <w:p>
            <w:pPr>
              <w:pStyle w:val="TableParagraph"/>
              <w:rPr>
                <w:rFonts w:ascii="Times New Roman"/>
                <w:sz w:val="20"/>
              </w:rPr>
            </w:pPr>
          </w:p>
        </w:tc>
        <w:tc>
          <w:tcPr>
            <w:tcW w:w="2026" w:type="dxa"/>
          </w:tcPr>
          <w:p>
            <w:pPr>
              <w:pStyle w:val="TableParagraph"/>
              <w:spacing w:line="250" w:lineRule="exact" w:before="2"/>
              <w:ind w:left="365"/>
              <w:rPr>
                <w:b/>
                <w:sz w:val="21"/>
              </w:rPr>
            </w:pPr>
            <w:r>
              <w:rPr>
                <w:b/>
                <w:spacing w:val="-4"/>
                <w:sz w:val="21"/>
              </w:rPr>
              <w:t>心包炎</w:t>
            </w:r>
          </w:p>
        </w:tc>
        <w:tc>
          <w:tcPr>
            <w:tcW w:w="6330" w:type="dxa"/>
          </w:tcPr>
          <w:p>
            <w:pPr>
              <w:pStyle w:val="TableParagraph"/>
              <w:spacing w:line="250" w:lineRule="exact" w:before="2"/>
              <w:ind w:left="182"/>
              <w:rPr>
                <w:sz w:val="21"/>
              </w:rPr>
            </w:pPr>
            <w:r>
              <w:rPr>
                <w:spacing w:val="-3"/>
                <w:sz w:val="21"/>
              </w:rPr>
              <w:t>化，心包腔闭塞，形成一个纤维瘢痕外壳，使心脏和大血管根部受</w:t>
            </w:r>
          </w:p>
        </w:tc>
      </w:tr>
      <w:tr>
        <w:trPr>
          <w:trHeight w:val="272" w:hRule="atLeast"/>
        </w:trPr>
        <w:tc>
          <w:tcPr>
            <w:tcW w:w="784" w:type="dxa"/>
          </w:tcPr>
          <w:p>
            <w:pPr>
              <w:pStyle w:val="TableParagraph"/>
              <w:rPr>
                <w:rFonts w:ascii="Times New Roman"/>
                <w:sz w:val="20"/>
              </w:rPr>
            </w:pPr>
          </w:p>
        </w:tc>
        <w:tc>
          <w:tcPr>
            <w:tcW w:w="2026" w:type="dxa"/>
          </w:tcPr>
          <w:p>
            <w:pPr>
              <w:pStyle w:val="TableParagraph"/>
              <w:rPr>
                <w:rFonts w:ascii="Times New Roman"/>
                <w:sz w:val="20"/>
              </w:rPr>
            </w:pPr>
          </w:p>
        </w:tc>
        <w:tc>
          <w:tcPr>
            <w:tcW w:w="6330" w:type="dxa"/>
          </w:tcPr>
          <w:p>
            <w:pPr>
              <w:pStyle w:val="TableParagraph"/>
              <w:spacing w:line="251" w:lineRule="exact" w:before="1"/>
              <w:ind w:left="182"/>
              <w:rPr>
                <w:sz w:val="21"/>
              </w:rPr>
            </w:pPr>
            <w:r>
              <w:rPr>
                <w:spacing w:val="-3"/>
                <w:sz w:val="21"/>
              </w:rPr>
              <w:t>压，阻碍心脏的舒张。慢性缩窄性心包炎必须被明确诊断并且满足</w:t>
            </w:r>
          </w:p>
        </w:tc>
      </w:tr>
      <w:tr>
        <w:trPr>
          <w:trHeight w:val="269" w:hRule="atLeast"/>
        </w:trPr>
        <w:tc>
          <w:tcPr>
            <w:tcW w:w="784" w:type="dxa"/>
          </w:tcPr>
          <w:p>
            <w:pPr>
              <w:pStyle w:val="TableParagraph"/>
              <w:rPr>
                <w:rFonts w:ascii="Times New Roman"/>
                <w:sz w:val="18"/>
              </w:rPr>
            </w:pPr>
          </w:p>
        </w:tc>
        <w:tc>
          <w:tcPr>
            <w:tcW w:w="2026" w:type="dxa"/>
          </w:tcPr>
          <w:p>
            <w:pPr>
              <w:pStyle w:val="TableParagraph"/>
              <w:rPr>
                <w:rFonts w:ascii="Times New Roman"/>
                <w:sz w:val="18"/>
              </w:rPr>
            </w:pPr>
          </w:p>
        </w:tc>
        <w:tc>
          <w:tcPr>
            <w:tcW w:w="6330" w:type="dxa"/>
          </w:tcPr>
          <w:p>
            <w:pPr>
              <w:pStyle w:val="TableParagraph"/>
              <w:spacing w:line="246" w:lineRule="exact" w:before="2"/>
              <w:ind w:left="182"/>
              <w:rPr>
                <w:sz w:val="21"/>
              </w:rPr>
            </w:pPr>
            <w:r>
              <w:rPr>
                <w:spacing w:val="-4"/>
                <w:sz w:val="21"/>
              </w:rPr>
              <w:t>下列所有条件：</w:t>
            </w:r>
          </w:p>
        </w:tc>
      </w:tr>
      <w:tr>
        <w:trPr>
          <w:trHeight w:val="260" w:hRule="atLeast"/>
        </w:trPr>
        <w:tc>
          <w:tcPr>
            <w:tcW w:w="784" w:type="dxa"/>
          </w:tcPr>
          <w:p>
            <w:pPr>
              <w:pStyle w:val="TableParagraph"/>
              <w:rPr>
                <w:rFonts w:ascii="Times New Roman"/>
                <w:sz w:val="18"/>
              </w:rPr>
            </w:pPr>
          </w:p>
        </w:tc>
        <w:tc>
          <w:tcPr>
            <w:tcW w:w="2026" w:type="dxa"/>
          </w:tcPr>
          <w:p>
            <w:pPr>
              <w:pStyle w:val="TableParagraph"/>
              <w:rPr>
                <w:rFonts w:ascii="Times New Roman"/>
                <w:sz w:val="18"/>
              </w:rPr>
            </w:pPr>
          </w:p>
        </w:tc>
        <w:tc>
          <w:tcPr>
            <w:tcW w:w="6330" w:type="dxa"/>
          </w:tcPr>
          <w:p>
            <w:pPr>
              <w:pStyle w:val="TableParagraph"/>
              <w:spacing w:line="236" w:lineRule="exact" w:before="5"/>
              <w:ind w:left="182"/>
              <w:rPr>
                <w:sz w:val="21"/>
              </w:rPr>
            </w:pPr>
            <w:r>
              <w:rPr>
                <w:sz w:val="21"/>
              </w:rPr>
              <w:t>（</w:t>
            </w:r>
            <w:r>
              <w:rPr>
                <w:rFonts w:ascii="Times New Roman" w:hAnsi="Times New Roman" w:eastAsia="Times New Roman"/>
                <w:sz w:val="21"/>
              </w:rPr>
              <w:t>1</w:t>
            </w:r>
            <w:r>
              <w:rPr>
                <w:sz w:val="21"/>
              </w:rPr>
              <w:t>）</w:t>
            </w:r>
            <w:r>
              <w:rPr>
                <w:spacing w:val="-1"/>
                <w:sz w:val="21"/>
              </w:rPr>
              <w:t>心功能衰竭达到美国纽约心脏病学会心功能状态分级Ⅳ级，</w:t>
            </w:r>
          </w:p>
        </w:tc>
      </w:tr>
    </w:tbl>
    <w:p>
      <w:pPr>
        <w:pStyle w:val="BodyText"/>
        <w:spacing w:before="26"/>
        <w:ind w:left="3710"/>
      </w:pPr>
      <w:r>
        <w:rPr>
          <w:spacing w:val="-14"/>
        </w:rPr>
        <w:t>并持续 </w:t>
      </w:r>
      <w:r>
        <w:rPr>
          <w:rFonts w:ascii="Times New Roman" w:eastAsia="Times New Roman"/>
        </w:rPr>
        <w:t>180</w:t>
      </w:r>
      <w:r>
        <w:rPr>
          <w:rFonts w:ascii="Times New Roman" w:eastAsia="Times New Roman"/>
          <w:spacing w:val="-9"/>
        </w:rPr>
        <w:t> </w:t>
      </w:r>
      <w:r>
        <w:rPr>
          <w:spacing w:val="-3"/>
        </w:rPr>
        <w:t>天以上；</w:t>
      </w:r>
    </w:p>
    <w:p>
      <w:pPr>
        <w:pStyle w:val="BodyText"/>
        <w:spacing w:line="244" w:lineRule="auto" w:before="2"/>
        <w:ind w:left="3710" w:right="450" w:hanging="526"/>
      </w:pPr>
      <w:r>
        <w:rPr>
          <w:spacing w:val="-2"/>
        </w:rPr>
        <w:t>（</w:t>
      </w:r>
      <w:r>
        <w:rPr>
          <w:rFonts w:ascii="Times New Roman" w:eastAsia="Times New Roman"/>
          <w:spacing w:val="-2"/>
        </w:rPr>
        <w:t>2</w:t>
      </w:r>
      <w:r>
        <w:rPr>
          <w:spacing w:val="-2"/>
        </w:rPr>
        <w:t>）已经接受了经下列任何一种手术路径进行的开胸心包剥离手</w:t>
      </w:r>
      <w:r>
        <w:rPr>
          <w:spacing w:val="-2"/>
        </w:rPr>
        <w:t>术或心包切除手术：</w:t>
      </w:r>
    </w:p>
    <w:p>
      <w:pPr>
        <w:pStyle w:val="BodyText"/>
        <w:spacing w:line="265" w:lineRule="exact"/>
        <w:ind w:left="3710"/>
      </w:pPr>
      <w:r>
        <w:rPr>
          <w:spacing w:val="-4"/>
        </w:rPr>
        <w:t>①胸骨正中切口；</w:t>
      </w:r>
    </w:p>
    <w:p>
      <w:pPr>
        <w:pStyle w:val="BodyText"/>
        <w:spacing w:before="5"/>
        <w:ind w:left="3710"/>
      </w:pPr>
      <w:r>
        <w:rPr>
          <w:spacing w:val="-4"/>
        </w:rPr>
        <w:t>②双侧前胸切口；</w:t>
      </w:r>
    </w:p>
    <w:p>
      <w:pPr>
        <w:pStyle w:val="BodyText"/>
        <w:spacing w:before="2"/>
        <w:ind w:left="3710"/>
      </w:pPr>
      <w:r>
        <w:rPr>
          <w:spacing w:val="-3"/>
        </w:rPr>
        <w:t>③左前胸肋间切口。</w:t>
      </w:r>
    </w:p>
    <w:p>
      <w:pPr>
        <w:pStyle w:val="Heading3"/>
        <w:spacing w:line="242" w:lineRule="auto" w:before="5"/>
        <w:ind w:left="3185" w:right="452"/>
      </w:pPr>
      <w:r>
        <w:rPr>
          <w:spacing w:val="-2"/>
        </w:rPr>
        <w:t>经胸腔镜、胸壁打孔进行的手术、心包粘连松解手术不在保障范围</w:t>
      </w:r>
      <w:r>
        <w:rPr>
          <w:spacing w:val="-6"/>
        </w:rPr>
        <w:t>内。</w:t>
      </w:r>
    </w:p>
    <w:p>
      <w:pPr>
        <w:pStyle w:val="BodyText"/>
        <w:spacing w:before="4"/>
        <w:rPr>
          <w:b/>
          <w:sz w:val="18"/>
        </w:rPr>
      </w:pPr>
    </w:p>
    <w:p>
      <w:pPr>
        <w:pStyle w:val="ListParagraph"/>
        <w:numPr>
          <w:ilvl w:val="1"/>
          <w:numId w:val="22"/>
        </w:numPr>
        <w:tabs>
          <w:tab w:pos="1341" w:val="left" w:leader="none"/>
          <w:tab w:pos="1342" w:val="left" w:leader="none"/>
        </w:tabs>
        <w:spacing w:line="240" w:lineRule="auto" w:before="1" w:after="0"/>
        <w:ind w:left="1341" w:right="0" w:hanging="1100"/>
        <w:jc w:val="both"/>
        <w:rPr>
          <w:sz w:val="21"/>
        </w:rPr>
      </w:pPr>
      <w:r>
        <w:rPr>
          <w:b/>
          <w:spacing w:val="61"/>
          <w:sz w:val="21"/>
        </w:rPr>
        <w:t>主动脉夹层瘤 </w:t>
      </w:r>
      <w:r>
        <w:rPr>
          <w:spacing w:val="-1"/>
          <w:sz w:val="21"/>
        </w:rPr>
        <w:t>指主动脉的内膜破裂导致血液流入主动脉壁中形成夹层动脉瘤。在</w:t>
      </w:r>
    </w:p>
    <w:p>
      <w:pPr>
        <w:pStyle w:val="BodyText"/>
        <w:spacing w:line="242" w:lineRule="auto" w:before="4"/>
        <w:ind w:left="3185" w:right="450"/>
        <w:jc w:val="both"/>
      </w:pPr>
      <w:r>
        <w:rPr>
          <w:spacing w:val="-2"/>
        </w:rPr>
        <w:t>本定义中，主动脉指胸主动脉及腹主动脉而非其旁支。诊断必须由</w:t>
      </w:r>
      <w:r>
        <w:rPr>
          <w:spacing w:val="-2"/>
        </w:rPr>
        <w:t>专科医生及检验结果证实，检验包括电脑扫描，磁共振扫描及磁共</w:t>
      </w:r>
      <w:r>
        <w:rPr>
          <w:spacing w:val="-2"/>
        </w:rPr>
        <w:t>振血管造影或心导管检查的证明，并有必要进行紧急修补手术。</w:t>
      </w:r>
    </w:p>
    <w:p>
      <w:pPr>
        <w:pStyle w:val="BodyText"/>
        <w:spacing w:before="6"/>
        <w:rPr>
          <w:sz w:val="18"/>
        </w:rPr>
      </w:pPr>
    </w:p>
    <w:p>
      <w:pPr>
        <w:pStyle w:val="ListParagraph"/>
        <w:numPr>
          <w:ilvl w:val="1"/>
          <w:numId w:val="22"/>
        </w:numPr>
        <w:tabs>
          <w:tab w:pos="1341" w:val="left" w:leader="none"/>
          <w:tab w:pos="1342" w:val="left" w:leader="none"/>
        </w:tabs>
        <w:spacing w:line="240" w:lineRule="auto" w:before="1" w:after="0"/>
        <w:ind w:left="1341" w:right="0" w:hanging="1100"/>
        <w:jc w:val="both"/>
        <w:rPr>
          <w:sz w:val="21"/>
        </w:rPr>
      </w:pPr>
      <w:r>
        <w:rPr>
          <w:b/>
          <w:spacing w:val="24"/>
          <w:sz w:val="21"/>
        </w:rPr>
        <w:t>完全性房室传导 </w:t>
      </w:r>
      <w:r>
        <w:rPr>
          <w:spacing w:val="-1"/>
          <w:sz w:val="21"/>
        </w:rPr>
        <w:t>指因慢性心脏疾病导致完全性房室传导阻滞。完全性房室传导阻滞</w:t>
      </w:r>
    </w:p>
    <w:p>
      <w:pPr>
        <w:spacing w:after="0" w:line="240" w:lineRule="auto"/>
        <w:jc w:val="both"/>
        <w:rPr>
          <w:sz w:val="21"/>
        </w:rPr>
        <w:sectPr>
          <w:pgSz w:w="11910" w:h="16840"/>
          <w:pgMar w:header="0" w:footer="879" w:top="1060" w:bottom="1060" w:left="1460" w:right="720"/>
        </w:sectPr>
      </w:pPr>
    </w:p>
    <w:tbl>
      <w:tblPr>
        <w:tblW w:w="0" w:type="auto"/>
        <w:jc w:val="left"/>
        <w:tblInd w:w="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4"/>
        <w:gridCol w:w="2033"/>
        <w:gridCol w:w="6397"/>
      </w:tblGrid>
      <w:tr>
        <w:trPr>
          <w:trHeight w:val="239" w:hRule="atLeast"/>
        </w:trPr>
        <w:tc>
          <w:tcPr>
            <w:tcW w:w="784" w:type="dxa"/>
          </w:tcPr>
          <w:p>
            <w:pPr>
              <w:pStyle w:val="TableParagraph"/>
              <w:rPr>
                <w:rFonts w:ascii="Times New Roman"/>
                <w:sz w:val="16"/>
              </w:rPr>
            </w:pPr>
          </w:p>
        </w:tc>
        <w:tc>
          <w:tcPr>
            <w:tcW w:w="2033" w:type="dxa"/>
          </w:tcPr>
          <w:p>
            <w:pPr>
              <w:pStyle w:val="TableParagraph"/>
              <w:spacing w:line="219" w:lineRule="exact"/>
              <w:ind w:left="365"/>
              <w:rPr>
                <w:b/>
                <w:sz w:val="21"/>
              </w:rPr>
            </w:pPr>
            <w:r>
              <w:rPr>
                <w:b/>
                <w:spacing w:val="-5"/>
                <w:sz w:val="21"/>
              </w:rPr>
              <w:t>阻滞</w:t>
            </w:r>
          </w:p>
        </w:tc>
        <w:tc>
          <w:tcPr>
            <w:tcW w:w="6397" w:type="dxa"/>
          </w:tcPr>
          <w:p>
            <w:pPr>
              <w:pStyle w:val="TableParagraph"/>
              <w:spacing w:line="219" w:lineRule="exact"/>
              <w:ind w:left="175"/>
              <w:rPr>
                <w:sz w:val="21"/>
              </w:rPr>
            </w:pPr>
            <w:r>
              <w:rPr>
                <w:spacing w:val="-3"/>
                <w:sz w:val="21"/>
              </w:rPr>
              <w:t>是心房的激动不能正常地传导到心室，造成心室率过于缓慢，出现</w:t>
            </w:r>
          </w:p>
        </w:tc>
      </w:tr>
      <w:tr>
        <w:trPr>
          <w:trHeight w:val="545" w:hRule="atLeast"/>
        </w:trPr>
        <w:tc>
          <w:tcPr>
            <w:tcW w:w="784" w:type="dxa"/>
          </w:tcPr>
          <w:p>
            <w:pPr>
              <w:pStyle w:val="TableParagraph"/>
              <w:rPr>
                <w:rFonts w:ascii="Times New Roman"/>
                <w:sz w:val="20"/>
              </w:rPr>
            </w:pPr>
          </w:p>
        </w:tc>
        <w:tc>
          <w:tcPr>
            <w:tcW w:w="2033" w:type="dxa"/>
          </w:tcPr>
          <w:p>
            <w:pPr>
              <w:pStyle w:val="TableParagraph"/>
              <w:rPr>
                <w:rFonts w:ascii="Times New Roman"/>
                <w:sz w:val="20"/>
              </w:rPr>
            </w:pPr>
          </w:p>
        </w:tc>
        <w:tc>
          <w:tcPr>
            <w:tcW w:w="6397" w:type="dxa"/>
          </w:tcPr>
          <w:p>
            <w:pPr>
              <w:pStyle w:val="TableParagraph"/>
              <w:spacing w:line="270" w:lineRule="atLeast"/>
              <w:ind w:left="175" w:right="129"/>
              <w:rPr>
                <w:sz w:val="21"/>
              </w:rPr>
            </w:pPr>
            <w:r>
              <w:rPr>
                <w:spacing w:val="-4"/>
                <w:sz w:val="21"/>
              </w:rPr>
              <w:t>心力衰竭和因大脑供血不足导致的晕厥、阿</w:t>
            </w:r>
            <w:r>
              <w:rPr>
                <w:rFonts w:ascii="Times New Roman" w:eastAsia="Times New Roman"/>
                <w:spacing w:val="-4"/>
                <w:sz w:val="21"/>
              </w:rPr>
              <w:t>-</w:t>
            </w:r>
            <w:r>
              <w:rPr>
                <w:spacing w:val="-4"/>
                <w:sz w:val="21"/>
              </w:rPr>
              <w:t>斯综合征。必须明确诊</w:t>
            </w:r>
            <w:r>
              <w:rPr>
                <w:spacing w:val="-2"/>
                <w:sz w:val="21"/>
              </w:rPr>
              <w:t>断并且满足下列所有条件：</w:t>
            </w:r>
          </w:p>
        </w:tc>
      </w:tr>
      <w:tr>
        <w:trPr>
          <w:trHeight w:val="1206" w:hRule="atLeast"/>
        </w:trPr>
        <w:tc>
          <w:tcPr>
            <w:tcW w:w="784" w:type="dxa"/>
          </w:tcPr>
          <w:p>
            <w:pPr>
              <w:pStyle w:val="TableParagraph"/>
              <w:rPr>
                <w:rFonts w:ascii="Times New Roman"/>
                <w:sz w:val="20"/>
              </w:rPr>
            </w:pPr>
          </w:p>
        </w:tc>
        <w:tc>
          <w:tcPr>
            <w:tcW w:w="2033" w:type="dxa"/>
          </w:tcPr>
          <w:p>
            <w:pPr>
              <w:pStyle w:val="TableParagraph"/>
              <w:rPr>
                <w:rFonts w:ascii="Times New Roman"/>
                <w:sz w:val="20"/>
              </w:rPr>
            </w:pPr>
          </w:p>
        </w:tc>
        <w:tc>
          <w:tcPr>
            <w:tcW w:w="6397" w:type="dxa"/>
          </w:tcPr>
          <w:p>
            <w:pPr>
              <w:pStyle w:val="TableParagraph"/>
              <w:numPr>
                <w:ilvl w:val="0"/>
                <w:numId w:val="23"/>
              </w:numPr>
              <w:tabs>
                <w:tab w:pos="705" w:val="left" w:leader="none"/>
              </w:tabs>
              <w:spacing w:line="240" w:lineRule="auto" w:before="6" w:after="0"/>
              <w:ind w:left="704" w:right="0" w:hanging="530"/>
              <w:jc w:val="left"/>
              <w:rPr>
                <w:sz w:val="21"/>
              </w:rPr>
            </w:pPr>
            <w:r>
              <w:rPr>
                <w:spacing w:val="-3"/>
                <w:sz w:val="21"/>
              </w:rPr>
              <w:t>患有慢性心脏疾病；</w:t>
            </w:r>
          </w:p>
          <w:p>
            <w:pPr>
              <w:pStyle w:val="TableParagraph"/>
              <w:numPr>
                <w:ilvl w:val="0"/>
                <w:numId w:val="23"/>
              </w:numPr>
              <w:tabs>
                <w:tab w:pos="705" w:val="left" w:leader="none"/>
              </w:tabs>
              <w:spacing w:line="240" w:lineRule="auto" w:before="2" w:after="0"/>
              <w:ind w:left="704" w:right="0" w:hanging="530"/>
              <w:jc w:val="left"/>
              <w:rPr>
                <w:sz w:val="21"/>
              </w:rPr>
            </w:pPr>
            <w:r>
              <w:rPr>
                <w:spacing w:val="-2"/>
                <w:sz w:val="21"/>
              </w:rPr>
              <w:t>曾经有晕厥、阿</w:t>
            </w:r>
            <w:r>
              <w:rPr>
                <w:rFonts w:ascii="Times New Roman" w:eastAsia="Times New Roman"/>
                <w:spacing w:val="-2"/>
                <w:sz w:val="21"/>
              </w:rPr>
              <w:t>-</w:t>
            </w:r>
            <w:r>
              <w:rPr>
                <w:spacing w:val="-4"/>
                <w:sz w:val="21"/>
              </w:rPr>
              <w:t>斯综合征发作；</w:t>
            </w:r>
          </w:p>
          <w:p>
            <w:pPr>
              <w:pStyle w:val="TableParagraph"/>
              <w:numPr>
                <w:ilvl w:val="0"/>
                <w:numId w:val="23"/>
              </w:numPr>
              <w:tabs>
                <w:tab w:pos="705" w:val="left" w:leader="none"/>
              </w:tabs>
              <w:spacing w:line="240" w:lineRule="auto" w:before="4" w:after="0"/>
              <w:ind w:left="704" w:right="0" w:hanging="530"/>
              <w:jc w:val="left"/>
              <w:rPr>
                <w:sz w:val="21"/>
              </w:rPr>
            </w:pPr>
            <w:r>
              <w:rPr>
                <w:spacing w:val="-4"/>
                <w:sz w:val="21"/>
              </w:rPr>
              <w:t>心电图表现为持续室性逸搏心律，心室率持续低于 </w:t>
            </w:r>
            <w:r>
              <w:rPr>
                <w:rFonts w:ascii="Times New Roman" w:eastAsia="Times New Roman"/>
                <w:spacing w:val="-2"/>
                <w:sz w:val="21"/>
              </w:rPr>
              <w:t>40</w:t>
            </w:r>
            <w:r>
              <w:rPr>
                <w:rFonts w:ascii="Times New Roman" w:eastAsia="Times New Roman"/>
                <w:spacing w:val="9"/>
                <w:sz w:val="21"/>
              </w:rPr>
              <w:t> </w:t>
            </w:r>
            <w:r>
              <w:rPr>
                <w:spacing w:val="-2"/>
                <w:sz w:val="21"/>
              </w:rPr>
              <w:t>次</w:t>
            </w:r>
            <w:r>
              <w:rPr>
                <w:rFonts w:ascii="Times New Roman" w:eastAsia="Times New Roman"/>
                <w:spacing w:val="-2"/>
                <w:sz w:val="21"/>
              </w:rPr>
              <w:t>/</w:t>
            </w:r>
            <w:r>
              <w:rPr>
                <w:spacing w:val="-6"/>
                <w:sz w:val="21"/>
              </w:rPr>
              <w:t>分；</w:t>
            </w:r>
          </w:p>
          <w:p>
            <w:pPr>
              <w:pStyle w:val="TableParagraph"/>
              <w:numPr>
                <w:ilvl w:val="0"/>
                <w:numId w:val="23"/>
              </w:numPr>
              <w:tabs>
                <w:tab w:pos="705" w:val="left" w:leader="none"/>
              </w:tabs>
              <w:spacing w:line="240" w:lineRule="auto" w:before="3" w:after="0"/>
              <w:ind w:left="704" w:right="0" w:hanging="530"/>
              <w:jc w:val="left"/>
              <w:rPr>
                <w:sz w:val="21"/>
              </w:rPr>
            </w:pPr>
            <w:r>
              <w:rPr>
                <w:spacing w:val="-3"/>
                <w:sz w:val="21"/>
              </w:rPr>
              <w:t>已经植入永久性心脏起搏器。</w:t>
            </w:r>
          </w:p>
        </w:tc>
      </w:tr>
      <w:tr>
        <w:trPr>
          <w:trHeight w:val="1332" w:hRule="atLeast"/>
        </w:trPr>
        <w:tc>
          <w:tcPr>
            <w:tcW w:w="784" w:type="dxa"/>
          </w:tcPr>
          <w:p>
            <w:pPr>
              <w:pStyle w:val="TableParagraph"/>
              <w:spacing w:before="121"/>
              <w:ind w:left="50"/>
              <w:rPr>
                <w:rFonts w:ascii="Times New Roman"/>
                <w:sz w:val="21"/>
              </w:rPr>
            </w:pPr>
            <w:r>
              <w:rPr>
                <w:rFonts w:ascii="Times New Roman"/>
                <w:spacing w:val="-4"/>
                <w:sz w:val="21"/>
              </w:rPr>
              <w:t>9.17</w:t>
            </w:r>
          </w:p>
        </w:tc>
        <w:tc>
          <w:tcPr>
            <w:tcW w:w="2033" w:type="dxa"/>
          </w:tcPr>
          <w:p>
            <w:pPr>
              <w:pStyle w:val="TableParagraph"/>
              <w:spacing w:before="129"/>
              <w:ind w:left="365"/>
              <w:rPr>
                <w:b/>
                <w:sz w:val="21"/>
              </w:rPr>
            </w:pPr>
            <w:r>
              <w:rPr>
                <w:rFonts w:ascii="Times New Roman" w:eastAsia="Times New Roman"/>
                <w:b/>
                <w:spacing w:val="-2"/>
                <w:sz w:val="21"/>
              </w:rPr>
              <w:t>Brugada</w:t>
            </w:r>
            <w:r>
              <w:rPr>
                <w:b/>
                <w:spacing w:val="-5"/>
                <w:sz w:val="21"/>
              </w:rPr>
              <w:t>综合征</w:t>
            </w:r>
          </w:p>
        </w:tc>
        <w:tc>
          <w:tcPr>
            <w:tcW w:w="6397" w:type="dxa"/>
          </w:tcPr>
          <w:p>
            <w:pPr>
              <w:pStyle w:val="TableParagraph"/>
              <w:spacing w:before="129"/>
              <w:ind w:left="175"/>
              <w:rPr>
                <w:sz w:val="21"/>
              </w:rPr>
            </w:pPr>
            <w:r>
              <w:rPr>
                <w:spacing w:val="2"/>
                <w:sz w:val="21"/>
              </w:rPr>
              <w:t>指由心脏专科医生诊断为</w:t>
            </w:r>
            <w:r>
              <w:rPr>
                <w:rFonts w:ascii="Times New Roman" w:eastAsia="Times New Roman"/>
                <w:sz w:val="21"/>
              </w:rPr>
              <w:t>Brugada</w:t>
            </w:r>
            <w:r>
              <w:rPr>
                <w:rFonts w:ascii="Times New Roman" w:eastAsia="Times New Roman"/>
                <w:spacing w:val="-12"/>
                <w:sz w:val="21"/>
              </w:rPr>
              <w:t> </w:t>
            </w:r>
            <w:r>
              <w:rPr>
                <w:spacing w:val="-1"/>
                <w:sz w:val="21"/>
              </w:rPr>
              <w:t>综合征，且满足下列全部条件：</w:t>
            </w:r>
          </w:p>
          <w:p>
            <w:pPr>
              <w:pStyle w:val="TableParagraph"/>
              <w:numPr>
                <w:ilvl w:val="0"/>
                <w:numId w:val="24"/>
              </w:numPr>
              <w:tabs>
                <w:tab w:pos="705" w:val="left" w:leader="none"/>
              </w:tabs>
              <w:spacing w:line="240" w:lineRule="auto" w:before="4" w:after="0"/>
              <w:ind w:left="704" w:right="0" w:hanging="530"/>
              <w:jc w:val="left"/>
              <w:rPr>
                <w:sz w:val="21"/>
              </w:rPr>
            </w:pPr>
            <w:r>
              <w:rPr>
                <w:spacing w:val="-3"/>
                <w:sz w:val="21"/>
              </w:rPr>
              <w:t>有晕厥或心脏骤停病史，并提供完整的诊疗记录；</w:t>
            </w:r>
          </w:p>
          <w:p>
            <w:pPr>
              <w:pStyle w:val="TableParagraph"/>
              <w:numPr>
                <w:ilvl w:val="0"/>
                <w:numId w:val="24"/>
              </w:numPr>
              <w:tabs>
                <w:tab w:pos="705" w:val="left" w:leader="none"/>
              </w:tabs>
              <w:spacing w:line="240" w:lineRule="auto" w:before="2" w:after="0"/>
              <w:ind w:left="704" w:right="0" w:hanging="530"/>
              <w:jc w:val="left"/>
              <w:rPr>
                <w:sz w:val="21"/>
              </w:rPr>
            </w:pPr>
            <w:r>
              <w:rPr>
                <w:spacing w:val="-7"/>
                <w:sz w:val="21"/>
              </w:rPr>
              <w:t>心电图有典型的Ⅰ型 </w:t>
            </w:r>
            <w:r>
              <w:rPr>
                <w:rFonts w:ascii="Times New Roman" w:hAnsi="Times New Roman" w:eastAsia="Times New Roman"/>
                <w:spacing w:val="-2"/>
                <w:sz w:val="21"/>
              </w:rPr>
              <w:t>Brugada</w:t>
            </w:r>
            <w:r>
              <w:rPr>
                <w:rFonts w:ascii="Times New Roman" w:hAnsi="Times New Roman" w:eastAsia="Times New Roman"/>
                <w:spacing w:val="6"/>
                <w:sz w:val="21"/>
              </w:rPr>
              <w:t> </w:t>
            </w:r>
            <w:r>
              <w:rPr>
                <w:spacing w:val="-6"/>
                <w:sz w:val="21"/>
              </w:rPr>
              <w:t>波；</w:t>
            </w:r>
          </w:p>
          <w:p>
            <w:pPr>
              <w:pStyle w:val="TableParagraph"/>
              <w:numPr>
                <w:ilvl w:val="0"/>
                <w:numId w:val="24"/>
              </w:numPr>
              <w:tabs>
                <w:tab w:pos="705" w:val="left" w:leader="none"/>
              </w:tabs>
              <w:spacing w:line="240" w:lineRule="auto" w:before="5" w:after="0"/>
              <w:ind w:left="704" w:right="0" w:hanging="530"/>
              <w:jc w:val="left"/>
              <w:rPr>
                <w:sz w:val="21"/>
              </w:rPr>
            </w:pPr>
            <w:r>
              <w:rPr>
                <w:spacing w:val="-3"/>
                <w:sz w:val="21"/>
              </w:rPr>
              <w:t>已经安装了永久性心脏起搏器。</w:t>
            </w:r>
          </w:p>
        </w:tc>
      </w:tr>
      <w:tr>
        <w:trPr>
          <w:trHeight w:val="398" w:hRule="atLeast"/>
        </w:trPr>
        <w:tc>
          <w:tcPr>
            <w:tcW w:w="784" w:type="dxa"/>
          </w:tcPr>
          <w:p>
            <w:pPr>
              <w:pStyle w:val="TableParagraph"/>
              <w:spacing w:before="121"/>
              <w:ind w:left="50"/>
              <w:rPr>
                <w:rFonts w:ascii="Times New Roman"/>
                <w:sz w:val="21"/>
              </w:rPr>
            </w:pPr>
            <w:r>
              <w:rPr>
                <w:rFonts w:ascii="Times New Roman"/>
                <w:spacing w:val="-4"/>
                <w:sz w:val="21"/>
              </w:rPr>
              <w:t>9.18</w:t>
            </w:r>
          </w:p>
        </w:tc>
        <w:tc>
          <w:tcPr>
            <w:tcW w:w="2033" w:type="dxa"/>
          </w:tcPr>
          <w:p>
            <w:pPr>
              <w:pStyle w:val="TableParagraph"/>
              <w:spacing w:line="250" w:lineRule="exact" w:before="129"/>
              <w:ind w:left="365"/>
              <w:rPr>
                <w:b/>
                <w:sz w:val="21"/>
              </w:rPr>
            </w:pPr>
            <w:r>
              <w:rPr>
                <w:b/>
                <w:spacing w:val="-2"/>
                <w:sz w:val="21"/>
              </w:rPr>
              <w:t>左室室壁瘤切除</w:t>
            </w:r>
          </w:p>
        </w:tc>
        <w:tc>
          <w:tcPr>
            <w:tcW w:w="6397" w:type="dxa"/>
          </w:tcPr>
          <w:p>
            <w:pPr>
              <w:pStyle w:val="TableParagraph"/>
              <w:spacing w:line="250" w:lineRule="exact" w:before="129"/>
              <w:ind w:left="175"/>
              <w:rPr>
                <w:sz w:val="21"/>
              </w:rPr>
            </w:pPr>
            <w:r>
              <w:rPr>
                <w:spacing w:val="-3"/>
                <w:sz w:val="21"/>
              </w:rPr>
              <w:t>被保险人被明确诊断为左室室壁瘤，并且实际接受了开胸开心进行</w:t>
            </w:r>
          </w:p>
        </w:tc>
      </w:tr>
      <w:tr>
        <w:trPr>
          <w:trHeight w:val="272" w:hRule="atLeast"/>
        </w:trPr>
        <w:tc>
          <w:tcPr>
            <w:tcW w:w="784" w:type="dxa"/>
          </w:tcPr>
          <w:p>
            <w:pPr>
              <w:pStyle w:val="TableParagraph"/>
              <w:rPr>
                <w:rFonts w:ascii="Times New Roman"/>
                <w:sz w:val="20"/>
              </w:rPr>
            </w:pPr>
          </w:p>
        </w:tc>
        <w:tc>
          <w:tcPr>
            <w:tcW w:w="2033" w:type="dxa"/>
          </w:tcPr>
          <w:p>
            <w:pPr>
              <w:pStyle w:val="TableParagraph"/>
              <w:spacing w:line="251" w:lineRule="exact" w:before="1"/>
              <w:ind w:left="365"/>
              <w:rPr>
                <w:b/>
                <w:sz w:val="21"/>
              </w:rPr>
            </w:pPr>
            <w:r>
              <w:rPr>
                <w:b/>
                <w:spacing w:val="-5"/>
                <w:sz w:val="21"/>
              </w:rPr>
              <w:t>手术</w:t>
            </w:r>
          </w:p>
        </w:tc>
        <w:tc>
          <w:tcPr>
            <w:tcW w:w="6397" w:type="dxa"/>
          </w:tcPr>
          <w:p>
            <w:pPr>
              <w:pStyle w:val="TableParagraph"/>
              <w:spacing w:line="251" w:lineRule="exact" w:before="1"/>
              <w:ind w:left="175"/>
              <w:rPr>
                <w:sz w:val="21"/>
              </w:rPr>
            </w:pPr>
            <w:r>
              <w:rPr>
                <w:spacing w:val="-3"/>
                <w:sz w:val="21"/>
              </w:rPr>
              <w:t>的室壁瘤切除手术治疗。</w:t>
            </w:r>
          </w:p>
        </w:tc>
      </w:tr>
      <w:tr>
        <w:trPr>
          <w:trHeight w:val="379" w:hRule="atLeast"/>
        </w:trPr>
        <w:tc>
          <w:tcPr>
            <w:tcW w:w="784" w:type="dxa"/>
          </w:tcPr>
          <w:p>
            <w:pPr>
              <w:pStyle w:val="TableParagraph"/>
              <w:rPr>
                <w:rFonts w:ascii="Times New Roman"/>
                <w:sz w:val="20"/>
              </w:rPr>
            </w:pPr>
          </w:p>
        </w:tc>
        <w:tc>
          <w:tcPr>
            <w:tcW w:w="2033" w:type="dxa"/>
          </w:tcPr>
          <w:p>
            <w:pPr>
              <w:pStyle w:val="TableParagraph"/>
              <w:rPr>
                <w:rFonts w:ascii="Times New Roman"/>
                <w:sz w:val="20"/>
              </w:rPr>
            </w:pPr>
          </w:p>
        </w:tc>
        <w:tc>
          <w:tcPr>
            <w:tcW w:w="6397" w:type="dxa"/>
          </w:tcPr>
          <w:p>
            <w:pPr>
              <w:pStyle w:val="TableParagraph"/>
              <w:spacing w:before="2"/>
              <w:ind w:left="175"/>
              <w:rPr>
                <w:b/>
                <w:sz w:val="21"/>
              </w:rPr>
            </w:pPr>
            <w:r>
              <w:rPr>
                <w:b/>
                <w:spacing w:val="-3"/>
                <w:sz w:val="21"/>
              </w:rPr>
              <w:t>经导管心室内成形手术治疗不在保障范围内。</w:t>
            </w:r>
          </w:p>
        </w:tc>
      </w:tr>
      <w:tr>
        <w:trPr>
          <w:trHeight w:val="403" w:hRule="atLeast"/>
        </w:trPr>
        <w:tc>
          <w:tcPr>
            <w:tcW w:w="784" w:type="dxa"/>
          </w:tcPr>
          <w:p>
            <w:pPr>
              <w:pStyle w:val="TableParagraph"/>
              <w:spacing w:before="129"/>
              <w:ind w:left="50"/>
              <w:rPr>
                <w:rFonts w:ascii="Times New Roman"/>
                <w:sz w:val="21"/>
              </w:rPr>
            </w:pPr>
            <w:r>
              <w:rPr>
                <w:rFonts w:ascii="Times New Roman"/>
                <w:spacing w:val="-4"/>
                <w:sz w:val="21"/>
              </w:rPr>
              <w:t>9.19</w:t>
            </w:r>
          </w:p>
        </w:tc>
        <w:tc>
          <w:tcPr>
            <w:tcW w:w="2033" w:type="dxa"/>
          </w:tcPr>
          <w:p>
            <w:pPr>
              <w:pStyle w:val="TableParagraph"/>
              <w:spacing w:line="246" w:lineRule="exact" w:before="137"/>
              <w:ind w:left="365"/>
              <w:rPr>
                <w:b/>
                <w:sz w:val="21"/>
              </w:rPr>
            </w:pPr>
            <w:r>
              <w:rPr>
                <w:b/>
                <w:spacing w:val="-2"/>
                <w:sz w:val="21"/>
              </w:rPr>
              <w:t>严重心脏衰竭</w:t>
            </w:r>
          </w:p>
        </w:tc>
        <w:tc>
          <w:tcPr>
            <w:tcW w:w="6397" w:type="dxa"/>
          </w:tcPr>
          <w:p>
            <w:pPr>
              <w:pStyle w:val="TableParagraph"/>
              <w:spacing w:line="246" w:lineRule="exact" w:before="137"/>
              <w:ind w:left="175"/>
              <w:rPr>
                <w:sz w:val="21"/>
              </w:rPr>
            </w:pPr>
            <w:r>
              <w:rPr>
                <w:spacing w:val="-3"/>
                <w:sz w:val="21"/>
              </w:rPr>
              <w:t>指因缺血性心脏病或扩张性心肌病导致慢性严重心脏衰竭，被保险</w:t>
            </w:r>
          </w:p>
        </w:tc>
      </w:tr>
      <w:tr>
        <w:trPr>
          <w:trHeight w:val="283" w:hRule="atLeast"/>
        </w:trPr>
        <w:tc>
          <w:tcPr>
            <w:tcW w:w="784" w:type="dxa"/>
          </w:tcPr>
          <w:p>
            <w:pPr>
              <w:pStyle w:val="TableParagraph"/>
              <w:rPr>
                <w:rFonts w:ascii="Times New Roman"/>
                <w:sz w:val="20"/>
              </w:rPr>
            </w:pPr>
          </w:p>
        </w:tc>
        <w:tc>
          <w:tcPr>
            <w:tcW w:w="2033" w:type="dxa"/>
          </w:tcPr>
          <w:p>
            <w:pPr>
              <w:pStyle w:val="TableParagraph"/>
              <w:spacing w:line="259" w:lineRule="exact" w:before="5"/>
              <w:ind w:left="365"/>
              <w:rPr>
                <w:b/>
                <w:sz w:val="21"/>
              </w:rPr>
            </w:pPr>
            <w:r>
              <w:rPr>
                <w:rFonts w:ascii="Times New Roman" w:eastAsia="Times New Roman"/>
                <w:b/>
                <w:spacing w:val="-2"/>
                <w:sz w:val="21"/>
              </w:rPr>
              <w:t>CRT</w:t>
            </w:r>
            <w:r>
              <w:rPr>
                <w:b/>
                <w:spacing w:val="-4"/>
                <w:sz w:val="21"/>
              </w:rPr>
              <w:t>心脏再同步</w:t>
            </w:r>
          </w:p>
        </w:tc>
        <w:tc>
          <w:tcPr>
            <w:tcW w:w="6397" w:type="dxa"/>
          </w:tcPr>
          <w:p>
            <w:pPr>
              <w:pStyle w:val="TableParagraph"/>
              <w:spacing w:line="259" w:lineRule="exact" w:before="5"/>
              <w:ind w:left="175"/>
              <w:rPr>
                <w:sz w:val="21"/>
              </w:rPr>
            </w:pPr>
            <w:r>
              <w:rPr>
                <w:spacing w:val="1"/>
                <w:sz w:val="21"/>
              </w:rPr>
              <w:t>人实际接受了</w:t>
            </w:r>
            <w:r>
              <w:rPr>
                <w:rFonts w:ascii="Times New Roman" w:eastAsia="Times New Roman"/>
                <w:sz w:val="21"/>
              </w:rPr>
              <w:t>CRT</w:t>
            </w:r>
            <w:r>
              <w:rPr>
                <w:rFonts w:ascii="Times New Roman" w:eastAsia="Times New Roman"/>
                <w:spacing w:val="-12"/>
                <w:sz w:val="21"/>
              </w:rPr>
              <w:t> </w:t>
            </w:r>
            <w:r>
              <w:rPr>
                <w:spacing w:val="-1"/>
                <w:sz w:val="21"/>
              </w:rPr>
              <w:t>治疗，以矫正心室收缩不协调和改善心脏功能。</w:t>
            </w:r>
          </w:p>
        </w:tc>
      </w:tr>
      <w:tr>
        <w:trPr>
          <w:trHeight w:val="261" w:hRule="atLeast"/>
        </w:trPr>
        <w:tc>
          <w:tcPr>
            <w:tcW w:w="784" w:type="dxa"/>
          </w:tcPr>
          <w:p>
            <w:pPr>
              <w:pStyle w:val="TableParagraph"/>
              <w:rPr>
                <w:rFonts w:ascii="Times New Roman"/>
                <w:sz w:val="18"/>
              </w:rPr>
            </w:pPr>
          </w:p>
        </w:tc>
        <w:tc>
          <w:tcPr>
            <w:tcW w:w="2033" w:type="dxa"/>
          </w:tcPr>
          <w:p>
            <w:pPr>
              <w:pStyle w:val="TableParagraph"/>
              <w:spacing w:line="241" w:lineRule="exact"/>
              <w:ind w:left="365"/>
              <w:rPr>
                <w:b/>
                <w:sz w:val="21"/>
              </w:rPr>
            </w:pPr>
            <w:r>
              <w:rPr>
                <w:b/>
                <w:spacing w:val="-5"/>
                <w:sz w:val="21"/>
              </w:rPr>
              <w:t>治疗</w:t>
            </w:r>
          </w:p>
        </w:tc>
        <w:tc>
          <w:tcPr>
            <w:tcW w:w="6397" w:type="dxa"/>
          </w:tcPr>
          <w:p>
            <w:pPr>
              <w:pStyle w:val="TableParagraph"/>
              <w:spacing w:line="241" w:lineRule="exact"/>
              <w:ind w:left="175"/>
              <w:rPr>
                <w:sz w:val="21"/>
              </w:rPr>
            </w:pPr>
            <w:r>
              <w:rPr>
                <w:spacing w:val="-3"/>
                <w:sz w:val="21"/>
              </w:rPr>
              <w:t>接受治疗之前必须满足下列所有条件：</w:t>
            </w:r>
          </w:p>
        </w:tc>
      </w:tr>
      <w:tr>
        <w:trPr>
          <w:trHeight w:val="260" w:hRule="atLeast"/>
        </w:trPr>
        <w:tc>
          <w:tcPr>
            <w:tcW w:w="784" w:type="dxa"/>
          </w:tcPr>
          <w:p>
            <w:pPr>
              <w:pStyle w:val="TableParagraph"/>
              <w:rPr>
                <w:rFonts w:ascii="Times New Roman"/>
                <w:sz w:val="18"/>
              </w:rPr>
            </w:pPr>
          </w:p>
        </w:tc>
        <w:tc>
          <w:tcPr>
            <w:tcW w:w="2033" w:type="dxa"/>
          </w:tcPr>
          <w:p>
            <w:pPr>
              <w:pStyle w:val="TableParagraph"/>
              <w:rPr>
                <w:rFonts w:ascii="Times New Roman"/>
                <w:sz w:val="18"/>
              </w:rPr>
            </w:pPr>
          </w:p>
        </w:tc>
        <w:tc>
          <w:tcPr>
            <w:tcW w:w="6397" w:type="dxa"/>
          </w:tcPr>
          <w:p>
            <w:pPr>
              <w:pStyle w:val="TableParagraph"/>
              <w:spacing w:line="236" w:lineRule="exact" w:before="5"/>
              <w:ind w:left="175"/>
              <w:rPr>
                <w:sz w:val="21"/>
              </w:rPr>
            </w:pPr>
            <w:r>
              <w:rPr>
                <w:sz w:val="21"/>
              </w:rPr>
              <w:t>（</w:t>
            </w:r>
            <w:r>
              <w:rPr>
                <w:rFonts w:ascii="Times New Roman" w:hAnsi="Times New Roman" w:eastAsia="Times New Roman"/>
                <w:sz w:val="21"/>
              </w:rPr>
              <w:t>1</w:t>
            </w:r>
            <w:r>
              <w:rPr>
                <w:sz w:val="21"/>
              </w:rPr>
              <w:t>）</w:t>
            </w:r>
            <w:r>
              <w:rPr>
                <w:spacing w:val="-1"/>
                <w:sz w:val="21"/>
              </w:rPr>
              <w:t>心功能衰竭程度达到美国纽约心脏病学会心功能状态分级Ⅲ</w:t>
            </w:r>
          </w:p>
        </w:tc>
      </w:tr>
      <w:tr>
        <w:trPr>
          <w:trHeight w:val="257" w:hRule="atLeast"/>
        </w:trPr>
        <w:tc>
          <w:tcPr>
            <w:tcW w:w="784" w:type="dxa"/>
          </w:tcPr>
          <w:p>
            <w:pPr>
              <w:pStyle w:val="TableParagraph"/>
              <w:rPr>
                <w:rFonts w:ascii="Times New Roman"/>
                <w:sz w:val="18"/>
              </w:rPr>
            </w:pPr>
          </w:p>
        </w:tc>
        <w:tc>
          <w:tcPr>
            <w:tcW w:w="2033" w:type="dxa"/>
          </w:tcPr>
          <w:p>
            <w:pPr>
              <w:pStyle w:val="TableParagraph"/>
              <w:rPr>
                <w:rFonts w:ascii="Times New Roman"/>
                <w:sz w:val="18"/>
              </w:rPr>
            </w:pPr>
          </w:p>
        </w:tc>
        <w:tc>
          <w:tcPr>
            <w:tcW w:w="6397" w:type="dxa"/>
          </w:tcPr>
          <w:p>
            <w:pPr>
              <w:pStyle w:val="TableParagraph"/>
              <w:spacing w:line="220" w:lineRule="exact" w:before="18"/>
              <w:ind w:left="701"/>
              <w:rPr>
                <w:sz w:val="21"/>
              </w:rPr>
            </w:pPr>
            <w:r>
              <w:rPr>
                <w:spacing w:val="-4"/>
                <w:sz w:val="21"/>
              </w:rPr>
              <w:t>级或Ⅳ级；</w:t>
            </w:r>
          </w:p>
        </w:tc>
      </w:tr>
      <w:tr>
        <w:trPr>
          <w:trHeight w:val="1234" w:hRule="atLeast"/>
        </w:trPr>
        <w:tc>
          <w:tcPr>
            <w:tcW w:w="784" w:type="dxa"/>
          </w:tcPr>
          <w:p>
            <w:pPr>
              <w:pStyle w:val="TableParagraph"/>
              <w:rPr>
                <w:rFonts w:ascii="Times New Roman"/>
                <w:sz w:val="20"/>
              </w:rPr>
            </w:pPr>
          </w:p>
        </w:tc>
        <w:tc>
          <w:tcPr>
            <w:tcW w:w="2033" w:type="dxa"/>
          </w:tcPr>
          <w:p>
            <w:pPr>
              <w:pStyle w:val="TableParagraph"/>
              <w:rPr>
                <w:rFonts w:ascii="Times New Roman"/>
                <w:sz w:val="20"/>
              </w:rPr>
            </w:pPr>
          </w:p>
        </w:tc>
        <w:tc>
          <w:tcPr>
            <w:tcW w:w="6397" w:type="dxa"/>
          </w:tcPr>
          <w:p>
            <w:pPr>
              <w:pStyle w:val="TableParagraph"/>
              <w:numPr>
                <w:ilvl w:val="0"/>
                <w:numId w:val="25"/>
              </w:numPr>
              <w:tabs>
                <w:tab w:pos="705" w:val="left" w:leader="none"/>
              </w:tabs>
              <w:spacing w:line="240" w:lineRule="auto" w:before="31" w:after="0"/>
              <w:ind w:left="704" w:right="0" w:hanging="530"/>
              <w:jc w:val="left"/>
              <w:rPr>
                <w:sz w:val="21"/>
              </w:rPr>
            </w:pPr>
            <w:r>
              <w:rPr>
                <w:spacing w:val="-8"/>
                <w:sz w:val="21"/>
              </w:rPr>
              <w:t>左室射血分数低于 </w:t>
            </w:r>
            <w:r>
              <w:rPr>
                <w:rFonts w:ascii="Times New Roman" w:eastAsia="Times New Roman"/>
                <w:spacing w:val="-4"/>
                <w:sz w:val="21"/>
              </w:rPr>
              <w:t>35%</w:t>
            </w:r>
            <w:r>
              <w:rPr>
                <w:spacing w:val="-4"/>
                <w:sz w:val="21"/>
              </w:rPr>
              <w:t>；</w:t>
            </w:r>
          </w:p>
          <w:p>
            <w:pPr>
              <w:pStyle w:val="TableParagraph"/>
              <w:numPr>
                <w:ilvl w:val="0"/>
                <w:numId w:val="25"/>
              </w:numPr>
              <w:tabs>
                <w:tab w:pos="705" w:val="left" w:leader="none"/>
              </w:tabs>
              <w:spacing w:line="240" w:lineRule="auto" w:before="5" w:after="0"/>
              <w:ind w:left="704" w:right="0" w:hanging="530"/>
              <w:jc w:val="left"/>
              <w:rPr>
                <w:sz w:val="21"/>
              </w:rPr>
            </w:pPr>
            <w:r>
              <w:rPr>
                <w:spacing w:val="-2"/>
                <w:sz w:val="21"/>
              </w:rPr>
              <w:t>左室舒张末期内径</w:t>
            </w:r>
            <w:r>
              <w:rPr>
                <w:rFonts w:ascii="Times New Roman" w:hAnsi="Times New Roman" w:eastAsia="Times New Roman"/>
                <w:spacing w:val="-2"/>
                <w:sz w:val="21"/>
              </w:rPr>
              <w:t>≥55mm</w:t>
            </w:r>
            <w:r>
              <w:rPr>
                <w:spacing w:val="-2"/>
                <w:sz w:val="21"/>
              </w:rPr>
              <w:t>；</w:t>
            </w:r>
          </w:p>
          <w:p>
            <w:pPr>
              <w:pStyle w:val="TableParagraph"/>
              <w:numPr>
                <w:ilvl w:val="0"/>
                <w:numId w:val="25"/>
              </w:numPr>
              <w:tabs>
                <w:tab w:pos="705" w:val="left" w:leader="none"/>
              </w:tabs>
              <w:spacing w:line="240" w:lineRule="auto" w:before="2" w:after="0"/>
              <w:ind w:left="704" w:right="0" w:hanging="530"/>
              <w:jc w:val="left"/>
              <w:rPr>
                <w:sz w:val="21"/>
              </w:rPr>
            </w:pPr>
            <w:r>
              <w:rPr>
                <w:rFonts w:ascii="Times New Roman" w:hAnsi="Times New Roman" w:eastAsia="Times New Roman"/>
                <w:sz w:val="21"/>
              </w:rPr>
              <w:t>QRS</w:t>
            </w:r>
            <w:r>
              <w:rPr>
                <w:rFonts w:ascii="Times New Roman" w:hAnsi="Times New Roman" w:eastAsia="Times New Roman"/>
                <w:spacing w:val="-4"/>
                <w:sz w:val="21"/>
              </w:rPr>
              <w:t> </w:t>
            </w:r>
            <w:r>
              <w:rPr>
                <w:sz w:val="21"/>
              </w:rPr>
              <w:t>时间</w:t>
            </w:r>
            <w:r>
              <w:rPr>
                <w:rFonts w:ascii="Times New Roman" w:hAnsi="Times New Roman" w:eastAsia="Times New Roman"/>
                <w:spacing w:val="-2"/>
                <w:sz w:val="21"/>
              </w:rPr>
              <w:t>≥130msec</w:t>
            </w:r>
            <w:r>
              <w:rPr>
                <w:spacing w:val="-2"/>
                <w:sz w:val="21"/>
              </w:rPr>
              <w:t>；</w:t>
            </w:r>
          </w:p>
          <w:p>
            <w:pPr>
              <w:pStyle w:val="TableParagraph"/>
              <w:numPr>
                <w:ilvl w:val="0"/>
                <w:numId w:val="25"/>
              </w:numPr>
              <w:tabs>
                <w:tab w:pos="705" w:val="left" w:leader="none"/>
              </w:tabs>
              <w:spacing w:line="240" w:lineRule="auto" w:before="4" w:after="0"/>
              <w:ind w:left="704" w:right="0" w:hanging="530"/>
              <w:jc w:val="left"/>
              <w:rPr>
                <w:sz w:val="21"/>
              </w:rPr>
            </w:pPr>
            <w:r>
              <w:rPr>
                <w:spacing w:val="-3"/>
                <w:sz w:val="21"/>
              </w:rPr>
              <w:t>药物治疗效果不佳，仍有症状。</w:t>
            </w:r>
          </w:p>
        </w:tc>
      </w:tr>
      <w:tr>
        <w:trPr>
          <w:trHeight w:val="398" w:hRule="atLeast"/>
        </w:trPr>
        <w:tc>
          <w:tcPr>
            <w:tcW w:w="784" w:type="dxa"/>
          </w:tcPr>
          <w:p>
            <w:pPr>
              <w:pStyle w:val="TableParagraph"/>
              <w:spacing w:before="121"/>
              <w:ind w:left="50"/>
              <w:rPr>
                <w:rFonts w:ascii="Times New Roman"/>
                <w:sz w:val="21"/>
              </w:rPr>
            </w:pPr>
            <w:r>
              <w:rPr>
                <w:rFonts w:ascii="Times New Roman"/>
                <w:spacing w:val="-4"/>
                <w:sz w:val="21"/>
              </w:rPr>
              <w:t>9.20</w:t>
            </w:r>
          </w:p>
        </w:tc>
        <w:tc>
          <w:tcPr>
            <w:tcW w:w="2033" w:type="dxa"/>
          </w:tcPr>
          <w:p>
            <w:pPr>
              <w:pStyle w:val="TableParagraph"/>
              <w:spacing w:line="250" w:lineRule="exact" w:before="129"/>
              <w:ind w:left="365"/>
              <w:rPr>
                <w:b/>
                <w:sz w:val="21"/>
              </w:rPr>
            </w:pPr>
            <w:r>
              <w:rPr>
                <w:b/>
                <w:spacing w:val="-2"/>
                <w:sz w:val="21"/>
              </w:rPr>
              <w:t>心脏粘液瘤</w:t>
            </w:r>
          </w:p>
        </w:tc>
        <w:tc>
          <w:tcPr>
            <w:tcW w:w="6397" w:type="dxa"/>
          </w:tcPr>
          <w:p>
            <w:pPr>
              <w:pStyle w:val="TableParagraph"/>
              <w:spacing w:line="250" w:lineRule="exact" w:before="129"/>
              <w:ind w:left="175"/>
              <w:rPr>
                <w:sz w:val="21"/>
              </w:rPr>
            </w:pPr>
            <w:r>
              <w:rPr>
                <w:spacing w:val="-1"/>
                <w:sz w:val="21"/>
              </w:rPr>
              <w:t>指为了治疗心脏粘液瘤，实际实施了开胸开心心脏粘液瘤切除手</w:t>
            </w:r>
          </w:p>
        </w:tc>
      </w:tr>
      <w:tr>
        <w:trPr>
          <w:trHeight w:val="272" w:hRule="atLeast"/>
        </w:trPr>
        <w:tc>
          <w:tcPr>
            <w:tcW w:w="784" w:type="dxa"/>
          </w:tcPr>
          <w:p>
            <w:pPr>
              <w:pStyle w:val="TableParagraph"/>
              <w:rPr>
                <w:rFonts w:ascii="Times New Roman"/>
                <w:sz w:val="20"/>
              </w:rPr>
            </w:pPr>
          </w:p>
        </w:tc>
        <w:tc>
          <w:tcPr>
            <w:tcW w:w="2033" w:type="dxa"/>
          </w:tcPr>
          <w:p>
            <w:pPr>
              <w:pStyle w:val="TableParagraph"/>
              <w:rPr>
                <w:rFonts w:ascii="Times New Roman"/>
                <w:sz w:val="20"/>
              </w:rPr>
            </w:pPr>
          </w:p>
        </w:tc>
        <w:tc>
          <w:tcPr>
            <w:tcW w:w="6397" w:type="dxa"/>
          </w:tcPr>
          <w:p>
            <w:pPr>
              <w:pStyle w:val="TableParagraph"/>
              <w:spacing w:line="251" w:lineRule="exact" w:before="1"/>
              <w:ind w:left="175"/>
              <w:rPr>
                <w:sz w:val="21"/>
              </w:rPr>
            </w:pPr>
            <w:r>
              <w:rPr>
                <w:spacing w:val="-5"/>
                <w:sz w:val="21"/>
              </w:rPr>
              <w:t>术。</w:t>
            </w:r>
          </w:p>
        </w:tc>
      </w:tr>
      <w:tr>
        <w:trPr>
          <w:trHeight w:val="379" w:hRule="atLeast"/>
        </w:trPr>
        <w:tc>
          <w:tcPr>
            <w:tcW w:w="784" w:type="dxa"/>
          </w:tcPr>
          <w:p>
            <w:pPr>
              <w:pStyle w:val="TableParagraph"/>
              <w:rPr>
                <w:rFonts w:ascii="Times New Roman"/>
                <w:sz w:val="20"/>
              </w:rPr>
            </w:pPr>
          </w:p>
        </w:tc>
        <w:tc>
          <w:tcPr>
            <w:tcW w:w="2033" w:type="dxa"/>
          </w:tcPr>
          <w:p>
            <w:pPr>
              <w:pStyle w:val="TableParagraph"/>
              <w:rPr>
                <w:rFonts w:ascii="Times New Roman"/>
                <w:sz w:val="20"/>
              </w:rPr>
            </w:pPr>
          </w:p>
        </w:tc>
        <w:tc>
          <w:tcPr>
            <w:tcW w:w="6397" w:type="dxa"/>
          </w:tcPr>
          <w:p>
            <w:pPr>
              <w:pStyle w:val="TableParagraph"/>
              <w:spacing w:before="2"/>
              <w:ind w:left="175"/>
              <w:rPr>
                <w:b/>
                <w:sz w:val="21"/>
              </w:rPr>
            </w:pPr>
            <w:r>
              <w:rPr>
                <w:b/>
                <w:spacing w:val="-3"/>
                <w:sz w:val="21"/>
              </w:rPr>
              <w:t>经导管介入手术治疗不在本保障范围内。</w:t>
            </w:r>
          </w:p>
        </w:tc>
      </w:tr>
      <w:tr>
        <w:trPr>
          <w:trHeight w:val="406" w:hRule="atLeast"/>
        </w:trPr>
        <w:tc>
          <w:tcPr>
            <w:tcW w:w="784" w:type="dxa"/>
          </w:tcPr>
          <w:p>
            <w:pPr>
              <w:pStyle w:val="TableParagraph"/>
              <w:spacing w:before="129"/>
              <w:ind w:left="50"/>
              <w:rPr>
                <w:rFonts w:ascii="Times New Roman"/>
                <w:sz w:val="21"/>
              </w:rPr>
            </w:pPr>
            <w:r>
              <w:rPr>
                <w:rFonts w:ascii="Times New Roman"/>
                <w:spacing w:val="-4"/>
                <w:sz w:val="21"/>
              </w:rPr>
              <w:t>9.21</w:t>
            </w:r>
          </w:p>
        </w:tc>
        <w:tc>
          <w:tcPr>
            <w:tcW w:w="2033" w:type="dxa"/>
          </w:tcPr>
          <w:p>
            <w:pPr>
              <w:pStyle w:val="TableParagraph"/>
              <w:spacing w:line="250" w:lineRule="exact" w:before="137"/>
              <w:ind w:left="365"/>
              <w:rPr>
                <w:b/>
                <w:sz w:val="21"/>
              </w:rPr>
            </w:pPr>
            <w:r>
              <w:rPr>
                <w:b/>
                <w:spacing w:val="-2"/>
                <w:sz w:val="21"/>
              </w:rPr>
              <w:t>风湿热导致的心</w:t>
            </w:r>
          </w:p>
        </w:tc>
        <w:tc>
          <w:tcPr>
            <w:tcW w:w="6397" w:type="dxa"/>
          </w:tcPr>
          <w:p>
            <w:pPr>
              <w:pStyle w:val="TableParagraph"/>
              <w:spacing w:line="250" w:lineRule="exact" w:before="137"/>
              <w:ind w:left="175"/>
              <w:rPr>
                <w:sz w:val="21"/>
              </w:rPr>
            </w:pPr>
            <w:r>
              <w:rPr>
                <w:spacing w:val="-3"/>
                <w:sz w:val="21"/>
              </w:rPr>
              <w:t>指湿热反复发作并发心脏瓣膜损害，导致慢性心脏瓣膜病，引起心</w:t>
            </w:r>
          </w:p>
        </w:tc>
      </w:tr>
      <w:tr>
        <w:trPr>
          <w:trHeight w:val="269" w:hRule="atLeast"/>
        </w:trPr>
        <w:tc>
          <w:tcPr>
            <w:tcW w:w="784" w:type="dxa"/>
          </w:tcPr>
          <w:p>
            <w:pPr>
              <w:pStyle w:val="TableParagraph"/>
              <w:rPr>
                <w:rFonts w:ascii="Times New Roman"/>
                <w:sz w:val="18"/>
              </w:rPr>
            </w:pPr>
          </w:p>
        </w:tc>
        <w:tc>
          <w:tcPr>
            <w:tcW w:w="2033" w:type="dxa"/>
          </w:tcPr>
          <w:p>
            <w:pPr>
              <w:pStyle w:val="TableParagraph"/>
              <w:spacing w:line="248" w:lineRule="exact" w:before="1"/>
              <w:ind w:left="365"/>
              <w:rPr>
                <w:b/>
                <w:sz w:val="21"/>
              </w:rPr>
            </w:pPr>
            <w:r>
              <w:rPr>
                <w:b/>
                <w:spacing w:val="-3"/>
                <w:sz w:val="21"/>
              </w:rPr>
              <w:t>脏瓣膜病</w:t>
            </w:r>
          </w:p>
        </w:tc>
        <w:tc>
          <w:tcPr>
            <w:tcW w:w="6397" w:type="dxa"/>
          </w:tcPr>
          <w:p>
            <w:pPr>
              <w:pStyle w:val="TableParagraph"/>
              <w:spacing w:line="248" w:lineRule="exact" w:before="1"/>
              <w:ind w:left="175"/>
              <w:rPr>
                <w:sz w:val="21"/>
              </w:rPr>
            </w:pPr>
            <w:r>
              <w:rPr>
                <w:spacing w:val="-3"/>
                <w:sz w:val="21"/>
              </w:rPr>
              <w:t>脏瓣膜狭窄、关闭不全。必须满足下列所有条件：</w:t>
            </w:r>
          </w:p>
        </w:tc>
      </w:tr>
      <w:tr>
        <w:trPr>
          <w:trHeight w:val="1198" w:hRule="atLeast"/>
        </w:trPr>
        <w:tc>
          <w:tcPr>
            <w:tcW w:w="784" w:type="dxa"/>
          </w:tcPr>
          <w:p>
            <w:pPr>
              <w:pStyle w:val="TableParagraph"/>
              <w:rPr>
                <w:rFonts w:ascii="Times New Roman"/>
                <w:sz w:val="20"/>
              </w:rPr>
            </w:pPr>
          </w:p>
        </w:tc>
        <w:tc>
          <w:tcPr>
            <w:tcW w:w="2033" w:type="dxa"/>
          </w:tcPr>
          <w:p>
            <w:pPr>
              <w:pStyle w:val="TableParagraph"/>
              <w:rPr>
                <w:rFonts w:ascii="Times New Roman"/>
                <w:sz w:val="20"/>
              </w:rPr>
            </w:pPr>
          </w:p>
        </w:tc>
        <w:tc>
          <w:tcPr>
            <w:tcW w:w="6397" w:type="dxa"/>
          </w:tcPr>
          <w:p>
            <w:pPr>
              <w:pStyle w:val="TableParagraph"/>
              <w:numPr>
                <w:ilvl w:val="0"/>
                <w:numId w:val="26"/>
              </w:numPr>
              <w:tabs>
                <w:tab w:pos="705" w:val="left" w:leader="none"/>
              </w:tabs>
              <w:spacing w:line="240" w:lineRule="auto" w:before="6" w:after="0"/>
              <w:ind w:left="704" w:right="0" w:hanging="530"/>
              <w:jc w:val="left"/>
              <w:rPr>
                <w:sz w:val="21"/>
              </w:rPr>
            </w:pPr>
            <w:r>
              <w:rPr>
                <w:spacing w:val="-4"/>
                <w:sz w:val="21"/>
              </w:rPr>
              <w:t>风湿热病史；</w:t>
            </w:r>
          </w:p>
          <w:p>
            <w:pPr>
              <w:pStyle w:val="TableParagraph"/>
              <w:numPr>
                <w:ilvl w:val="0"/>
                <w:numId w:val="26"/>
              </w:numPr>
              <w:tabs>
                <w:tab w:pos="705" w:val="left" w:leader="none"/>
              </w:tabs>
              <w:spacing w:line="240" w:lineRule="auto" w:before="2" w:after="0"/>
              <w:ind w:left="704" w:right="0" w:hanging="530"/>
              <w:jc w:val="left"/>
              <w:rPr>
                <w:sz w:val="21"/>
              </w:rPr>
            </w:pPr>
            <w:r>
              <w:rPr>
                <w:spacing w:val="-3"/>
                <w:sz w:val="21"/>
              </w:rPr>
              <w:t>慢性心脏瓣膜病病史；</w:t>
            </w:r>
          </w:p>
          <w:p>
            <w:pPr>
              <w:pStyle w:val="TableParagraph"/>
              <w:numPr>
                <w:ilvl w:val="0"/>
                <w:numId w:val="26"/>
              </w:numPr>
              <w:tabs>
                <w:tab w:pos="705" w:val="left" w:leader="none"/>
              </w:tabs>
              <w:spacing w:line="240" w:lineRule="auto" w:before="4" w:after="0"/>
              <w:ind w:left="704" w:right="0" w:hanging="530"/>
              <w:jc w:val="left"/>
              <w:rPr>
                <w:sz w:val="21"/>
              </w:rPr>
            </w:pPr>
            <w:r>
              <w:rPr>
                <w:spacing w:val="-3"/>
                <w:sz w:val="21"/>
              </w:rPr>
              <w:t>实际接受了开胸开心进行的心脏瓣膜置换手术。</w:t>
            </w:r>
          </w:p>
          <w:p>
            <w:pPr>
              <w:pStyle w:val="TableParagraph"/>
              <w:spacing w:before="3"/>
              <w:ind w:left="175"/>
              <w:rPr>
                <w:b/>
                <w:sz w:val="21"/>
              </w:rPr>
            </w:pPr>
            <w:r>
              <w:rPr>
                <w:b/>
                <w:spacing w:val="-3"/>
                <w:sz w:val="21"/>
              </w:rPr>
              <w:t>经导管进行的瓣膜置换手术或瓣膜成形手术不在保障范围内。</w:t>
            </w:r>
          </w:p>
        </w:tc>
      </w:tr>
      <w:tr>
        <w:trPr>
          <w:trHeight w:val="407" w:hRule="atLeast"/>
        </w:trPr>
        <w:tc>
          <w:tcPr>
            <w:tcW w:w="784" w:type="dxa"/>
          </w:tcPr>
          <w:p>
            <w:pPr>
              <w:pStyle w:val="TableParagraph"/>
              <w:spacing w:before="129"/>
              <w:ind w:left="50"/>
              <w:rPr>
                <w:rFonts w:ascii="Times New Roman"/>
                <w:sz w:val="21"/>
              </w:rPr>
            </w:pPr>
            <w:r>
              <w:rPr>
                <w:rFonts w:ascii="Times New Roman"/>
                <w:spacing w:val="-4"/>
                <w:sz w:val="21"/>
              </w:rPr>
              <w:t>9.22</w:t>
            </w:r>
          </w:p>
        </w:tc>
        <w:tc>
          <w:tcPr>
            <w:tcW w:w="2033" w:type="dxa"/>
          </w:tcPr>
          <w:p>
            <w:pPr>
              <w:pStyle w:val="TableParagraph"/>
              <w:spacing w:line="251" w:lineRule="exact" w:before="137"/>
              <w:ind w:left="365"/>
              <w:rPr>
                <w:b/>
                <w:sz w:val="21"/>
              </w:rPr>
            </w:pPr>
            <w:r>
              <w:rPr>
                <w:b/>
                <w:spacing w:val="-2"/>
                <w:sz w:val="21"/>
              </w:rPr>
              <w:t>严重大动脉炎</w:t>
            </w:r>
          </w:p>
        </w:tc>
        <w:tc>
          <w:tcPr>
            <w:tcW w:w="6397" w:type="dxa"/>
          </w:tcPr>
          <w:p>
            <w:pPr>
              <w:pStyle w:val="TableParagraph"/>
              <w:spacing w:line="251" w:lineRule="exact" w:before="137"/>
              <w:ind w:left="175"/>
              <w:rPr>
                <w:sz w:val="21"/>
              </w:rPr>
            </w:pPr>
            <w:r>
              <w:rPr>
                <w:spacing w:val="-3"/>
                <w:sz w:val="21"/>
              </w:rPr>
              <w:t>指经心脏或血管外科专科医生确诊的大动脉炎，须满足下列全部条</w:t>
            </w:r>
          </w:p>
        </w:tc>
      </w:tr>
      <w:tr>
        <w:trPr>
          <w:trHeight w:val="269" w:hRule="atLeast"/>
        </w:trPr>
        <w:tc>
          <w:tcPr>
            <w:tcW w:w="784" w:type="dxa"/>
          </w:tcPr>
          <w:p>
            <w:pPr>
              <w:pStyle w:val="TableParagraph"/>
              <w:rPr>
                <w:rFonts w:ascii="Times New Roman"/>
                <w:sz w:val="18"/>
              </w:rPr>
            </w:pPr>
          </w:p>
        </w:tc>
        <w:tc>
          <w:tcPr>
            <w:tcW w:w="2033" w:type="dxa"/>
          </w:tcPr>
          <w:p>
            <w:pPr>
              <w:pStyle w:val="TableParagraph"/>
              <w:rPr>
                <w:rFonts w:ascii="Times New Roman"/>
                <w:sz w:val="18"/>
              </w:rPr>
            </w:pPr>
          </w:p>
        </w:tc>
        <w:tc>
          <w:tcPr>
            <w:tcW w:w="6397" w:type="dxa"/>
          </w:tcPr>
          <w:p>
            <w:pPr>
              <w:pStyle w:val="TableParagraph"/>
              <w:spacing w:line="246" w:lineRule="exact" w:before="2"/>
              <w:ind w:left="175"/>
              <w:rPr>
                <w:sz w:val="21"/>
              </w:rPr>
            </w:pPr>
            <w:r>
              <w:rPr>
                <w:spacing w:val="-5"/>
                <w:sz w:val="21"/>
              </w:rPr>
              <w:t>件：</w:t>
            </w:r>
          </w:p>
        </w:tc>
      </w:tr>
      <w:tr>
        <w:trPr>
          <w:trHeight w:val="789" w:hRule="atLeast"/>
        </w:trPr>
        <w:tc>
          <w:tcPr>
            <w:tcW w:w="784" w:type="dxa"/>
          </w:tcPr>
          <w:p>
            <w:pPr>
              <w:pStyle w:val="TableParagraph"/>
              <w:rPr>
                <w:rFonts w:ascii="Times New Roman"/>
                <w:sz w:val="20"/>
              </w:rPr>
            </w:pPr>
          </w:p>
        </w:tc>
        <w:tc>
          <w:tcPr>
            <w:tcW w:w="2033" w:type="dxa"/>
          </w:tcPr>
          <w:p>
            <w:pPr>
              <w:pStyle w:val="TableParagraph"/>
              <w:rPr>
                <w:rFonts w:ascii="Times New Roman"/>
                <w:sz w:val="20"/>
              </w:rPr>
            </w:pPr>
          </w:p>
        </w:tc>
        <w:tc>
          <w:tcPr>
            <w:tcW w:w="6397" w:type="dxa"/>
          </w:tcPr>
          <w:p>
            <w:pPr>
              <w:pStyle w:val="TableParagraph"/>
              <w:numPr>
                <w:ilvl w:val="0"/>
                <w:numId w:val="27"/>
              </w:numPr>
              <w:tabs>
                <w:tab w:pos="705" w:val="left" w:leader="none"/>
              </w:tabs>
              <w:spacing w:line="240" w:lineRule="auto" w:before="5" w:after="0"/>
              <w:ind w:left="704" w:right="0" w:hanging="530"/>
              <w:jc w:val="left"/>
              <w:rPr>
                <w:sz w:val="21"/>
              </w:rPr>
            </w:pPr>
            <w:r>
              <w:rPr>
                <w:spacing w:val="-2"/>
                <w:sz w:val="21"/>
              </w:rPr>
              <w:t>红细胞沉降率及</w:t>
            </w:r>
            <w:r>
              <w:rPr>
                <w:rFonts w:ascii="Times New Roman" w:eastAsia="Times New Roman"/>
                <w:spacing w:val="-2"/>
                <w:sz w:val="21"/>
              </w:rPr>
              <w:t>C</w:t>
            </w:r>
            <w:r>
              <w:rPr>
                <w:spacing w:val="-3"/>
                <w:sz w:val="21"/>
              </w:rPr>
              <w:t>反应蛋白高于正常值；</w:t>
            </w:r>
          </w:p>
          <w:p>
            <w:pPr>
              <w:pStyle w:val="TableParagraph"/>
              <w:numPr>
                <w:ilvl w:val="0"/>
                <w:numId w:val="27"/>
              </w:numPr>
              <w:tabs>
                <w:tab w:pos="705" w:val="left" w:leader="none"/>
              </w:tabs>
              <w:spacing w:line="270" w:lineRule="atLeast" w:before="0" w:after="0"/>
              <w:ind w:left="701" w:right="129" w:hanging="526"/>
              <w:jc w:val="left"/>
              <w:rPr>
                <w:sz w:val="21"/>
              </w:rPr>
            </w:pPr>
            <w:r>
              <w:rPr>
                <w:spacing w:val="-21"/>
                <w:sz w:val="21"/>
              </w:rPr>
              <w:t>超声检查、</w:t>
            </w:r>
            <w:r>
              <w:rPr>
                <w:rFonts w:ascii="Times New Roman" w:eastAsia="Times New Roman"/>
                <w:spacing w:val="-2"/>
                <w:sz w:val="21"/>
              </w:rPr>
              <w:t>CTA</w:t>
            </w:r>
            <w:r>
              <w:rPr>
                <w:spacing w:val="-2"/>
                <w:sz w:val="21"/>
              </w:rPr>
              <w:t>检查或血管造影检查证实主动脉及其主要分支</w:t>
            </w:r>
            <w:r>
              <w:rPr>
                <w:spacing w:val="-2"/>
                <w:sz w:val="21"/>
              </w:rPr>
              <w:t>存在狭窄。</w:t>
            </w:r>
          </w:p>
        </w:tc>
      </w:tr>
    </w:tbl>
    <w:p>
      <w:pPr>
        <w:pStyle w:val="BodyText"/>
        <w:spacing w:before="8"/>
      </w:pPr>
    </w:p>
    <w:p>
      <w:pPr>
        <w:pStyle w:val="Heading2"/>
        <w:numPr>
          <w:ilvl w:val="0"/>
          <w:numId w:val="10"/>
        </w:numPr>
        <w:tabs>
          <w:tab w:pos="1341" w:val="left" w:leader="none"/>
          <w:tab w:pos="1342" w:val="left" w:leader="none"/>
        </w:tabs>
        <w:spacing w:line="240" w:lineRule="auto" w:before="77" w:after="0"/>
        <w:ind w:left="1341" w:right="0" w:hanging="1100"/>
        <w:jc w:val="left"/>
      </w:pPr>
      <w:r>
        <w:rPr>
          <w:w w:val="95"/>
        </w:rPr>
        <w:t>其他需</w:t>
      </w:r>
      <w:r>
        <w:rPr>
          <w:w w:val="95"/>
        </w:rPr>
        <w:t>要</w:t>
      </w:r>
      <w:r>
        <w:rPr>
          <w:w w:val="95"/>
        </w:rPr>
        <w:t>关</w:t>
      </w:r>
      <w:r>
        <w:rPr>
          <w:spacing w:val="-3"/>
          <w:w w:val="95"/>
        </w:rPr>
        <w:t>注的事项</w:t>
      </w:r>
    </w:p>
    <w:p>
      <w:pPr>
        <w:pStyle w:val="BodyText"/>
        <w:spacing w:before="7"/>
        <w:rPr>
          <w:b/>
          <w:sz w:val="3"/>
        </w:rPr>
      </w:pPr>
      <w:r>
        <w:rPr/>
        <w:drawing>
          <wp:anchor distT="0" distB="0" distL="0" distR="0" allowOverlap="1" layoutInCell="1" locked="0" behindDoc="0" simplePos="0" relativeHeight="10">
            <wp:simplePos x="0" y="0"/>
            <wp:positionH relativeFrom="page">
              <wp:posOffset>1012240</wp:posOffset>
            </wp:positionH>
            <wp:positionV relativeFrom="paragraph">
              <wp:posOffset>44474</wp:posOffset>
            </wp:positionV>
            <wp:extent cx="5870133" cy="6095"/>
            <wp:effectExtent l="0" t="0" r="0" b="0"/>
            <wp:wrapTopAndBottom/>
            <wp:docPr id="27" name="image5.png"/>
            <wp:cNvGraphicFramePr>
              <a:graphicFrameLocks noChangeAspect="1"/>
            </wp:cNvGraphicFramePr>
            <a:graphic>
              <a:graphicData uri="http://schemas.openxmlformats.org/drawingml/2006/picture">
                <pic:pic>
                  <pic:nvPicPr>
                    <pic:cNvPr id="28" name="image5.png"/>
                    <pic:cNvPicPr/>
                  </pic:nvPicPr>
                  <pic:blipFill>
                    <a:blip r:embed="rId10" cstate="print"/>
                    <a:stretch>
                      <a:fillRect/>
                    </a:stretch>
                  </pic:blipFill>
                  <pic:spPr>
                    <a:xfrm>
                      <a:off x="0" y="0"/>
                      <a:ext cx="5870133" cy="6095"/>
                    </a:xfrm>
                    <a:prstGeom prst="rect">
                      <a:avLst/>
                    </a:prstGeom>
                  </pic:spPr>
                </pic:pic>
              </a:graphicData>
            </a:graphic>
          </wp:anchor>
        </w:drawing>
      </w:r>
    </w:p>
    <w:p>
      <w:pPr>
        <w:pStyle w:val="BodyText"/>
        <w:spacing w:before="2"/>
        <w:rPr>
          <w:b/>
        </w:rPr>
      </w:pPr>
    </w:p>
    <w:p>
      <w:pPr>
        <w:pStyle w:val="ListParagraph"/>
        <w:numPr>
          <w:ilvl w:val="1"/>
          <w:numId w:val="10"/>
        </w:numPr>
        <w:tabs>
          <w:tab w:pos="1341" w:val="left" w:leader="none"/>
          <w:tab w:pos="1342" w:val="left" w:leader="none"/>
          <w:tab w:pos="3184" w:val="left" w:leader="none"/>
        </w:tabs>
        <w:spacing w:line="240" w:lineRule="auto" w:before="0" w:after="0"/>
        <w:ind w:left="1341" w:right="0" w:hanging="1100"/>
        <w:jc w:val="left"/>
        <w:rPr>
          <w:sz w:val="21"/>
        </w:rPr>
      </w:pPr>
      <w:r>
        <w:rPr>
          <w:b/>
          <w:sz w:val="21"/>
        </w:rPr>
        <w:t>年龄错</w:t>
      </w:r>
      <w:r>
        <w:rPr>
          <w:b/>
          <w:spacing w:val="-10"/>
          <w:sz w:val="21"/>
        </w:rPr>
        <w:t>误</w:t>
      </w:r>
      <w:r>
        <w:rPr>
          <w:b/>
          <w:sz w:val="21"/>
        </w:rPr>
        <w:tab/>
      </w:r>
      <w:r>
        <w:rPr>
          <w:sz w:val="21"/>
        </w:rPr>
        <w:t>本合同中被保险人的投保年龄以有效身份证件登记的周岁年龄</w:t>
      </w:r>
      <w:r>
        <w:rPr>
          <w:spacing w:val="-10"/>
          <w:sz w:val="21"/>
        </w:rPr>
        <w:t>为</w:t>
      </w:r>
    </w:p>
    <w:p>
      <w:pPr>
        <w:pStyle w:val="BodyText"/>
        <w:spacing w:before="2"/>
        <w:ind w:left="3185"/>
      </w:pPr>
      <w:r>
        <w:rPr>
          <w:spacing w:val="-3"/>
        </w:rPr>
        <w:t>准，如果发生错误按照下列方式办理：</w:t>
      </w:r>
    </w:p>
    <w:p>
      <w:pPr>
        <w:pStyle w:val="BodyText"/>
        <w:spacing w:before="1"/>
        <w:rPr>
          <w:sz w:val="19"/>
        </w:rPr>
      </w:pPr>
    </w:p>
    <w:p>
      <w:pPr>
        <w:pStyle w:val="ListParagraph"/>
        <w:numPr>
          <w:ilvl w:val="0"/>
          <w:numId w:val="28"/>
        </w:numPr>
        <w:tabs>
          <w:tab w:pos="3719" w:val="left" w:leader="none"/>
        </w:tabs>
        <w:spacing w:line="242" w:lineRule="auto" w:before="0" w:after="0"/>
        <w:ind w:left="3710" w:right="451" w:hanging="526"/>
        <w:jc w:val="both"/>
        <w:rPr>
          <w:sz w:val="21"/>
        </w:rPr>
      </w:pPr>
      <w:r>
        <w:rPr>
          <w:b/>
          <w:spacing w:val="-2"/>
          <w:sz w:val="21"/>
        </w:rPr>
        <w:t>您申报的被保险人年龄不真实，并且其真实年龄不符合本合</w:t>
      </w:r>
      <w:r>
        <w:rPr>
          <w:b/>
          <w:spacing w:val="-2"/>
          <w:sz w:val="21"/>
        </w:rPr>
        <w:t>同约定投保年龄限制的，我们有权解除合同，并向您退还本</w:t>
      </w:r>
      <w:r>
        <w:rPr>
          <w:b/>
          <w:spacing w:val="-2"/>
          <w:sz w:val="21"/>
        </w:rPr>
        <w:t>合同的未满期净保险费。</w:t>
      </w:r>
      <w:r>
        <w:rPr>
          <w:spacing w:val="-2"/>
          <w:sz w:val="21"/>
        </w:rPr>
        <w:t>我们行使合同解除权适用</w:t>
      </w:r>
      <w:r>
        <w:rPr>
          <w:rFonts w:ascii="Times New Roman" w:hAnsi="Times New Roman" w:eastAsia="Times New Roman"/>
          <w:spacing w:val="-2"/>
          <w:sz w:val="21"/>
        </w:rPr>
        <w:t>“</w:t>
      </w:r>
      <w:r>
        <w:rPr>
          <w:spacing w:val="-2"/>
          <w:sz w:val="21"/>
        </w:rPr>
        <w:t>本公司合</w:t>
      </w:r>
      <w:r>
        <w:rPr>
          <w:spacing w:val="-2"/>
          <w:sz w:val="21"/>
        </w:rPr>
        <w:t>同解除权的限制</w:t>
      </w:r>
      <w:r>
        <w:rPr>
          <w:rFonts w:ascii="Times New Roman" w:hAnsi="Times New Roman" w:eastAsia="Times New Roman"/>
          <w:spacing w:val="-2"/>
          <w:sz w:val="21"/>
        </w:rPr>
        <w:t>”</w:t>
      </w:r>
      <w:r>
        <w:rPr>
          <w:spacing w:val="-2"/>
          <w:sz w:val="21"/>
        </w:rPr>
        <w:t>的规定；</w:t>
      </w:r>
    </w:p>
    <w:p>
      <w:pPr>
        <w:spacing w:after="0" w:line="242" w:lineRule="auto"/>
        <w:jc w:val="both"/>
        <w:rPr>
          <w:sz w:val="21"/>
        </w:rPr>
        <w:sectPr>
          <w:pgSz w:w="11910" w:h="16840"/>
          <w:pgMar w:header="0" w:footer="879" w:top="1140" w:bottom="1060" w:left="1460" w:right="720"/>
        </w:sectPr>
      </w:pPr>
    </w:p>
    <w:p>
      <w:pPr>
        <w:pStyle w:val="ListParagraph"/>
        <w:numPr>
          <w:ilvl w:val="0"/>
          <w:numId w:val="28"/>
        </w:numPr>
        <w:tabs>
          <w:tab w:pos="3721" w:val="left" w:leader="none"/>
        </w:tabs>
        <w:spacing w:line="242" w:lineRule="auto" w:before="58" w:after="0"/>
        <w:ind w:left="3710" w:right="450" w:hanging="526"/>
        <w:jc w:val="both"/>
        <w:rPr>
          <w:b/>
          <w:sz w:val="21"/>
        </w:rPr>
      </w:pPr>
      <w:r>
        <w:rPr>
          <w:spacing w:val="-2"/>
          <w:sz w:val="21"/>
        </w:rPr>
        <w:t>您申报的被保险人年龄不真实，致使您实付保险费少于应付</w:t>
      </w:r>
      <w:r>
        <w:rPr>
          <w:spacing w:val="-2"/>
          <w:sz w:val="21"/>
        </w:rPr>
        <w:t>保险费的，我们有权更正并要求您补付保险费。</w:t>
      </w:r>
      <w:r>
        <w:rPr>
          <w:b/>
          <w:spacing w:val="-2"/>
          <w:sz w:val="21"/>
        </w:rPr>
        <w:t>若已经发生保险事故，在给付保险金时按实付保险费和应付保险费的比</w:t>
      </w:r>
      <w:r>
        <w:rPr>
          <w:b/>
          <w:spacing w:val="-4"/>
          <w:sz w:val="21"/>
        </w:rPr>
        <w:t>例给付；</w:t>
      </w:r>
    </w:p>
    <w:p>
      <w:pPr>
        <w:pStyle w:val="BodyText"/>
        <w:spacing w:before="1"/>
        <w:rPr>
          <w:b/>
          <w:sz w:val="19"/>
        </w:rPr>
      </w:pPr>
    </w:p>
    <w:p>
      <w:pPr>
        <w:pStyle w:val="ListParagraph"/>
        <w:numPr>
          <w:ilvl w:val="0"/>
          <w:numId w:val="28"/>
        </w:numPr>
        <w:tabs>
          <w:tab w:pos="3721" w:val="left" w:leader="none"/>
        </w:tabs>
        <w:spacing w:line="242" w:lineRule="auto" w:before="1" w:after="0"/>
        <w:ind w:left="3710" w:right="450" w:hanging="526"/>
        <w:jc w:val="left"/>
        <w:rPr>
          <w:sz w:val="21"/>
        </w:rPr>
      </w:pPr>
      <w:r>
        <w:rPr>
          <w:spacing w:val="-2"/>
          <w:sz w:val="21"/>
        </w:rPr>
        <w:t>您申报的被保险人年龄不真实，致使您实付保险费多于应付</w:t>
      </w:r>
      <w:r>
        <w:rPr>
          <w:spacing w:val="-2"/>
          <w:sz w:val="21"/>
        </w:rPr>
        <w:t>保险费的，我们会将多收的保险费退还给您。</w:t>
      </w:r>
    </w:p>
    <w:p>
      <w:pPr>
        <w:pStyle w:val="BodyText"/>
        <w:spacing w:before="4"/>
        <w:rPr>
          <w:sz w:val="18"/>
        </w:rPr>
      </w:pPr>
    </w:p>
    <w:p>
      <w:pPr>
        <w:pStyle w:val="Heading3"/>
        <w:numPr>
          <w:ilvl w:val="1"/>
          <w:numId w:val="10"/>
        </w:numPr>
        <w:tabs>
          <w:tab w:pos="1341" w:val="left" w:leader="none"/>
          <w:tab w:pos="1342" w:val="left" w:leader="none"/>
          <w:tab w:pos="3184" w:val="left" w:leader="none"/>
        </w:tabs>
        <w:spacing w:line="240" w:lineRule="auto" w:before="0" w:after="0"/>
        <w:ind w:left="1341" w:right="0" w:hanging="1100"/>
        <w:jc w:val="left"/>
      </w:pPr>
      <w:r>
        <w:rPr/>
        <w:t>未还款</w:t>
      </w:r>
      <w:r>
        <w:rPr>
          <w:spacing w:val="-10"/>
        </w:rPr>
        <w:t>项</w:t>
      </w:r>
      <w:r>
        <w:rPr/>
        <w:tab/>
      </w:r>
      <w:r>
        <w:rPr>
          <w:spacing w:val="-2"/>
        </w:rPr>
        <w:t>我</w:t>
      </w:r>
      <w:r>
        <w:rPr>
          <w:spacing w:val="-2"/>
        </w:rPr>
        <w:t>们</w:t>
      </w:r>
      <w:r>
        <w:rPr>
          <w:spacing w:val="-2"/>
        </w:rPr>
        <w:t>在</w:t>
      </w:r>
      <w:r>
        <w:rPr>
          <w:spacing w:val="-2"/>
        </w:rPr>
        <w:t>给</w:t>
      </w:r>
      <w:r>
        <w:rPr>
          <w:spacing w:val="-2"/>
        </w:rPr>
        <w:t>付</w:t>
      </w:r>
      <w:r>
        <w:rPr>
          <w:spacing w:val="-2"/>
        </w:rPr>
        <w:t>各</w:t>
      </w:r>
      <w:r>
        <w:rPr>
          <w:spacing w:val="-2"/>
        </w:rPr>
        <w:t>项</w:t>
      </w:r>
      <w:r>
        <w:rPr>
          <w:spacing w:val="-2"/>
        </w:rPr>
        <w:t>保</w:t>
      </w:r>
      <w:r>
        <w:rPr>
          <w:spacing w:val="-2"/>
        </w:rPr>
        <w:t>险金、</w:t>
      </w:r>
      <w:r>
        <w:rPr>
          <w:spacing w:val="-2"/>
        </w:rPr>
        <w:t>退</w:t>
      </w:r>
      <w:r>
        <w:rPr>
          <w:spacing w:val="-2"/>
        </w:rPr>
        <w:t>还</w:t>
      </w:r>
      <w:r>
        <w:rPr>
          <w:spacing w:val="-2"/>
        </w:rPr>
        <w:t>未</w:t>
      </w:r>
      <w:r>
        <w:rPr>
          <w:spacing w:val="-2"/>
        </w:rPr>
        <w:t>满</w:t>
      </w:r>
      <w:r>
        <w:rPr>
          <w:spacing w:val="-2"/>
        </w:rPr>
        <w:t>期</w:t>
      </w:r>
      <w:r>
        <w:rPr>
          <w:spacing w:val="-2"/>
        </w:rPr>
        <w:t>净</w:t>
      </w:r>
      <w:r>
        <w:rPr>
          <w:spacing w:val="-2"/>
        </w:rPr>
        <w:t>保</w:t>
      </w:r>
      <w:r>
        <w:rPr>
          <w:spacing w:val="-2"/>
        </w:rPr>
        <w:t>险</w:t>
      </w:r>
      <w:r>
        <w:rPr>
          <w:spacing w:val="-2"/>
        </w:rPr>
        <w:t>费或返</w:t>
      </w:r>
      <w:r>
        <w:rPr>
          <w:spacing w:val="-2"/>
        </w:rPr>
        <w:t>还</w:t>
      </w:r>
      <w:r>
        <w:rPr>
          <w:spacing w:val="-2"/>
        </w:rPr>
        <w:t>保</w:t>
      </w:r>
      <w:r>
        <w:rPr>
          <w:spacing w:val="-2"/>
        </w:rPr>
        <w:t>险</w:t>
      </w:r>
      <w:r>
        <w:rPr>
          <w:spacing w:val="-2"/>
        </w:rPr>
        <w:t>费</w:t>
      </w:r>
      <w:r>
        <w:rPr>
          <w:spacing w:val="-2"/>
        </w:rPr>
        <w:t>时</w:t>
      </w:r>
      <w:r>
        <w:rPr>
          <w:spacing w:val="-2"/>
        </w:rPr>
        <w:t>，</w:t>
      </w:r>
      <w:r>
        <w:rPr>
          <w:spacing w:val="-10"/>
        </w:rPr>
        <w:t>如</w:t>
      </w:r>
    </w:p>
    <w:p>
      <w:pPr>
        <w:spacing w:line="242" w:lineRule="auto" w:before="5"/>
        <w:ind w:left="3185" w:right="452" w:firstLine="0"/>
        <w:jc w:val="left"/>
        <w:rPr>
          <w:b/>
          <w:sz w:val="21"/>
        </w:rPr>
      </w:pPr>
      <w:r>
        <w:rPr>
          <w:b/>
          <w:spacing w:val="-2"/>
          <w:sz w:val="21"/>
        </w:rPr>
        <w:t>果您有欠付的保险费或其他未还款项，我们会在扣除上述欠款后给</w:t>
      </w:r>
      <w:r>
        <w:rPr>
          <w:b/>
          <w:spacing w:val="-6"/>
          <w:sz w:val="21"/>
        </w:rPr>
        <w:t>付。</w:t>
      </w:r>
    </w:p>
    <w:p>
      <w:pPr>
        <w:pStyle w:val="BodyText"/>
        <w:spacing w:before="4"/>
        <w:rPr>
          <w:b/>
          <w:sz w:val="18"/>
        </w:rPr>
      </w:pPr>
    </w:p>
    <w:p>
      <w:pPr>
        <w:pStyle w:val="ListParagraph"/>
        <w:numPr>
          <w:ilvl w:val="1"/>
          <w:numId w:val="10"/>
        </w:numPr>
        <w:tabs>
          <w:tab w:pos="1341" w:val="left" w:leader="none"/>
          <w:tab w:pos="1342" w:val="left" w:leader="none"/>
          <w:tab w:pos="3184" w:val="left" w:leader="none"/>
        </w:tabs>
        <w:spacing w:line="240" w:lineRule="auto" w:before="0" w:after="0"/>
        <w:ind w:left="1341" w:right="0" w:hanging="1100"/>
        <w:jc w:val="left"/>
        <w:rPr>
          <w:sz w:val="21"/>
        </w:rPr>
      </w:pPr>
      <w:r>
        <w:rPr>
          <w:b/>
          <w:sz w:val="21"/>
        </w:rPr>
        <w:t>合同内容变</w:t>
      </w:r>
      <w:r>
        <w:rPr>
          <w:b/>
          <w:spacing w:val="-10"/>
          <w:sz w:val="21"/>
        </w:rPr>
        <w:t>更</w:t>
      </w:r>
      <w:r>
        <w:rPr>
          <w:b/>
          <w:sz w:val="21"/>
        </w:rPr>
        <w:tab/>
      </w:r>
      <w:r>
        <w:rPr>
          <w:spacing w:val="-2"/>
          <w:sz w:val="21"/>
        </w:rPr>
        <w:t>在</w:t>
      </w:r>
      <w:r>
        <w:rPr>
          <w:spacing w:val="-2"/>
          <w:sz w:val="21"/>
        </w:rPr>
        <w:t>本</w:t>
      </w:r>
      <w:r>
        <w:rPr>
          <w:spacing w:val="-2"/>
          <w:sz w:val="21"/>
        </w:rPr>
        <w:t>合同有效期内，经您</w:t>
      </w:r>
      <w:r>
        <w:rPr>
          <w:spacing w:val="-2"/>
          <w:sz w:val="21"/>
        </w:rPr>
        <w:t>与</w:t>
      </w:r>
      <w:r>
        <w:rPr>
          <w:spacing w:val="-2"/>
          <w:sz w:val="21"/>
        </w:rPr>
        <w:t>我</w:t>
      </w:r>
      <w:r>
        <w:rPr>
          <w:spacing w:val="-2"/>
          <w:sz w:val="21"/>
        </w:rPr>
        <w:t>们协商一致，可以变</w:t>
      </w:r>
      <w:r>
        <w:rPr>
          <w:spacing w:val="-2"/>
          <w:sz w:val="21"/>
        </w:rPr>
        <w:t>更</w:t>
      </w:r>
      <w:r>
        <w:rPr>
          <w:spacing w:val="-2"/>
          <w:sz w:val="21"/>
        </w:rPr>
        <w:t>本</w:t>
      </w:r>
      <w:r>
        <w:rPr>
          <w:spacing w:val="-2"/>
          <w:sz w:val="21"/>
        </w:rPr>
        <w:t>合同的</w:t>
      </w:r>
      <w:r>
        <w:rPr>
          <w:spacing w:val="-2"/>
          <w:sz w:val="21"/>
        </w:rPr>
        <w:t>有</w:t>
      </w:r>
      <w:r>
        <w:rPr>
          <w:spacing w:val="-10"/>
          <w:sz w:val="21"/>
        </w:rPr>
        <w:t>关</w:t>
      </w:r>
    </w:p>
    <w:p>
      <w:pPr>
        <w:pStyle w:val="BodyText"/>
        <w:spacing w:line="242" w:lineRule="auto" w:before="5"/>
        <w:ind w:left="3185" w:right="449"/>
      </w:pPr>
      <w:r>
        <w:rPr>
          <w:spacing w:val="-2"/>
        </w:rPr>
        <w:t>内容。变更本合同的，应当由我们在保险单或者其他保险凭证上批</w:t>
      </w:r>
      <w:r>
        <w:rPr>
          <w:spacing w:val="-2"/>
        </w:rPr>
        <w:t>注或者附贴批单，或者由您与我们订立书面的变更协议。</w:t>
      </w:r>
    </w:p>
    <w:p>
      <w:pPr>
        <w:pStyle w:val="BodyText"/>
        <w:spacing w:before="5"/>
        <w:rPr>
          <w:sz w:val="18"/>
        </w:rPr>
      </w:pPr>
    </w:p>
    <w:p>
      <w:pPr>
        <w:pStyle w:val="ListParagraph"/>
        <w:numPr>
          <w:ilvl w:val="1"/>
          <w:numId w:val="10"/>
        </w:numPr>
        <w:tabs>
          <w:tab w:pos="1341" w:val="left" w:leader="none"/>
          <w:tab w:pos="1342" w:val="left" w:leader="none"/>
        </w:tabs>
        <w:spacing w:line="240" w:lineRule="auto" w:before="0" w:after="0"/>
        <w:ind w:left="1341" w:right="0" w:hanging="1100"/>
        <w:jc w:val="both"/>
        <w:rPr>
          <w:sz w:val="21"/>
        </w:rPr>
      </w:pPr>
      <w:r>
        <w:rPr>
          <w:b/>
          <w:spacing w:val="61"/>
          <w:sz w:val="21"/>
        </w:rPr>
        <w:t>联系方式变更 </w:t>
      </w:r>
      <w:r>
        <w:rPr>
          <w:spacing w:val="-1"/>
          <w:sz w:val="21"/>
        </w:rPr>
        <w:t>为了保障您的合法权益，您的住所、通讯地址、电子邮件或电话变</w:t>
      </w:r>
    </w:p>
    <w:p>
      <w:pPr>
        <w:spacing w:line="242" w:lineRule="auto" w:before="5"/>
        <w:ind w:left="3185" w:right="452" w:firstLine="0"/>
        <w:jc w:val="both"/>
        <w:rPr>
          <w:b/>
          <w:sz w:val="21"/>
        </w:rPr>
      </w:pPr>
      <w:r>
        <w:rPr>
          <w:spacing w:val="-2"/>
          <w:sz w:val="21"/>
        </w:rPr>
        <w:t>更时，请及时以书面形式或双方认可的其他形式通知我们。</w:t>
      </w:r>
      <w:r>
        <w:rPr>
          <w:b/>
          <w:spacing w:val="-2"/>
          <w:sz w:val="21"/>
        </w:rPr>
        <w:t>否则我</w:t>
      </w:r>
      <w:r>
        <w:rPr>
          <w:b/>
          <w:spacing w:val="-2"/>
          <w:sz w:val="21"/>
        </w:rPr>
        <w:t>们按本合同载明的最后住所、通讯地址、电子邮件或电话发送的有</w:t>
      </w:r>
      <w:r>
        <w:rPr>
          <w:b/>
          <w:spacing w:val="-2"/>
          <w:sz w:val="21"/>
        </w:rPr>
        <w:t>关通知，均视为已送达给您。</w:t>
      </w:r>
    </w:p>
    <w:p>
      <w:pPr>
        <w:pStyle w:val="BodyText"/>
        <w:spacing w:before="6"/>
        <w:rPr>
          <w:b/>
          <w:sz w:val="18"/>
        </w:rPr>
      </w:pPr>
    </w:p>
    <w:p>
      <w:pPr>
        <w:pStyle w:val="ListParagraph"/>
        <w:numPr>
          <w:ilvl w:val="1"/>
          <w:numId w:val="10"/>
        </w:numPr>
        <w:tabs>
          <w:tab w:pos="1341" w:val="left" w:leader="none"/>
          <w:tab w:pos="1342" w:val="left" w:leader="none"/>
          <w:tab w:pos="3184" w:val="left" w:leader="none"/>
        </w:tabs>
        <w:spacing w:line="240" w:lineRule="auto" w:before="0" w:after="0"/>
        <w:ind w:left="1341" w:right="0" w:hanging="1100"/>
        <w:jc w:val="left"/>
        <w:rPr>
          <w:sz w:val="21"/>
        </w:rPr>
      </w:pPr>
      <w:r>
        <w:rPr>
          <w:b/>
          <w:sz w:val="21"/>
        </w:rPr>
        <w:t>争议处</w:t>
      </w:r>
      <w:r>
        <w:rPr>
          <w:b/>
          <w:spacing w:val="-10"/>
          <w:sz w:val="21"/>
        </w:rPr>
        <w:t>理</w:t>
      </w:r>
      <w:r>
        <w:rPr>
          <w:b/>
          <w:sz w:val="21"/>
        </w:rPr>
        <w:tab/>
      </w:r>
      <w:r>
        <w:rPr>
          <w:spacing w:val="-2"/>
          <w:sz w:val="21"/>
        </w:rPr>
        <w:t>本</w:t>
      </w:r>
      <w:r>
        <w:rPr>
          <w:spacing w:val="-2"/>
          <w:sz w:val="21"/>
        </w:rPr>
        <w:t>合</w:t>
      </w:r>
      <w:r>
        <w:rPr>
          <w:spacing w:val="-2"/>
          <w:sz w:val="21"/>
        </w:rPr>
        <w:t>同争议解决方式由当</w:t>
      </w:r>
      <w:r>
        <w:rPr>
          <w:spacing w:val="-2"/>
          <w:sz w:val="21"/>
        </w:rPr>
        <w:t>事</w:t>
      </w:r>
      <w:r>
        <w:rPr>
          <w:spacing w:val="-2"/>
          <w:sz w:val="21"/>
        </w:rPr>
        <w:t>人</w:t>
      </w:r>
      <w:r>
        <w:rPr>
          <w:spacing w:val="-2"/>
          <w:sz w:val="21"/>
        </w:rPr>
        <w:t>约定从下列二种方式</w:t>
      </w:r>
      <w:r>
        <w:rPr>
          <w:spacing w:val="-2"/>
          <w:sz w:val="21"/>
        </w:rPr>
        <w:t>中</w:t>
      </w:r>
      <w:r>
        <w:rPr>
          <w:spacing w:val="-2"/>
          <w:sz w:val="21"/>
        </w:rPr>
        <w:t>选</w:t>
      </w:r>
      <w:r>
        <w:rPr>
          <w:spacing w:val="-2"/>
          <w:sz w:val="21"/>
        </w:rPr>
        <w:t>择一种</w:t>
      </w:r>
      <w:r>
        <w:rPr>
          <w:spacing w:val="-10"/>
          <w:sz w:val="21"/>
        </w:rPr>
        <w:t>：</w:t>
      </w:r>
    </w:p>
    <w:p>
      <w:pPr>
        <w:pStyle w:val="ListParagraph"/>
        <w:numPr>
          <w:ilvl w:val="0"/>
          <w:numId w:val="29"/>
        </w:numPr>
        <w:tabs>
          <w:tab w:pos="3714" w:val="left" w:leader="none"/>
        </w:tabs>
        <w:spacing w:line="244" w:lineRule="auto" w:before="2" w:after="0"/>
        <w:ind w:left="3710" w:right="346" w:hanging="526"/>
        <w:jc w:val="left"/>
        <w:rPr>
          <w:sz w:val="21"/>
        </w:rPr>
      </w:pPr>
      <w:r>
        <w:rPr>
          <w:spacing w:val="-2"/>
          <w:sz w:val="21"/>
        </w:rPr>
        <w:t>因履行本合同发生的争议，由当事人协商解决，协商不成的，</w:t>
      </w:r>
      <w:r>
        <w:rPr>
          <w:spacing w:val="-2"/>
          <w:sz w:val="21"/>
        </w:rPr>
        <w:t>提交双方共同选择的仲裁委员会仲裁；</w:t>
      </w:r>
    </w:p>
    <w:p>
      <w:pPr>
        <w:pStyle w:val="ListParagraph"/>
        <w:numPr>
          <w:ilvl w:val="0"/>
          <w:numId w:val="29"/>
        </w:numPr>
        <w:tabs>
          <w:tab w:pos="3714" w:val="left" w:leader="none"/>
        </w:tabs>
        <w:spacing w:line="265" w:lineRule="exact" w:before="0" w:after="34"/>
        <w:ind w:left="3714" w:right="0" w:hanging="529"/>
        <w:jc w:val="left"/>
        <w:rPr>
          <w:sz w:val="21"/>
        </w:rPr>
      </w:pPr>
      <w:r>
        <w:rPr>
          <w:spacing w:val="-3"/>
          <w:sz w:val="21"/>
        </w:rPr>
        <w:t>因履行本合同发生的争议，由当事人协商解决，协商不成的，</w:t>
      </w:r>
    </w:p>
    <w:tbl>
      <w:tblPr>
        <w:tblW w:w="0" w:type="auto"/>
        <w:jc w:val="left"/>
        <w:tblInd w:w="1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39"/>
        <w:gridCol w:w="1713"/>
        <w:gridCol w:w="6693"/>
      </w:tblGrid>
      <w:tr>
        <w:trPr>
          <w:trHeight w:val="391" w:hRule="atLeast"/>
        </w:trPr>
        <w:tc>
          <w:tcPr>
            <w:tcW w:w="839" w:type="dxa"/>
          </w:tcPr>
          <w:p>
            <w:pPr>
              <w:pStyle w:val="TableParagraph"/>
              <w:rPr>
                <w:rFonts w:ascii="Times New Roman"/>
                <w:sz w:val="20"/>
              </w:rPr>
            </w:pPr>
          </w:p>
        </w:tc>
        <w:tc>
          <w:tcPr>
            <w:tcW w:w="1713" w:type="dxa"/>
          </w:tcPr>
          <w:p>
            <w:pPr>
              <w:pStyle w:val="TableParagraph"/>
              <w:rPr>
                <w:rFonts w:ascii="Times New Roman"/>
                <w:sz w:val="20"/>
              </w:rPr>
            </w:pPr>
          </w:p>
        </w:tc>
        <w:tc>
          <w:tcPr>
            <w:tcW w:w="6693" w:type="dxa"/>
          </w:tcPr>
          <w:p>
            <w:pPr>
              <w:pStyle w:val="TableParagraph"/>
              <w:spacing w:line="241" w:lineRule="exact"/>
              <w:ind w:left="1024"/>
              <w:rPr>
                <w:sz w:val="21"/>
              </w:rPr>
            </w:pPr>
            <w:r>
              <w:rPr>
                <w:spacing w:val="-3"/>
                <w:sz w:val="21"/>
              </w:rPr>
              <w:t>依法向人民法院起诉。</w:t>
            </w:r>
          </w:p>
        </w:tc>
      </w:tr>
      <w:tr>
        <w:trPr>
          <w:trHeight w:val="533" w:hRule="atLeast"/>
        </w:trPr>
        <w:tc>
          <w:tcPr>
            <w:tcW w:w="839" w:type="dxa"/>
            <w:tcBorders>
              <w:bottom w:val="single" w:sz="4" w:space="0" w:color="000000"/>
            </w:tcBorders>
          </w:tcPr>
          <w:p>
            <w:pPr>
              <w:pStyle w:val="TableParagraph"/>
              <w:spacing w:before="170"/>
              <w:ind w:left="108"/>
              <w:rPr>
                <w:rFonts w:ascii="Times New Roman"/>
                <w:b/>
                <w:sz w:val="24"/>
              </w:rPr>
            </w:pPr>
            <w:r>
              <w:rPr>
                <w:rFonts w:ascii="Times New Roman"/>
                <w:b/>
                <w:spacing w:val="-5"/>
                <w:sz w:val="24"/>
              </w:rPr>
              <w:t>11</w:t>
            </w:r>
          </w:p>
        </w:tc>
        <w:tc>
          <w:tcPr>
            <w:tcW w:w="1713" w:type="dxa"/>
            <w:tcBorders>
              <w:bottom w:val="single" w:sz="4" w:space="0" w:color="000000"/>
            </w:tcBorders>
          </w:tcPr>
          <w:p>
            <w:pPr>
              <w:pStyle w:val="TableParagraph"/>
              <w:spacing w:before="157"/>
              <w:ind w:left="368"/>
              <w:rPr>
                <w:b/>
                <w:sz w:val="24"/>
              </w:rPr>
            </w:pPr>
            <w:r>
              <w:rPr>
                <w:b/>
                <w:w w:val="95"/>
                <w:sz w:val="24"/>
              </w:rPr>
              <w:t>释</w:t>
            </w:r>
            <w:r>
              <w:rPr>
                <w:b/>
                <w:spacing w:val="-10"/>
                <w:sz w:val="24"/>
              </w:rPr>
              <w:t>义</w:t>
            </w:r>
          </w:p>
        </w:tc>
        <w:tc>
          <w:tcPr>
            <w:tcW w:w="6693" w:type="dxa"/>
            <w:tcBorders>
              <w:bottom w:val="single" w:sz="4" w:space="0" w:color="000000"/>
            </w:tcBorders>
          </w:tcPr>
          <w:p>
            <w:pPr>
              <w:pStyle w:val="TableParagraph"/>
              <w:rPr>
                <w:rFonts w:ascii="Times New Roman"/>
                <w:sz w:val="20"/>
              </w:rPr>
            </w:pPr>
          </w:p>
        </w:tc>
      </w:tr>
      <w:tr>
        <w:trPr>
          <w:trHeight w:val="510" w:hRule="atLeast"/>
        </w:trPr>
        <w:tc>
          <w:tcPr>
            <w:tcW w:w="839" w:type="dxa"/>
            <w:tcBorders>
              <w:top w:val="single" w:sz="4" w:space="0" w:color="000000"/>
            </w:tcBorders>
          </w:tcPr>
          <w:p>
            <w:pPr>
              <w:pStyle w:val="TableParagraph"/>
              <w:spacing w:before="5"/>
              <w:rPr>
                <w:sz w:val="18"/>
              </w:rPr>
            </w:pPr>
          </w:p>
          <w:p>
            <w:pPr>
              <w:pStyle w:val="TableParagraph"/>
              <w:ind w:left="108"/>
              <w:rPr>
                <w:rFonts w:ascii="Times New Roman"/>
                <w:sz w:val="21"/>
              </w:rPr>
            </w:pPr>
            <w:r>
              <w:rPr>
                <w:rFonts w:ascii="Times New Roman"/>
                <w:spacing w:val="-4"/>
                <w:sz w:val="21"/>
              </w:rPr>
              <w:t>11.1</w:t>
            </w:r>
          </w:p>
        </w:tc>
        <w:tc>
          <w:tcPr>
            <w:tcW w:w="1713" w:type="dxa"/>
            <w:tcBorders>
              <w:top w:val="single" w:sz="4" w:space="0" w:color="000000"/>
            </w:tcBorders>
          </w:tcPr>
          <w:p>
            <w:pPr>
              <w:pStyle w:val="TableParagraph"/>
              <w:rPr>
                <w:sz w:val="19"/>
              </w:rPr>
            </w:pPr>
          </w:p>
          <w:p>
            <w:pPr>
              <w:pStyle w:val="TableParagraph"/>
              <w:spacing w:line="246" w:lineRule="exact"/>
              <w:ind w:left="368"/>
              <w:rPr>
                <w:b/>
                <w:sz w:val="21"/>
              </w:rPr>
            </w:pPr>
            <w:r>
              <w:rPr>
                <w:b/>
                <w:spacing w:val="-5"/>
                <w:sz w:val="21"/>
              </w:rPr>
              <w:t>周岁</w:t>
            </w:r>
          </w:p>
        </w:tc>
        <w:tc>
          <w:tcPr>
            <w:tcW w:w="6693" w:type="dxa"/>
            <w:tcBorders>
              <w:top w:val="single" w:sz="4" w:space="0" w:color="000000"/>
            </w:tcBorders>
          </w:tcPr>
          <w:p>
            <w:pPr>
              <w:pStyle w:val="TableParagraph"/>
              <w:rPr>
                <w:sz w:val="19"/>
              </w:rPr>
            </w:pPr>
          </w:p>
          <w:p>
            <w:pPr>
              <w:pStyle w:val="TableParagraph"/>
              <w:spacing w:line="246" w:lineRule="exact"/>
              <w:ind w:left="498"/>
              <w:rPr>
                <w:sz w:val="21"/>
              </w:rPr>
            </w:pPr>
            <w:r>
              <w:rPr>
                <w:spacing w:val="-3"/>
                <w:sz w:val="21"/>
              </w:rPr>
              <w:t>指按有效身份证件文件中记载的出生日期计算的年龄，自出生之日</w:t>
            </w:r>
          </w:p>
        </w:tc>
      </w:tr>
      <w:tr>
        <w:trPr>
          <w:trHeight w:val="389" w:hRule="atLeast"/>
        </w:trPr>
        <w:tc>
          <w:tcPr>
            <w:tcW w:w="839" w:type="dxa"/>
          </w:tcPr>
          <w:p>
            <w:pPr>
              <w:pStyle w:val="TableParagraph"/>
              <w:rPr>
                <w:rFonts w:ascii="Times New Roman"/>
                <w:sz w:val="20"/>
              </w:rPr>
            </w:pPr>
          </w:p>
        </w:tc>
        <w:tc>
          <w:tcPr>
            <w:tcW w:w="1713" w:type="dxa"/>
          </w:tcPr>
          <w:p>
            <w:pPr>
              <w:pStyle w:val="TableParagraph"/>
              <w:rPr>
                <w:rFonts w:ascii="Times New Roman"/>
                <w:sz w:val="20"/>
              </w:rPr>
            </w:pPr>
          </w:p>
        </w:tc>
        <w:tc>
          <w:tcPr>
            <w:tcW w:w="6693" w:type="dxa"/>
          </w:tcPr>
          <w:p>
            <w:pPr>
              <w:pStyle w:val="TableParagraph"/>
              <w:spacing w:before="5"/>
              <w:ind w:left="498"/>
              <w:rPr>
                <w:sz w:val="21"/>
              </w:rPr>
            </w:pPr>
            <w:r>
              <w:rPr>
                <w:spacing w:val="-2"/>
                <w:sz w:val="21"/>
              </w:rPr>
              <w:t>起为零周岁，每经过</w:t>
            </w:r>
            <w:r>
              <w:rPr>
                <w:rFonts w:ascii="Times New Roman" w:eastAsia="Times New Roman"/>
                <w:spacing w:val="-2"/>
                <w:sz w:val="21"/>
              </w:rPr>
              <w:t>1</w:t>
            </w:r>
            <w:r>
              <w:rPr>
                <w:spacing w:val="-2"/>
                <w:sz w:val="21"/>
              </w:rPr>
              <w:t>年增加</w:t>
            </w:r>
            <w:r>
              <w:rPr>
                <w:rFonts w:ascii="Times New Roman" w:eastAsia="Times New Roman"/>
                <w:spacing w:val="-2"/>
                <w:sz w:val="21"/>
              </w:rPr>
              <w:t>1</w:t>
            </w:r>
            <w:r>
              <w:rPr>
                <w:spacing w:val="-2"/>
                <w:sz w:val="21"/>
              </w:rPr>
              <w:t>岁，不足</w:t>
            </w:r>
            <w:r>
              <w:rPr>
                <w:rFonts w:ascii="Times New Roman" w:eastAsia="Times New Roman"/>
                <w:spacing w:val="-2"/>
                <w:sz w:val="21"/>
              </w:rPr>
              <w:t>1</w:t>
            </w:r>
            <w:r>
              <w:rPr>
                <w:spacing w:val="-4"/>
                <w:sz w:val="21"/>
              </w:rPr>
              <w:t>年的不计。</w:t>
            </w:r>
          </w:p>
        </w:tc>
      </w:tr>
      <w:tr>
        <w:trPr>
          <w:trHeight w:val="399" w:hRule="atLeast"/>
        </w:trPr>
        <w:tc>
          <w:tcPr>
            <w:tcW w:w="839" w:type="dxa"/>
          </w:tcPr>
          <w:p>
            <w:pPr>
              <w:pStyle w:val="TableParagraph"/>
              <w:spacing w:before="121"/>
              <w:ind w:left="108"/>
              <w:rPr>
                <w:rFonts w:ascii="Times New Roman"/>
                <w:sz w:val="21"/>
              </w:rPr>
            </w:pPr>
            <w:r>
              <w:rPr>
                <w:rFonts w:ascii="Times New Roman"/>
                <w:spacing w:val="-4"/>
                <w:sz w:val="21"/>
              </w:rPr>
              <w:t>11.2</w:t>
            </w:r>
          </w:p>
        </w:tc>
        <w:tc>
          <w:tcPr>
            <w:tcW w:w="1713" w:type="dxa"/>
          </w:tcPr>
          <w:p>
            <w:pPr>
              <w:pStyle w:val="TableParagraph"/>
              <w:spacing w:line="251" w:lineRule="exact" w:before="129"/>
              <w:ind w:left="368"/>
              <w:rPr>
                <w:b/>
                <w:sz w:val="21"/>
              </w:rPr>
            </w:pPr>
            <w:r>
              <w:rPr>
                <w:b/>
                <w:spacing w:val="-3"/>
                <w:sz w:val="21"/>
              </w:rPr>
              <w:t>意外伤害</w:t>
            </w:r>
          </w:p>
        </w:tc>
        <w:tc>
          <w:tcPr>
            <w:tcW w:w="6693" w:type="dxa"/>
          </w:tcPr>
          <w:p>
            <w:pPr>
              <w:pStyle w:val="TableParagraph"/>
              <w:spacing w:line="251" w:lineRule="exact" w:before="129"/>
              <w:ind w:left="498"/>
              <w:rPr>
                <w:sz w:val="21"/>
              </w:rPr>
            </w:pPr>
            <w:r>
              <w:rPr>
                <w:spacing w:val="-3"/>
                <w:sz w:val="21"/>
              </w:rPr>
              <w:t>指遭受外来的、突发的、非本意的、非疾病的客观事件直接致使身</w:t>
            </w:r>
          </w:p>
        </w:tc>
      </w:tr>
      <w:tr>
        <w:trPr>
          <w:trHeight w:val="379" w:hRule="atLeast"/>
        </w:trPr>
        <w:tc>
          <w:tcPr>
            <w:tcW w:w="839" w:type="dxa"/>
          </w:tcPr>
          <w:p>
            <w:pPr>
              <w:pStyle w:val="TableParagraph"/>
              <w:rPr>
                <w:rFonts w:ascii="Times New Roman"/>
                <w:sz w:val="20"/>
              </w:rPr>
            </w:pPr>
          </w:p>
        </w:tc>
        <w:tc>
          <w:tcPr>
            <w:tcW w:w="1713" w:type="dxa"/>
          </w:tcPr>
          <w:p>
            <w:pPr>
              <w:pStyle w:val="TableParagraph"/>
              <w:rPr>
                <w:rFonts w:ascii="Times New Roman"/>
                <w:sz w:val="20"/>
              </w:rPr>
            </w:pPr>
          </w:p>
        </w:tc>
        <w:tc>
          <w:tcPr>
            <w:tcW w:w="6693" w:type="dxa"/>
          </w:tcPr>
          <w:p>
            <w:pPr>
              <w:pStyle w:val="TableParagraph"/>
              <w:spacing w:before="2"/>
              <w:ind w:left="498"/>
              <w:rPr>
                <w:sz w:val="21"/>
              </w:rPr>
            </w:pPr>
            <w:r>
              <w:rPr>
                <w:spacing w:val="-2"/>
                <w:sz w:val="21"/>
              </w:rPr>
              <w:t>体受到的伤害，</w:t>
            </w:r>
            <w:r>
              <w:rPr>
                <w:b/>
                <w:spacing w:val="-2"/>
                <w:sz w:val="21"/>
              </w:rPr>
              <w:t>猝死不属于意外伤害</w:t>
            </w:r>
            <w:r>
              <w:rPr>
                <w:spacing w:val="-10"/>
                <w:sz w:val="21"/>
              </w:rPr>
              <w:t>。</w:t>
            </w:r>
          </w:p>
        </w:tc>
      </w:tr>
      <w:tr>
        <w:trPr>
          <w:trHeight w:val="403" w:hRule="atLeast"/>
        </w:trPr>
        <w:tc>
          <w:tcPr>
            <w:tcW w:w="839" w:type="dxa"/>
          </w:tcPr>
          <w:p>
            <w:pPr>
              <w:pStyle w:val="TableParagraph"/>
              <w:spacing w:before="129"/>
              <w:ind w:left="108"/>
              <w:rPr>
                <w:rFonts w:ascii="Times New Roman"/>
                <w:sz w:val="21"/>
              </w:rPr>
            </w:pPr>
            <w:r>
              <w:rPr>
                <w:rFonts w:ascii="Times New Roman"/>
                <w:spacing w:val="-4"/>
                <w:sz w:val="21"/>
              </w:rPr>
              <w:t>11.3</w:t>
            </w:r>
          </w:p>
        </w:tc>
        <w:tc>
          <w:tcPr>
            <w:tcW w:w="1713" w:type="dxa"/>
          </w:tcPr>
          <w:p>
            <w:pPr>
              <w:pStyle w:val="TableParagraph"/>
              <w:spacing w:line="246" w:lineRule="exact" w:before="137"/>
              <w:ind w:left="368"/>
              <w:rPr>
                <w:b/>
                <w:sz w:val="21"/>
              </w:rPr>
            </w:pPr>
            <w:r>
              <w:rPr>
                <w:b/>
                <w:spacing w:val="-3"/>
                <w:sz w:val="21"/>
              </w:rPr>
              <w:t>专科医生</w:t>
            </w:r>
          </w:p>
        </w:tc>
        <w:tc>
          <w:tcPr>
            <w:tcW w:w="6693" w:type="dxa"/>
          </w:tcPr>
          <w:p>
            <w:pPr>
              <w:pStyle w:val="TableParagraph"/>
              <w:spacing w:line="246" w:lineRule="exact" w:before="137"/>
              <w:ind w:left="498"/>
              <w:rPr>
                <w:sz w:val="21"/>
              </w:rPr>
            </w:pPr>
            <w:r>
              <w:rPr>
                <w:spacing w:val="-3"/>
                <w:sz w:val="21"/>
              </w:rPr>
              <w:t>专科医生应当同时满足以下四项资格条件：</w:t>
            </w:r>
          </w:p>
        </w:tc>
      </w:tr>
      <w:tr>
        <w:trPr>
          <w:trHeight w:val="534" w:hRule="atLeast"/>
        </w:trPr>
        <w:tc>
          <w:tcPr>
            <w:tcW w:w="839" w:type="dxa"/>
          </w:tcPr>
          <w:p>
            <w:pPr>
              <w:pStyle w:val="TableParagraph"/>
              <w:rPr>
                <w:rFonts w:ascii="Times New Roman"/>
                <w:sz w:val="20"/>
              </w:rPr>
            </w:pPr>
          </w:p>
        </w:tc>
        <w:tc>
          <w:tcPr>
            <w:tcW w:w="1713" w:type="dxa"/>
          </w:tcPr>
          <w:p>
            <w:pPr>
              <w:pStyle w:val="TableParagraph"/>
              <w:rPr>
                <w:rFonts w:ascii="Times New Roman"/>
                <w:sz w:val="20"/>
              </w:rPr>
            </w:pPr>
          </w:p>
        </w:tc>
        <w:tc>
          <w:tcPr>
            <w:tcW w:w="6693" w:type="dxa"/>
          </w:tcPr>
          <w:p>
            <w:pPr>
              <w:pStyle w:val="TableParagraph"/>
              <w:numPr>
                <w:ilvl w:val="0"/>
                <w:numId w:val="30"/>
              </w:numPr>
              <w:tabs>
                <w:tab w:pos="1028" w:val="left" w:leader="none"/>
              </w:tabs>
              <w:spacing w:line="240" w:lineRule="auto" w:before="5" w:after="0"/>
              <w:ind w:left="1027" w:right="0" w:hanging="530"/>
              <w:jc w:val="left"/>
              <w:rPr>
                <w:sz w:val="21"/>
              </w:rPr>
            </w:pPr>
            <w:r>
              <w:rPr>
                <w:spacing w:val="-9"/>
                <w:sz w:val="21"/>
              </w:rPr>
              <w:t>具有有效的中华人民共和国《医师资格证书》；</w:t>
            </w:r>
          </w:p>
          <w:p>
            <w:pPr>
              <w:pStyle w:val="TableParagraph"/>
              <w:numPr>
                <w:ilvl w:val="0"/>
                <w:numId w:val="30"/>
              </w:numPr>
              <w:tabs>
                <w:tab w:pos="1028" w:val="left" w:leader="none"/>
              </w:tabs>
              <w:spacing w:line="236" w:lineRule="exact" w:before="4" w:after="0"/>
              <w:ind w:left="1027" w:right="0" w:hanging="530"/>
              <w:jc w:val="left"/>
              <w:rPr>
                <w:sz w:val="21"/>
              </w:rPr>
            </w:pPr>
            <w:r>
              <w:rPr>
                <w:spacing w:val="-9"/>
                <w:sz w:val="21"/>
              </w:rPr>
              <w:t>具有有效的中华人民共和国《医师执业证书》，并按期到相关</w:t>
            </w:r>
          </w:p>
        </w:tc>
      </w:tr>
    </w:tbl>
    <w:p>
      <w:pPr>
        <w:pStyle w:val="BodyText"/>
        <w:spacing w:before="19"/>
        <w:ind w:left="3395" w:right="4224"/>
        <w:jc w:val="center"/>
      </w:pPr>
      <w:r>
        <w:rPr>
          <w:spacing w:val="-4"/>
        </w:rPr>
        <w:t>部门登记注册；</w:t>
      </w:r>
    </w:p>
    <w:p>
      <w:pPr>
        <w:pStyle w:val="ListParagraph"/>
        <w:numPr>
          <w:ilvl w:val="0"/>
          <w:numId w:val="29"/>
        </w:numPr>
        <w:tabs>
          <w:tab w:pos="3714" w:val="left" w:leader="none"/>
        </w:tabs>
        <w:spacing w:line="240" w:lineRule="auto" w:before="4" w:after="0"/>
        <w:ind w:left="3714" w:right="0" w:hanging="1082"/>
        <w:jc w:val="left"/>
        <w:rPr>
          <w:sz w:val="21"/>
        </w:rPr>
      </w:pPr>
      <w:r>
        <w:rPr>
          <w:spacing w:val="-3"/>
          <w:sz w:val="21"/>
        </w:rPr>
        <w:t>具有有效的中华人民共和国主治医师或主治医师以上职称的</w:t>
      </w:r>
    </w:p>
    <w:p>
      <w:pPr>
        <w:pStyle w:val="BodyText"/>
        <w:spacing w:before="2"/>
        <w:ind w:left="3709" w:right="4223"/>
        <w:jc w:val="center"/>
      </w:pPr>
      <w:r>
        <w:rPr>
          <w:spacing w:val="-15"/>
        </w:rPr>
        <w:t>《医师职称证书》；</w:t>
      </w:r>
    </w:p>
    <w:p>
      <w:pPr>
        <w:pStyle w:val="ListParagraph"/>
        <w:numPr>
          <w:ilvl w:val="0"/>
          <w:numId w:val="29"/>
        </w:numPr>
        <w:tabs>
          <w:tab w:pos="3714" w:val="left" w:leader="none"/>
        </w:tabs>
        <w:spacing w:line="240" w:lineRule="auto" w:before="5" w:after="0"/>
        <w:ind w:left="3714" w:right="0" w:hanging="1082"/>
        <w:jc w:val="left"/>
        <w:rPr>
          <w:sz w:val="21"/>
        </w:rPr>
      </w:pPr>
      <w:r>
        <w:rPr>
          <w:spacing w:val="-3"/>
          <w:sz w:val="21"/>
        </w:rPr>
        <w:t>在二级或二级以上医院的相应科室从事临床工作三年以上。</w:t>
      </w:r>
    </w:p>
    <w:p>
      <w:pPr>
        <w:pStyle w:val="BodyText"/>
        <w:spacing w:before="8"/>
        <w:rPr>
          <w:sz w:val="18"/>
        </w:rPr>
      </w:pPr>
    </w:p>
    <w:p>
      <w:pPr>
        <w:pStyle w:val="ListParagraph"/>
        <w:numPr>
          <w:ilvl w:val="1"/>
          <w:numId w:val="31"/>
        </w:numPr>
        <w:tabs>
          <w:tab w:pos="1341" w:val="left" w:leader="none"/>
          <w:tab w:pos="1342" w:val="left" w:leader="none"/>
          <w:tab w:pos="3184" w:val="left" w:leader="none"/>
        </w:tabs>
        <w:spacing w:line="240" w:lineRule="auto" w:before="0" w:after="0"/>
        <w:ind w:left="1341" w:right="0" w:hanging="1100"/>
        <w:jc w:val="left"/>
        <w:rPr>
          <w:sz w:val="21"/>
        </w:rPr>
      </w:pPr>
      <w:r>
        <w:rPr>
          <w:b/>
          <w:sz w:val="21"/>
        </w:rPr>
        <w:t>首次确</w:t>
      </w:r>
      <w:r>
        <w:rPr>
          <w:b/>
          <w:spacing w:val="-10"/>
          <w:sz w:val="21"/>
        </w:rPr>
        <w:t>诊</w:t>
      </w:r>
      <w:r>
        <w:rPr>
          <w:b/>
          <w:sz w:val="21"/>
        </w:rPr>
        <w:tab/>
      </w:r>
      <w:r>
        <w:rPr>
          <w:sz w:val="21"/>
        </w:rPr>
        <w:t>指自被保险人出生之日起第一次经医院确诊患有本合同所约定</w:t>
      </w:r>
      <w:r>
        <w:rPr>
          <w:spacing w:val="-10"/>
          <w:sz w:val="21"/>
        </w:rPr>
        <w:t>的</w:t>
      </w:r>
    </w:p>
    <w:p>
      <w:pPr>
        <w:pStyle w:val="Heading3"/>
        <w:spacing w:line="244" w:lineRule="auto" w:before="3"/>
        <w:ind w:left="3185" w:right="452"/>
      </w:pPr>
      <w:r>
        <w:rPr>
          <w:b w:val="0"/>
          <w:spacing w:val="-2"/>
        </w:rPr>
        <w:t>某种疾病，</w:t>
      </w:r>
      <w:r>
        <w:rPr>
          <w:spacing w:val="-2"/>
        </w:rPr>
        <w:t>而不是指自本合同生效后第一次经医院确诊患有本合同</w:t>
      </w:r>
      <w:r>
        <w:rPr>
          <w:spacing w:val="-2"/>
        </w:rPr>
        <w:t>所约定的某种疾病。</w:t>
      </w:r>
    </w:p>
    <w:p>
      <w:pPr>
        <w:pStyle w:val="BodyText"/>
        <w:spacing w:before="1"/>
        <w:rPr>
          <w:b/>
          <w:sz w:val="18"/>
        </w:rPr>
      </w:pPr>
    </w:p>
    <w:p>
      <w:pPr>
        <w:pStyle w:val="ListParagraph"/>
        <w:numPr>
          <w:ilvl w:val="1"/>
          <w:numId w:val="31"/>
        </w:numPr>
        <w:tabs>
          <w:tab w:pos="1341" w:val="left" w:leader="none"/>
          <w:tab w:pos="1342" w:val="left" w:leader="none"/>
          <w:tab w:pos="3184" w:val="left" w:leader="none"/>
        </w:tabs>
        <w:spacing w:line="240" w:lineRule="auto" w:before="0" w:after="0"/>
        <w:ind w:left="1341" w:right="0" w:hanging="1100"/>
        <w:jc w:val="left"/>
        <w:rPr>
          <w:sz w:val="21"/>
        </w:rPr>
      </w:pPr>
      <w:r>
        <w:rPr>
          <w:b/>
          <w:sz w:val="21"/>
        </w:rPr>
        <w:t>医</w:t>
      </w:r>
      <w:r>
        <w:rPr>
          <w:b/>
          <w:spacing w:val="-10"/>
          <w:sz w:val="21"/>
        </w:rPr>
        <w:t>师</w:t>
      </w:r>
      <w:r>
        <w:rPr>
          <w:b/>
          <w:sz w:val="21"/>
        </w:rPr>
        <w:tab/>
      </w:r>
      <w:r>
        <w:rPr>
          <w:spacing w:val="-2"/>
          <w:sz w:val="21"/>
        </w:rPr>
        <w:t>指</w:t>
      </w:r>
      <w:r>
        <w:rPr>
          <w:spacing w:val="-2"/>
          <w:sz w:val="21"/>
        </w:rPr>
        <w:t>在</w:t>
      </w:r>
      <w:r>
        <w:rPr>
          <w:spacing w:val="-2"/>
          <w:sz w:val="21"/>
        </w:rPr>
        <w:t>医院内行医并拥有处</w:t>
      </w:r>
      <w:r>
        <w:rPr>
          <w:spacing w:val="-2"/>
          <w:sz w:val="21"/>
        </w:rPr>
        <w:t>方</w:t>
      </w:r>
      <w:r>
        <w:rPr>
          <w:spacing w:val="-2"/>
          <w:sz w:val="21"/>
        </w:rPr>
        <w:t>权</w:t>
      </w:r>
      <w:r>
        <w:rPr>
          <w:spacing w:val="-2"/>
          <w:sz w:val="21"/>
        </w:rPr>
        <w:t>的医师，亦指在被保</w:t>
      </w:r>
      <w:r>
        <w:rPr>
          <w:spacing w:val="-2"/>
          <w:sz w:val="21"/>
        </w:rPr>
        <w:t>险</w:t>
      </w:r>
      <w:r>
        <w:rPr>
          <w:spacing w:val="-2"/>
          <w:sz w:val="21"/>
        </w:rPr>
        <w:t>人</w:t>
      </w:r>
      <w:r>
        <w:rPr>
          <w:spacing w:val="-2"/>
          <w:sz w:val="21"/>
        </w:rPr>
        <w:t>接受诊</w:t>
      </w:r>
      <w:r>
        <w:rPr>
          <w:spacing w:val="-2"/>
          <w:sz w:val="21"/>
        </w:rPr>
        <w:t>断</w:t>
      </w:r>
      <w:r>
        <w:rPr>
          <w:spacing w:val="-10"/>
          <w:sz w:val="21"/>
        </w:rPr>
        <w:t>、</w:t>
      </w:r>
    </w:p>
    <w:p>
      <w:pPr>
        <w:spacing w:line="244" w:lineRule="auto" w:before="2"/>
        <w:ind w:left="3185" w:right="452" w:firstLine="0"/>
        <w:jc w:val="left"/>
        <w:rPr>
          <w:b/>
          <w:sz w:val="21"/>
        </w:rPr>
      </w:pPr>
      <w:r>
        <w:rPr>
          <w:spacing w:val="-2"/>
          <w:sz w:val="21"/>
        </w:rPr>
        <w:t>医疗、处方或手术的地区内合法注册且有行医资格的医师。</w:t>
      </w:r>
      <w:r>
        <w:rPr>
          <w:b/>
          <w:spacing w:val="-2"/>
          <w:sz w:val="21"/>
        </w:rPr>
        <w:t>不包括</w:t>
      </w:r>
      <w:r>
        <w:rPr>
          <w:b/>
          <w:spacing w:val="-2"/>
          <w:sz w:val="21"/>
        </w:rPr>
        <w:t>投保人、受益人、被保险人本人及其近亲属。</w:t>
      </w:r>
    </w:p>
    <w:p>
      <w:pPr>
        <w:pStyle w:val="BodyText"/>
        <w:spacing w:before="2"/>
        <w:rPr>
          <w:b/>
          <w:sz w:val="18"/>
        </w:rPr>
      </w:pPr>
    </w:p>
    <w:p>
      <w:pPr>
        <w:pStyle w:val="ListParagraph"/>
        <w:numPr>
          <w:ilvl w:val="1"/>
          <w:numId w:val="31"/>
        </w:numPr>
        <w:tabs>
          <w:tab w:pos="1341" w:val="left" w:leader="none"/>
          <w:tab w:pos="1342" w:val="left" w:leader="none"/>
          <w:tab w:pos="3184" w:val="left" w:leader="none"/>
        </w:tabs>
        <w:spacing w:line="240" w:lineRule="auto" w:before="0" w:after="0"/>
        <w:ind w:left="1341" w:right="0" w:hanging="1100"/>
        <w:jc w:val="left"/>
        <w:rPr>
          <w:sz w:val="21"/>
        </w:rPr>
      </w:pPr>
      <w:r>
        <w:rPr>
          <w:b/>
          <w:sz w:val="21"/>
        </w:rPr>
        <w:t>毒</w:t>
      </w:r>
      <w:r>
        <w:rPr>
          <w:b/>
          <w:spacing w:val="-10"/>
          <w:sz w:val="21"/>
        </w:rPr>
        <w:t>品</w:t>
      </w:r>
      <w:r>
        <w:rPr>
          <w:b/>
          <w:sz w:val="21"/>
        </w:rPr>
        <w:tab/>
      </w:r>
      <w:r>
        <w:rPr>
          <w:spacing w:val="-2"/>
          <w:sz w:val="21"/>
        </w:rPr>
        <w:t>指</w:t>
      </w:r>
      <w:r>
        <w:rPr>
          <w:spacing w:val="-2"/>
          <w:sz w:val="21"/>
        </w:rPr>
        <w:t>中</w:t>
      </w:r>
      <w:r>
        <w:rPr>
          <w:spacing w:val="-2"/>
          <w:sz w:val="21"/>
        </w:rPr>
        <w:t>华人民共和国刑法规</w:t>
      </w:r>
      <w:r>
        <w:rPr>
          <w:spacing w:val="-2"/>
          <w:sz w:val="21"/>
        </w:rPr>
        <w:t>定</w:t>
      </w:r>
      <w:r>
        <w:rPr>
          <w:spacing w:val="-2"/>
          <w:sz w:val="21"/>
        </w:rPr>
        <w:t>的</w:t>
      </w:r>
      <w:r>
        <w:rPr>
          <w:spacing w:val="-2"/>
          <w:sz w:val="21"/>
        </w:rPr>
        <w:t>鸦片、海洛因、甲基</w:t>
      </w:r>
      <w:r>
        <w:rPr>
          <w:spacing w:val="-2"/>
          <w:sz w:val="21"/>
        </w:rPr>
        <w:t>苯</w:t>
      </w:r>
      <w:r>
        <w:rPr>
          <w:spacing w:val="-2"/>
          <w:sz w:val="21"/>
        </w:rPr>
        <w:t>丙</w:t>
      </w:r>
      <w:r>
        <w:rPr>
          <w:spacing w:val="-2"/>
          <w:sz w:val="21"/>
        </w:rPr>
        <w:t>胺（冰毒</w:t>
      </w:r>
      <w:r>
        <w:rPr>
          <w:spacing w:val="-106"/>
          <w:sz w:val="21"/>
        </w:rPr>
        <w:t>）</w:t>
      </w:r>
      <w:r>
        <w:rPr>
          <w:spacing w:val="-10"/>
          <w:sz w:val="21"/>
        </w:rPr>
        <w:t>、</w:t>
      </w:r>
    </w:p>
    <w:p>
      <w:pPr>
        <w:pStyle w:val="BodyText"/>
        <w:spacing w:before="2"/>
        <w:ind w:left="3185"/>
      </w:pPr>
      <w:r>
        <w:rPr>
          <w:spacing w:val="-3"/>
        </w:rPr>
        <w:t>吗啡、大麻、可卡因以及国家规定管制的其他能够使人形成瘾癖的</w:t>
      </w:r>
    </w:p>
    <w:p>
      <w:pPr>
        <w:spacing w:after="0"/>
        <w:sectPr>
          <w:pgSz w:w="11910" w:h="16840"/>
          <w:pgMar w:header="0" w:footer="879" w:top="1300" w:bottom="1060" w:left="1460" w:right="720"/>
        </w:sectPr>
      </w:pPr>
    </w:p>
    <w:tbl>
      <w:tblPr>
        <w:tblW w:w="0" w:type="auto"/>
        <w:jc w:val="left"/>
        <w:tblInd w:w="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34"/>
        <w:gridCol w:w="2053"/>
        <w:gridCol w:w="6351"/>
      </w:tblGrid>
      <w:tr>
        <w:trPr>
          <w:trHeight w:val="622" w:hRule="atLeast"/>
        </w:trPr>
        <w:tc>
          <w:tcPr>
            <w:tcW w:w="834" w:type="dxa"/>
          </w:tcPr>
          <w:p>
            <w:pPr>
              <w:pStyle w:val="TableParagraph"/>
              <w:rPr>
                <w:rFonts w:ascii="Times New Roman"/>
                <w:sz w:val="20"/>
              </w:rPr>
            </w:pPr>
          </w:p>
        </w:tc>
        <w:tc>
          <w:tcPr>
            <w:tcW w:w="2053" w:type="dxa"/>
          </w:tcPr>
          <w:p>
            <w:pPr>
              <w:pStyle w:val="TableParagraph"/>
              <w:rPr>
                <w:rFonts w:ascii="Times New Roman"/>
                <w:sz w:val="20"/>
              </w:rPr>
            </w:pPr>
          </w:p>
        </w:tc>
        <w:tc>
          <w:tcPr>
            <w:tcW w:w="6351" w:type="dxa"/>
          </w:tcPr>
          <w:p>
            <w:pPr>
              <w:pStyle w:val="TableParagraph"/>
              <w:spacing w:line="241" w:lineRule="exact"/>
              <w:ind w:left="105"/>
              <w:rPr>
                <w:sz w:val="21"/>
              </w:rPr>
            </w:pPr>
            <w:r>
              <w:rPr>
                <w:spacing w:val="-3"/>
                <w:sz w:val="21"/>
              </w:rPr>
              <w:t>麻醉药品和精神药品，但不包括由医师开具并遵医嘱用于治疗疾病</w:t>
            </w:r>
          </w:p>
          <w:p>
            <w:pPr>
              <w:pStyle w:val="TableParagraph"/>
              <w:spacing w:before="4"/>
              <w:ind w:left="105"/>
              <w:rPr>
                <w:sz w:val="21"/>
              </w:rPr>
            </w:pPr>
            <w:r>
              <w:rPr>
                <w:spacing w:val="-3"/>
                <w:sz w:val="21"/>
              </w:rPr>
              <w:t>的含有毒品成分的处方药品。</w:t>
            </w:r>
          </w:p>
        </w:tc>
      </w:tr>
      <w:tr>
        <w:trPr>
          <w:trHeight w:val="407" w:hRule="atLeast"/>
        </w:trPr>
        <w:tc>
          <w:tcPr>
            <w:tcW w:w="834" w:type="dxa"/>
          </w:tcPr>
          <w:p>
            <w:pPr>
              <w:pStyle w:val="TableParagraph"/>
              <w:spacing w:before="129"/>
              <w:ind w:left="50"/>
              <w:rPr>
                <w:rFonts w:ascii="Times New Roman"/>
                <w:sz w:val="21"/>
              </w:rPr>
            </w:pPr>
            <w:r>
              <w:rPr>
                <w:rFonts w:ascii="Times New Roman"/>
                <w:spacing w:val="-4"/>
                <w:sz w:val="21"/>
              </w:rPr>
              <w:t>11.7</w:t>
            </w:r>
          </w:p>
        </w:tc>
        <w:tc>
          <w:tcPr>
            <w:tcW w:w="2053" w:type="dxa"/>
          </w:tcPr>
          <w:p>
            <w:pPr>
              <w:pStyle w:val="TableParagraph"/>
              <w:spacing w:line="251" w:lineRule="exact" w:before="137"/>
              <w:ind w:left="315"/>
              <w:rPr>
                <w:b/>
                <w:sz w:val="21"/>
              </w:rPr>
            </w:pPr>
            <w:r>
              <w:rPr>
                <w:b/>
                <w:spacing w:val="-3"/>
                <w:sz w:val="21"/>
              </w:rPr>
              <w:t>酒后驾驶</w:t>
            </w:r>
          </w:p>
        </w:tc>
        <w:tc>
          <w:tcPr>
            <w:tcW w:w="6351" w:type="dxa"/>
          </w:tcPr>
          <w:p>
            <w:pPr>
              <w:pStyle w:val="TableParagraph"/>
              <w:spacing w:line="251" w:lineRule="exact" w:before="137"/>
              <w:ind w:left="105"/>
              <w:rPr>
                <w:sz w:val="21"/>
              </w:rPr>
            </w:pPr>
            <w:r>
              <w:rPr>
                <w:spacing w:val="-3"/>
                <w:sz w:val="21"/>
              </w:rPr>
              <w:t>指经检测或鉴定，发生事故时车辆驾驶人员每百毫升血液中的酒精</w:t>
            </w:r>
          </w:p>
        </w:tc>
      </w:tr>
      <w:tr>
        <w:trPr>
          <w:trHeight w:val="272" w:hRule="atLeast"/>
        </w:trPr>
        <w:tc>
          <w:tcPr>
            <w:tcW w:w="834" w:type="dxa"/>
          </w:tcPr>
          <w:p>
            <w:pPr>
              <w:pStyle w:val="TableParagraph"/>
              <w:rPr>
                <w:rFonts w:ascii="Times New Roman"/>
                <w:sz w:val="20"/>
              </w:rPr>
            </w:pPr>
          </w:p>
        </w:tc>
        <w:tc>
          <w:tcPr>
            <w:tcW w:w="2053" w:type="dxa"/>
          </w:tcPr>
          <w:p>
            <w:pPr>
              <w:pStyle w:val="TableParagraph"/>
              <w:rPr>
                <w:rFonts w:ascii="Times New Roman"/>
                <w:sz w:val="20"/>
              </w:rPr>
            </w:pPr>
          </w:p>
        </w:tc>
        <w:tc>
          <w:tcPr>
            <w:tcW w:w="6351" w:type="dxa"/>
          </w:tcPr>
          <w:p>
            <w:pPr>
              <w:pStyle w:val="TableParagraph"/>
              <w:spacing w:line="250" w:lineRule="exact" w:before="2"/>
              <w:ind w:left="105"/>
              <w:rPr>
                <w:sz w:val="21"/>
              </w:rPr>
            </w:pPr>
            <w:r>
              <w:rPr>
                <w:spacing w:val="-3"/>
                <w:sz w:val="21"/>
              </w:rPr>
              <w:t>含量达到或超过一定的标准，公安机关交通管理部门依据《道路交</w:t>
            </w:r>
          </w:p>
        </w:tc>
      </w:tr>
      <w:tr>
        <w:trPr>
          <w:trHeight w:val="271" w:hRule="atLeast"/>
        </w:trPr>
        <w:tc>
          <w:tcPr>
            <w:tcW w:w="834" w:type="dxa"/>
          </w:tcPr>
          <w:p>
            <w:pPr>
              <w:pStyle w:val="TableParagraph"/>
              <w:rPr>
                <w:rFonts w:ascii="Times New Roman"/>
                <w:sz w:val="20"/>
              </w:rPr>
            </w:pPr>
          </w:p>
        </w:tc>
        <w:tc>
          <w:tcPr>
            <w:tcW w:w="2053" w:type="dxa"/>
          </w:tcPr>
          <w:p>
            <w:pPr>
              <w:pStyle w:val="TableParagraph"/>
              <w:rPr>
                <w:rFonts w:ascii="Times New Roman"/>
                <w:sz w:val="20"/>
              </w:rPr>
            </w:pPr>
          </w:p>
        </w:tc>
        <w:tc>
          <w:tcPr>
            <w:tcW w:w="6351" w:type="dxa"/>
          </w:tcPr>
          <w:p>
            <w:pPr>
              <w:pStyle w:val="TableParagraph"/>
              <w:spacing w:line="250" w:lineRule="exact" w:before="1"/>
              <w:ind w:left="105"/>
              <w:rPr>
                <w:sz w:val="21"/>
              </w:rPr>
            </w:pPr>
            <w:r>
              <w:rPr>
                <w:spacing w:val="-3"/>
                <w:sz w:val="21"/>
              </w:rPr>
              <w:t>通安全法》及其他相关法律法规的规定认定为饮酒后驾驶或醉酒后</w:t>
            </w:r>
          </w:p>
        </w:tc>
      </w:tr>
      <w:tr>
        <w:trPr>
          <w:trHeight w:val="379" w:hRule="atLeast"/>
        </w:trPr>
        <w:tc>
          <w:tcPr>
            <w:tcW w:w="834" w:type="dxa"/>
          </w:tcPr>
          <w:p>
            <w:pPr>
              <w:pStyle w:val="TableParagraph"/>
              <w:rPr>
                <w:rFonts w:ascii="Times New Roman"/>
                <w:sz w:val="20"/>
              </w:rPr>
            </w:pPr>
          </w:p>
        </w:tc>
        <w:tc>
          <w:tcPr>
            <w:tcW w:w="2053" w:type="dxa"/>
          </w:tcPr>
          <w:p>
            <w:pPr>
              <w:pStyle w:val="TableParagraph"/>
              <w:rPr>
                <w:rFonts w:ascii="Times New Roman"/>
                <w:sz w:val="20"/>
              </w:rPr>
            </w:pPr>
          </w:p>
        </w:tc>
        <w:tc>
          <w:tcPr>
            <w:tcW w:w="6351" w:type="dxa"/>
          </w:tcPr>
          <w:p>
            <w:pPr>
              <w:pStyle w:val="TableParagraph"/>
              <w:spacing w:before="1"/>
              <w:ind w:left="105"/>
              <w:rPr>
                <w:sz w:val="21"/>
              </w:rPr>
            </w:pPr>
            <w:r>
              <w:rPr>
                <w:spacing w:val="-4"/>
                <w:sz w:val="21"/>
              </w:rPr>
              <w:t>驾驶。</w:t>
            </w:r>
          </w:p>
        </w:tc>
      </w:tr>
      <w:tr>
        <w:trPr>
          <w:trHeight w:val="404" w:hRule="atLeast"/>
        </w:trPr>
        <w:tc>
          <w:tcPr>
            <w:tcW w:w="834" w:type="dxa"/>
          </w:tcPr>
          <w:p>
            <w:pPr>
              <w:pStyle w:val="TableParagraph"/>
              <w:spacing w:before="130"/>
              <w:ind w:left="50"/>
              <w:rPr>
                <w:rFonts w:ascii="Times New Roman"/>
                <w:sz w:val="21"/>
              </w:rPr>
            </w:pPr>
            <w:r>
              <w:rPr>
                <w:rFonts w:ascii="Times New Roman"/>
                <w:spacing w:val="-4"/>
                <w:sz w:val="21"/>
              </w:rPr>
              <w:t>11.8</w:t>
            </w:r>
          </w:p>
        </w:tc>
        <w:tc>
          <w:tcPr>
            <w:tcW w:w="2053" w:type="dxa"/>
          </w:tcPr>
          <w:p>
            <w:pPr>
              <w:pStyle w:val="TableParagraph"/>
              <w:spacing w:line="246" w:lineRule="exact" w:before="138"/>
              <w:ind w:left="315"/>
              <w:rPr>
                <w:b/>
                <w:sz w:val="21"/>
              </w:rPr>
            </w:pPr>
            <w:r>
              <w:rPr>
                <w:b/>
                <w:spacing w:val="-2"/>
                <w:sz w:val="21"/>
              </w:rPr>
              <w:t>无合法有效驾驶</w:t>
            </w:r>
          </w:p>
        </w:tc>
        <w:tc>
          <w:tcPr>
            <w:tcW w:w="6351" w:type="dxa"/>
          </w:tcPr>
          <w:p>
            <w:pPr>
              <w:pStyle w:val="TableParagraph"/>
              <w:spacing w:line="246" w:lineRule="exact" w:before="138"/>
              <w:ind w:left="105"/>
              <w:rPr>
                <w:sz w:val="21"/>
              </w:rPr>
            </w:pPr>
            <w:r>
              <w:rPr>
                <w:spacing w:val="-4"/>
                <w:sz w:val="21"/>
              </w:rPr>
              <w:t>指下列情形之一：</w:t>
            </w:r>
          </w:p>
        </w:tc>
      </w:tr>
      <w:tr>
        <w:trPr>
          <w:trHeight w:val="1076" w:hRule="atLeast"/>
        </w:trPr>
        <w:tc>
          <w:tcPr>
            <w:tcW w:w="834" w:type="dxa"/>
          </w:tcPr>
          <w:p>
            <w:pPr>
              <w:pStyle w:val="TableParagraph"/>
              <w:rPr>
                <w:rFonts w:ascii="Times New Roman"/>
                <w:sz w:val="20"/>
              </w:rPr>
            </w:pPr>
          </w:p>
        </w:tc>
        <w:tc>
          <w:tcPr>
            <w:tcW w:w="2053" w:type="dxa"/>
          </w:tcPr>
          <w:p>
            <w:pPr>
              <w:pStyle w:val="TableParagraph"/>
              <w:spacing w:before="5"/>
              <w:ind w:left="315"/>
              <w:rPr>
                <w:b/>
                <w:sz w:val="21"/>
              </w:rPr>
            </w:pPr>
            <w:r>
              <w:rPr>
                <w:b/>
                <w:spacing w:val="-4"/>
                <w:sz w:val="21"/>
              </w:rPr>
              <w:t>证驾驶</w:t>
            </w:r>
          </w:p>
        </w:tc>
        <w:tc>
          <w:tcPr>
            <w:tcW w:w="6351" w:type="dxa"/>
          </w:tcPr>
          <w:p>
            <w:pPr>
              <w:pStyle w:val="TableParagraph"/>
              <w:numPr>
                <w:ilvl w:val="0"/>
                <w:numId w:val="32"/>
              </w:numPr>
              <w:tabs>
                <w:tab w:pos="635" w:val="left" w:leader="none"/>
              </w:tabs>
              <w:spacing w:line="240" w:lineRule="auto" w:before="5" w:after="0"/>
              <w:ind w:left="634" w:right="0" w:hanging="530"/>
              <w:jc w:val="left"/>
              <w:rPr>
                <w:sz w:val="21"/>
              </w:rPr>
            </w:pPr>
            <w:r>
              <w:rPr>
                <w:spacing w:val="-3"/>
                <w:sz w:val="21"/>
              </w:rPr>
              <w:t>没有取得驾驶资格或被吊销驾驶证；</w:t>
            </w:r>
          </w:p>
          <w:p>
            <w:pPr>
              <w:pStyle w:val="TableParagraph"/>
              <w:numPr>
                <w:ilvl w:val="0"/>
                <w:numId w:val="32"/>
              </w:numPr>
              <w:tabs>
                <w:tab w:pos="635" w:val="left" w:leader="none"/>
              </w:tabs>
              <w:spacing w:line="240" w:lineRule="auto" w:before="4" w:after="0"/>
              <w:ind w:left="634" w:right="0" w:hanging="530"/>
              <w:jc w:val="left"/>
              <w:rPr>
                <w:sz w:val="21"/>
              </w:rPr>
            </w:pPr>
            <w:r>
              <w:rPr>
                <w:spacing w:val="-3"/>
                <w:sz w:val="21"/>
              </w:rPr>
              <w:t>驾驶与驾驶证准驾车型不相符合的车辆；</w:t>
            </w:r>
          </w:p>
          <w:p>
            <w:pPr>
              <w:pStyle w:val="TableParagraph"/>
              <w:numPr>
                <w:ilvl w:val="0"/>
                <w:numId w:val="32"/>
              </w:numPr>
              <w:tabs>
                <w:tab w:pos="635" w:val="left" w:leader="none"/>
              </w:tabs>
              <w:spacing w:line="240" w:lineRule="auto" w:before="2" w:after="0"/>
              <w:ind w:left="634" w:right="0" w:hanging="530"/>
              <w:jc w:val="left"/>
              <w:rPr>
                <w:sz w:val="21"/>
              </w:rPr>
            </w:pPr>
            <w:r>
              <w:rPr>
                <w:spacing w:val="-3"/>
                <w:sz w:val="21"/>
              </w:rPr>
              <w:t>持审验不合格的驾驶证驾驶；</w:t>
            </w:r>
          </w:p>
          <w:p>
            <w:pPr>
              <w:pStyle w:val="TableParagraph"/>
              <w:numPr>
                <w:ilvl w:val="0"/>
                <w:numId w:val="32"/>
              </w:numPr>
              <w:tabs>
                <w:tab w:pos="635" w:val="left" w:leader="none"/>
              </w:tabs>
              <w:spacing w:line="236" w:lineRule="exact" w:before="2" w:after="0"/>
              <w:ind w:left="634" w:right="0" w:hanging="530"/>
              <w:jc w:val="left"/>
              <w:rPr>
                <w:sz w:val="21"/>
              </w:rPr>
            </w:pPr>
            <w:r>
              <w:rPr>
                <w:spacing w:val="-3"/>
                <w:sz w:val="21"/>
              </w:rPr>
              <w:t>持学习驾驶证学习驾车时，无教练员随车指导，或不按指定时</w:t>
            </w:r>
          </w:p>
        </w:tc>
      </w:tr>
      <w:tr>
        <w:trPr>
          <w:trHeight w:val="257" w:hRule="atLeast"/>
        </w:trPr>
        <w:tc>
          <w:tcPr>
            <w:tcW w:w="834" w:type="dxa"/>
          </w:tcPr>
          <w:p>
            <w:pPr>
              <w:pStyle w:val="TableParagraph"/>
              <w:rPr>
                <w:rFonts w:ascii="Times New Roman"/>
                <w:sz w:val="18"/>
              </w:rPr>
            </w:pPr>
          </w:p>
        </w:tc>
        <w:tc>
          <w:tcPr>
            <w:tcW w:w="2053" w:type="dxa"/>
          </w:tcPr>
          <w:p>
            <w:pPr>
              <w:pStyle w:val="TableParagraph"/>
              <w:rPr>
                <w:rFonts w:ascii="Times New Roman"/>
                <w:sz w:val="18"/>
              </w:rPr>
            </w:pPr>
          </w:p>
        </w:tc>
        <w:tc>
          <w:tcPr>
            <w:tcW w:w="6351" w:type="dxa"/>
          </w:tcPr>
          <w:p>
            <w:pPr>
              <w:pStyle w:val="TableParagraph"/>
              <w:spacing w:line="220" w:lineRule="exact" w:before="18"/>
              <w:ind w:left="631"/>
              <w:rPr>
                <w:sz w:val="21"/>
              </w:rPr>
            </w:pPr>
            <w:r>
              <w:rPr>
                <w:spacing w:val="-3"/>
                <w:sz w:val="21"/>
              </w:rPr>
              <w:t>间、路线学习驾车；</w:t>
            </w:r>
          </w:p>
        </w:tc>
      </w:tr>
      <w:tr>
        <w:trPr>
          <w:trHeight w:val="434" w:hRule="atLeast"/>
        </w:trPr>
        <w:tc>
          <w:tcPr>
            <w:tcW w:w="834" w:type="dxa"/>
          </w:tcPr>
          <w:p>
            <w:pPr>
              <w:pStyle w:val="TableParagraph"/>
              <w:rPr>
                <w:rFonts w:ascii="Times New Roman"/>
                <w:sz w:val="20"/>
              </w:rPr>
            </w:pPr>
          </w:p>
        </w:tc>
        <w:tc>
          <w:tcPr>
            <w:tcW w:w="2053" w:type="dxa"/>
          </w:tcPr>
          <w:p>
            <w:pPr>
              <w:pStyle w:val="TableParagraph"/>
              <w:rPr>
                <w:rFonts w:ascii="Times New Roman"/>
                <w:sz w:val="20"/>
              </w:rPr>
            </w:pPr>
          </w:p>
        </w:tc>
        <w:tc>
          <w:tcPr>
            <w:tcW w:w="6351" w:type="dxa"/>
          </w:tcPr>
          <w:p>
            <w:pPr>
              <w:pStyle w:val="TableParagraph"/>
              <w:spacing w:before="31"/>
              <w:ind w:left="105"/>
              <w:rPr>
                <w:sz w:val="21"/>
              </w:rPr>
            </w:pPr>
            <w:r>
              <w:rPr>
                <w:spacing w:val="-2"/>
                <w:sz w:val="21"/>
              </w:rPr>
              <w:t>（</w:t>
            </w:r>
            <w:r>
              <w:rPr>
                <w:rFonts w:ascii="Times New Roman" w:eastAsia="Times New Roman"/>
                <w:spacing w:val="-2"/>
                <w:sz w:val="21"/>
              </w:rPr>
              <w:t>5</w:t>
            </w:r>
            <w:r>
              <w:rPr>
                <w:spacing w:val="-2"/>
                <w:sz w:val="21"/>
              </w:rPr>
              <w:t>）</w:t>
            </w:r>
            <w:r>
              <w:rPr>
                <w:spacing w:val="-3"/>
                <w:sz w:val="21"/>
              </w:rPr>
              <w:t>其他公安交通管理部门规定的属于无有效驾驶证的情况。</w:t>
            </w:r>
          </w:p>
        </w:tc>
      </w:tr>
      <w:tr>
        <w:trPr>
          <w:trHeight w:val="413" w:hRule="atLeast"/>
        </w:trPr>
        <w:tc>
          <w:tcPr>
            <w:tcW w:w="834" w:type="dxa"/>
          </w:tcPr>
          <w:p>
            <w:pPr>
              <w:pStyle w:val="TableParagraph"/>
              <w:spacing w:before="139"/>
              <w:ind w:left="50"/>
              <w:rPr>
                <w:rFonts w:ascii="Times New Roman"/>
                <w:sz w:val="21"/>
              </w:rPr>
            </w:pPr>
            <w:r>
              <w:rPr>
                <w:rFonts w:ascii="Times New Roman"/>
                <w:spacing w:val="-4"/>
                <w:sz w:val="21"/>
              </w:rPr>
              <w:t>11.9</w:t>
            </w:r>
          </w:p>
        </w:tc>
        <w:tc>
          <w:tcPr>
            <w:tcW w:w="2053" w:type="dxa"/>
          </w:tcPr>
          <w:p>
            <w:pPr>
              <w:pStyle w:val="TableParagraph"/>
              <w:spacing w:line="247" w:lineRule="exact" w:before="147"/>
              <w:ind w:left="315"/>
              <w:rPr>
                <w:b/>
                <w:sz w:val="21"/>
              </w:rPr>
            </w:pPr>
            <w:r>
              <w:rPr>
                <w:b/>
                <w:spacing w:val="-2"/>
                <w:sz w:val="21"/>
              </w:rPr>
              <w:t>无有效行驶证</w:t>
            </w:r>
          </w:p>
        </w:tc>
        <w:tc>
          <w:tcPr>
            <w:tcW w:w="6351" w:type="dxa"/>
          </w:tcPr>
          <w:p>
            <w:pPr>
              <w:pStyle w:val="TableParagraph"/>
              <w:spacing w:line="247" w:lineRule="exact" w:before="147"/>
              <w:ind w:left="105"/>
              <w:rPr>
                <w:sz w:val="21"/>
              </w:rPr>
            </w:pPr>
            <w:r>
              <w:rPr>
                <w:spacing w:val="-4"/>
                <w:sz w:val="21"/>
              </w:rPr>
              <w:t>指下列情形之一：</w:t>
            </w:r>
          </w:p>
        </w:tc>
      </w:tr>
      <w:tr>
        <w:trPr>
          <w:trHeight w:val="934" w:hRule="atLeast"/>
        </w:trPr>
        <w:tc>
          <w:tcPr>
            <w:tcW w:w="834" w:type="dxa"/>
          </w:tcPr>
          <w:p>
            <w:pPr>
              <w:pStyle w:val="TableParagraph"/>
              <w:rPr>
                <w:rFonts w:ascii="Times New Roman"/>
                <w:sz w:val="20"/>
              </w:rPr>
            </w:pPr>
          </w:p>
        </w:tc>
        <w:tc>
          <w:tcPr>
            <w:tcW w:w="2053" w:type="dxa"/>
          </w:tcPr>
          <w:p>
            <w:pPr>
              <w:pStyle w:val="TableParagraph"/>
              <w:rPr>
                <w:rFonts w:ascii="Times New Roman"/>
                <w:sz w:val="20"/>
              </w:rPr>
            </w:pPr>
          </w:p>
        </w:tc>
        <w:tc>
          <w:tcPr>
            <w:tcW w:w="6351" w:type="dxa"/>
          </w:tcPr>
          <w:p>
            <w:pPr>
              <w:pStyle w:val="TableParagraph"/>
              <w:numPr>
                <w:ilvl w:val="0"/>
                <w:numId w:val="33"/>
              </w:numPr>
              <w:tabs>
                <w:tab w:pos="635" w:val="left" w:leader="none"/>
              </w:tabs>
              <w:spacing w:line="240" w:lineRule="auto" w:before="5" w:after="0"/>
              <w:ind w:left="634" w:right="0" w:hanging="530"/>
              <w:jc w:val="left"/>
              <w:rPr>
                <w:sz w:val="21"/>
              </w:rPr>
            </w:pPr>
            <w:r>
              <w:rPr>
                <w:spacing w:val="-4"/>
                <w:sz w:val="21"/>
              </w:rPr>
              <w:t>未取得行驶证；</w:t>
            </w:r>
          </w:p>
          <w:p>
            <w:pPr>
              <w:pStyle w:val="TableParagraph"/>
              <w:numPr>
                <w:ilvl w:val="0"/>
                <w:numId w:val="33"/>
              </w:numPr>
              <w:tabs>
                <w:tab w:pos="635" w:val="left" w:leader="none"/>
              </w:tabs>
              <w:spacing w:line="240" w:lineRule="auto" w:before="4" w:after="0"/>
              <w:ind w:left="634" w:right="0" w:hanging="530"/>
              <w:jc w:val="left"/>
              <w:rPr>
                <w:sz w:val="21"/>
              </w:rPr>
            </w:pPr>
            <w:r>
              <w:rPr>
                <w:spacing w:val="-3"/>
                <w:sz w:val="21"/>
              </w:rPr>
              <w:t>机动车被依法注销登记的；</w:t>
            </w:r>
          </w:p>
          <w:p>
            <w:pPr>
              <w:pStyle w:val="TableParagraph"/>
              <w:numPr>
                <w:ilvl w:val="0"/>
                <w:numId w:val="33"/>
              </w:numPr>
              <w:tabs>
                <w:tab w:pos="635" w:val="left" w:leader="none"/>
              </w:tabs>
              <w:spacing w:line="240" w:lineRule="auto" w:before="3" w:after="0"/>
              <w:ind w:left="634" w:right="0" w:hanging="530"/>
              <w:jc w:val="left"/>
              <w:rPr>
                <w:sz w:val="21"/>
              </w:rPr>
            </w:pPr>
            <w:r>
              <w:rPr>
                <w:spacing w:val="-3"/>
                <w:sz w:val="21"/>
              </w:rPr>
              <w:t>未依法按时进行或者未通过机动车安全技术检验的。</w:t>
            </w:r>
          </w:p>
        </w:tc>
      </w:tr>
      <w:tr>
        <w:trPr>
          <w:trHeight w:val="399" w:hRule="atLeast"/>
        </w:trPr>
        <w:tc>
          <w:tcPr>
            <w:tcW w:w="834" w:type="dxa"/>
          </w:tcPr>
          <w:p>
            <w:pPr>
              <w:pStyle w:val="TableParagraph"/>
              <w:spacing w:before="121"/>
              <w:ind w:left="50"/>
              <w:rPr>
                <w:rFonts w:ascii="Times New Roman"/>
                <w:sz w:val="21"/>
              </w:rPr>
            </w:pPr>
            <w:r>
              <w:rPr>
                <w:rFonts w:ascii="Times New Roman"/>
                <w:spacing w:val="-2"/>
                <w:sz w:val="21"/>
              </w:rPr>
              <w:t>11.10</w:t>
            </w:r>
          </w:p>
        </w:tc>
        <w:tc>
          <w:tcPr>
            <w:tcW w:w="2053" w:type="dxa"/>
          </w:tcPr>
          <w:p>
            <w:pPr>
              <w:pStyle w:val="TableParagraph"/>
              <w:spacing w:line="251" w:lineRule="exact" w:before="129"/>
              <w:ind w:left="315"/>
              <w:rPr>
                <w:b/>
                <w:sz w:val="21"/>
              </w:rPr>
            </w:pPr>
            <w:r>
              <w:rPr>
                <w:b/>
                <w:spacing w:val="-4"/>
                <w:sz w:val="21"/>
              </w:rPr>
              <w:t>机动车</w:t>
            </w:r>
          </w:p>
        </w:tc>
        <w:tc>
          <w:tcPr>
            <w:tcW w:w="6351" w:type="dxa"/>
          </w:tcPr>
          <w:p>
            <w:pPr>
              <w:pStyle w:val="TableParagraph"/>
              <w:spacing w:line="251" w:lineRule="exact" w:before="129"/>
              <w:ind w:left="105"/>
              <w:rPr>
                <w:sz w:val="21"/>
              </w:rPr>
            </w:pPr>
            <w:r>
              <w:rPr>
                <w:spacing w:val="-3"/>
                <w:sz w:val="21"/>
              </w:rPr>
              <w:t>指以动力装置驱动或者牵引，上道路行驶的供人员乘用或者用于运</w:t>
            </w:r>
          </w:p>
        </w:tc>
      </w:tr>
      <w:tr>
        <w:trPr>
          <w:trHeight w:val="379" w:hRule="atLeast"/>
        </w:trPr>
        <w:tc>
          <w:tcPr>
            <w:tcW w:w="834" w:type="dxa"/>
          </w:tcPr>
          <w:p>
            <w:pPr>
              <w:pStyle w:val="TableParagraph"/>
              <w:rPr>
                <w:rFonts w:ascii="Times New Roman"/>
                <w:sz w:val="20"/>
              </w:rPr>
            </w:pPr>
          </w:p>
        </w:tc>
        <w:tc>
          <w:tcPr>
            <w:tcW w:w="2053" w:type="dxa"/>
          </w:tcPr>
          <w:p>
            <w:pPr>
              <w:pStyle w:val="TableParagraph"/>
              <w:rPr>
                <w:rFonts w:ascii="Times New Roman"/>
                <w:sz w:val="20"/>
              </w:rPr>
            </w:pPr>
          </w:p>
        </w:tc>
        <w:tc>
          <w:tcPr>
            <w:tcW w:w="6351" w:type="dxa"/>
          </w:tcPr>
          <w:p>
            <w:pPr>
              <w:pStyle w:val="TableParagraph"/>
              <w:spacing w:before="2"/>
              <w:ind w:left="105"/>
              <w:rPr>
                <w:sz w:val="21"/>
              </w:rPr>
            </w:pPr>
            <w:r>
              <w:rPr>
                <w:spacing w:val="-3"/>
                <w:sz w:val="21"/>
              </w:rPr>
              <w:t>送物品以及进行工程专项作业的轮式车辆。</w:t>
            </w:r>
          </w:p>
        </w:tc>
      </w:tr>
      <w:tr>
        <w:trPr>
          <w:trHeight w:val="686" w:hRule="atLeast"/>
        </w:trPr>
        <w:tc>
          <w:tcPr>
            <w:tcW w:w="834" w:type="dxa"/>
          </w:tcPr>
          <w:p>
            <w:pPr>
              <w:pStyle w:val="TableParagraph"/>
              <w:spacing w:before="129"/>
              <w:ind w:left="50"/>
              <w:rPr>
                <w:rFonts w:ascii="Times New Roman"/>
                <w:sz w:val="21"/>
              </w:rPr>
            </w:pPr>
            <w:r>
              <w:rPr>
                <w:rFonts w:ascii="Times New Roman"/>
                <w:spacing w:val="-2"/>
                <w:sz w:val="21"/>
              </w:rPr>
              <w:t>11.11</w:t>
            </w:r>
          </w:p>
        </w:tc>
        <w:tc>
          <w:tcPr>
            <w:tcW w:w="2053" w:type="dxa"/>
          </w:tcPr>
          <w:p>
            <w:pPr>
              <w:pStyle w:val="TableParagraph"/>
              <w:spacing w:line="270" w:lineRule="atLeast" w:before="127"/>
              <w:ind w:left="315" w:right="257"/>
              <w:rPr>
                <w:b/>
                <w:sz w:val="21"/>
              </w:rPr>
            </w:pPr>
            <w:r>
              <w:rPr>
                <w:b/>
                <w:spacing w:val="-2"/>
                <w:sz w:val="21"/>
              </w:rPr>
              <w:t>感染艾滋病病毒</w:t>
            </w:r>
            <w:r>
              <w:rPr>
                <w:b/>
                <w:spacing w:val="-2"/>
                <w:sz w:val="21"/>
              </w:rPr>
              <w:t>或患艾滋病</w:t>
            </w:r>
          </w:p>
        </w:tc>
        <w:tc>
          <w:tcPr>
            <w:tcW w:w="6351" w:type="dxa"/>
          </w:tcPr>
          <w:p>
            <w:pPr>
              <w:pStyle w:val="TableParagraph"/>
              <w:spacing w:line="270" w:lineRule="atLeast" w:before="127"/>
              <w:ind w:left="105" w:right="158"/>
              <w:rPr>
                <w:sz w:val="21"/>
              </w:rPr>
            </w:pPr>
            <w:r>
              <w:rPr>
                <w:spacing w:val="-2"/>
                <w:sz w:val="21"/>
              </w:rPr>
              <w:t>艾滋病病毒指人类免疫缺陷病毒，英文缩写为</w:t>
            </w:r>
            <w:r>
              <w:rPr>
                <w:rFonts w:ascii="Times New Roman" w:eastAsia="Times New Roman"/>
                <w:spacing w:val="-2"/>
                <w:sz w:val="21"/>
              </w:rPr>
              <w:t>HIV</w:t>
            </w:r>
            <w:r>
              <w:rPr>
                <w:spacing w:val="-2"/>
                <w:sz w:val="21"/>
              </w:rPr>
              <w:t>。艾滋病指人类</w:t>
            </w:r>
            <w:r>
              <w:rPr>
                <w:spacing w:val="-2"/>
                <w:sz w:val="21"/>
              </w:rPr>
              <w:t>免疫缺陷病毒引起的获得性免疫缺陷综合征，英文缩写为</w:t>
            </w:r>
            <w:r>
              <w:rPr>
                <w:rFonts w:ascii="Times New Roman" w:eastAsia="Times New Roman"/>
                <w:spacing w:val="-2"/>
                <w:sz w:val="21"/>
              </w:rPr>
              <w:t>AIDS</w:t>
            </w:r>
            <w:r>
              <w:rPr>
                <w:spacing w:val="-2"/>
                <w:sz w:val="21"/>
              </w:rPr>
              <w:t>。</w:t>
            </w:r>
          </w:p>
        </w:tc>
      </w:tr>
      <w:tr>
        <w:trPr>
          <w:trHeight w:val="264" w:hRule="atLeast"/>
        </w:trPr>
        <w:tc>
          <w:tcPr>
            <w:tcW w:w="834" w:type="dxa"/>
          </w:tcPr>
          <w:p>
            <w:pPr>
              <w:pStyle w:val="TableParagraph"/>
              <w:rPr>
                <w:rFonts w:ascii="Times New Roman"/>
                <w:sz w:val="18"/>
              </w:rPr>
            </w:pPr>
          </w:p>
        </w:tc>
        <w:tc>
          <w:tcPr>
            <w:tcW w:w="2053" w:type="dxa"/>
          </w:tcPr>
          <w:p>
            <w:pPr>
              <w:pStyle w:val="TableParagraph"/>
              <w:rPr>
                <w:rFonts w:ascii="Times New Roman"/>
                <w:sz w:val="18"/>
              </w:rPr>
            </w:pPr>
          </w:p>
        </w:tc>
        <w:tc>
          <w:tcPr>
            <w:tcW w:w="6351" w:type="dxa"/>
          </w:tcPr>
          <w:p>
            <w:pPr>
              <w:pStyle w:val="TableParagraph"/>
              <w:spacing w:line="244" w:lineRule="exact"/>
              <w:ind w:left="105"/>
              <w:rPr>
                <w:sz w:val="21"/>
              </w:rPr>
            </w:pPr>
            <w:r>
              <w:rPr>
                <w:spacing w:val="-3"/>
                <w:sz w:val="21"/>
              </w:rPr>
              <w:t>在人体血液或其他样本中检测到艾滋病病毒或其抗体呈阳性，没有</w:t>
            </w:r>
          </w:p>
        </w:tc>
      </w:tr>
      <w:tr>
        <w:trPr>
          <w:trHeight w:val="272" w:hRule="atLeast"/>
        </w:trPr>
        <w:tc>
          <w:tcPr>
            <w:tcW w:w="834" w:type="dxa"/>
          </w:tcPr>
          <w:p>
            <w:pPr>
              <w:pStyle w:val="TableParagraph"/>
              <w:rPr>
                <w:rFonts w:ascii="Times New Roman"/>
                <w:sz w:val="20"/>
              </w:rPr>
            </w:pPr>
          </w:p>
        </w:tc>
        <w:tc>
          <w:tcPr>
            <w:tcW w:w="2053" w:type="dxa"/>
          </w:tcPr>
          <w:p>
            <w:pPr>
              <w:pStyle w:val="TableParagraph"/>
              <w:rPr>
                <w:rFonts w:ascii="Times New Roman"/>
                <w:sz w:val="20"/>
              </w:rPr>
            </w:pPr>
          </w:p>
        </w:tc>
        <w:tc>
          <w:tcPr>
            <w:tcW w:w="6351" w:type="dxa"/>
          </w:tcPr>
          <w:p>
            <w:pPr>
              <w:pStyle w:val="TableParagraph"/>
              <w:spacing w:line="251" w:lineRule="exact" w:before="1"/>
              <w:ind w:left="105"/>
              <w:rPr>
                <w:sz w:val="21"/>
              </w:rPr>
            </w:pPr>
            <w:r>
              <w:rPr>
                <w:spacing w:val="-3"/>
                <w:sz w:val="21"/>
              </w:rPr>
              <w:t>出现临床症状或体征的，为感染艾滋病病毒；如果同时出现了明显</w:t>
            </w:r>
          </w:p>
        </w:tc>
      </w:tr>
      <w:tr>
        <w:trPr>
          <w:trHeight w:val="379" w:hRule="atLeast"/>
        </w:trPr>
        <w:tc>
          <w:tcPr>
            <w:tcW w:w="834" w:type="dxa"/>
          </w:tcPr>
          <w:p>
            <w:pPr>
              <w:pStyle w:val="TableParagraph"/>
              <w:rPr>
                <w:rFonts w:ascii="Times New Roman"/>
                <w:sz w:val="20"/>
              </w:rPr>
            </w:pPr>
          </w:p>
        </w:tc>
        <w:tc>
          <w:tcPr>
            <w:tcW w:w="2053" w:type="dxa"/>
          </w:tcPr>
          <w:p>
            <w:pPr>
              <w:pStyle w:val="TableParagraph"/>
              <w:rPr>
                <w:rFonts w:ascii="Times New Roman"/>
                <w:sz w:val="20"/>
              </w:rPr>
            </w:pPr>
          </w:p>
        </w:tc>
        <w:tc>
          <w:tcPr>
            <w:tcW w:w="6351" w:type="dxa"/>
          </w:tcPr>
          <w:p>
            <w:pPr>
              <w:pStyle w:val="TableParagraph"/>
              <w:spacing w:before="2"/>
              <w:ind w:left="105"/>
              <w:rPr>
                <w:sz w:val="21"/>
              </w:rPr>
            </w:pPr>
            <w:r>
              <w:rPr>
                <w:spacing w:val="-3"/>
                <w:sz w:val="21"/>
              </w:rPr>
              <w:t>临床症状或体征的，为患艾滋病。</w:t>
            </w:r>
          </w:p>
        </w:tc>
      </w:tr>
      <w:tr>
        <w:trPr>
          <w:trHeight w:val="406" w:hRule="atLeast"/>
        </w:trPr>
        <w:tc>
          <w:tcPr>
            <w:tcW w:w="834" w:type="dxa"/>
          </w:tcPr>
          <w:p>
            <w:pPr>
              <w:pStyle w:val="TableParagraph"/>
              <w:spacing w:before="129"/>
              <w:ind w:left="50"/>
              <w:rPr>
                <w:rFonts w:ascii="Times New Roman"/>
                <w:sz w:val="21"/>
              </w:rPr>
            </w:pPr>
            <w:r>
              <w:rPr>
                <w:rFonts w:ascii="Times New Roman"/>
                <w:spacing w:val="-2"/>
                <w:sz w:val="21"/>
              </w:rPr>
              <w:t>11.12</w:t>
            </w:r>
          </w:p>
        </w:tc>
        <w:tc>
          <w:tcPr>
            <w:tcW w:w="2053" w:type="dxa"/>
          </w:tcPr>
          <w:p>
            <w:pPr>
              <w:pStyle w:val="TableParagraph"/>
              <w:spacing w:line="250" w:lineRule="exact" w:before="137"/>
              <w:ind w:left="315"/>
              <w:rPr>
                <w:b/>
                <w:sz w:val="21"/>
              </w:rPr>
            </w:pPr>
            <w:r>
              <w:rPr>
                <w:b/>
                <w:spacing w:val="-2"/>
                <w:sz w:val="21"/>
              </w:rPr>
              <w:t>遗传性疾病</w:t>
            </w:r>
          </w:p>
        </w:tc>
        <w:tc>
          <w:tcPr>
            <w:tcW w:w="6351" w:type="dxa"/>
          </w:tcPr>
          <w:p>
            <w:pPr>
              <w:pStyle w:val="TableParagraph"/>
              <w:spacing w:line="250" w:lineRule="exact" w:before="137"/>
              <w:ind w:left="105"/>
              <w:rPr>
                <w:sz w:val="21"/>
              </w:rPr>
            </w:pPr>
            <w:r>
              <w:rPr>
                <w:spacing w:val="-2"/>
                <w:sz w:val="21"/>
              </w:rPr>
              <w:t>指生殖细胞或受精卵的遗传物质（染色体和基因）</w:t>
            </w:r>
            <w:r>
              <w:rPr>
                <w:spacing w:val="-4"/>
                <w:sz w:val="21"/>
              </w:rPr>
              <w:t>发生突变或畸变</w:t>
            </w:r>
          </w:p>
        </w:tc>
      </w:tr>
      <w:tr>
        <w:trPr>
          <w:trHeight w:val="379" w:hRule="atLeast"/>
        </w:trPr>
        <w:tc>
          <w:tcPr>
            <w:tcW w:w="834" w:type="dxa"/>
          </w:tcPr>
          <w:p>
            <w:pPr>
              <w:pStyle w:val="TableParagraph"/>
              <w:rPr>
                <w:rFonts w:ascii="Times New Roman"/>
                <w:sz w:val="20"/>
              </w:rPr>
            </w:pPr>
          </w:p>
        </w:tc>
        <w:tc>
          <w:tcPr>
            <w:tcW w:w="2053" w:type="dxa"/>
          </w:tcPr>
          <w:p>
            <w:pPr>
              <w:pStyle w:val="TableParagraph"/>
              <w:rPr>
                <w:rFonts w:ascii="Times New Roman"/>
                <w:sz w:val="20"/>
              </w:rPr>
            </w:pPr>
          </w:p>
        </w:tc>
        <w:tc>
          <w:tcPr>
            <w:tcW w:w="6351" w:type="dxa"/>
          </w:tcPr>
          <w:p>
            <w:pPr>
              <w:pStyle w:val="TableParagraph"/>
              <w:spacing w:before="1"/>
              <w:ind w:left="105"/>
              <w:rPr>
                <w:sz w:val="21"/>
              </w:rPr>
            </w:pPr>
            <w:r>
              <w:rPr>
                <w:spacing w:val="-3"/>
                <w:sz w:val="21"/>
              </w:rPr>
              <w:t>所引起的疾病，通常具有由亲代传至后代的垂直传递的特征。</w:t>
            </w:r>
          </w:p>
        </w:tc>
      </w:tr>
      <w:tr>
        <w:trPr>
          <w:trHeight w:val="407" w:hRule="atLeast"/>
        </w:trPr>
        <w:tc>
          <w:tcPr>
            <w:tcW w:w="834" w:type="dxa"/>
          </w:tcPr>
          <w:p>
            <w:pPr>
              <w:pStyle w:val="TableParagraph"/>
              <w:spacing w:before="130"/>
              <w:ind w:left="50"/>
              <w:rPr>
                <w:rFonts w:ascii="Times New Roman"/>
                <w:sz w:val="21"/>
              </w:rPr>
            </w:pPr>
            <w:r>
              <w:rPr>
                <w:rFonts w:ascii="Times New Roman"/>
                <w:spacing w:val="-2"/>
                <w:sz w:val="21"/>
              </w:rPr>
              <w:t>11.13</w:t>
            </w:r>
          </w:p>
        </w:tc>
        <w:tc>
          <w:tcPr>
            <w:tcW w:w="2053" w:type="dxa"/>
          </w:tcPr>
          <w:p>
            <w:pPr>
              <w:pStyle w:val="TableParagraph"/>
              <w:spacing w:line="250" w:lineRule="exact" w:before="138"/>
              <w:ind w:left="315"/>
              <w:rPr>
                <w:b/>
                <w:sz w:val="21"/>
              </w:rPr>
            </w:pPr>
            <w:r>
              <w:rPr>
                <w:b/>
                <w:spacing w:val="-10"/>
                <w:sz w:val="21"/>
              </w:rPr>
              <w:t>先天性畸形、变形</w:t>
            </w:r>
          </w:p>
        </w:tc>
        <w:tc>
          <w:tcPr>
            <w:tcW w:w="6351" w:type="dxa"/>
          </w:tcPr>
          <w:p>
            <w:pPr>
              <w:pStyle w:val="TableParagraph"/>
              <w:spacing w:line="250" w:lineRule="exact" w:before="138"/>
              <w:ind w:left="105"/>
              <w:rPr>
                <w:sz w:val="21"/>
              </w:rPr>
            </w:pPr>
            <w:r>
              <w:rPr>
                <w:spacing w:val="-10"/>
                <w:sz w:val="21"/>
              </w:rPr>
              <w:t>指被保险人出生时就具有的畸形、变形或染色体异常。先天性畸形、</w:t>
            </w:r>
          </w:p>
        </w:tc>
      </w:tr>
      <w:tr>
        <w:trPr>
          <w:trHeight w:val="269" w:hRule="atLeast"/>
        </w:trPr>
        <w:tc>
          <w:tcPr>
            <w:tcW w:w="834" w:type="dxa"/>
          </w:tcPr>
          <w:p>
            <w:pPr>
              <w:pStyle w:val="TableParagraph"/>
              <w:rPr>
                <w:rFonts w:ascii="Times New Roman"/>
                <w:sz w:val="18"/>
              </w:rPr>
            </w:pPr>
          </w:p>
        </w:tc>
        <w:tc>
          <w:tcPr>
            <w:tcW w:w="2053" w:type="dxa"/>
          </w:tcPr>
          <w:p>
            <w:pPr>
              <w:pStyle w:val="TableParagraph"/>
              <w:spacing w:line="248" w:lineRule="exact" w:before="1"/>
              <w:ind w:left="315"/>
              <w:rPr>
                <w:b/>
                <w:sz w:val="21"/>
              </w:rPr>
            </w:pPr>
            <w:r>
              <w:rPr>
                <w:b/>
                <w:spacing w:val="-2"/>
                <w:sz w:val="21"/>
              </w:rPr>
              <w:t>或染色体异常</w:t>
            </w:r>
          </w:p>
        </w:tc>
        <w:tc>
          <w:tcPr>
            <w:tcW w:w="6351" w:type="dxa"/>
          </w:tcPr>
          <w:p>
            <w:pPr>
              <w:pStyle w:val="TableParagraph"/>
              <w:spacing w:line="248" w:lineRule="exact" w:before="1"/>
              <w:ind w:left="105"/>
              <w:rPr>
                <w:sz w:val="21"/>
              </w:rPr>
            </w:pPr>
            <w:r>
              <w:rPr>
                <w:spacing w:val="-3"/>
                <w:sz w:val="21"/>
              </w:rPr>
              <w:t>变形和染色体异常依照世界卫生组织《疾病和有关健康问题的国际</w:t>
            </w:r>
          </w:p>
        </w:tc>
      </w:tr>
      <w:tr>
        <w:trPr>
          <w:trHeight w:val="390" w:hRule="atLeast"/>
        </w:trPr>
        <w:tc>
          <w:tcPr>
            <w:tcW w:w="834" w:type="dxa"/>
          </w:tcPr>
          <w:p>
            <w:pPr>
              <w:pStyle w:val="TableParagraph"/>
              <w:rPr>
                <w:rFonts w:ascii="Times New Roman"/>
                <w:sz w:val="20"/>
              </w:rPr>
            </w:pPr>
          </w:p>
        </w:tc>
        <w:tc>
          <w:tcPr>
            <w:tcW w:w="2053" w:type="dxa"/>
          </w:tcPr>
          <w:p>
            <w:pPr>
              <w:pStyle w:val="TableParagraph"/>
              <w:rPr>
                <w:rFonts w:ascii="Times New Roman"/>
                <w:sz w:val="20"/>
              </w:rPr>
            </w:pPr>
          </w:p>
        </w:tc>
        <w:tc>
          <w:tcPr>
            <w:tcW w:w="6351" w:type="dxa"/>
          </w:tcPr>
          <w:p>
            <w:pPr>
              <w:pStyle w:val="TableParagraph"/>
              <w:spacing w:before="6"/>
              <w:ind w:left="105"/>
              <w:rPr>
                <w:sz w:val="21"/>
              </w:rPr>
            </w:pPr>
            <w:r>
              <w:rPr>
                <w:spacing w:val="-24"/>
                <w:sz w:val="21"/>
              </w:rPr>
              <w:t>统计分类》</w:t>
            </w:r>
            <w:r>
              <w:rPr>
                <w:spacing w:val="-2"/>
                <w:sz w:val="21"/>
              </w:rPr>
              <w:t>（</w:t>
            </w:r>
            <w:r>
              <w:rPr>
                <w:rFonts w:ascii="Times New Roman" w:eastAsia="Times New Roman"/>
                <w:spacing w:val="-2"/>
                <w:sz w:val="21"/>
              </w:rPr>
              <w:t>ICD-10</w:t>
            </w:r>
            <w:r>
              <w:rPr>
                <w:spacing w:val="-2"/>
                <w:sz w:val="21"/>
              </w:rPr>
              <w:t>）</w:t>
            </w:r>
            <w:r>
              <w:rPr>
                <w:spacing w:val="-5"/>
                <w:sz w:val="21"/>
              </w:rPr>
              <w:t>确定。</w:t>
            </w:r>
          </w:p>
        </w:tc>
      </w:tr>
      <w:tr>
        <w:trPr>
          <w:trHeight w:val="384" w:hRule="atLeast"/>
        </w:trPr>
        <w:tc>
          <w:tcPr>
            <w:tcW w:w="834" w:type="dxa"/>
          </w:tcPr>
          <w:p>
            <w:pPr>
              <w:pStyle w:val="TableParagraph"/>
              <w:spacing w:before="121"/>
              <w:ind w:left="50"/>
              <w:rPr>
                <w:rFonts w:ascii="Times New Roman"/>
                <w:sz w:val="21"/>
              </w:rPr>
            </w:pPr>
            <w:r>
              <w:rPr>
                <w:rFonts w:ascii="Times New Roman"/>
                <w:spacing w:val="-2"/>
                <w:sz w:val="21"/>
              </w:rPr>
              <w:t>11.14</w:t>
            </w:r>
          </w:p>
        </w:tc>
        <w:tc>
          <w:tcPr>
            <w:tcW w:w="2053" w:type="dxa"/>
          </w:tcPr>
          <w:p>
            <w:pPr>
              <w:pStyle w:val="TableParagraph"/>
              <w:spacing w:line="236" w:lineRule="exact" w:before="129"/>
              <w:ind w:left="315"/>
              <w:rPr>
                <w:b/>
                <w:sz w:val="21"/>
              </w:rPr>
            </w:pPr>
            <w:r>
              <w:rPr>
                <w:b/>
                <w:spacing w:val="-2"/>
                <w:sz w:val="21"/>
              </w:rPr>
              <w:t>未满期净保险费</w:t>
            </w:r>
          </w:p>
        </w:tc>
        <w:tc>
          <w:tcPr>
            <w:tcW w:w="6351" w:type="dxa"/>
          </w:tcPr>
          <w:p>
            <w:pPr>
              <w:pStyle w:val="TableParagraph"/>
              <w:spacing w:line="236" w:lineRule="exact" w:before="129"/>
              <w:ind w:left="105"/>
              <w:rPr>
                <w:sz w:val="21"/>
              </w:rPr>
            </w:pPr>
            <w:r>
              <w:rPr>
                <w:spacing w:val="-2"/>
                <w:sz w:val="21"/>
              </w:rPr>
              <w:t>其计算公式为：未满期净保险费</w:t>
            </w:r>
            <w:r>
              <w:rPr>
                <w:rFonts w:ascii="Times New Roman" w:hAnsi="Times New Roman" w:eastAsia="Times New Roman"/>
                <w:spacing w:val="-2"/>
                <w:sz w:val="21"/>
              </w:rPr>
              <w:t>=</w:t>
            </w:r>
            <w:r>
              <w:rPr>
                <w:spacing w:val="-2"/>
                <w:sz w:val="21"/>
              </w:rPr>
              <w:t>最后一期已付保险费×（</w:t>
            </w:r>
            <w:r>
              <w:rPr>
                <w:rFonts w:ascii="Times New Roman" w:hAnsi="Times New Roman" w:eastAsia="Times New Roman"/>
                <w:spacing w:val="-2"/>
                <w:sz w:val="21"/>
              </w:rPr>
              <w:t>1-</w:t>
            </w:r>
            <w:r>
              <w:rPr>
                <w:rFonts w:ascii="Times New Roman" w:hAnsi="Times New Roman" w:eastAsia="Times New Roman"/>
                <w:spacing w:val="-4"/>
                <w:sz w:val="21"/>
              </w:rPr>
              <w:t>35%</w:t>
            </w:r>
            <w:r>
              <w:rPr>
                <w:spacing w:val="-4"/>
                <w:sz w:val="21"/>
              </w:rPr>
              <w:t>）</w:t>
            </w:r>
          </w:p>
        </w:tc>
      </w:tr>
    </w:tbl>
    <w:p>
      <w:pPr>
        <w:spacing w:line="184" w:lineRule="exact" w:before="113"/>
        <w:ind w:left="3185" w:right="0" w:firstLine="0"/>
        <w:jc w:val="left"/>
        <w:rPr>
          <w:sz w:val="21"/>
        </w:rPr>
      </w:pPr>
      <w:r>
        <w:rPr/>
        <w:drawing>
          <wp:anchor distT="0" distB="0" distL="0" distR="0" allowOverlap="1" layoutInCell="1" locked="0" behindDoc="0" simplePos="0" relativeHeight="11">
            <wp:simplePos x="0" y="0"/>
            <wp:positionH relativeFrom="page">
              <wp:posOffset>3322520</wp:posOffset>
            </wp:positionH>
            <wp:positionV relativeFrom="paragraph">
              <wp:posOffset>203558</wp:posOffset>
            </wp:positionV>
            <wp:extent cx="1654422" cy="6096"/>
            <wp:effectExtent l="0" t="0" r="0" b="0"/>
            <wp:wrapTopAndBottom/>
            <wp:docPr id="29" name="image10.png"/>
            <wp:cNvGraphicFramePr>
              <a:graphicFrameLocks noChangeAspect="1"/>
            </wp:cNvGraphicFramePr>
            <a:graphic>
              <a:graphicData uri="http://schemas.openxmlformats.org/drawingml/2006/picture">
                <pic:pic>
                  <pic:nvPicPr>
                    <pic:cNvPr id="30" name="image10.png"/>
                    <pic:cNvPicPr/>
                  </pic:nvPicPr>
                  <pic:blipFill>
                    <a:blip r:embed="rId15" cstate="print"/>
                    <a:stretch>
                      <a:fillRect/>
                    </a:stretch>
                  </pic:blipFill>
                  <pic:spPr>
                    <a:xfrm>
                      <a:off x="0" y="0"/>
                      <a:ext cx="1654422" cy="6096"/>
                    </a:xfrm>
                    <a:prstGeom prst="rect">
                      <a:avLst/>
                    </a:prstGeom>
                  </pic:spPr>
                </pic:pic>
              </a:graphicData>
            </a:graphic>
          </wp:anchor>
        </w:drawing>
      </w:r>
      <w:r>
        <w:rPr>
          <w:spacing w:val="12"/>
          <w:position w:val="-7"/>
          <w:sz w:val="21"/>
        </w:rPr>
        <w:t>×</w:t>
      </w:r>
      <w:r>
        <w:rPr>
          <w:rFonts w:ascii="Symbol" w:hAnsi="Symbol" w:eastAsia="Symbol"/>
          <w:spacing w:val="12"/>
          <w:sz w:val="15"/>
        </w:rPr>
        <w:t></w:t>
      </w:r>
      <w:r>
        <w:rPr>
          <w:rFonts w:ascii="Times New Roman" w:hAnsi="Times New Roman" w:eastAsia="Times New Roman"/>
          <w:spacing w:val="-14"/>
          <w:sz w:val="15"/>
        </w:rPr>
        <w:t> </w:t>
      </w:r>
      <w:r>
        <w:rPr>
          <w:rFonts w:ascii="Times New Roman" w:hAnsi="Times New Roman" w:eastAsia="Times New Roman"/>
          <w:position w:val="-12"/>
          <w:sz w:val="15"/>
        </w:rPr>
        <w:t>1</w:t>
      </w:r>
      <w:r>
        <w:rPr>
          <w:rFonts w:ascii="Times New Roman" w:hAnsi="Times New Roman" w:eastAsia="Times New Roman"/>
          <w:spacing w:val="4"/>
          <w:position w:val="-12"/>
          <w:sz w:val="15"/>
        </w:rPr>
        <w:t> </w:t>
      </w:r>
      <w:r>
        <w:rPr>
          <w:rFonts w:ascii="Symbol" w:hAnsi="Symbol" w:eastAsia="Symbol"/>
          <w:position w:val="-12"/>
          <w:sz w:val="15"/>
        </w:rPr>
        <w:t></w:t>
      </w:r>
      <w:r>
        <w:rPr>
          <w:rFonts w:ascii="Times New Roman" w:hAnsi="Times New Roman" w:eastAsia="Times New Roman"/>
          <w:spacing w:val="36"/>
          <w:position w:val="-12"/>
          <w:sz w:val="15"/>
        </w:rPr>
        <w:t> </w:t>
      </w:r>
      <w:r>
        <w:rPr>
          <w:spacing w:val="-19"/>
          <w:sz w:val="15"/>
        </w:rPr>
        <w:t>该 保 险 费 所 保 障 的 已 经 过 天 数 </w:t>
      </w:r>
      <w:r>
        <w:rPr>
          <w:rFonts w:ascii="Symbol" w:hAnsi="Symbol" w:eastAsia="Symbol"/>
          <w:sz w:val="15"/>
        </w:rPr>
        <w:t></w:t>
      </w:r>
      <w:r>
        <w:rPr>
          <w:rFonts w:ascii="Times New Roman" w:hAnsi="Times New Roman" w:eastAsia="Times New Roman"/>
          <w:spacing w:val="12"/>
          <w:sz w:val="15"/>
        </w:rPr>
        <w:t> </w:t>
      </w:r>
      <w:r>
        <w:rPr>
          <w:spacing w:val="-1"/>
          <w:position w:val="-7"/>
          <w:sz w:val="21"/>
        </w:rPr>
        <w:t>，经过天数不足一天的按一天</w:t>
      </w:r>
    </w:p>
    <w:p>
      <w:pPr>
        <w:tabs>
          <w:tab w:pos="887" w:val="left" w:leader="none"/>
          <w:tab w:pos="3269" w:val="left" w:leader="none"/>
        </w:tabs>
        <w:spacing w:line="101" w:lineRule="exact" w:before="0"/>
        <w:ind w:left="222" w:right="0" w:firstLine="0"/>
        <w:jc w:val="center"/>
        <w:rPr>
          <w:rFonts w:ascii="Symbol" w:hAnsi="Symbol"/>
          <w:sz w:val="15"/>
        </w:rPr>
      </w:pPr>
      <w:r>
        <w:rPr>
          <w:rFonts w:ascii="Symbol" w:hAnsi="Symbol"/>
          <w:spacing w:val="-10"/>
          <w:w w:val="105"/>
          <w:position w:val="10"/>
          <w:sz w:val="15"/>
        </w:rPr>
        <w:t></w:t>
      </w:r>
      <w:r>
        <w:rPr>
          <w:rFonts w:ascii="Times New Roman" w:hAnsi="Times New Roman"/>
          <w:position w:val="10"/>
          <w:sz w:val="15"/>
        </w:rPr>
        <w:tab/>
      </w:r>
      <w:r>
        <w:rPr>
          <w:w w:val="105"/>
          <w:sz w:val="15"/>
        </w:rPr>
        <w:t>该</w:t>
      </w:r>
      <w:r>
        <w:rPr>
          <w:spacing w:val="-34"/>
          <w:w w:val="105"/>
          <w:sz w:val="15"/>
        </w:rPr>
        <w:t> </w:t>
      </w:r>
      <w:r>
        <w:rPr>
          <w:w w:val="105"/>
          <w:sz w:val="15"/>
        </w:rPr>
        <w:t>保</w:t>
      </w:r>
      <w:r>
        <w:rPr>
          <w:spacing w:val="-34"/>
          <w:w w:val="105"/>
          <w:sz w:val="15"/>
        </w:rPr>
        <w:t> </w:t>
      </w:r>
      <w:r>
        <w:rPr>
          <w:w w:val="105"/>
          <w:sz w:val="15"/>
        </w:rPr>
        <w:t>险</w:t>
      </w:r>
      <w:r>
        <w:rPr>
          <w:spacing w:val="-34"/>
          <w:w w:val="105"/>
          <w:sz w:val="15"/>
        </w:rPr>
        <w:t> </w:t>
      </w:r>
      <w:r>
        <w:rPr>
          <w:w w:val="105"/>
          <w:sz w:val="15"/>
        </w:rPr>
        <w:t>费</w:t>
      </w:r>
      <w:r>
        <w:rPr>
          <w:spacing w:val="-33"/>
          <w:w w:val="105"/>
          <w:sz w:val="15"/>
        </w:rPr>
        <w:t> </w:t>
      </w:r>
      <w:r>
        <w:rPr>
          <w:w w:val="105"/>
          <w:sz w:val="15"/>
        </w:rPr>
        <w:t>所</w:t>
      </w:r>
      <w:r>
        <w:rPr>
          <w:spacing w:val="-34"/>
          <w:w w:val="105"/>
          <w:sz w:val="15"/>
        </w:rPr>
        <w:t> </w:t>
      </w:r>
      <w:r>
        <w:rPr>
          <w:w w:val="105"/>
          <w:sz w:val="15"/>
        </w:rPr>
        <w:t>保</w:t>
      </w:r>
      <w:r>
        <w:rPr>
          <w:spacing w:val="-33"/>
          <w:w w:val="105"/>
          <w:sz w:val="15"/>
        </w:rPr>
        <w:t> </w:t>
      </w:r>
      <w:r>
        <w:rPr>
          <w:w w:val="105"/>
          <w:sz w:val="15"/>
        </w:rPr>
        <w:t>障</w:t>
      </w:r>
      <w:r>
        <w:rPr>
          <w:spacing w:val="-34"/>
          <w:w w:val="105"/>
          <w:sz w:val="15"/>
        </w:rPr>
        <w:t> </w:t>
      </w:r>
      <w:r>
        <w:rPr>
          <w:w w:val="105"/>
          <w:sz w:val="15"/>
        </w:rPr>
        <w:t>的</w:t>
      </w:r>
      <w:r>
        <w:rPr>
          <w:spacing w:val="-33"/>
          <w:w w:val="105"/>
          <w:sz w:val="15"/>
        </w:rPr>
        <w:t> </w:t>
      </w:r>
      <w:r>
        <w:rPr>
          <w:w w:val="105"/>
          <w:sz w:val="15"/>
        </w:rPr>
        <w:t>天</w:t>
      </w:r>
      <w:r>
        <w:rPr>
          <w:spacing w:val="-34"/>
          <w:w w:val="105"/>
          <w:sz w:val="15"/>
        </w:rPr>
        <w:t> </w:t>
      </w:r>
      <w:r>
        <w:rPr>
          <w:spacing w:val="-10"/>
          <w:w w:val="105"/>
          <w:sz w:val="15"/>
        </w:rPr>
        <w:t>数</w:t>
      </w:r>
      <w:r>
        <w:rPr>
          <w:sz w:val="15"/>
        </w:rPr>
        <w:tab/>
      </w:r>
      <w:r>
        <w:rPr>
          <w:rFonts w:ascii="Symbol" w:hAnsi="Symbol"/>
          <w:spacing w:val="-10"/>
          <w:w w:val="105"/>
          <w:position w:val="10"/>
          <w:sz w:val="15"/>
        </w:rPr>
        <w:t></w:t>
      </w:r>
    </w:p>
    <w:p>
      <w:pPr>
        <w:tabs>
          <w:tab w:pos="3269" w:val="left" w:leader="none"/>
        </w:tabs>
        <w:spacing w:before="5"/>
        <w:ind w:left="222" w:right="0" w:firstLine="0"/>
        <w:jc w:val="center"/>
        <w:rPr>
          <w:rFonts w:ascii="Symbol" w:hAnsi="Symbol"/>
          <w:sz w:val="15"/>
        </w:rPr>
      </w:pPr>
      <w:r>
        <w:rPr>
          <w:rFonts w:ascii="Symbol" w:hAnsi="Symbol"/>
          <w:spacing w:val="-10"/>
          <w:w w:val="105"/>
          <w:sz w:val="15"/>
        </w:rPr>
        <w:t></w:t>
      </w:r>
      <w:r>
        <w:rPr>
          <w:rFonts w:ascii="Times New Roman" w:hAnsi="Times New Roman"/>
          <w:sz w:val="15"/>
        </w:rPr>
        <w:tab/>
      </w:r>
      <w:r>
        <w:rPr>
          <w:rFonts w:ascii="Symbol" w:hAnsi="Symbol"/>
          <w:spacing w:val="-10"/>
          <w:w w:val="105"/>
          <w:sz w:val="15"/>
        </w:rPr>
        <w:t></w:t>
      </w:r>
    </w:p>
    <w:p>
      <w:pPr>
        <w:pStyle w:val="BodyText"/>
        <w:spacing w:before="24"/>
        <w:ind w:left="3185"/>
      </w:pPr>
      <w:r>
        <w:rPr>
          <w:spacing w:val="-4"/>
        </w:rPr>
        <w:t>计算。</w:t>
      </w:r>
    </w:p>
    <w:p>
      <w:pPr>
        <w:pStyle w:val="BodyText"/>
        <w:spacing w:before="7"/>
        <w:rPr>
          <w:sz w:val="18"/>
        </w:rPr>
      </w:pPr>
    </w:p>
    <w:p>
      <w:pPr>
        <w:pStyle w:val="ListParagraph"/>
        <w:numPr>
          <w:ilvl w:val="1"/>
          <w:numId w:val="34"/>
        </w:numPr>
        <w:tabs>
          <w:tab w:pos="1341" w:val="left" w:leader="none"/>
          <w:tab w:pos="1342" w:val="left" w:leader="none"/>
          <w:tab w:pos="3184" w:val="left" w:leader="none"/>
        </w:tabs>
        <w:spacing w:line="240" w:lineRule="auto" w:before="1" w:after="0"/>
        <w:ind w:left="1341" w:right="0" w:hanging="1100"/>
        <w:jc w:val="left"/>
        <w:rPr>
          <w:sz w:val="21"/>
        </w:rPr>
      </w:pPr>
      <w:r>
        <w:rPr>
          <w:b/>
          <w:sz w:val="21"/>
        </w:rPr>
        <w:t>有效身份证</w:t>
      </w:r>
      <w:r>
        <w:rPr>
          <w:b/>
          <w:spacing w:val="-10"/>
          <w:sz w:val="21"/>
        </w:rPr>
        <w:t>件</w:t>
      </w:r>
      <w:r>
        <w:rPr>
          <w:b/>
          <w:sz w:val="21"/>
        </w:rPr>
        <w:tab/>
      </w:r>
      <w:r>
        <w:rPr>
          <w:spacing w:val="-2"/>
          <w:sz w:val="21"/>
        </w:rPr>
        <w:t>指</w:t>
      </w:r>
      <w:r>
        <w:rPr>
          <w:spacing w:val="-2"/>
          <w:sz w:val="21"/>
        </w:rPr>
        <w:t>依</w:t>
      </w:r>
      <w:r>
        <w:rPr>
          <w:spacing w:val="-2"/>
          <w:sz w:val="21"/>
        </w:rPr>
        <w:t>据法律规定，由有权</w:t>
      </w:r>
      <w:r>
        <w:rPr>
          <w:spacing w:val="-2"/>
          <w:sz w:val="21"/>
        </w:rPr>
        <w:t>机</w:t>
      </w:r>
      <w:r>
        <w:rPr>
          <w:spacing w:val="-2"/>
          <w:sz w:val="21"/>
        </w:rPr>
        <w:t>构</w:t>
      </w:r>
      <w:r>
        <w:rPr>
          <w:spacing w:val="-2"/>
          <w:sz w:val="21"/>
        </w:rPr>
        <w:t>制作颁发的证明身份</w:t>
      </w:r>
      <w:r>
        <w:rPr>
          <w:spacing w:val="-2"/>
          <w:sz w:val="21"/>
        </w:rPr>
        <w:t>的</w:t>
      </w:r>
      <w:r>
        <w:rPr>
          <w:spacing w:val="-2"/>
          <w:sz w:val="21"/>
        </w:rPr>
        <w:t>证</w:t>
      </w:r>
      <w:r>
        <w:rPr>
          <w:spacing w:val="-2"/>
          <w:sz w:val="21"/>
        </w:rPr>
        <w:t>件，如：</w:t>
      </w:r>
      <w:r>
        <w:rPr>
          <w:spacing w:val="-10"/>
          <w:sz w:val="21"/>
        </w:rPr>
        <w:t>居</w:t>
      </w:r>
    </w:p>
    <w:p>
      <w:pPr>
        <w:pStyle w:val="BodyText"/>
        <w:spacing w:before="4"/>
        <w:ind w:left="3185"/>
      </w:pPr>
      <w:r>
        <w:rPr>
          <w:spacing w:val="-3"/>
        </w:rPr>
        <w:t>民身份证、户口簿、护照、军人证等。</w:t>
      </w:r>
    </w:p>
    <w:p>
      <w:pPr>
        <w:pStyle w:val="BodyText"/>
        <w:spacing w:before="8"/>
        <w:rPr>
          <w:sz w:val="18"/>
        </w:rPr>
      </w:pPr>
    </w:p>
    <w:p>
      <w:pPr>
        <w:pStyle w:val="ListParagraph"/>
        <w:numPr>
          <w:ilvl w:val="1"/>
          <w:numId w:val="34"/>
        </w:numPr>
        <w:tabs>
          <w:tab w:pos="1099" w:val="left" w:leader="none"/>
          <w:tab w:pos="1342" w:val="left" w:leader="none"/>
          <w:tab w:pos="2942" w:val="left" w:leader="none"/>
        </w:tabs>
        <w:spacing w:line="240" w:lineRule="auto" w:before="1" w:after="0"/>
        <w:ind w:left="1341" w:right="449" w:hanging="1342"/>
        <w:jc w:val="right"/>
        <w:rPr>
          <w:sz w:val="21"/>
        </w:rPr>
      </w:pPr>
      <w:r>
        <w:rPr>
          <w:b/>
          <w:sz w:val="21"/>
        </w:rPr>
        <w:t>医</w:t>
      </w:r>
      <w:r>
        <w:rPr>
          <w:b/>
          <w:spacing w:val="-10"/>
          <w:sz w:val="21"/>
        </w:rPr>
        <w:t>院</w:t>
      </w:r>
      <w:r>
        <w:rPr>
          <w:b/>
          <w:sz w:val="21"/>
        </w:rPr>
        <w:tab/>
      </w:r>
      <w:r>
        <w:rPr>
          <w:spacing w:val="-2"/>
          <w:sz w:val="21"/>
        </w:rPr>
        <w:t>指</w:t>
      </w:r>
      <w:r>
        <w:rPr>
          <w:spacing w:val="-2"/>
          <w:sz w:val="21"/>
        </w:rPr>
        <w:t>具</w:t>
      </w:r>
      <w:r>
        <w:rPr>
          <w:spacing w:val="-2"/>
          <w:sz w:val="21"/>
        </w:rPr>
        <w:t>备由政府卫生行政管</w:t>
      </w:r>
      <w:r>
        <w:rPr>
          <w:spacing w:val="-2"/>
          <w:sz w:val="21"/>
        </w:rPr>
        <w:t>理</w:t>
      </w:r>
      <w:r>
        <w:rPr>
          <w:spacing w:val="-2"/>
          <w:sz w:val="21"/>
        </w:rPr>
        <w:t>部</w:t>
      </w:r>
      <w:r>
        <w:rPr>
          <w:spacing w:val="-2"/>
          <w:sz w:val="21"/>
        </w:rPr>
        <w:t>门颁发的、合法有效</w:t>
      </w:r>
      <w:r>
        <w:rPr>
          <w:spacing w:val="-2"/>
          <w:sz w:val="21"/>
        </w:rPr>
        <w:t>的</w:t>
      </w:r>
      <w:r>
        <w:rPr>
          <w:spacing w:val="-2"/>
          <w:sz w:val="21"/>
        </w:rPr>
        <w:t>医</w:t>
      </w:r>
      <w:r>
        <w:rPr>
          <w:spacing w:val="-2"/>
          <w:sz w:val="21"/>
        </w:rPr>
        <w:t>疗机构</w:t>
      </w:r>
      <w:r>
        <w:rPr>
          <w:spacing w:val="-2"/>
          <w:sz w:val="21"/>
        </w:rPr>
        <w:t>执</w:t>
      </w:r>
      <w:r>
        <w:rPr>
          <w:spacing w:val="-10"/>
          <w:sz w:val="21"/>
        </w:rPr>
        <w:t>业</w:t>
      </w:r>
    </w:p>
    <w:p>
      <w:pPr>
        <w:pStyle w:val="BodyText"/>
        <w:spacing w:before="2"/>
        <w:ind w:right="444"/>
        <w:jc w:val="right"/>
      </w:pPr>
      <w:r>
        <w:rPr>
          <w:spacing w:val="-3"/>
        </w:rPr>
        <w:t>许可证并符合下列条件之一的公立或基本医疗保险定点医疗机构：</w:t>
      </w:r>
    </w:p>
    <w:p>
      <w:pPr>
        <w:pStyle w:val="ListParagraph"/>
        <w:numPr>
          <w:ilvl w:val="2"/>
          <w:numId w:val="34"/>
        </w:numPr>
        <w:tabs>
          <w:tab w:pos="3721" w:val="left" w:leader="none"/>
        </w:tabs>
        <w:spacing w:line="242" w:lineRule="auto" w:before="4" w:after="0"/>
        <w:ind w:left="3657" w:right="450" w:hanging="473"/>
        <w:jc w:val="both"/>
        <w:rPr>
          <w:b/>
          <w:sz w:val="21"/>
        </w:rPr>
      </w:pPr>
      <w:r>
        <w:rPr>
          <w:spacing w:val="-2"/>
          <w:sz w:val="21"/>
        </w:rPr>
        <w:t>二级或二级以上的医院、二级或二级以上的妇幼保健院、住</w:t>
      </w:r>
      <w:r>
        <w:rPr>
          <w:spacing w:val="-8"/>
          <w:sz w:val="21"/>
        </w:rPr>
        <w:t>院床位在 </w:t>
      </w:r>
      <w:r>
        <w:rPr>
          <w:rFonts w:ascii="Times New Roman" w:eastAsia="Times New Roman"/>
          <w:spacing w:val="-4"/>
          <w:sz w:val="21"/>
        </w:rPr>
        <w:t>100</w:t>
      </w:r>
      <w:r>
        <w:rPr>
          <w:rFonts w:ascii="Times New Roman" w:eastAsia="Times New Roman"/>
          <w:spacing w:val="-9"/>
          <w:sz w:val="21"/>
        </w:rPr>
        <w:t> </w:t>
      </w:r>
      <w:r>
        <w:rPr>
          <w:spacing w:val="-4"/>
          <w:sz w:val="21"/>
        </w:rPr>
        <w:t>张及以上的医院，</w:t>
      </w:r>
      <w:r>
        <w:rPr>
          <w:b/>
          <w:spacing w:val="-4"/>
          <w:sz w:val="21"/>
        </w:rPr>
        <w:t>但不包括精神病医院、皮肤病</w:t>
      </w:r>
      <w:r>
        <w:rPr>
          <w:b/>
          <w:spacing w:val="-2"/>
          <w:sz w:val="21"/>
        </w:rPr>
        <w:t>医院、整形外科医院、美容医院、康复医院和疗养院。</w:t>
      </w:r>
    </w:p>
    <w:p>
      <w:pPr>
        <w:pStyle w:val="ListParagraph"/>
        <w:numPr>
          <w:ilvl w:val="2"/>
          <w:numId w:val="34"/>
        </w:numPr>
        <w:tabs>
          <w:tab w:pos="3714" w:val="left" w:leader="none"/>
        </w:tabs>
        <w:spacing w:line="244" w:lineRule="auto" w:before="1" w:after="0"/>
        <w:ind w:left="3710" w:right="452" w:hanging="526"/>
        <w:jc w:val="both"/>
        <w:rPr>
          <w:sz w:val="21"/>
        </w:rPr>
      </w:pPr>
      <w:r>
        <w:rPr>
          <w:spacing w:val="-4"/>
          <w:sz w:val="21"/>
        </w:rPr>
        <w:t>我们认可的、为受伤者和患病者提供全日 </w:t>
      </w:r>
      <w:r>
        <w:rPr>
          <w:rFonts w:ascii="Times New Roman" w:eastAsia="Times New Roman"/>
          <w:spacing w:val="-2"/>
          <w:sz w:val="21"/>
        </w:rPr>
        <w:t>24</w:t>
      </w:r>
      <w:r>
        <w:rPr>
          <w:rFonts w:ascii="Times New Roman" w:eastAsia="Times New Roman"/>
          <w:spacing w:val="-11"/>
          <w:sz w:val="21"/>
        </w:rPr>
        <w:t> </w:t>
      </w:r>
      <w:r>
        <w:rPr>
          <w:spacing w:val="-2"/>
          <w:sz w:val="21"/>
        </w:rPr>
        <w:t>小时诊断和治疗</w:t>
      </w:r>
      <w:r>
        <w:rPr>
          <w:spacing w:val="-2"/>
          <w:sz w:val="21"/>
        </w:rPr>
        <w:t>服务的医疗机构。</w:t>
      </w:r>
    </w:p>
    <w:p>
      <w:pPr>
        <w:pStyle w:val="BodyText"/>
        <w:spacing w:before="1"/>
        <w:rPr>
          <w:sz w:val="18"/>
        </w:rPr>
      </w:pPr>
    </w:p>
    <w:p>
      <w:pPr>
        <w:pStyle w:val="ListParagraph"/>
        <w:numPr>
          <w:ilvl w:val="1"/>
          <w:numId w:val="34"/>
        </w:numPr>
        <w:tabs>
          <w:tab w:pos="1341" w:val="left" w:leader="none"/>
          <w:tab w:pos="1342" w:val="left" w:leader="none"/>
          <w:tab w:pos="3184" w:val="left" w:leader="none"/>
        </w:tabs>
        <w:spacing w:line="240" w:lineRule="auto" w:before="1" w:after="0"/>
        <w:ind w:left="1341" w:right="0" w:hanging="1100"/>
        <w:jc w:val="left"/>
        <w:rPr>
          <w:sz w:val="21"/>
        </w:rPr>
      </w:pPr>
      <w:r>
        <w:rPr>
          <w:b/>
          <w:sz w:val="21"/>
        </w:rPr>
        <w:t>六项基本日常</w:t>
      </w:r>
      <w:r>
        <w:rPr>
          <w:b/>
          <w:spacing w:val="-10"/>
          <w:sz w:val="21"/>
        </w:rPr>
        <w:t>生</w:t>
      </w:r>
      <w:r>
        <w:rPr>
          <w:b/>
          <w:sz w:val="21"/>
        </w:rPr>
        <w:tab/>
      </w:r>
      <w:r>
        <w:rPr>
          <w:spacing w:val="-2"/>
          <w:sz w:val="21"/>
        </w:rPr>
        <w:t>六</w:t>
      </w:r>
      <w:r>
        <w:rPr>
          <w:spacing w:val="-2"/>
          <w:sz w:val="21"/>
        </w:rPr>
        <w:t>项</w:t>
      </w:r>
      <w:r>
        <w:rPr>
          <w:spacing w:val="-2"/>
          <w:sz w:val="21"/>
        </w:rPr>
        <w:t>基本日常生活活动是</w:t>
      </w:r>
      <w:r>
        <w:rPr>
          <w:spacing w:val="-2"/>
          <w:sz w:val="21"/>
        </w:rPr>
        <w:t>指</w:t>
      </w:r>
      <w:r>
        <w:rPr>
          <w:spacing w:val="-10"/>
          <w:sz w:val="21"/>
        </w:rPr>
        <w:t>：</w:t>
      </w:r>
    </w:p>
    <w:p>
      <w:pPr>
        <w:spacing w:after="0" w:line="240" w:lineRule="auto"/>
        <w:jc w:val="left"/>
        <w:rPr>
          <w:sz w:val="21"/>
        </w:rPr>
        <w:sectPr>
          <w:pgSz w:w="11910" w:h="16840"/>
          <w:pgMar w:header="0" w:footer="879" w:top="1140" w:bottom="1060" w:left="1460" w:right="720"/>
        </w:sectPr>
      </w:pPr>
    </w:p>
    <w:tbl>
      <w:tblPr>
        <w:tblW w:w="0" w:type="auto"/>
        <w:jc w:val="left"/>
        <w:tblInd w:w="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34"/>
        <w:gridCol w:w="1977"/>
        <w:gridCol w:w="6330"/>
      </w:tblGrid>
      <w:tr>
        <w:trPr>
          <w:trHeight w:val="1726" w:hRule="atLeast"/>
        </w:trPr>
        <w:tc>
          <w:tcPr>
            <w:tcW w:w="834" w:type="dxa"/>
          </w:tcPr>
          <w:p>
            <w:pPr>
              <w:pStyle w:val="TableParagraph"/>
              <w:rPr>
                <w:rFonts w:ascii="Times New Roman"/>
                <w:sz w:val="20"/>
              </w:rPr>
            </w:pPr>
          </w:p>
        </w:tc>
        <w:tc>
          <w:tcPr>
            <w:tcW w:w="1977" w:type="dxa"/>
          </w:tcPr>
          <w:p>
            <w:pPr>
              <w:pStyle w:val="TableParagraph"/>
              <w:spacing w:line="245" w:lineRule="exact"/>
              <w:ind w:left="315"/>
              <w:rPr>
                <w:b/>
                <w:sz w:val="21"/>
              </w:rPr>
            </w:pPr>
            <w:r>
              <w:rPr>
                <w:b/>
                <w:spacing w:val="-4"/>
                <w:sz w:val="21"/>
              </w:rPr>
              <w:t>活活动</w:t>
            </w:r>
          </w:p>
        </w:tc>
        <w:tc>
          <w:tcPr>
            <w:tcW w:w="6330" w:type="dxa"/>
          </w:tcPr>
          <w:p>
            <w:pPr>
              <w:pStyle w:val="TableParagraph"/>
              <w:numPr>
                <w:ilvl w:val="0"/>
                <w:numId w:val="35"/>
              </w:numPr>
              <w:tabs>
                <w:tab w:pos="711" w:val="left" w:leader="none"/>
              </w:tabs>
              <w:spacing w:line="245" w:lineRule="exact" w:before="0" w:after="0"/>
              <w:ind w:left="710" w:right="0" w:hanging="530"/>
              <w:jc w:val="left"/>
              <w:rPr>
                <w:sz w:val="21"/>
              </w:rPr>
            </w:pPr>
            <w:r>
              <w:rPr>
                <w:spacing w:val="-3"/>
                <w:sz w:val="21"/>
              </w:rPr>
              <w:t>穿衣：自己能够穿衣及脱衣；</w:t>
            </w:r>
          </w:p>
          <w:p>
            <w:pPr>
              <w:pStyle w:val="TableParagraph"/>
              <w:numPr>
                <w:ilvl w:val="0"/>
                <w:numId w:val="35"/>
              </w:numPr>
              <w:tabs>
                <w:tab w:pos="711" w:val="left" w:leader="none"/>
              </w:tabs>
              <w:spacing w:line="240" w:lineRule="auto" w:before="4" w:after="0"/>
              <w:ind w:left="710" w:right="0" w:hanging="530"/>
              <w:jc w:val="left"/>
              <w:rPr>
                <w:sz w:val="21"/>
              </w:rPr>
            </w:pPr>
            <w:r>
              <w:rPr>
                <w:spacing w:val="-3"/>
                <w:sz w:val="21"/>
              </w:rPr>
              <w:t>移动：自己从一个房间到另一个房间；</w:t>
            </w:r>
          </w:p>
          <w:p>
            <w:pPr>
              <w:pStyle w:val="TableParagraph"/>
              <w:numPr>
                <w:ilvl w:val="0"/>
                <w:numId w:val="35"/>
              </w:numPr>
              <w:tabs>
                <w:tab w:pos="711" w:val="left" w:leader="none"/>
              </w:tabs>
              <w:spacing w:line="240" w:lineRule="auto" w:before="3" w:after="0"/>
              <w:ind w:left="710" w:right="0" w:hanging="530"/>
              <w:jc w:val="left"/>
              <w:rPr>
                <w:sz w:val="21"/>
              </w:rPr>
            </w:pPr>
            <w:r>
              <w:rPr>
                <w:spacing w:val="-3"/>
                <w:sz w:val="21"/>
              </w:rPr>
              <w:t>行动：自己上下床或上下轮椅；</w:t>
            </w:r>
          </w:p>
          <w:p>
            <w:pPr>
              <w:pStyle w:val="TableParagraph"/>
              <w:numPr>
                <w:ilvl w:val="0"/>
                <w:numId w:val="35"/>
              </w:numPr>
              <w:tabs>
                <w:tab w:pos="711" w:val="left" w:leader="none"/>
              </w:tabs>
              <w:spacing w:line="240" w:lineRule="auto" w:before="4" w:after="0"/>
              <w:ind w:left="710" w:right="0" w:hanging="530"/>
              <w:jc w:val="left"/>
              <w:rPr>
                <w:sz w:val="21"/>
              </w:rPr>
            </w:pPr>
            <w:r>
              <w:rPr>
                <w:spacing w:val="-3"/>
                <w:sz w:val="21"/>
              </w:rPr>
              <w:t>如厕：自己控制进行大小便；</w:t>
            </w:r>
          </w:p>
          <w:p>
            <w:pPr>
              <w:pStyle w:val="TableParagraph"/>
              <w:numPr>
                <w:ilvl w:val="0"/>
                <w:numId w:val="35"/>
              </w:numPr>
              <w:tabs>
                <w:tab w:pos="711" w:val="left" w:leader="none"/>
              </w:tabs>
              <w:spacing w:line="240" w:lineRule="auto" w:before="2" w:after="0"/>
              <w:ind w:left="710" w:right="0" w:hanging="530"/>
              <w:jc w:val="left"/>
              <w:rPr>
                <w:sz w:val="21"/>
              </w:rPr>
            </w:pPr>
            <w:r>
              <w:rPr>
                <w:spacing w:val="-3"/>
                <w:sz w:val="21"/>
              </w:rPr>
              <w:t>进食：自己从已准备好的碗或碟中取食物放入口中；</w:t>
            </w:r>
          </w:p>
          <w:p>
            <w:pPr>
              <w:pStyle w:val="TableParagraph"/>
              <w:numPr>
                <w:ilvl w:val="0"/>
                <w:numId w:val="35"/>
              </w:numPr>
              <w:tabs>
                <w:tab w:pos="711" w:val="left" w:leader="none"/>
              </w:tabs>
              <w:spacing w:line="240" w:lineRule="auto" w:before="5" w:after="0"/>
              <w:ind w:left="710" w:right="0" w:hanging="530"/>
              <w:jc w:val="left"/>
              <w:rPr>
                <w:sz w:val="21"/>
              </w:rPr>
            </w:pPr>
            <w:r>
              <w:rPr>
                <w:spacing w:val="-3"/>
                <w:sz w:val="21"/>
              </w:rPr>
              <w:t>洗澡：自己进行淋浴或盆浴。</w:t>
            </w:r>
          </w:p>
        </w:tc>
      </w:tr>
      <w:tr>
        <w:trPr>
          <w:trHeight w:val="778" w:hRule="atLeast"/>
        </w:trPr>
        <w:tc>
          <w:tcPr>
            <w:tcW w:w="834" w:type="dxa"/>
          </w:tcPr>
          <w:p>
            <w:pPr>
              <w:pStyle w:val="TableParagraph"/>
              <w:spacing w:before="118"/>
              <w:ind w:left="50"/>
              <w:rPr>
                <w:rFonts w:ascii="Times New Roman"/>
                <w:sz w:val="21"/>
              </w:rPr>
            </w:pPr>
            <w:r>
              <w:rPr>
                <w:rFonts w:ascii="Times New Roman"/>
                <w:spacing w:val="-2"/>
                <w:sz w:val="21"/>
              </w:rPr>
              <w:t>11.18</w:t>
            </w:r>
          </w:p>
        </w:tc>
        <w:tc>
          <w:tcPr>
            <w:tcW w:w="1977" w:type="dxa"/>
          </w:tcPr>
          <w:p>
            <w:pPr>
              <w:pStyle w:val="TableParagraph"/>
              <w:spacing w:before="126"/>
              <w:ind w:left="315"/>
              <w:rPr>
                <w:b/>
                <w:sz w:val="21"/>
              </w:rPr>
            </w:pPr>
            <w:r>
              <w:rPr>
                <w:b/>
                <w:spacing w:val="-2"/>
                <w:sz w:val="21"/>
              </w:rPr>
              <w:t>永久不可逆</w:t>
            </w:r>
          </w:p>
        </w:tc>
        <w:tc>
          <w:tcPr>
            <w:tcW w:w="6330" w:type="dxa"/>
          </w:tcPr>
          <w:p>
            <w:pPr>
              <w:pStyle w:val="TableParagraph"/>
              <w:spacing w:line="242" w:lineRule="auto" w:before="126"/>
              <w:ind w:left="181" w:right="58"/>
              <w:rPr>
                <w:sz w:val="21"/>
              </w:rPr>
            </w:pPr>
            <w:r>
              <w:rPr>
                <w:spacing w:val="-2"/>
                <w:sz w:val="21"/>
              </w:rPr>
              <w:t>指自疾病确诊或意外伤害发生之日起，经过积极治疗</w:t>
            </w:r>
            <w:r>
              <w:rPr>
                <w:rFonts w:ascii="Times New Roman" w:eastAsia="Times New Roman"/>
                <w:spacing w:val="-2"/>
                <w:sz w:val="21"/>
              </w:rPr>
              <w:t>180</w:t>
            </w:r>
            <w:r>
              <w:rPr>
                <w:spacing w:val="-2"/>
                <w:sz w:val="21"/>
              </w:rPr>
              <w:t>天后，仍</w:t>
            </w:r>
            <w:r>
              <w:rPr>
                <w:spacing w:val="-2"/>
                <w:sz w:val="21"/>
              </w:rPr>
              <w:t>无法通过现有医疗手段恢复。</w:t>
            </w:r>
          </w:p>
        </w:tc>
      </w:tr>
      <w:tr>
        <w:trPr>
          <w:trHeight w:val="407" w:hRule="atLeast"/>
        </w:trPr>
        <w:tc>
          <w:tcPr>
            <w:tcW w:w="834" w:type="dxa"/>
          </w:tcPr>
          <w:p>
            <w:pPr>
              <w:pStyle w:val="TableParagraph"/>
              <w:spacing w:before="127"/>
              <w:ind w:left="50"/>
              <w:rPr>
                <w:rFonts w:ascii="Times New Roman"/>
                <w:sz w:val="21"/>
              </w:rPr>
            </w:pPr>
            <w:r>
              <w:rPr>
                <w:rFonts w:ascii="Times New Roman"/>
                <w:spacing w:val="-2"/>
                <w:sz w:val="21"/>
              </w:rPr>
              <w:t>11.19</w:t>
            </w:r>
          </w:p>
        </w:tc>
        <w:tc>
          <w:tcPr>
            <w:tcW w:w="1977" w:type="dxa"/>
          </w:tcPr>
          <w:p>
            <w:pPr>
              <w:pStyle w:val="TableParagraph"/>
              <w:spacing w:line="252" w:lineRule="exact" w:before="135"/>
              <w:ind w:left="315"/>
              <w:rPr>
                <w:b/>
                <w:sz w:val="21"/>
              </w:rPr>
            </w:pPr>
            <w:r>
              <w:rPr>
                <w:b/>
                <w:spacing w:val="-2"/>
                <w:sz w:val="21"/>
              </w:rPr>
              <w:t>美国纽约心脏病</w:t>
            </w:r>
          </w:p>
        </w:tc>
        <w:tc>
          <w:tcPr>
            <w:tcW w:w="6330" w:type="dxa"/>
          </w:tcPr>
          <w:p>
            <w:pPr>
              <w:pStyle w:val="TableParagraph"/>
              <w:spacing w:line="252" w:lineRule="exact" w:before="135"/>
              <w:ind w:left="181"/>
              <w:rPr>
                <w:sz w:val="21"/>
              </w:rPr>
            </w:pPr>
            <w:r>
              <w:rPr>
                <w:spacing w:val="-3"/>
                <w:sz w:val="21"/>
              </w:rPr>
              <w:t>指体力活动明显受限，休息时无症状，轻于日常的活动即可引起充</w:t>
            </w:r>
          </w:p>
        </w:tc>
      </w:tr>
      <w:tr>
        <w:trPr>
          <w:trHeight w:val="271" w:hRule="atLeast"/>
        </w:trPr>
        <w:tc>
          <w:tcPr>
            <w:tcW w:w="834" w:type="dxa"/>
          </w:tcPr>
          <w:p>
            <w:pPr>
              <w:pStyle w:val="TableParagraph"/>
              <w:rPr>
                <w:rFonts w:ascii="Times New Roman"/>
                <w:sz w:val="20"/>
              </w:rPr>
            </w:pPr>
          </w:p>
        </w:tc>
        <w:tc>
          <w:tcPr>
            <w:tcW w:w="1977" w:type="dxa"/>
          </w:tcPr>
          <w:p>
            <w:pPr>
              <w:pStyle w:val="TableParagraph"/>
              <w:spacing w:line="251" w:lineRule="exact"/>
              <w:ind w:left="315"/>
              <w:rPr>
                <w:b/>
                <w:sz w:val="21"/>
              </w:rPr>
            </w:pPr>
            <w:r>
              <w:rPr>
                <w:b/>
                <w:spacing w:val="-2"/>
                <w:sz w:val="21"/>
              </w:rPr>
              <w:t>学会心功能状态</w:t>
            </w:r>
          </w:p>
        </w:tc>
        <w:tc>
          <w:tcPr>
            <w:tcW w:w="6330" w:type="dxa"/>
          </w:tcPr>
          <w:p>
            <w:pPr>
              <w:pStyle w:val="TableParagraph"/>
              <w:spacing w:line="251" w:lineRule="exact"/>
              <w:ind w:left="181"/>
              <w:rPr>
                <w:sz w:val="21"/>
              </w:rPr>
            </w:pPr>
            <w:r>
              <w:rPr>
                <w:spacing w:val="-3"/>
                <w:sz w:val="21"/>
              </w:rPr>
              <w:t>血性心力衰竭的症状。</w:t>
            </w:r>
          </w:p>
        </w:tc>
      </w:tr>
      <w:tr>
        <w:trPr>
          <w:trHeight w:val="379" w:hRule="atLeast"/>
        </w:trPr>
        <w:tc>
          <w:tcPr>
            <w:tcW w:w="834" w:type="dxa"/>
          </w:tcPr>
          <w:p>
            <w:pPr>
              <w:pStyle w:val="TableParagraph"/>
              <w:rPr>
                <w:rFonts w:ascii="Times New Roman"/>
                <w:sz w:val="20"/>
              </w:rPr>
            </w:pPr>
          </w:p>
        </w:tc>
        <w:tc>
          <w:tcPr>
            <w:tcW w:w="1977" w:type="dxa"/>
          </w:tcPr>
          <w:p>
            <w:pPr>
              <w:pStyle w:val="TableParagraph"/>
              <w:spacing w:line="268" w:lineRule="exact"/>
              <w:ind w:left="315"/>
              <w:rPr>
                <w:b/>
                <w:sz w:val="21"/>
              </w:rPr>
            </w:pPr>
            <w:r>
              <w:rPr>
                <w:b/>
                <w:spacing w:val="-3"/>
                <w:sz w:val="21"/>
              </w:rPr>
              <w:t>分级Ⅲ级</w:t>
            </w:r>
          </w:p>
        </w:tc>
        <w:tc>
          <w:tcPr>
            <w:tcW w:w="6330" w:type="dxa"/>
          </w:tcPr>
          <w:p>
            <w:pPr>
              <w:pStyle w:val="TableParagraph"/>
              <w:rPr>
                <w:rFonts w:ascii="Times New Roman"/>
                <w:sz w:val="20"/>
              </w:rPr>
            </w:pPr>
          </w:p>
        </w:tc>
      </w:tr>
      <w:tr>
        <w:trPr>
          <w:trHeight w:val="407" w:hRule="atLeast"/>
        </w:trPr>
        <w:tc>
          <w:tcPr>
            <w:tcW w:w="834" w:type="dxa"/>
          </w:tcPr>
          <w:p>
            <w:pPr>
              <w:pStyle w:val="TableParagraph"/>
              <w:spacing w:before="127"/>
              <w:ind w:left="50"/>
              <w:rPr>
                <w:rFonts w:ascii="Times New Roman"/>
                <w:sz w:val="21"/>
              </w:rPr>
            </w:pPr>
            <w:r>
              <w:rPr>
                <w:rFonts w:ascii="Times New Roman"/>
                <w:spacing w:val="-2"/>
                <w:sz w:val="21"/>
              </w:rPr>
              <w:t>11.20</w:t>
            </w:r>
          </w:p>
        </w:tc>
        <w:tc>
          <w:tcPr>
            <w:tcW w:w="1977" w:type="dxa"/>
          </w:tcPr>
          <w:p>
            <w:pPr>
              <w:pStyle w:val="TableParagraph"/>
              <w:spacing w:line="252" w:lineRule="exact" w:before="135"/>
              <w:ind w:left="315"/>
              <w:rPr>
                <w:b/>
                <w:sz w:val="21"/>
              </w:rPr>
            </w:pPr>
            <w:r>
              <w:rPr>
                <w:b/>
                <w:spacing w:val="-2"/>
                <w:sz w:val="21"/>
              </w:rPr>
              <w:t>肢体机能完全丧</w:t>
            </w:r>
          </w:p>
        </w:tc>
        <w:tc>
          <w:tcPr>
            <w:tcW w:w="6330" w:type="dxa"/>
          </w:tcPr>
          <w:p>
            <w:pPr>
              <w:pStyle w:val="TableParagraph"/>
              <w:spacing w:line="252" w:lineRule="exact" w:before="135"/>
              <w:ind w:left="181"/>
              <w:rPr>
                <w:sz w:val="21"/>
              </w:rPr>
            </w:pPr>
            <w:r>
              <w:rPr>
                <w:spacing w:val="-3"/>
                <w:sz w:val="21"/>
              </w:rPr>
              <w:t>指肢体的三大关节中的两大关节僵硬，或不能随意识活动。肢体是</w:t>
            </w:r>
          </w:p>
        </w:tc>
      </w:tr>
      <w:tr>
        <w:trPr>
          <w:trHeight w:val="378" w:hRule="atLeast"/>
        </w:trPr>
        <w:tc>
          <w:tcPr>
            <w:tcW w:w="834" w:type="dxa"/>
          </w:tcPr>
          <w:p>
            <w:pPr>
              <w:pStyle w:val="TableParagraph"/>
              <w:rPr>
                <w:rFonts w:ascii="Times New Roman"/>
                <w:sz w:val="20"/>
              </w:rPr>
            </w:pPr>
          </w:p>
        </w:tc>
        <w:tc>
          <w:tcPr>
            <w:tcW w:w="1977" w:type="dxa"/>
          </w:tcPr>
          <w:p>
            <w:pPr>
              <w:pStyle w:val="TableParagraph"/>
              <w:spacing w:line="268" w:lineRule="exact"/>
              <w:ind w:left="315"/>
              <w:rPr>
                <w:b/>
                <w:sz w:val="21"/>
              </w:rPr>
            </w:pPr>
            <w:r>
              <w:rPr>
                <w:b/>
                <w:w w:val="100"/>
                <w:sz w:val="21"/>
              </w:rPr>
              <w:t>失</w:t>
            </w:r>
          </w:p>
        </w:tc>
        <w:tc>
          <w:tcPr>
            <w:tcW w:w="6330" w:type="dxa"/>
          </w:tcPr>
          <w:p>
            <w:pPr>
              <w:pStyle w:val="TableParagraph"/>
              <w:spacing w:line="268" w:lineRule="exact"/>
              <w:ind w:left="181"/>
              <w:rPr>
                <w:sz w:val="21"/>
              </w:rPr>
            </w:pPr>
            <w:r>
              <w:rPr>
                <w:spacing w:val="-3"/>
                <w:sz w:val="21"/>
              </w:rPr>
              <w:t>指包括肩关节的整个上肢或包括髋关节的整个下肢。</w:t>
            </w:r>
          </w:p>
        </w:tc>
      </w:tr>
      <w:tr>
        <w:trPr>
          <w:trHeight w:val="408" w:hRule="atLeast"/>
        </w:trPr>
        <w:tc>
          <w:tcPr>
            <w:tcW w:w="834" w:type="dxa"/>
          </w:tcPr>
          <w:p>
            <w:pPr>
              <w:pStyle w:val="TableParagraph"/>
              <w:spacing w:before="127"/>
              <w:ind w:left="50"/>
              <w:rPr>
                <w:rFonts w:ascii="Times New Roman"/>
                <w:sz w:val="21"/>
              </w:rPr>
            </w:pPr>
            <w:r>
              <w:rPr>
                <w:rFonts w:ascii="Times New Roman"/>
                <w:spacing w:val="-2"/>
                <w:sz w:val="21"/>
              </w:rPr>
              <w:t>11.21</w:t>
            </w:r>
          </w:p>
        </w:tc>
        <w:tc>
          <w:tcPr>
            <w:tcW w:w="1977" w:type="dxa"/>
          </w:tcPr>
          <w:p>
            <w:pPr>
              <w:pStyle w:val="TableParagraph"/>
              <w:spacing w:line="254" w:lineRule="exact" w:before="134"/>
              <w:ind w:left="315"/>
              <w:rPr>
                <w:b/>
                <w:sz w:val="21"/>
              </w:rPr>
            </w:pPr>
            <w:r>
              <w:rPr>
                <w:b/>
                <w:spacing w:val="-2"/>
                <w:sz w:val="21"/>
              </w:rPr>
              <w:t>语言能力或咀嚼</w:t>
            </w:r>
          </w:p>
        </w:tc>
        <w:tc>
          <w:tcPr>
            <w:tcW w:w="6330" w:type="dxa"/>
          </w:tcPr>
          <w:p>
            <w:pPr>
              <w:pStyle w:val="TableParagraph"/>
              <w:spacing w:line="254" w:lineRule="exact" w:before="134"/>
              <w:ind w:left="181"/>
              <w:rPr>
                <w:sz w:val="21"/>
              </w:rPr>
            </w:pPr>
            <w:r>
              <w:rPr>
                <w:spacing w:val="-2"/>
                <w:sz w:val="21"/>
              </w:rPr>
              <w:t>语言能力完全丧失，指无法发出四种语音（</w:t>
            </w:r>
            <w:r>
              <w:rPr>
                <w:spacing w:val="-3"/>
                <w:sz w:val="21"/>
              </w:rPr>
              <w:t>包括口唇音、齿舌音、</w:t>
            </w:r>
          </w:p>
        </w:tc>
      </w:tr>
      <w:tr>
        <w:trPr>
          <w:trHeight w:val="272" w:hRule="atLeast"/>
        </w:trPr>
        <w:tc>
          <w:tcPr>
            <w:tcW w:w="834" w:type="dxa"/>
          </w:tcPr>
          <w:p>
            <w:pPr>
              <w:pStyle w:val="TableParagraph"/>
              <w:rPr>
                <w:rFonts w:ascii="Times New Roman"/>
                <w:sz w:val="20"/>
              </w:rPr>
            </w:pPr>
          </w:p>
        </w:tc>
        <w:tc>
          <w:tcPr>
            <w:tcW w:w="1977" w:type="dxa"/>
          </w:tcPr>
          <w:p>
            <w:pPr>
              <w:pStyle w:val="TableParagraph"/>
              <w:spacing w:line="252" w:lineRule="exact"/>
              <w:ind w:left="315"/>
              <w:rPr>
                <w:b/>
                <w:sz w:val="21"/>
              </w:rPr>
            </w:pPr>
            <w:r>
              <w:rPr>
                <w:b/>
                <w:spacing w:val="-2"/>
                <w:sz w:val="21"/>
              </w:rPr>
              <w:t>吞咽能力完全丧</w:t>
            </w:r>
          </w:p>
        </w:tc>
        <w:tc>
          <w:tcPr>
            <w:tcW w:w="6330" w:type="dxa"/>
          </w:tcPr>
          <w:p>
            <w:pPr>
              <w:pStyle w:val="TableParagraph"/>
              <w:spacing w:line="252" w:lineRule="exact"/>
              <w:ind w:left="181"/>
              <w:rPr>
                <w:sz w:val="21"/>
              </w:rPr>
            </w:pPr>
            <w:r>
              <w:rPr>
                <w:spacing w:val="-2"/>
                <w:sz w:val="21"/>
              </w:rPr>
              <w:t>口盖音和喉头音）</w:t>
            </w:r>
            <w:r>
              <w:rPr>
                <w:spacing w:val="-3"/>
                <w:sz w:val="21"/>
              </w:rPr>
              <w:t>中的任何三种、或声带全部切除，或因大脑语言</w:t>
            </w:r>
          </w:p>
        </w:tc>
      </w:tr>
      <w:tr>
        <w:trPr>
          <w:trHeight w:val="272" w:hRule="atLeast"/>
        </w:trPr>
        <w:tc>
          <w:tcPr>
            <w:tcW w:w="834" w:type="dxa"/>
          </w:tcPr>
          <w:p>
            <w:pPr>
              <w:pStyle w:val="TableParagraph"/>
              <w:rPr>
                <w:rFonts w:ascii="Times New Roman"/>
                <w:sz w:val="20"/>
              </w:rPr>
            </w:pPr>
          </w:p>
        </w:tc>
        <w:tc>
          <w:tcPr>
            <w:tcW w:w="1977" w:type="dxa"/>
          </w:tcPr>
          <w:p>
            <w:pPr>
              <w:pStyle w:val="TableParagraph"/>
              <w:spacing w:line="252" w:lineRule="exact"/>
              <w:ind w:left="315"/>
              <w:rPr>
                <w:b/>
                <w:sz w:val="21"/>
              </w:rPr>
            </w:pPr>
            <w:r>
              <w:rPr>
                <w:b/>
                <w:w w:val="100"/>
                <w:sz w:val="21"/>
              </w:rPr>
              <w:t>失</w:t>
            </w:r>
          </w:p>
        </w:tc>
        <w:tc>
          <w:tcPr>
            <w:tcW w:w="6330" w:type="dxa"/>
          </w:tcPr>
          <w:p>
            <w:pPr>
              <w:pStyle w:val="TableParagraph"/>
              <w:spacing w:line="252" w:lineRule="exact"/>
              <w:ind w:left="181"/>
              <w:rPr>
                <w:sz w:val="21"/>
              </w:rPr>
            </w:pPr>
            <w:r>
              <w:rPr>
                <w:spacing w:val="-3"/>
                <w:sz w:val="21"/>
              </w:rPr>
              <w:t>中枢受伤害而患失语症。</w:t>
            </w:r>
          </w:p>
        </w:tc>
      </w:tr>
      <w:tr>
        <w:trPr>
          <w:trHeight w:val="272" w:hRule="atLeast"/>
        </w:trPr>
        <w:tc>
          <w:tcPr>
            <w:tcW w:w="834" w:type="dxa"/>
          </w:tcPr>
          <w:p>
            <w:pPr>
              <w:pStyle w:val="TableParagraph"/>
              <w:rPr>
                <w:rFonts w:ascii="Times New Roman"/>
                <w:sz w:val="20"/>
              </w:rPr>
            </w:pPr>
          </w:p>
        </w:tc>
        <w:tc>
          <w:tcPr>
            <w:tcW w:w="1977" w:type="dxa"/>
          </w:tcPr>
          <w:p>
            <w:pPr>
              <w:pStyle w:val="TableParagraph"/>
              <w:rPr>
                <w:rFonts w:ascii="Times New Roman"/>
                <w:sz w:val="20"/>
              </w:rPr>
            </w:pPr>
          </w:p>
        </w:tc>
        <w:tc>
          <w:tcPr>
            <w:tcW w:w="6330" w:type="dxa"/>
          </w:tcPr>
          <w:p>
            <w:pPr>
              <w:pStyle w:val="TableParagraph"/>
              <w:spacing w:line="252" w:lineRule="exact"/>
              <w:ind w:left="181"/>
              <w:rPr>
                <w:sz w:val="21"/>
              </w:rPr>
            </w:pPr>
            <w:r>
              <w:rPr>
                <w:spacing w:val="-3"/>
                <w:sz w:val="21"/>
              </w:rPr>
              <w:t>咀嚼吞咽能力完全丧失，指因牙齿以外的原因导致器质障碍或机能</w:t>
            </w:r>
          </w:p>
        </w:tc>
      </w:tr>
      <w:tr>
        <w:trPr>
          <w:trHeight w:val="272" w:hRule="atLeast"/>
        </w:trPr>
        <w:tc>
          <w:tcPr>
            <w:tcW w:w="834" w:type="dxa"/>
          </w:tcPr>
          <w:p>
            <w:pPr>
              <w:pStyle w:val="TableParagraph"/>
              <w:rPr>
                <w:rFonts w:ascii="Times New Roman"/>
                <w:sz w:val="20"/>
              </w:rPr>
            </w:pPr>
          </w:p>
        </w:tc>
        <w:tc>
          <w:tcPr>
            <w:tcW w:w="1977" w:type="dxa"/>
          </w:tcPr>
          <w:p>
            <w:pPr>
              <w:pStyle w:val="TableParagraph"/>
              <w:rPr>
                <w:rFonts w:ascii="Times New Roman"/>
                <w:sz w:val="20"/>
              </w:rPr>
            </w:pPr>
          </w:p>
        </w:tc>
        <w:tc>
          <w:tcPr>
            <w:tcW w:w="6330" w:type="dxa"/>
          </w:tcPr>
          <w:p>
            <w:pPr>
              <w:pStyle w:val="TableParagraph"/>
              <w:spacing w:line="252" w:lineRule="exact"/>
              <w:ind w:left="181"/>
              <w:rPr>
                <w:sz w:val="21"/>
              </w:rPr>
            </w:pPr>
            <w:r>
              <w:rPr>
                <w:spacing w:val="-3"/>
                <w:sz w:val="21"/>
              </w:rPr>
              <w:t>障碍，以致不能作咀嚼吞咽运动，除流质食物外不能摄取或吞咽的</w:t>
            </w:r>
          </w:p>
        </w:tc>
      </w:tr>
      <w:tr>
        <w:trPr>
          <w:trHeight w:val="379" w:hRule="atLeast"/>
        </w:trPr>
        <w:tc>
          <w:tcPr>
            <w:tcW w:w="834" w:type="dxa"/>
          </w:tcPr>
          <w:p>
            <w:pPr>
              <w:pStyle w:val="TableParagraph"/>
              <w:rPr>
                <w:rFonts w:ascii="Times New Roman"/>
                <w:sz w:val="20"/>
              </w:rPr>
            </w:pPr>
          </w:p>
        </w:tc>
        <w:tc>
          <w:tcPr>
            <w:tcW w:w="1977" w:type="dxa"/>
          </w:tcPr>
          <w:p>
            <w:pPr>
              <w:pStyle w:val="TableParagraph"/>
              <w:rPr>
                <w:rFonts w:ascii="Times New Roman"/>
                <w:sz w:val="20"/>
              </w:rPr>
            </w:pPr>
          </w:p>
        </w:tc>
        <w:tc>
          <w:tcPr>
            <w:tcW w:w="6330" w:type="dxa"/>
          </w:tcPr>
          <w:p>
            <w:pPr>
              <w:pStyle w:val="TableParagraph"/>
              <w:ind w:left="181"/>
              <w:rPr>
                <w:sz w:val="21"/>
              </w:rPr>
            </w:pPr>
            <w:r>
              <w:rPr>
                <w:spacing w:val="-4"/>
                <w:sz w:val="21"/>
              </w:rPr>
              <w:t>状态。</w:t>
            </w:r>
          </w:p>
        </w:tc>
      </w:tr>
      <w:tr>
        <w:trPr>
          <w:trHeight w:val="406" w:hRule="atLeast"/>
        </w:trPr>
        <w:tc>
          <w:tcPr>
            <w:tcW w:w="834" w:type="dxa"/>
          </w:tcPr>
          <w:p>
            <w:pPr>
              <w:pStyle w:val="TableParagraph"/>
              <w:spacing w:before="126"/>
              <w:ind w:left="50"/>
              <w:rPr>
                <w:rFonts w:ascii="Times New Roman"/>
                <w:sz w:val="21"/>
              </w:rPr>
            </w:pPr>
            <w:r>
              <w:rPr>
                <w:rFonts w:ascii="Times New Roman"/>
                <w:spacing w:val="-2"/>
                <w:sz w:val="21"/>
              </w:rPr>
              <w:t>11.22</w:t>
            </w:r>
          </w:p>
        </w:tc>
        <w:tc>
          <w:tcPr>
            <w:tcW w:w="1977" w:type="dxa"/>
          </w:tcPr>
          <w:p>
            <w:pPr>
              <w:pStyle w:val="TableParagraph"/>
              <w:spacing w:line="252" w:lineRule="exact" w:before="134"/>
              <w:ind w:left="315"/>
              <w:rPr>
                <w:b/>
                <w:sz w:val="21"/>
              </w:rPr>
            </w:pPr>
            <w:r>
              <w:rPr>
                <w:b/>
                <w:spacing w:val="-2"/>
                <w:sz w:val="21"/>
              </w:rPr>
              <w:t>美国纽约心脏病</w:t>
            </w:r>
          </w:p>
        </w:tc>
        <w:tc>
          <w:tcPr>
            <w:tcW w:w="6330" w:type="dxa"/>
          </w:tcPr>
          <w:p>
            <w:pPr>
              <w:pStyle w:val="TableParagraph"/>
              <w:spacing w:line="252" w:lineRule="exact" w:before="134"/>
              <w:ind w:left="181"/>
              <w:rPr>
                <w:sz w:val="21"/>
              </w:rPr>
            </w:pPr>
            <w:r>
              <w:rPr>
                <w:spacing w:val="-1"/>
                <w:sz w:val="21"/>
              </w:rPr>
              <w:t>心功能状态分级Ⅳ级是指被保险人不能无症状地进行任何体力活</w:t>
            </w:r>
          </w:p>
        </w:tc>
      </w:tr>
      <w:tr>
        <w:trPr>
          <w:trHeight w:val="272" w:hRule="atLeast"/>
        </w:trPr>
        <w:tc>
          <w:tcPr>
            <w:tcW w:w="834" w:type="dxa"/>
          </w:tcPr>
          <w:p>
            <w:pPr>
              <w:pStyle w:val="TableParagraph"/>
              <w:rPr>
                <w:rFonts w:ascii="Times New Roman"/>
                <w:sz w:val="20"/>
              </w:rPr>
            </w:pPr>
          </w:p>
        </w:tc>
        <w:tc>
          <w:tcPr>
            <w:tcW w:w="1977" w:type="dxa"/>
          </w:tcPr>
          <w:p>
            <w:pPr>
              <w:pStyle w:val="TableParagraph"/>
              <w:spacing w:line="252" w:lineRule="exact"/>
              <w:ind w:left="315"/>
              <w:rPr>
                <w:b/>
                <w:sz w:val="21"/>
              </w:rPr>
            </w:pPr>
            <w:r>
              <w:rPr>
                <w:b/>
                <w:spacing w:val="-2"/>
                <w:sz w:val="21"/>
              </w:rPr>
              <w:t>学会心功能状态</w:t>
            </w:r>
          </w:p>
        </w:tc>
        <w:tc>
          <w:tcPr>
            <w:tcW w:w="6330" w:type="dxa"/>
          </w:tcPr>
          <w:p>
            <w:pPr>
              <w:pStyle w:val="TableParagraph"/>
              <w:spacing w:line="252" w:lineRule="exact"/>
              <w:ind w:left="181"/>
              <w:rPr>
                <w:sz w:val="21"/>
              </w:rPr>
            </w:pPr>
            <w:r>
              <w:rPr>
                <w:spacing w:val="-3"/>
                <w:sz w:val="21"/>
              </w:rPr>
              <w:t>动，休息时也会出现心力衰竭或心绞痛的症状，任何体力活动都会</w:t>
            </w:r>
          </w:p>
        </w:tc>
      </w:tr>
      <w:tr>
        <w:trPr>
          <w:trHeight w:val="242" w:hRule="atLeast"/>
        </w:trPr>
        <w:tc>
          <w:tcPr>
            <w:tcW w:w="834" w:type="dxa"/>
          </w:tcPr>
          <w:p>
            <w:pPr>
              <w:pStyle w:val="TableParagraph"/>
              <w:rPr>
                <w:rFonts w:ascii="Times New Roman"/>
                <w:sz w:val="16"/>
              </w:rPr>
            </w:pPr>
          </w:p>
        </w:tc>
        <w:tc>
          <w:tcPr>
            <w:tcW w:w="1977" w:type="dxa"/>
          </w:tcPr>
          <w:p>
            <w:pPr>
              <w:pStyle w:val="TableParagraph"/>
              <w:spacing w:line="222" w:lineRule="exact"/>
              <w:ind w:left="315"/>
              <w:rPr>
                <w:b/>
                <w:sz w:val="21"/>
              </w:rPr>
            </w:pPr>
            <w:r>
              <w:rPr>
                <w:b/>
                <w:spacing w:val="-3"/>
                <w:sz w:val="21"/>
              </w:rPr>
              <w:t>分级Ⅳ级</w:t>
            </w:r>
          </w:p>
        </w:tc>
        <w:tc>
          <w:tcPr>
            <w:tcW w:w="6330" w:type="dxa"/>
          </w:tcPr>
          <w:p>
            <w:pPr>
              <w:pStyle w:val="TableParagraph"/>
              <w:spacing w:line="222" w:lineRule="exact"/>
              <w:ind w:left="181"/>
              <w:rPr>
                <w:sz w:val="21"/>
              </w:rPr>
            </w:pPr>
            <w:r>
              <w:rPr>
                <w:spacing w:val="-4"/>
                <w:sz w:val="21"/>
              </w:rPr>
              <w:t>加重病情。</w:t>
            </w:r>
          </w:p>
        </w:tc>
      </w:tr>
    </w:tbl>
    <w:p>
      <w:pPr>
        <w:pStyle w:val="BodyText"/>
        <w:rPr>
          <w:sz w:val="20"/>
        </w:rPr>
      </w:pPr>
    </w:p>
    <w:p>
      <w:pPr>
        <w:pStyle w:val="BodyText"/>
        <w:rPr>
          <w:sz w:val="20"/>
        </w:rPr>
      </w:pPr>
    </w:p>
    <w:p>
      <w:pPr>
        <w:pStyle w:val="BodyText"/>
        <w:rPr>
          <w:sz w:val="20"/>
        </w:rPr>
      </w:pPr>
    </w:p>
    <w:p>
      <w:pPr>
        <w:pStyle w:val="BodyText"/>
        <w:spacing w:before="3"/>
        <w:rPr>
          <w:sz w:val="18"/>
        </w:rPr>
      </w:pPr>
    </w:p>
    <w:p>
      <w:pPr>
        <w:pStyle w:val="BodyText"/>
        <w:spacing w:before="1"/>
        <w:ind w:left="222" w:right="389"/>
        <w:jc w:val="center"/>
      </w:pPr>
      <w:r>
        <w:rPr>
          <w:spacing w:val="-4"/>
        </w:rPr>
        <w:t>(完)</w:t>
      </w:r>
    </w:p>
    <w:sectPr>
      <w:pgSz w:w="11910" w:h="16840"/>
      <w:pgMar w:header="0" w:footer="879" w:top="1140" w:bottom="1060" w:left="1460" w:right="7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Symbol">
    <w:altName w:val="Symbol"/>
    <w:charset w:val="2"/>
    <w:family w:val="roman"/>
    <w:pitch w:val="variable"/>
  </w:font>
  <w:font w:name="Wingdings">
    <w:altName w:val="Wingdings"/>
    <w:charset w:val="2"/>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303.890015pt;margin-top:786.976624pt;width:17.1pt;height:12pt;mso-position-horizontal-relative:page;mso-position-vertical-relative:page;z-index:-16845824" type="#_x0000_t202" id="docshape1" filled="false" stroked="false">
          <v:textbox inset="0,0,0,0">
            <w:txbxContent>
              <w:p>
                <w:pPr>
                  <w:spacing w:line="239" w:lineRule="exact" w:before="0"/>
                  <w:ind w:left="60" w:right="0" w:firstLine="0"/>
                  <w:jc w:val="left"/>
                  <w:rPr>
                    <w:sz w:val="20"/>
                  </w:rPr>
                </w:pPr>
                <w:r>
                  <w:rPr>
                    <w:spacing w:val="-5"/>
                    <w:sz w:val="20"/>
                  </w:rPr>
                  <w:fldChar w:fldCharType="begin"/>
                </w:r>
                <w:r>
                  <w:rPr>
                    <w:spacing w:val="-5"/>
                    <w:sz w:val="20"/>
                  </w:rPr>
                  <w:instrText> PAGE </w:instrText>
                </w:r>
                <w:r>
                  <w:rPr>
                    <w:spacing w:val="-5"/>
                    <w:sz w:val="20"/>
                  </w:rPr>
                  <w:fldChar w:fldCharType="separate"/>
                </w:r>
                <w:r>
                  <w:rPr>
                    <w:spacing w:val="-5"/>
                    <w:sz w:val="20"/>
                  </w:rPr>
                  <w:t>10</w:t>
                </w:r>
                <w:r>
                  <w:rPr>
                    <w:spacing w:val="-5"/>
                    <w:sz w:val="20"/>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4">
    <w:multiLevelType w:val="hybridMultilevel"/>
    <w:lvl w:ilvl="0">
      <w:start w:val="1"/>
      <w:numFmt w:val="decimal"/>
      <w:lvlText w:val="（%1）"/>
      <w:lvlJc w:val="left"/>
      <w:pPr>
        <w:ind w:left="71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81" w:hanging="529"/>
      </w:pPr>
      <w:rPr>
        <w:rFonts w:hint="default"/>
        <w:lang w:val="en-US" w:eastAsia="zh-CN" w:bidi="ar-SA"/>
      </w:rPr>
    </w:lvl>
    <w:lvl w:ilvl="2">
      <w:start w:val="0"/>
      <w:numFmt w:val="bullet"/>
      <w:lvlText w:val="•"/>
      <w:lvlJc w:val="left"/>
      <w:pPr>
        <w:ind w:left="1842" w:hanging="529"/>
      </w:pPr>
      <w:rPr>
        <w:rFonts w:hint="default"/>
        <w:lang w:val="en-US" w:eastAsia="zh-CN" w:bidi="ar-SA"/>
      </w:rPr>
    </w:lvl>
    <w:lvl w:ilvl="3">
      <w:start w:val="0"/>
      <w:numFmt w:val="bullet"/>
      <w:lvlText w:val="•"/>
      <w:lvlJc w:val="left"/>
      <w:pPr>
        <w:ind w:left="2403" w:hanging="529"/>
      </w:pPr>
      <w:rPr>
        <w:rFonts w:hint="default"/>
        <w:lang w:val="en-US" w:eastAsia="zh-CN" w:bidi="ar-SA"/>
      </w:rPr>
    </w:lvl>
    <w:lvl w:ilvl="4">
      <w:start w:val="0"/>
      <w:numFmt w:val="bullet"/>
      <w:lvlText w:val="•"/>
      <w:lvlJc w:val="left"/>
      <w:pPr>
        <w:ind w:left="2964" w:hanging="529"/>
      </w:pPr>
      <w:rPr>
        <w:rFonts w:hint="default"/>
        <w:lang w:val="en-US" w:eastAsia="zh-CN" w:bidi="ar-SA"/>
      </w:rPr>
    </w:lvl>
    <w:lvl w:ilvl="5">
      <w:start w:val="0"/>
      <w:numFmt w:val="bullet"/>
      <w:lvlText w:val="•"/>
      <w:lvlJc w:val="left"/>
      <w:pPr>
        <w:ind w:left="3525" w:hanging="529"/>
      </w:pPr>
      <w:rPr>
        <w:rFonts w:hint="default"/>
        <w:lang w:val="en-US" w:eastAsia="zh-CN" w:bidi="ar-SA"/>
      </w:rPr>
    </w:lvl>
    <w:lvl w:ilvl="6">
      <w:start w:val="0"/>
      <w:numFmt w:val="bullet"/>
      <w:lvlText w:val="•"/>
      <w:lvlJc w:val="left"/>
      <w:pPr>
        <w:ind w:left="4086" w:hanging="529"/>
      </w:pPr>
      <w:rPr>
        <w:rFonts w:hint="default"/>
        <w:lang w:val="en-US" w:eastAsia="zh-CN" w:bidi="ar-SA"/>
      </w:rPr>
    </w:lvl>
    <w:lvl w:ilvl="7">
      <w:start w:val="0"/>
      <w:numFmt w:val="bullet"/>
      <w:lvlText w:val="•"/>
      <w:lvlJc w:val="left"/>
      <w:pPr>
        <w:ind w:left="4647" w:hanging="529"/>
      </w:pPr>
      <w:rPr>
        <w:rFonts w:hint="default"/>
        <w:lang w:val="en-US" w:eastAsia="zh-CN" w:bidi="ar-SA"/>
      </w:rPr>
    </w:lvl>
    <w:lvl w:ilvl="8">
      <w:start w:val="0"/>
      <w:numFmt w:val="bullet"/>
      <w:lvlText w:val="•"/>
      <w:lvlJc w:val="left"/>
      <w:pPr>
        <w:ind w:left="5208" w:hanging="529"/>
      </w:pPr>
      <w:rPr>
        <w:rFonts w:hint="default"/>
        <w:lang w:val="en-US" w:eastAsia="zh-CN" w:bidi="ar-SA"/>
      </w:rPr>
    </w:lvl>
  </w:abstractNum>
  <w:abstractNum w:abstractNumId="33">
    <w:multiLevelType w:val="hybridMultilevel"/>
    <w:lvl w:ilvl="0">
      <w:start w:val="11"/>
      <w:numFmt w:val="decimal"/>
      <w:lvlText w:val="%1"/>
      <w:lvlJc w:val="left"/>
      <w:pPr>
        <w:ind w:left="1341" w:hanging="1100"/>
        <w:jc w:val="left"/>
      </w:pPr>
      <w:rPr>
        <w:rFonts w:hint="default"/>
        <w:lang w:val="en-US" w:eastAsia="zh-CN" w:bidi="ar-SA"/>
      </w:rPr>
    </w:lvl>
    <w:lvl w:ilvl="1">
      <w:start w:val="15"/>
      <w:numFmt w:val="decimal"/>
      <w:lvlText w:val="%1.%2"/>
      <w:lvlJc w:val="left"/>
      <w:pPr>
        <w:ind w:left="1341" w:hanging="1100"/>
        <w:jc w:val="left"/>
      </w:pPr>
      <w:rPr>
        <w:rFonts w:hint="default" w:ascii="Times New Roman" w:hAnsi="Times New Roman" w:eastAsia="Times New Roman" w:cs="Times New Roman"/>
        <w:b w:val="0"/>
        <w:bCs w:val="0"/>
        <w:i w:val="0"/>
        <w:iCs w:val="0"/>
        <w:spacing w:val="-8"/>
        <w:w w:val="100"/>
        <w:position w:val="2"/>
        <w:sz w:val="21"/>
        <w:szCs w:val="21"/>
        <w:lang w:val="en-US" w:eastAsia="zh-CN" w:bidi="ar-SA"/>
      </w:rPr>
    </w:lvl>
    <w:lvl w:ilvl="2">
      <w:start w:val="1"/>
      <w:numFmt w:val="decimal"/>
      <w:lvlText w:val="（%3）"/>
      <w:lvlJc w:val="left"/>
      <w:pPr>
        <w:ind w:left="3657" w:hanging="536"/>
        <w:jc w:val="left"/>
      </w:pPr>
      <w:rPr>
        <w:rFonts w:hint="default" w:ascii="宋体" w:hAnsi="宋体" w:eastAsia="宋体" w:cs="宋体"/>
        <w:b w:val="0"/>
        <w:bCs w:val="0"/>
        <w:i w:val="0"/>
        <w:iCs w:val="0"/>
        <w:spacing w:val="2"/>
        <w:w w:val="100"/>
        <w:sz w:val="19"/>
        <w:szCs w:val="19"/>
        <w:lang w:val="en-US" w:eastAsia="zh-CN" w:bidi="ar-SA"/>
      </w:rPr>
    </w:lvl>
    <w:lvl w:ilvl="3">
      <w:start w:val="0"/>
      <w:numFmt w:val="bullet"/>
      <w:lvlText w:val="•"/>
      <w:lvlJc w:val="left"/>
      <w:pPr>
        <w:ind w:left="5008" w:hanging="536"/>
      </w:pPr>
      <w:rPr>
        <w:rFonts w:hint="default"/>
        <w:lang w:val="en-US" w:eastAsia="zh-CN" w:bidi="ar-SA"/>
      </w:rPr>
    </w:lvl>
    <w:lvl w:ilvl="4">
      <w:start w:val="0"/>
      <w:numFmt w:val="bullet"/>
      <w:lvlText w:val="•"/>
      <w:lvlJc w:val="left"/>
      <w:pPr>
        <w:ind w:left="5682" w:hanging="536"/>
      </w:pPr>
      <w:rPr>
        <w:rFonts w:hint="default"/>
        <w:lang w:val="en-US" w:eastAsia="zh-CN" w:bidi="ar-SA"/>
      </w:rPr>
    </w:lvl>
    <w:lvl w:ilvl="5">
      <w:start w:val="0"/>
      <w:numFmt w:val="bullet"/>
      <w:lvlText w:val="•"/>
      <w:lvlJc w:val="left"/>
      <w:pPr>
        <w:ind w:left="6356" w:hanging="536"/>
      </w:pPr>
      <w:rPr>
        <w:rFonts w:hint="default"/>
        <w:lang w:val="en-US" w:eastAsia="zh-CN" w:bidi="ar-SA"/>
      </w:rPr>
    </w:lvl>
    <w:lvl w:ilvl="6">
      <w:start w:val="0"/>
      <w:numFmt w:val="bullet"/>
      <w:lvlText w:val="•"/>
      <w:lvlJc w:val="left"/>
      <w:pPr>
        <w:ind w:left="7030" w:hanging="536"/>
      </w:pPr>
      <w:rPr>
        <w:rFonts w:hint="default"/>
        <w:lang w:val="en-US" w:eastAsia="zh-CN" w:bidi="ar-SA"/>
      </w:rPr>
    </w:lvl>
    <w:lvl w:ilvl="7">
      <w:start w:val="0"/>
      <w:numFmt w:val="bullet"/>
      <w:lvlText w:val="•"/>
      <w:lvlJc w:val="left"/>
      <w:pPr>
        <w:ind w:left="7704" w:hanging="536"/>
      </w:pPr>
      <w:rPr>
        <w:rFonts w:hint="default"/>
        <w:lang w:val="en-US" w:eastAsia="zh-CN" w:bidi="ar-SA"/>
      </w:rPr>
    </w:lvl>
    <w:lvl w:ilvl="8">
      <w:start w:val="0"/>
      <w:numFmt w:val="bullet"/>
      <w:lvlText w:val="•"/>
      <w:lvlJc w:val="left"/>
      <w:pPr>
        <w:ind w:left="8378" w:hanging="536"/>
      </w:pPr>
      <w:rPr>
        <w:rFonts w:hint="default"/>
        <w:lang w:val="en-US" w:eastAsia="zh-CN" w:bidi="ar-SA"/>
      </w:rPr>
    </w:lvl>
  </w:abstractNum>
  <w:abstractNum w:abstractNumId="32">
    <w:multiLevelType w:val="hybridMultilevel"/>
    <w:lvl w:ilvl="0">
      <w:start w:val="1"/>
      <w:numFmt w:val="decimal"/>
      <w:lvlText w:val="（%1）"/>
      <w:lvlJc w:val="left"/>
      <w:pPr>
        <w:ind w:left="63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11" w:hanging="529"/>
      </w:pPr>
      <w:rPr>
        <w:rFonts w:hint="default"/>
        <w:lang w:val="en-US" w:eastAsia="zh-CN" w:bidi="ar-SA"/>
      </w:rPr>
    </w:lvl>
    <w:lvl w:ilvl="2">
      <w:start w:val="0"/>
      <w:numFmt w:val="bullet"/>
      <w:lvlText w:val="•"/>
      <w:lvlJc w:val="left"/>
      <w:pPr>
        <w:ind w:left="1782" w:hanging="529"/>
      </w:pPr>
      <w:rPr>
        <w:rFonts w:hint="default"/>
        <w:lang w:val="en-US" w:eastAsia="zh-CN" w:bidi="ar-SA"/>
      </w:rPr>
    </w:lvl>
    <w:lvl w:ilvl="3">
      <w:start w:val="0"/>
      <w:numFmt w:val="bullet"/>
      <w:lvlText w:val="•"/>
      <w:lvlJc w:val="left"/>
      <w:pPr>
        <w:ind w:left="2353" w:hanging="529"/>
      </w:pPr>
      <w:rPr>
        <w:rFonts w:hint="default"/>
        <w:lang w:val="en-US" w:eastAsia="zh-CN" w:bidi="ar-SA"/>
      </w:rPr>
    </w:lvl>
    <w:lvl w:ilvl="4">
      <w:start w:val="0"/>
      <w:numFmt w:val="bullet"/>
      <w:lvlText w:val="•"/>
      <w:lvlJc w:val="left"/>
      <w:pPr>
        <w:ind w:left="2924" w:hanging="529"/>
      </w:pPr>
      <w:rPr>
        <w:rFonts w:hint="default"/>
        <w:lang w:val="en-US" w:eastAsia="zh-CN" w:bidi="ar-SA"/>
      </w:rPr>
    </w:lvl>
    <w:lvl w:ilvl="5">
      <w:start w:val="0"/>
      <w:numFmt w:val="bullet"/>
      <w:lvlText w:val="•"/>
      <w:lvlJc w:val="left"/>
      <w:pPr>
        <w:ind w:left="3495" w:hanging="529"/>
      </w:pPr>
      <w:rPr>
        <w:rFonts w:hint="default"/>
        <w:lang w:val="en-US" w:eastAsia="zh-CN" w:bidi="ar-SA"/>
      </w:rPr>
    </w:lvl>
    <w:lvl w:ilvl="6">
      <w:start w:val="0"/>
      <w:numFmt w:val="bullet"/>
      <w:lvlText w:val="•"/>
      <w:lvlJc w:val="left"/>
      <w:pPr>
        <w:ind w:left="4066" w:hanging="529"/>
      </w:pPr>
      <w:rPr>
        <w:rFonts w:hint="default"/>
        <w:lang w:val="en-US" w:eastAsia="zh-CN" w:bidi="ar-SA"/>
      </w:rPr>
    </w:lvl>
    <w:lvl w:ilvl="7">
      <w:start w:val="0"/>
      <w:numFmt w:val="bullet"/>
      <w:lvlText w:val="•"/>
      <w:lvlJc w:val="left"/>
      <w:pPr>
        <w:ind w:left="4637" w:hanging="529"/>
      </w:pPr>
      <w:rPr>
        <w:rFonts w:hint="default"/>
        <w:lang w:val="en-US" w:eastAsia="zh-CN" w:bidi="ar-SA"/>
      </w:rPr>
    </w:lvl>
    <w:lvl w:ilvl="8">
      <w:start w:val="0"/>
      <w:numFmt w:val="bullet"/>
      <w:lvlText w:val="•"/>
      <w:lvlJc w:val="left"/>
      <w:pPr>
        <w:ind w:left="5208" w:hanging="529"/>
      </w:pPr>
      <w:rPr>
        <w:rFonts w:hint="default"/>
        <w:lang w:val="en-US" w:eastAsia="zh-CN" w:bidi="ar-SA"/>
      </w:rPr>
    </w:lvl>
  </w:abstractNum>
  <w:abstractNum w:abstractNumId="31">
    <w:multiLevelType w:val="hybridMultilevel"/>
    <w:lvl w:ilvl="0">
      <w:start w:val="1"/>
      <w:numFmt w:val="decimal"/>
      <w:lvlText w:val="（%1）"/>
      <w:lvlJc w:val="left"/>
      <w:pPr>
        <w:ind w:left="63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11" w:hanging="529"/>
      </w:pPr>
      <w:rPr>
        <w:rFonts w:hint="default"/>
        <w:lang w:val="en-US" w:eastAsia="zh-CN" w:bidi="ar-SA"/>
      </w:rPr>
    </w:lvl>
    <w:lvl w:ilvl="2">
      <w:start w:val="0"/>
      <w:numFmt w:val="bullet"/>
      <w:lvlText w:val="•"/>
      <w:lvlJc w:val="left"/>
      <w:pPr>
        <w:ind w:left="1782" w:hanging="529"/>
      </w:pPr>
      <w:rPr>
        <w:rFonts w:hint="default"/>
        <w:lang w:val="en-US" w:eastAsia="zh-CN" w:bidi="ar-SA"/>
      </w:rPr>
    </w:lvl>
    <w:lvl w:ilvl="3">
      <w:start w:val="0"/>
      <w:numFmt w:val="bullet"/>
      <w:lvlText w:val="•"/>
      <w:lvlJc w:val="left"/>
      <w:pPr>
        <w:ind w:left="2353" w:hanging="529"/>
      </w:pPr>
      <w:rPr>
        <w:rFonts w:hint="default"/>
        <w:lang w:val="en-US" w:eastAsia="zh-CN" w:bidi="ar-SA"/>
      </w:rPr>
    </w:lvl>
    <w:lvl w:ilvl="4">
      <w:start w:val="0"/>
      <w:numFmt w:val="bullet"/>
      <w:lvlText w:val="•"/>
      <w:lvlJc w:val="left"/>
      <w:pPr>
        <w:ind w:left="2924" w:hanging="529"/>
      </w:pPr>
      <w:rPr>
        <w:rFonts w:hint="default"/>
        <w:lang w:val="en-US" w:eastAsia="zh-CN" w:bidi="ar-SA"/>
      </w:rPr>
    </w:lvl>
    <w:lvl w:ilvl="5">
      <w:start w:val="0"/>
      <w:numFmt w:val="bullet"/>
      <w:lvlText w:val="•"/>
      <w:lvlJc w:val="left"/>
      <w:pPr>
        <w:ind w:left="3495" w:hanging="529"/>
      </w:pPr>
      <w:rPr>
        <w:rFonts w:hint="default"/>
        <w:lang w:val="en-US" w:eastAsia="zh-CN" w:bidi="ar-SA"/>
      </w:rPr>
    </w:lvl>
    <w:lvl w:ilvl="6">
      <w:start w:val="0"/>
      <w:numFmt w:val="bullet"/>
      <w:lvlText w:val="•"/>
      <w:lvlJc w:val="left"/>
      <w:pPr>
        <w:ind w:left="4066" w:hanging="529"/>
      </w:pPr>
      <w:rPr>
        <w:rFonts w:hint="default"/>
        <w:lang w:val="en-US" w:eastAsia="zh-CN" w:bidi="ar-SA"/>
      </w:rPr>
    </w:lvl>
    <w:lvl w:ilvl="7">
      <w:start w:val="0"/>
      <w:numFmt w:val="bullet"/>
      <w:lvlText w:val="•"/>
      <w:lvlJc w:val="left"/>
      <w:pPr>
        <w:ind w:left="4637" w:hanging="529"/>
      </w:pPr>
      <w:rPr>
        <w:rFonts w:hint="default"/>
        <w:lang w:val="en-US" w:eastAsia="zh-CN" w:bidi="ar-SA"/>
      </w:rPr>
    </w:lvl>
    <w:lvl w:ilvl="8">
      <w:start w:val="0"/>
      <w:numFmt w:val="bullet"/>
      <w:lvlText w:val="•"/>
      <w:lvlJc w:val="left"/>
      <w:pPr>
        <w:ind w:left="5208" w:hanging="529"/>
      </w:pPr>
      <w:rPr>
        <w:rFonts w:hint="default"/>
        <w:lang w:val="en-US" w:eastAsia="zh-CN" w:bidi="ar-SA"/>
      </w:rPr>
    </w:lvl>
  </w:abstractNum>
  <w:abstractNum w:abstractNumId="30">
    <w:multiLevelType w:val="hybridMultilevel"/>
    <w:lvl w:ilvl="0">
      <w:start w:val="11"/>
      <w:numFmt w:val="decimal"/>
      <w:lvlText w:val="%1"/>
      <w:lvlJc w:val="left"/>
      <w:pPr>
        <w:ind w:left="1341" w:hanging="1100"/>
        <w:jc w:val="left"/>
      </w:pPr>
      <w:rPr>
        <w:rFonts w:hint="default"/>
        <w:lang w:val="en-US" w:eastAsia="zh-CN" w:bidi="ar-SA"/>
      </w:rPr>
    </w:lvl>
    <w:lvl w:ilvl="1">
      <w:start w:val="4"/>
      <w:numFmt w:val="decimal"/>
      <w:lvlText w:val="%1.%2"/>
      <w:lvlJc w:val="left"/>
      <w:pPr>
        <w:ind w:left="1341" w:hanging="1100"/>
        <w:jc w:val="left"/>
      </w:pPr>
      <w:rPr>
        <w:rFonts w:hint="default" w:ascii="Times New Roman" w:hAnsi="Times New Roman" w:eastAsia="Times New Roman" w:cs="Times New Roman"/>
        <w:b w:val="0"/>
        <w:bCs w:val="0"/>
        <w:i w:val="0"/>
        <w:iCs w:val="0"/>
        <w:spacing w:val="-8"/>
        <w:w w:val="100"/>
        <w:position w:val="2"/>
        <w:sz w:val="21"/>
        <w:szCs w:val="21"/>
        <w:lang w:val="en-US" w:eastAsia="zh-CN" w:bidi="ar-SA"/>
      </w:rPr>
    </w:lvl>
    <w:lvl w:ilvl="2">
      <w:start w:val="0"/>
      <w:numFmt w:val="bullet"/>
      <w:lvlText w:val="•"/>
      <w:lvlJc w:val="left"/>
      <w:pPr>
        <w:ind w:left="3017" w:hanging="1100"/>
      </w:pPr>
      <w:rPr>
        <w:rFonts w:hint="default"/>
        <w:lang w:val="en-US" w:eastAsia="zh-CN" w:bidi="ar-SA"/>
      </w:rPr>
    </w:lvl>
    <w:lvl w:ilvl="3">
      <w:start w:val="0"/>
      <w:numFmt w:val="bullet"/>
      <w:lvlText w:val="•"/>
      <w:lvlJc w:val="left"/>
      <w:pPr>
        <w:ind w:left="3855" w:hanging="1100"/>
      </w:pPr>
      <w:rPr>
        <w:rFonts w:hint="default"/>
        <w:lang w:val="en-US" w:eastAsia="zh-CN" w:bidi="ar-SA"/>
      </w:rPr>
    </w:lvl>
    <w:lvl w:ilvl="4">
      <w:start w:val="0"/>
      <w:numFmt w:val="bullet"/>
      <w:lvlText w:val="•"/>
      <w:lvlJc w:val="left"/>
      <w:pPr>
        <w:ind w:left="4694" w:hanging="1100"/>
      </w:pPr>
      <w:rPr>
        <w:rFonts w:hint="default"/>
        <w:lang w:val="en-US" w:eastAsia="zh-CN" w:bidi="ar-SA"/>
      </w:rPr>
    </w:lvl>
    <w:lvl w:ilvl="5">
      <w:start w:val="0"/>
      <w:numFmt w:val="bullet"/>
      <w:lvlText w:val="•"/>
      <w:lvlJc w:val="left"/>
      <w:pPr>
        <w:ind w:left="5533" w:hanging="1100"/>
      </w:pPr>
      <w:rPr>
        <w:rFonts w:hint="default"/>
        <w:lang w:val="en-US" w:eastAsia="zh-CN" w:bidi="ar-SA"/>
      </w:rPr>
    </w:lvl>
    <w:lvl w:ilvl="6">
      <w:start w:val="0"/>
      <w:numFmt w:val="bullet"/>
      <w:lvlText w:val="•"/>
      <w:lvlJc w:val="left"/>
      <w:pPr>
        <w:ind w:left="6371" w:hanging="1100"/>
      </w:pPr>
      <w:rPr>
        <w:rFonts w:hint="default"/>
        <w:lang w:val="en-US" w:eastAsia="zh-CN" w:bidi="ar-SA"/>
      </w:rPr>
    </w:lvl>
    <w:lvl w:ilvl="7">
      <w:start w:val="0"/>
      <w:numFmt w:val="bullet"/>
      <w:lvlText w:val="•"/>
      <w:lvlJc w:val="left"/>
      <w:pPr>
        <w:ind w:left="7210" w:hanging="1100"/>
      </w:pPr>
      <w:rPr>
        <w:rFonts w:hint="default"/>
        <w:lang w:val="en-US" w:eastAsia="zh-CN" w:bidi="ar-SA"/>
      </w:rPr>
    </w:lvl>
    <w:lvl w:ilvl="8">
      <w:start w:val="0"/>
      <w:numFmt w:val="bullet"/>
      <w:lvlText w:val="•"/>
      <w:lvlJc w:val="left"/>
      <w:pPr>
        <w:ind w:left="8049" w:hanging="1100"/>
      </w:pPr>
      <w:rPr>
        <w:rFonts w:hint="default"/>
        <w:lang w:val="en-US" w:eastAsia="zh-CN" w:bidi="ar-SA"/>
      </w:rPr>
    </w:lvl>
  </w:abstractNum>
  <w:abstractNum w:abstractNumId="29">
    <w:multiLevelType w:val="hybridMultilevel"/>
    <w:lvl w:ilvl="0">
      <w:start w:val="1"/>
      <w:numFmt w:val="decimal"/>
      <w:lvlText w:val="（%1）"/>
      <w:lvlJc w:val="left"/>
      <w:pPr>
        <w:ind w:left="102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87" w:hanging="529"/>
      </w:pPr>
      <w:rPr>
        <w:rFonts w:hint="default"/>
        <w:lang w:val="en-US" w:eastAsia="zh-CN" w:bidi="ar-SA"/>
      </w:rPr>
    </w:lvl>
    <w:lvl w:ilvl="2">
      <w:start w:val="0"/>
      <w:numFmt w:val="bullet"/>
      <w:lvlText w:val="•"/>
      <w:lvlJc w:val="left"/>
      <w:pPr>
        <w:ind w:left="2154" w:hanging="529"/>
      </w:pPr>
      <w:rPr>
        <w:rFonts w:hint="default"/>
        <w:lang w:val="en-US" w:eastAsia="zh-CN" w:bidi="ar-SA"/>
      </w:rPr>
    </w:lvl>
    <w:lvl w:ilvl="3">
      <w:start w:val="0"/>
      <w:numFmt w:val="bullet"/>
      <w:lvlText w:val="•"/>
      <w:lvlJc w:val="left"/>
      <w:pPr>
        <w:ind w:left="2721" w:hanging="529"/>
      </w:pPr>
      <w:rPr>
        <w:rFonts w:hint="default"/>
        <w:lang w:val="en-US" w:eastAsia="zh-CN" w:bidi="ar-SA"/>
      </w:rPr>
    </w:lvl>
    <w:lvl w:ilvl="4">
      <w:start w:val="0"/>
      <w:numFmt w:val="bullet"/>
      <w:lvlText w:val="•"/>
      <w:lvlJc w:val="left"/>
      <w:pPr>
        <w:ind w:left="3289" w:hanging="529"/>
      </w:pPr>
      <w:rPr>
        <w:rFonts w:hint="default"/>
        <w:lang w:val="en-US" w:eastAsia="zh-CN" w:bidi="ar-SA"/>
      </w:rPr>
    </w:lvl>
    <w:lvl w:ilvl="5">
      <w:start w:val="0"/>
      <w:numFmt w:val="bullet"/>
      <w:lvlText w:val="•"/>
      <w:lvlJc w:val="left"/>
      <w:pPr>
        <w:ind w:left="3856" w:hanging="529"/>
      </w:pPr>
      <w:rPr>
        <w:rFonts w:hint="default"/>
        <w:lang w:val="en-US" w:eastAsia="zh-CN" w:bidi="ar-SA"/>
      </w:rPr>
    </w:lvl>
    <w:lvl w:ilvl="6">
      <w:start w:val="0"/>
      <w:numFmt w:val="bullet"/>
      <w:lvlText w:val="•"/>
      <w:lvlJc w:val="left"/>
      <w:pPr>
        <w:ind w:left="4423" w:hanging="529"/>
      </w:pPr>
      <w:rPr>
        <w:rFonts w:hint="default"/>
        <w:lang w:val="en-US" w:eastAsia="zh-CN" w:bidi="ar-SA"/>
      </w:rPr>
    </w:lvl>
    <w:lvl w:ilvl="7">
      <w:start w:val="0"/>
      <w:numFmt w:val="bullet"/>
      <w:lvlText w:val="•"/>
      <w:lvlJc w:val="left"/>
      <w:pPr>
        <w:ind w:left="4991" w:hanging="529"/>
      </w:pPr>
      <w:rPr>
        <w:rFonts w:hint="default"/>
        <w:lang w:val="en-US" w:eastAsia="zh-CN" w:bidi="ar-SA"/>
      </w:rPr>
    </w:lvl>
    <w:lvl w:ilvl="8">
      <w:start w:val="0"/>
      <w:numFmt w:val="bullet"/>
      <w:lvlText w:val="•"/>
      <w:lvlJc w:val="left"/>
      <w:pPr>
        <w:ind w:left="5558" w:hanging="529"/>
      </w:pPr>
      <w:rPr>
        <w:rFonts w:hint="default"/>
        <w:lang w:val="en-US" w:eastAsia="zh-CN" w:bidi="ar-SA"/>
      </w:rPr>
    </w:lvl>
  </w:abstractNum>
  <w:abstractNum w:abstractNumId="28">
    <w:multiLevelType w:val="hybridMultilevel"/>
    <w:lvl w:ilvl="0">
      <w:start w:val="1"/>
      <w:numFmt w:val="decimal"/>
      <w:lvlText w:val="（%1）"/>
      <w:lvlJc w:val="left"/>
      <w:pPr>
        <w:ind w:left="3710" w:hanging="529"/>
        <w:jc w:val="left"/>
      </w:pPr>
      <w:rPr>
        <w:rFonts w:hint="default" w:ascii="宋体" w:hAnsi="宋体" w:eastAsia="宋体" w:cs="宋体"/>
        <w:b w:val="0"/>
        <w:bCs w:val="0"/>
        <w:i w:val="0"/>
        <w:iCs w:val="0"/>
        <w:spacing w:val="-5"/>
        <w:w w:val="100"/>
        <w:sz w:val="19"/>
        <w:szCs w:val="19"/>
        <w:lang w:val="en-US" w:eastAsia="zh-CN" w:bidi="ar-SA"/>
      </w:rPr>
    </w:lvl>
    <w:lvl w:ilvl="1">
      <w:start w:val="0"/>
      <w:numFmt w:val="bullet"/>
      <w:lvlText w:val="•"/>
      <w:lvlJc w:val="left"/>
      <w:pPr>
        <w:ind w:left="4320" w:hanging="529"/>
      </w:pPr>
      <w:rPr>
        <w:rFonts w:hint="default"/>
        <w:lang w:val="en-US" w:eastAsia="zh-CN" w:bidi="ar-SA"/>
      </w:rPr>
    </w:lvl>
    <w:lvl w:ilvl="2">
      <w:start w:val="0"/>
      <w:numFmt w:val="bullet"/>
      <w:lvlText w:val="•"/>
      <w:lvlJc w:val="left"/>
      <w:pPr>
        <w:ind w:left="4921" w:hanging="529"/>
      </w:pPr>
      <w:rPr>
        <w:rFonts w:hint="default"/>
        <w:lang w:val="en-US" w:eastAsia="zh-CN" w:bidi="ar-SA"/>
      </w:rPr>
    </w:lvl>
    <w:lvl w:ilvl="3">
      <w:start w:val="0"/>
      <w:numFmt w:val="bullet"/>
      <w:lvlText w:val="•"/>
      <w:lvlJc w:val="left"/>
      <w:pPr>
        <w:ind w:left="5521" w:hanging="529"/>
      </w:pPr>
      <w:rPr>
        <w:rFonts w:hint="default"/>
        <w:lang w:val="en-US" w:eastAsia="zh-CN" w:bidi="ar-SA"/>
      </w:rPr>
    </w:lvl>
    <w:lvl w:ilvl="4">
      <w:start w:val="0"/>
      <w:numFmt w:val="bullet"/>
      <w:lvlText w:val="•"/>
      <w:lvlJc w:val="left"/>
      <w:pPr>
        <w:ind w:left="6122" w:hanging="529"/>
      </w:pPr>
      <w:rPr>
        <w:rFonts w:hint="default"/>
        <w:lang w:val="en-US" w:eastAsia="zh-CN" w:bidi="ar-SA"/>
      </w:rPr>
    </w:lvl>
    <w:lvl w:ilvl="5">
      <w:start w:val="0"/>
      <w:numFmt w:val="bullet"/>
      <w:lvlText w:val="•"/>
      <w:lvlJc w:val="left"/>
      <w:pPr>
        <w:ind w:left="6723" w:hanging="529"/>
      </w:pPr>
      <w:rPr>
        <w:rFonts w:hint="default"/>
        <w:lang w:val="en-US" w:eastAsia="zh-CN" w:bidi="ar-SA"/>
      </w:rPr>
    </w:lvl>
    <w:lvl w:ilvl="6">
      <w:start w:val="0"/>
      <w:numFmt w:val="bullet"/>
      <w:lvlText w:val="•"/>
      <w:lvlJc w:val="left"/>
      <w:pPr>
        <w:ind w:left="7323" w:hanging="529"/>
      </w:pPr>
      <w:rPr>
        <w:rFonts w:hint="default"/>
        <w:lang w:val="en-US" w:eastAsia="zh-CN" w:bidi="ar-SA"/>
      </w:rPr>
    </w:lvl>
    <w:lvl w:ilvl="7">
      <w:start w:val="0"/>
      <w:numFmt w:val="bullet"/>
      <w:lvlText w:val="•"/>
      <w:lvlJc w:val="left"/>
      <w:pPr>
        <w:ind w:left="7924" w:hanging="529"/>
      </w:pPr>
      <w:rPr>
        <w:rFonts w:hint="default"/>
        <w:lang w:val="en-US" w:eastAsia="zh-CN" w:bidi="ar-SA"/>
      </w:rPr>
    </w:lvl>
    <w:lvl w:ilvl="8">
      <w:start w:val="0"/>
      <w:numFmt w:val="bullet"/>
      <w:lvlText w:val="•"/>
      <w:lvlJc w:val="left"/>
      <w:pPr>
        <w:ind w:left="8525" w:hanging="529"/>
      </w:pPr>
      <w:rPr>
        <w:rFonts w:hint="default"/>
        <w:lang w:val="en-US" w:eastAsia="zh-CN" w:bidi="ar-SA"/>
      </w:rPr>
    </w:lvl>
  </w:abstractNum>
  <w:abstractNum w:abstractNumId="27">
    <w:multiLevelType w:val="hybridMultilevel"/>
    <w:lvl w:ilvl="0">
      <w:start w:val="1"/>
      <w:numFmt w:val="decimal"/>
      <w:lvlText w:val="（%1）"/>
      <w:lvlJc w:val="left"/>
      <w:pPr>
        <w:ind w:left="3710" w:hanging="534"/>
        <w:jc w:val="left"/>
      </w:pPr>
      <w:rPr>
        <w:rFonts w:hint="default" w:ascii="宋体" w:hAnsi="宋体" w:eastAsia="宋体" w:cs="宋体"/>
        <w:b w:val="0"/>
        <w:bCs w:val="0"/>
        <w:i w:val="0"/>
        <w:iCs w:val="0"/>
        <w:spacing w:val="0"/>
        <w:w w:val="100"/>
        <w:sz w:val="19"/>
        <w:szCs w:val="19"/>
        <w:lang w:val="en-US" w:eastAsia="zh-CN" w:bidi="ar-SA"/>
      </w:rPr>
    </w:lvl>
    <w:lvl w:ilvl="1">
      <w:start w:val="0"/>
      <w:numFmt w:val="bullet"/>
      <w:lvlText w:val="•"/>
      <w:lvlJc w:val="left"/>
      <w:pPr>
        <w:ind w:left="4320" w:hanging="534"/>
      </w:pPr>
      <w:rPr>
        <w:rFonts w:hint="default"/>
        <w:lang w:val="en-US" w:eastAsia="zh-CN" w:bidi="ar-SA"/>
      </w:rPr>
    </w:lvl>
    <w:lvl w:ilvl="2">
      <w:start w:val="0"/>
      <w:numFmt w:val="bullet"/>
      <w:lvlText w:val="•"/>
      <w:lvlJc w:val="left"/>
      <w:pPr>
        <w:ind w:left="4921" w:hanging="534"/>
      </w:pPr>
      <w:rPr>
        <w:rFonts w:hint="default"/>
        <w:lang w:val="en-US" w:eastAsia="zh-CN" w:bidi="ar-SA"/>
      </w:rPr>
    </w:lvl>
    <w:lvl w:ilvl="3">
      <w:start w:val="0"/>
      <w:numFmt w:val="bullet"/>
      <w:lvlText w:val="•"/>
      <w:lvlJc w:val="left"/>
      <w:pPr>
        <w:ind w:left="5521" w:hanging="534"/>
      </w:pPr>
      <w:rPr>
        <w:rFonts w:hint="default"/>
        <w:lang w:val="en-US" w:eastAsia="zh-CN" w:bidi="ar-SA"/>
      </w:rPr>
    </w:lvl>
    <w:lvl w:ilvl="4">
      <w:start w:val="0"/>
      <w:numFmt w:val="bullet"/>
      <w:lvlText w:val="•"/>
      <w:lvlJc w:val="left"/>
      <w:pPr>
        <w:ind w:left="6122" w:hanging="534"/>
      </w:pPr>
      <w:rPr>
        <w:rFonts w:hint="default"/>
        <w:lang w:val="en-US" w:eastAsia="zh-CN" w:bidi="ar-SA"/>
      </w:rPr>
    </w:lvl>
    <w:lvl w:ilvl="5">
      <w:start w:val="0"/>
      <w:numFmt w:val="bullet"/>
      <w:lvlText w:val="•"/>
      <w:lvlJc w:val="left"/>
      <w:pPr>
        <w:ind w:left="6723" w:hanging="534"/>
      </w:pPr>
      <w:rPr>
        <w:rFonts w:hint="default"/>
        <w:lang w:val="en-US" w:eastAsia="zh-CN" w:bidi="ar-SA"/>
      </w:rPr>
    </w:lvl>
    <w:lvl w:ilvl="6">
      <w:start w:val="0"/>
      <w:numFmt w:val="bullet"/>
      <w:lvlText w:val="•"/>
      <w:lvlJc w:val="left"/>
      <w:pPr>
        <w:ind w:left="7323" w:hanging="534"/>
      </w:pPr>
      <w:rPr>
        <w:rFonts w:hint="default"/>
        <w:lang w:val="en-US" w:eastAsia="zh-CN" w:bidi="ar-SA"/>
      </w:rPr>
    </w:lvl>
    <w:lvl w:ilvl="7">
      <w:start w:val="0"/>
      <w:numFmt w:val="bullet"/>
      <w:lvlText w:val="•"/>
      <w:lvlJc w:val="left"/>
      <w:pPr>
        <w:ind w:left="7924" w:hanging="534"/>
      </w:pPr>
      <w:rPr>
        <w:rFonts w:hint="default"/>
        <w:lang w:val="en-US" w:eastAsia="zh-CN" w:bidi="ar-SA"/>
      </w:rPr>
    </w:lvl>
    <w:lvl w:ilvl="8">
      <w:start w:val="0"/>
      <w:numFmt w:val="bullet"/>
      <w:lvlText w:val="•"/>
      <w:lvlJc w:val="left"/>
      <w:pPr>
        <w:ind w:left="8525" w:hanging="534"/>
      </w:pPr>
      <w:rPr>
        <w:rFonts w:hint="default"/>
        <w:lang w:val="en-US" w:eastAsia="zh-CN" w:bidi="ar-SA"/>
      </w:rPr>
    </w:lvl>
  </w:abstractNum>
  <w:abstractNum w:abstractNumId="26">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69" w:hanging="529"/>
      </w:pPr>
      <w:rPr>
        <w:rFonts w:hint="default"/>
        <w:lang w:val="en-US" w:eastAsia="zh-CN" w:bidi="ar-SA"/>
      </w:rPr>
    </w:lvl>
    <w:lvl w:ilvl="2">
      <w:start w:val="0"/>
      <w:numFmt w:val="bullet"/>
      <w:lvlText w:val="•"/>
      <w:lvlJc w:val="left"/>
      <w:pPr>
        <w:ind w:left="1839" w:hanging="529"/>
      </w:pPr>
      <w:rPr>
        <w:rFonts w:hint="default"/>
        <w:lang w:val="en-US" w:eastAsia="zh-CN" w:bidi="ar-SA"/>
      </w:rPr>
    </w:lvl>
    <w:lvl w:ilvl="3">
      <w:start w:val="0"/>
      <w:numFmt w:val="bullet"/>
      <w:lvlText w:val="•"/>
      <w:lvlJc w:val="left"/>
      <w:pPr>
        <w:ind w:left="2409" w:hanging="529"/>
      </w:pPr>
      <w:rPr>
        <w:rFonts w:hint="default"/>
        <w:lang w:val="en-US" w:eastAsia="zh-CN" w:bidi="ar-SA"/>
      </w:rPr>
    </w:lvl>
    <w:lvl w:ilvl="4">
      <w:start w:val="0"/>
      <w:numFmt w:val="bullet"/>
      <w:lvlText w:val="•"/>
      <w:lvlJc w:val="left"/>
      <w:pPr>
        <w:ind w:left="2978" w:hanging="529"/>
      </w:pPr>
      <w:rPr>
        <w:rFonts w:hint="default"/>
        <w:lang w:val="en-US" w:eastAsia="zh-CN" w:bidi="ar-SA"/>
      </w:rPr>
    </w:lvl>
    <w:lvl w:ilvl="5">
      <w:start w:val="0"/>
      <w:numFmt w:val="bullet"/>
      <w:lvlText w:val="•"/>
      <w:lvlJc w:val="left"/>
      <w:pPr>
        <w:ind w:left="3548" w:hanging="529"/>
      </w:pPr>
      <w:rPr>
        <w:rFonts w:hint="default"/>
        <w:lang w:val="en-US" w:eastAsia="zh-CN" w:bidi="ar-SA"/>
      </w:rPr>
    </w:lvl>
    <w:lvl w:ilvl="6">
      <w:start w:val="0"/>
      <w:numFmt w:val="bullet"/>
      <w:lvlText w:val="•"/>
      <w:lvlJc w:val="left"/>
      <w:pPr>
        <w:ind w:left="4118" w:hanging="529"/>
      </w:pPr>
      <w:rPr>
        <w:rFonts w:hint="default"/>
        <w:lang w:val="en-US" w:eastAsia="zh-CN" w:bidi="ar-SA"/>
      </w:rPr>
    </w:lvl>
    <w:lvl w:ilvl="7">
      <w:start w:val="0"/>
      <w:numFmt w:val="bullet"/>
      <w:lvlText w:val="•"/>
      <w:lvlJc w:val="left"/>
      <w:pPr>
        <w:ind w:left="4687" w:hanging="529"/>
      </w:pPr>
      <w:rPr>
        <w:rFonts w:hint="default"/>
        <w:lang w:val="en-US" w:eastAsia="zh-CN" w:bidi="ar-SA"/>
      </w:rPr>
    </w:lvl>
    <w:lvl w:ilvl="8">
      <w:start w:val="0"/>
      <w:numFmt w:val="bullet"/>
      <w:lvlText w:val="•"/>
      <w:lvlJc w:val="left"/>
      <w:pPr>
        <w:ind w:left="5257" w:hanging="529"/>
      </w:pPr>
      <w:rPr>
        <w:rFonts w:hint="default"/>
        <w:lang w:val="en-US" w:eastAsia="zh-CN" w:bidi="ar-SA"/>
      </w:rPr>
    </w:lvl>
  </w:abstractNum>
  <w:abstractNum w:abstractNumId="25">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69" w:hanging="529"/>
      </w:pPr>
      <w:rPr>
        <w:rFonts w:hint="default"/>
        <w:lang w:val="en-US" w:eastAsia="zh-CN" w:bidi="ar-SA"/>
      </w:rPr>
    </w:lvl>
    <w:lvl w:ilvl="2">
      <w:start w:val="0"/>
      <w:numFmt w:val="bullet"/>
      <w:lvlText w:val="•"/>
      <w:lvlJc w:val="left"/>
      <w:pPr>
        <w:ind w:left="1839" w:hanging="529"/>
      </w:pPr>
      <w:rPr>
        <w:rFonts w:hint="default"/>
        <w:lang w:val="en-US" w:eastAsia="zh-CN" w:bidi="ar-SA"/>
      </w:rPr>
    </w:lvl>
    <w:lvl w:ilvl="3">
      <w:start w:val="0"/>
      <w:numFmt w:val="bullet"/>
      <w:lvlText w:val="•"/>
      <w:lvlJc w:val="left"/>
      <w:pPr>
        <w:ind w:left="2409" w:hanging="529"/>
      </w:pPr>
      <w:rPr>
        <w:rFonts w:hint="default"/>
        <w:lang w:val="en-US" w:eastAsia="zh-CN" w:bidi="ar-SA"/>
      </w:rPr>
    </w:lvl>
    <w:lvl w:ilvl="4">
      <w:start w:val="0"/>
      <w:numFmt w:val="bullet"/>
      <w:lvlText w:val="•"/>
      <w:lvlJc w:val="left"/>
      <w:pPr>
        <w:ind w:left="2978" w:hanging="529"/>
      </w:pPr>
      <w:rPr>
        <w:rFonts w:hint="default"/>
        <w:lang w:val="en-US" w:eastAsia="zh-CN" w:bidi="ar-SA"/>
      </w:rPr>
    </w:lvl>
    <w:lvl w:ilvl="5">
      <w:start w:val="0"/>
      <w:numFmt w:val="bullet"/>
      <w:lvlText w:val="•"/>
      <w:lvlJc w:val="left"/>
      <w:pPr>
        <w:ind w:left="3548" w:hanging="529"/>
      </w:pPr>
      <w:rPr>
        <w:rFonts w:hint="default"/>
        <w:lang w:val="en-US" w:eastAsia="zh-CN" w:bidi="ar-SA"/>
      </w:rPr>
    </w:lvl>
    <w:lvl w:ilvl="6">
      <w:start w:val="0"/>
      <w:numFmt w:val="bullet"/>
      <w:lvlText w:val="•"/>
      <w:lvlJc w:val="left"/>
      <w:pPr>
        <w:ind w:left="4118" w:hanging="529"/>
      </w:pPr>
      <w:rPr>
        <w:rFonts w:hint="default"/>
        <w:lang w:val="en-US" w:eastAsia="zh-CN" w:bidi="ar-SA"/>
      </w:rPr>
    </w:lvl>
    <w:lvl w:ilvl="7">
      <w:start w:val="0"/>
      <w:numFmt w:val="bullet"/>
      <w:lvlText w:val="•"/>
      <w:lvlJc w:val="left"/>
      <w:pPr>
        <w:ind w:left="4687" w:hanging="529"/>
      </w:pPr>
      <w:rPr>
        <w:rFonts w:hint="default"/>
        <w:lang w:val="en-US" w:eastAsia="zh-CN" w:bidi="ar-SA"/>
      </w:rPr>
    </w:lvl>
    <w:lvl w:ilvl="8">
      <w:start w:val="0"/>
      <w:numFmt w:val="bullet"/>
      <w:lvlText w:val="•"/>
      <w:lvlJc w:val="left"/>
      <w:pPr>
        <w:ind w:left="5257" w:hanging="529"/>
      </w:pPr>
      <w:rPr>
        <w:rFonts w:hint="default"/>
        <w:lang w:val="en-US" w:eastAsia="zh-CN" w:bidi="ar-SA"/>
      </w:rPr>
    </w:lvl>
  </w:abstractNum>
  <w:abstractNum w:abstractNumId="24">
    <w:multiLevelType w:val="hybridMultilevel"/>
    <w:lvl w:ilvl="0">
      <w:start w:val="2"/>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69" w:hanging="529"/>
      </w:pPr>
      <w:rPr>
        <w:rFonts w:hint="default"/>
        <w:lang w:val="en-US" w:eastAsia="zh-CN" w:bidi="ar-SA"/>
      </w:rPr>
    </w:lvl>
    <w:lvl w:ilvl="2">
      <w:start w:val="0"/>
      <w:numFmt w:val="bullet"/>
      <w:lvlText w:val="•"/>
      <w:lvlJc w:val="left"/>
      <w:pPr>
        <w:ind w:left="1839" w:hanging="529"/>
      </w:pPr>
      <w:rPr>
        <w:rFonts w:hint="default"/>
        <w:lang w:val="en-US" w:eastAsia="zh-CN" w:bidi="ar-SA"/>
      </w:rPr>
    </w:lvl>
    <w:lvl w:ilvl="3">
      <w:start w:val="0"/>
      <w:numFmt w:val="bullet"/>
      <w:lvlText w:val="•"/>
      <w:lvlJc w:val="left"/>
      <w:pPr>
        <w:ind w:left="2409" w:hanging="529"/>
      </w:pPr>
      <w:rPr>
        <w:rFonts w:hint="default"/>
        <w:lang w:val="en-US" w:eastAsia="zh-CN" w:bidi="ar-SA"/>
      </w:rPr>
    </w:lvl>
    <w:lvl w:ilvl="4">
      <w:start w:val="0"/>
      <w:numFmt w:val="bullet"/>
      <w:lvlText w:val="•"/>
      <w:lvlJc w:val="left"/>
      <w:pPr>
        <w:ind w:left="2978" w:hanging="529"/>
      </w:pPr>
      <w:rPr>
        <w:rFonts w:hint="default"/>
        <w:lang w:val="en-US" w:eastAsia="zh-CN" w:bidi="ar-SA"/>
      </w:rPr>
    </w:lvl>
    <w:lvl w:ilvl="5">
      <w:start w:val="0"/>
      <w:numFmt w:val="bullet"/>
      <w:lvlText w:val="•"/>
      <w:lvlJc w:val="left"/>
      <w:pPr>
        <w:ind w:left="3548" w:hanging="529"/>
      </w:pPr>
      <w:rPr>
        <w:rFonts w:hint="default"/>
        <w:lang w:val="en-US" w:eastAsia="zh-CN" w:bidi="ar-SA"/>
      </w:rPr>
    </w:lvl>
    <w:lvl w:ilvl="6">
      <w:start w:val="0"/>
      <w:numFmt w:val="bullet"/>
      <w:lvlText w:val="•"/>
      <w:lvlJc w:val="left"/>
      <w:pPr>
        <w:ind w:left="4118" w:hanging="529"/>
      </w:pPr>
      <w:rPr>
        <w:rFonts w:hint="default"/>
        <w:lang w:val="en-US" w:eastAsia="zh-CN" w:bidi="ar-SA"/>
      </w:rPr>
    </w:lvl>
    <w:lvl w:ilvl="7">
      <w:start w:val="0"/>
      <w:numFmt w:val="bullet"/>
      <w:lvlText w:val="•"/>
      <w:lvlJc w:val="left"/>
      <w:pPr>
        <w:ind w:left="4687" w:hanging="529"/>
      </w:pPr>
      <w:rPr>
        <w:rFonts w:hint="default"/>
        <w:lang w:val="en-US" w:eastAsia="zh-CN" w:bidi="ar-SA"/>
      </w:rPr>
    </w:lvl>
    <w:lvl w:ilvl="8">
      <w:start w:val="0"/>
      <w:numFmt w:val="bullet"/>
      <w:lvlText w:val="•"/>
      <w:lvlJc w:val="left"/>
      <w:pPr>
        <w:ind w:left="5257" w:hanging="529"/>
      </w:pPr>
      <w:rPr>
        <w:rFonts w:hint="default"/>
        <w:lang w:val="en-US" w:eastAsia="zh-CN" w:bidi="ar-SA"/>
      </w:rPr>
    </w:lvl>
  </w:abstractNum>
  <w:abstractNum w:abstractNumId="23">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69" w:hanging="529"/>
      </w:pPr>
      <w:rPr>
        <w:rFonts w:hint="default"/>
        <w:lang w:val="en-US" w:eastAsia="zh-CN" w:bidi="ar-SA"/>
      </w:rPr>
    </w:lvl>
    <w:lvl w:ilvl="2">
      <w:start w:val="0"/>
      <w:numFmt w:val="bullet"/>
      <w:lvlText w:val="•"/>
      <w:lvlJc w:val="left"/>
      <w:pPr>
        <w:ind w:left="1839" w:hanging="529"/>
      </w:pPr>
      <w:rPr>
        <w:rFonts w:hint="default"/>
        <w:lang w:val="en-US" w:eastAsia="zh-CN" w:bidi="ar-SA"/>
      </w:rPr>
    </w:lvl>
    <w:lvl w:ilvl="3">
      <w:start w:val="0"/>
      <w:numFmt w:val="bullet"/>
      <w:lvlText w:val="•"/>
      <w:lvlJc w:val="left"/>
      <w:pPr>
        <w:ind w:left="2409" w:hanging="529"/>
      </w:pPr>
      <w:rPr>
        <w:rFonts w:hint="default"/>
        <w:lang w:val="en-US" w:eastAsia="zh-CN" w:bidi="ar-SA"/>
      </w:rPr>
    </w:lvl>
    <w:lvl w:ilvl="4">
      <w:start w:val="0"/>
      <w:numFmt w:val="bullet"/>
      <w:lvlText w:val="•"/>
      <w:lvlJc w:val="left"/>
      <w:pPr>
        <w:ind w:left="2978" w:hanging="529"/>
      </w:pPr>
      <w:rPr>
        <w:rFonts w:hint="default"/>
        <w:lang w:val="en-US" w:eastAsia="zh-CN" w:bidi="ar-SA"/>
      </w:rPr>
    </w:lvl>
    <w:lvl w:ilvl="5">
      <w:start w:val="0"/>
      <w:numFmt w:val="bullet"/>
      <w:lvlText w:val="•"/>
      <w:lvlJc w:val="left"/>
      <w:pPr>
        <w:ind w:left="3548" w:hanging="529"/>
      </w:pPr>
      <w:rPr>
        <w:rFonts w:hint="default"/>
        <w:lang w:val="en-US" w:eastAsia="zh-CN" w:bidi="ar-SA"/>
      </w:rPr>
    </w:lvl>
    <w:lvl w:ilvl="6">
      <w:start w:val="0"/>
      <w:numFmt w:val="bullet"/>
      <w:lvlText w:val="•"/>
      <w:lvlJc w:val="left"/>
      <w:pPr>
        <w:ind w:left="4118" w:hanging="529"/>
      </w:pPr>
      <w:rPr>
        <w:rFonts w:hint="default"/>
        <w:lang w:val="en-US" w:eastAsia="zh-CN" w:bidi="ar-SA"/>
      </w:rPr>
    </w:lvl>
    <w:lvl w:ilvl="7">
      <w:start w:val="0"/>
      <w:numFmt w:val="bullet"/>
      <w:lvlText w:val="•"/>
      <w:lvlJc w:val="left"/>
      <w:pPr>
        <w:ind w:left="4687" w:hanging="529"/>
      </w:pPr>
      <w:rPr>
        <w:rFonts w:hint="default"/>
        <w:lang w:val="en-US" w:eastAsia="zh-CN" w:bidi="ar-SA"/>
      </w:rPr>
    </w:lvl>
    <w:lvl w:ilvl="8">
      <w:start w:val="0"/>
      <w:numFmt w:val="bullet"/>
      <w:lvlText w:val="•"/>
      <w:lvlJc w:val="left"/>
      <w:pPr>
        <w:ind w:left="5257" w:hanging="529"/>
      </w:pPr>
      <w:rPr>
        <w:rFonts w:hint="default"/>
        <w:lang w:val="en-US" w:eastAsia="zh-CN" w:bidi="ar-SA"/>
      </w:rPr>
    </w:lvl>
  </w:abstractNum>
  <w:abstractNum w:abstractNumId="22">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69" w:hanging="529"/>
      </w:pPr>
      <w:rPr>
        <w:rFonts w:hint="default"/>
        <w:lang w:val="en-US" w:eastAsia="zh-CN" w:bidi="ar-SA"/>
      </w:rPr>
    </w:lvl>
    <w:lvl w:ilvl="2">
      <w:start w:val="0"/>
      <w:numFmt w:val="bullet"/>
      <w:lvlText w:val="•"/>
      <w:lvlJc w:val="left"/>
      <w:pPr>
        <w:ind w:left="1839" w:hanging="529"/>
      </w:pPr>
      <w:rPr>
        <w:rFonts w:hint="default"/>
        <w:lang w:val="en-US" w:eastAsia="zh-CN" w:bidi="ar-SA"/>
      </w:rPr>
    </w:lvl>
    <w:lvl w:ilvl="3">
      <w:start w:val="0"/>
      <w:numFmt w:val="bullet"/>
      <w:lvlText w:val="•"/>
      <w:lvlJc w:val="left"/>
      <w:pPr>
        <w:ind w:left="2409" w:hanging="529"/>
      </w:pPr>
      <w:rPr>
        <w:rFonts w:hint="default"/>
        <w:lang w:val="en-US" w:eastAsia="zh-CN" w:bidi="ar-SA"/>
      </w:rPr>
    </w:lvl>
    <w:lvl w:ilvl="4">
      <w:start w:val="0"/>
      <w:numFmt w:val="bullet"/>
      <w:lvlText w:val="•"/>
      <w:lvlJc w:val="left"/>
      <w:pPr>
        <w:ind w:left="2978" w:hanging="529"/>
      </w:pPr>
      <w:rPr>
        <w:rFonts w:hint="default"/>
        <w:lang w:val="en-US" w:eastAsia="zh-CN" w:bidi="ar-SA"/>
      </w:rPr>
    </w:lvl>
    <w:lvl w:ilvl="5">
      <w:start w:val="0"/>
      <w:numFmt w:val="bullet"/>
      <w:lvlText w:val="•"/>
      <w:lvlJc w:val="left"/>
      <w:pPr>
        <w:ind w:left="3548" w:hanging="529"/>
      </w:pPr>
      <w:rPr>
        <w:rFonts w:hint="default"/>
        <w:lang w:val="en-US" w:eastAsia="zh-CN" w:bidi="ar-SA"/>
      </w:rPr>
    </w:lvl>
    <w:lvl w:ilvl="6">
      <w:start w:val="0"/>
      <w:numFmt w:val="bullet"/>
      <w:lvlText w:val="•"/>
      <w:lvlJc w:val="left"/>
      <w:pPr>
        <w:ind w:left="4118" w:hanging="529"/>
      </w:pPr>
      <w:rPr>
        <w:rFonts w:hint="default"/>
        <w:lang w:val="en-US" w:eastAsia="zh-CN" w:bidi="ar-SA"/>
      </w:rPr>
    </w:lvl>
    <w:lvl w:ilvl="7">
      <w:start w:val="0"/>
      <w:numFmt w:val="bullet"/>
      <w:lvlText w:val="•"/>
      <w:lvlJc w:val="left"/>
      <w:pPr>
        <w:ind w:left="4687" w:hanging="529"/>
      </w:pPr>
      <w:rPr>
        <w:rFonts w:hint="default"/>
        <w:lang w:val="en-US" w:eastAsia="zh-CN" w:bidi="ar-SA"/>
      </w:rPr>
    </w:lvl>
    <w:lvl w:ilvl="8">
      <w:start w:val="0"/>
      <w:numFmt w:val="bullet"/>
      <w:lvlText w:val="•"/>
      <w:lvlJc w:val="left"/>
      <w:pPr>
        <w:ind w:left="5257" w:hanging="529"/>
      </w:pPr>
      <w:rPr>
        <w:rFonts w:hint="default"/>
        <w:lang w:val="en-US" w:eastAsia="zh-CN" w:bidi="ar-SA"/>
      </w:rPr>
    </w:lvl>
  </w:abstractNum>
  <w:abstractNum w:abstractNumId="21">
    <w:multiLevelType w:val="hybridMultilevel"/>
    <w:lvl w:ilvl="0">
      <w:start w:val="9"/>
      <w:numFmt w:val="decimal"/>
      <w:lvlText w:val="%1"/>
      <w:lvlJc w:val="left"/>
      <w:pPr>
        <w:ind w:left="1341" w:hanging="1100"/>
        <w:jc w:val="left"/>
      </w:pPr>
      <w:rPr>
        <w:rFonts w:hint="default"/>
        <w:lang w:val="en-US" w:eastAsia="zh-CN" w:bidi="ar-SA"/>
      </w:rPr>
    </w:lvl>
    <w:lvl w:ilvl="1">
      <w:start w:val="15"/>
      <w:numFmt w:val="decimal"/>
      <w:lvlText w:val="%1.%2"/>
      <w:lvlJc w:val="left"/>
      <w:pPr>
        <w:ind w:left="1341" w:hanging="110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0"/>
      <w:numFmt w:val="bullet"/>
      <w:lvlText w:val="•"/>
      <w:lvlJc w:val="left"/>
      <w:pPr>
        <w:ind w:left="3017" w:hanging="1100"/>
      </w:pPr>
      <w:rPr>
        <w:rFonts w:hint="default"/>
        <w:lang w:val="en-US" w:eastAsia="zh-CN" w:bidi="ar-SA"/>
      </w:rPr>
    </w:lvl>
    <w:lvl w:ilvl="3">
      <w:start w:val="0"/>
      <w:numFmt w:val="bullet"/>
      <w:lvlText w:val="•"/>
      <w:lvlJc w:val="left"/>
      <w:pPr>
        <w:ind w:left="3855" w:hanging="1100"/>
      </w:pPr>
      <w:rPr>
        <w:rFonts w:hint="default"/>
        <w:lang w:val="en-US" w:eastAsia="zh-CN" w:bidi="ar-SA"/>
      </w:rPr>
    </w:lvl>
    <w:lvl w:ilvl="4">
      <w:start w:val="0"/>
      <w:numFmt w:val="bullet"/>
      <w:lvlText w:val="•"/>
      <w:lvlJc w:val="left"/>
      <w:pPr>
        <w:ind w:left="4694" w:hanging="1100"/>
      </w:pPr>
      <w:rPr>
        <w:rFonts w:hint="default"/>
        <w:lang w:val="en-US" w:eastAsia="zh-CN" w:bidi="ar-SA"/>
      </w:rPr>
    </w:lvl>
    <w:lvl w:ilvl="5">
      <w:start w:val="0"/>
      <w:numFmt w:val="bullet"/>
      <w:lvlText w:val="•"/>
      <w:lvlJc w:val="left"/>
      <w:pPr>
        <w:ind w:left="5533" w:hanging="1100"/>
      </w:pPr>
      <w:rPr>
        <w:rFonts w:hint="default"/>
        <w:lang w:val="en-US" w:eastAsia="zh-CN" w:bidi="ar-SA"/>
      </w:rPr>
    </w:lvl>
    <w:lvl w:ilvl="6">
      <w:start w:val="0"/>
      <w:numFmt w:val="bullet"/>
      <w:lvlText w:val="•"/>
      <w:lvlJc w:val="left"/>
      <w:pPr>
        <w:ind w:left="6371" w:hanging="1100"/>
      </w:pPr>
      <w:rPr>
        <w:rFonts w:hint="default"/>
        <w:lang w:val="en-US" w:eastAsia="zh-CN" w:bidi="ar-SA"/>
      </w:rPr>
    </w:lvl>
    <w:lvl w:ilvl="7">
      <w:start w:val="0"/>
      <w:numFmt w:val="bullet"/>
      <w:lvlText w:val="•"/>
      <w:lvlJc w:val="left"/>
      <w:pPr>
        <w:ind w:left="7210" w:hanging="1100"/>
      </w:pPr>
      <w:rPr>
        <w:rFonts w:hint="default"/>
        <w:lang w:val="en-US" w:eastAsia="zh-CN" w:bidi="ar-SA"/>
      </w:rPr>
    </w:lvl>
    <w:lvl w:ilvl="8">
      <w:start w:val="0"/>
      <w:numFmt w:val="bullet"/>
      <w:lvlText w:val="•"/>
      <w:lvlJc w:val="left"/>
      <w:pPr>
        <w:ind w:left="8049" w:hanging="1100"/>
      </w:pPr>
      <w:rPr>
        <w:rFonts w:hint="default"/>
        <w:lang w:val="en-US" w:eastAsia="zh-CN" w:bidi="ar-SA"/>
      </w:rPr>
    </w:lvl>
  </w:abstractNum>
  <w:abstractNum w:abstractNumId="20">
    <w:multiLevelType w:val="hybridMultilevel"/>
    <w:lvl w:ilvl="0">
      <w:start w:val="1"/>
      <w:numFmt w:val="decimal"/>
      <w:lvlText w:val="（%1）"/>
      <w:lvlJc w:val="left"/>
      <w:pPr>
        <w:ind w:left="71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81" w:hanging="529"/>
      </w:pPr>
      <w:rPr>
        <w:rFonts w:hint="default"/>
        <w:lang w:val="en-US" w:eastAsia="zh-CN" w:bidi="ar-SA"/>
      </w:rPr>
    </w:lvl>
    <w:lvl w:ilvl="2">
      <w:start w:val="0"/>
      <w:numFmt w:val="bullet"/>
      <w:lvlText w:val="•"/>
      <w:lvlJc w:val="left"/>
      <w:pPr>
        <w:ind w:left="1842" w:hanging="529"/>
      </w:pPr>
      <w:rPr>
        <w:rFonts w:hint="default"/>
        <w:lang w:val="en-US" w:eastAsia="zh-CN" w:bidi="ar-SA"/>
      </w:rPr>
    </w:lvl>
    <w:lvl w:ilvl="3">
      <w:start w:val="0"/>
      <w:numFmt w:val="bullet"/>
      <w:lvlText w:val="•"/>
      <w:lvlJc w:val="left"/>
      <w:pPr>
        <w:ind w:left="2403" w:hanging="529"/>
      </w:pPr>
      <w:rPr>
        <w:rFonts w:hint="default"/>
        <w:lang w:val="en-US" w:eastAsia="zh-CN" w:bidi="ar-SA"/>
      </w:rPr>
    </w:lvl>
    <w:lvl w:ilvl="4">
      <w:start w:val="0"/>
      <w:numFmt w:val="bullet"/>
      <w:lvlText w:val="•"/>
      <w:lvlJc w:val="left"/>
      <w:pPr>
        <w:ind w:left="2964" w:hanging="529"/>
      </w:pPr>
      <w:rPr>
        <w:rFonts w:hint="default"/>
        <w:lang w:val="en-US" w:eastAsia="zh-CN" w:bidi="ar-SA"/>
      </w:rPr>
    </w:lvl>
    <w:lvl w:ilvl="5">
      <w:start w:val="0"/>
      <w:numFmt w:val="bullet"/>
      <w:lvlText w:val="•"/>
      <w:lvlJc w:val="left"/>
      <w:pPr>
        <w:ind w:left="3525" w:hanging="529"/>
      </w:pPr>
      <w:rPr>
        <w:rFonts w:hint="default"/>
        <w:lang w:val="en-US" w:eastAsia="zh-CN" w:bidi="ar-SA"/>
      </w:rPr>
    </w:lvl>
    <w:lvl w:ilvl="6">
      <w:start w:val="0"/>
      <w:numFmt w:val="bullet"/>
      <w:lvlText w:val="•"/>
      <w:lvlJc w:val="left"/>
      <w:pPr>
        <w:ind w:left="4086" w:hanging="529"/>
      </w:pPr>
      <w:rPr>
        <w:rFonts w:hint="default"/>
        <w:lang w:val="en-US" w:eastAsia="zh-CN" w:bidi="ar-SA"/>
      </w:rPr>
    </w:lvl>
    <w:lvl w:ilvl="7">
      <w:start w:val="0"/>
      <w:numFmt w:val="bullet"/>
      <w:lvlText w:val="•"/>
      <w:lvlJc w:val="left"/>
      <w:pPr>
        <w:ind w:left="4647" w:hanging="529"/>
      </w:pPr>
      <w:rPr>
        <w:rFonts w:hint="default"/>
        <w:lang w:val="en-US" w:eastAsia="zh-CN" w:bidi="ar-SA"/>
      </w:rPr>
    </w:lvl>
    <w:lvl w:ilvl="8">
      <w:start w:val="0"/>
      <w:numFmt w:val="bullet"/>
      <w:lvlText w:val="•"/>
      <w:lvlJc w:val="left"/>
      <w:pPr>
        <w:ind w:left="5208" w:hanging="529"/>
      </w:pPr>
      <w:rPr>
        <w:rFonts w:hint="default"/>
        <w:lang w:val="en-US" w:eastAsia="zh-CN" w:bidi="ar-SA"/>
      </w:rPr>
    </w:lvl>
  </w:abstractNum>
  <w:abstractNum w:abstractNumId="19">
    <w:multiLevelType w:val="hybridMultilevel"/>
    <w:lvl w:ilvl="0">
      <w:start w:val="1"/>
      <w:numFmt w:val="decimal"/>
      <w:lvlText w:val="（%1）"/>
      <w:lvlJc w:val="left"/>
      <w:pPr>
        <w:ind w:left="3710" w:hanging="536"/>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4320" w:hanging="536"/>
      </w:pPr>
      <w:rPr>
        <w:rFonts w:hint="default"/>
        <w:lang w:val="en-US" w:eastAsia="zh-CN" w:bidi="ar-SA"/>
      </w:rPr>
    </w:lvl>
    <w:lvl w:ilvl="2">
      <w:start w:val="0"/>
      <w:numFmt w:val="bullet"/>
      <w:lvlText w:val="•"/>
      <w:lvlJc w:val="left"/>
      <w:pPr>
        <w:ind w:left="4921" w:hanging="536"/>
      </w:pPr>
      <w:rPr>
        <w:rFonts w:hint="default"/>
        <w:lang w:val="en-US" w:eastAsia="zh-CN" w:bidi="ar-SA"/>
      </w:rPr>
    </w:lvl>
    <w:lvl w:ilvl="3">
      <w:start w:val="0"/>
      <w:numFmt w:val="bullet"/>
      <w:lvlText w:val="•"/>
      <w:lvlJc w:val="left"/>
      <w:pPr>
        <w:ind w:left="5521" w:hanging="536"/>
      </w:pPr>
      <w:rPr>
        <w:rFonts w:hint="default"/>
        <w:lang w:val="en-US" w:eastAsia="zh-CN" w:bidi="ar-SA"/>
      </w:rPr>
    </w:lvl>
    <w:lvl w:ilvl="4">
      <w:start w:val="0"/>
      <w:numFmt w:val="bullet"/>
      <w:lvlText w:val="•"/>
      <w:lvlJc w:val="left"/>
      <w:pPr>
        <w:ind w:left="6122" w:hanging="536"/>
      </w:pPr>
      <w:rPr>
        <w:rFonts w:hint="default"/>
        <w:lang w:val="en-US" w:eastAsia="zh-CN" w:bidi="ar-SA"/>
      </w:rPr>
    </w:lvl>
    <w:lvl w:ilvl="5">
      <w:start w:val="0"/>
      <w:numFmt w:val="bullet"/>
      <w:lvlText w:val="•"/>
      <w:lvlJc w:val="left"/>
      <w:pPr>
        <w:ind w:left="6723" w:hanging="536"/>
      </w:pPr>
      <w:rPr>
        <w:rFonts w:hint="default"/>
        <w:lang w:val="en-US" w:eastAsia="zh-CN" w:bidi="ar-SA"/>
      </w:rPr>
    </w:lvl>
    <w:lvl w:ilvl="6">
      <w:start w:val="0"/>
      <w:numFmt w:val="bullet"/>
      <w:lvlText w:val="•"/>
      <w:lvlJc w:val="left"/>
      <w:pPr>
        <w:ind w:left="7323" w:hanging="536"/>
      </w:pPr>
      <w:rPr>
        <w:rFonts w:hint="default"/>
        <w:lang w:val="en-US" w:eastAsia="zh-CN" w:bidi="ar-SA"/>
      </w:rPr>
    </w:lvl>
    <w:lvl w:ilvl="7">
      <w:start w:val="0"/>
      <w:numFmt w:val="bullet"/>
      <w:lvlText w:val="•"/>
      <w:lvlJc w:val="left"/>
      <w:pPr>
        <w:ind w:left="7924" w:hanging="536"/>
      </w:pPr>
      <w:rPr>
        <w:rFonts w:hint="default"/>
        <w:lang w:val="en-US" w:eastAsia="zh-CN" w:bidi="ar-SA"/>
      </w:rPr>
    </w:lvl>
    <w:lvl w:ilvl="8">
      <w:start w:val="0"/>
      <w:numFmt w:val="bullet"/>
      <w:lvlText w:val="•"/>
      <w:lvlJc w:val="left"/>
      <w:pPr>
        <w:ind w:left="8525" w:hanging="536"/>
      </w:pPr>
      <w:rPr>
        <w:rFonts w:hint="default"/>
        <w:lang w:val="en-US" w:eastAsia="zh-CN" w:bidi="ar-SA"/>
      </w:rPr>
    </w:lvl>
  </w:abstractNum>
  <w:abstractNum w:abstractNumId="18">
    <w:multiLevelType w:val="hybridMultilevel"/>
    <w:lvl w:ilvl="0">
      <w:start w:val="1"/>
      <w:numFmt w:val="decimal"/>
      <w:lvlText w:val="（%1）"/>
      <w:lvlJc w:val="left"/>
      <w:pPr>
        <w:ind w:left="371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20" w:hanging="529"/>
      </w:pPr>
      <w:rPr>
        <w:rFonts w:hint="default"/>
        <w:lang w:val="en-US" w:eastAsia="zh-CN" w:bidi="ar-SA"/>
      </w:rPr>
    </w:lvl>
    <w:lvl w:ilvl="2">
      <w:start w:val="0"/>
      <w:numFmt w:val="bullet"/>
      <w:lvlText w:val="•"/>
      <w:lvlJc w:val="left"/>
      <w:pPr>
        <w:ind w:left="4921" w:hanging="529"/>
      </w:pPr>
      <w:rPr>
        <w:rFonts w:hint="default"/>
        <w:lang w:val="en-US" w:eastAsia="zh-CN" w:bidi="ar-SA"/>
      </w:rPr>
    </w:lvl>
    <w:lvl w:ilvl="3">
      <w:start w:val="0"/>
      <w:numFmt w:val="bullet"/>
      <w:lvlText w:val="•"/>
      <w:lvlJc w:val="left"/>
      <w:pPr>
        <w:ind w:left="5521" w:hanging="529"/>
      </w:pPr>
      <w:rPr>
        <w:rFonts w:hint="default"/>
        <w:lang w:val="en-US" w:eastAsia="zh-CN" w:bidi="ar-SA"/>
      </w:rPr>
    </w:lvl>
    <w:lvl w:ilvl="4">
      <w:start w:val="0"/>
      <w:numFmt w:val="bullet"/>
      <w:lvlText w:val="•"/>
      <w:lvlJc w:val="left"/>
      <w:pPr>
        <w:ind w:left="6122" w:hanging="529"/>
      </w:pPr>
      <w:rPr>
        <w:rFonts w:hint="default"/>
        <w:lang w:val="en-US" w:eastAsia="zh-CN" w:bidi="ar-SA"/>
      </w:rPr>
    </w:lvl>
    <w:lvl w:ilvl="5">
      <w:start w:val="0"/>
      <w:numFmt w:val="bullet"/>
      <w:lvlText w:val="•"/>
      <w:lvlJc w:val="left"/>
      <w:pPr>
        <w:ind w:left="6723" w:hanging="529"/>
      </w:pPr>
      <w:rPr>
        <w:rFonts w:hint="default"/>
        <w:lang w:val="en-US" w:eastAsia="zh-CN" w:bidi="ar-SA"/>
      </w:rPr>
    </w:lvl>
    <w:lvl w:ilvl="6">
      <w:start w:val="0"/>
      <w:numFmt w:val="bullet"/>
      <w:lvlText w:val="•"/>
      <w:lvlJc w:val="left"/>
      <w:pPr>
        <w:ind w:left="7323" w:hanging="529"/>
      </w:pPr>
      <w:rPr>
        <w:rFonts w:hint="default"/>
        <w:lang w:val="en-US" w:eastAsia="zh-CN" w:bidi="ar-SA"/>
      </w:rPr>
    </w:lvl>
    <w:lvl w:ilvl="7">
      <w:start w:val="0"/>
      <w:numFmt w:val="bullet"/>
      <w:lvlText w:val="•"/>
      <w:lvlJc w:val="left"/>
      <w:pPr>
        <w:ind w:left="7924" w:hanging="529"/>
      </w:pPr>
      <w:rPr>
        <w:rFonts w:hint="default"/>
        <w:lang w:val="en-US" w:eastAsia="zh-CN" w:bidi="ar-SA"/>
      </w:rPr>
    </w:lvl>
    <w:lvl w:ilvl="8">
      <w:start w:val="0"/>
      <w:numFmt w:val="bullet"/>
      <w:lvlText w:val="•"/>
      <w:lvlJc w:val="left"/>
      <w:pPr>
        <w:ind w:left="8525" w:hanging="529"/>
      </w:pPr>
      <w:rPr>
        <w:rFonts w:hint="default"/>
        <w:lang w:val="en-US" w:eastAsia="zh-CN" w:bidi="ar-SA"/>
      </w:rPr>
    </w:lvl>
  </w:abstractNum>
  <w:abstractNum w:abstractNumId="17">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62" w:hanging="529"/>
      </w:pPr>
      <w:rPr>
        <w:rFonts w:hint="default"/>
        <w:lang w:val="en-US" w:eastAsia="zh-CN" w:bidi="ar-SA"/>
      </w:rPr>
    </w:lvl>
    <w:lvl w:ilvl="2">
      <w:start w:val="0"/>
      <w:numFmt w:val="bullet"/>
      <w:lvlText w:val="•"/>
      <w:lvlJc w:val="left"/>
      <w:pPr>
        <w:ind w:left="1964" w:hanging="529"/>
      </w:pPr>
      <w:rPr>
        <w:rFonts w:hint="default"/>
        <w:lang w:val="en-US" w:eastAsia="zh-CN" w:bidi="ar-SA"/>
      </w:rPr>
    </w:lvl>
    <w:lvl w:ilvl="3">
      <w:start w:val="0"/>
      <w:numFmt w:val="bullet"/>
      <w:lvlText w:val="•"/>
      <w:lvlJc w:val="left"/>
      <w:pPr>
        <w:ind w:left="2567" w:hanging="529"/>
      </w:pPr>
      <w:rPr>
        <w:rFonts w:hint="default"/>
        <w:lang w:val="en-US" w:eastAsia="zh-CN" w:bidi="ar-SA"/>
      </w:rPr>
    </w:lvl>
    <w:lvl w:ilvl="4">
      <w:start w:val="0"/>
      <w:numFmt w:val="bullet"/>
      <w:lvlText w:val="•"/>
      <w:lvlJc w:val="left"/>
      <w:pPr>
        <w:ind w:left="3169" w:hanging="529"/>
      </w:pPr>
      <w:rPr>
        <w:rFonts w:hint="default"/>
        <w:lang w:val="en-US" w:eastAsia="zh-CN" w:bidi="ar-SA"/>
      </w:rPr>
    </w:lvl>
    <w:lvl w:ilvl="5">
      <w:start w:val="0"/>
      <w:numFmt w:val="bullet"/>
      <w:lvlText w:val="•"/>
      <w:lvlJc w:val="left"/>
      <w:pPr>
        <w:ind w:left="3771" w:hanging="529"/>
      </w:pPr>
      <w:rPr>
        <w:rFonts w:hint="default"/>
        <w:lang w:val="en-US" w:eastAsia="zh-CN" w:bidi="ar-SA"/>
      </w:rPr>
    </w:lvl>
    <w:lvl w:ilvl="6">
      <w:start w:val="0"/>
      <w:numFmt w:val="bullet"/>
      <w:lvlText w:val="•"/>
      <w:lvlJc w:val="left"/>
      <w:pPr>
        <w:ind w:left="4374" w:hanging="529"/>
      </w:pPr>
      <w:rPr>
        <w:rFonts w:hint="default"/>
        <w:lang w:val="en-US" w:eastAsia="zh-CN" w:bidi="ar-SA"/>
      </w:rPr>
    </w:lvl>
    <w:lvl w:ilvl="7">
      <w:start w:val="0"/>
      <w:numFmt w:val="bullet"/>
      <w:lvlText w:val="•"/>
      <w:lvlJc w:val="left"/>
      <w:pPr>
        <w:ind w:left="4976" w:hanging="529"/>
      </w:pPr>
      <w:rPr>
        <w:rFonts w:hint="default"/>
        <w:lang w:val="en-US" w:eastAsia="zh-CN" w:bidi="ar-SA"/>
      </w:rPr>
    </w:lvl>
    <w:lvl w:ilvl="8">
      <w:start w:val="0"/>
      <w:numFmt w:val="bullet"/>
      <w:lvlText w:val="•"/>
      <w:lvlJc w:val="left"/>
      <w:pPr>
        <w:ind w:left="5578" w:hanging="529"/>
      </w:pPr>
      <w:rPr>
        <w:rFonts w:hint="default"/>
        <w:lang w:val="en-US" w:eastAsia="zh-CN" w:bidi="ar-SA"/>
      </w:rPr>
    </w:lvl>
  </w:abstractNum>
  <w:abstractNum w:abstractNumId="16">
    <w:multiLevelType w:val="hybridMultilevel"/>
    <w:lvl w:ilvl="0">
      <w:start w:val="8"/>
      <w:numFmt w:val="decimal"/>
      <w:lvlText w:val="%1"/>
      <w:lvlJc w:val="left"/>
      <w:pPr>
        <w:ind w:left="1341" w:hanging="1100"/>
        <w:jc w:val="left"/>
      </w:pPr>
      <w:rPr>
        <w:rFonts w:hint="default"/>
        <w:lang w:val="en-US" w:eastAsia="zh-CN" w:bidi="ar-SA"/>
      </w:rPr>
    </w:lvl>
    <w:lvl w:ilvl="1">
      <w:start w:val="12"/>
      <w:numFmt w:val="decimal"/>
      <w:lvlText w:val="%1.%2"/>
      <w:lvlJc w:val="left"/>
      <w:pPr>
        <w:ind w:left="1341" w:hanging="110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0"/>
      <w:numFmt w:val="bullet"/>
      <w:lvlText w:val="•"/>
      <w:lvlJc w:val="left"/>
      <w:pPr>
        <w:ind w:left="1643" w:hanging="1100"/>
      </w:pPr>
      <w:rPr>
        <w:rFonts w:hint="default"/>
        <w:lang w:val="en-US" w:eastAsia="zh-CN" w:bidi="ar-SA"/>
      </w:rPr>
    </w:lvl>
    <w:lvl w:ilvl="3">
      <w:start w:val="0"/>
      <w:numFmt w:val="bullet"/>
      <w:lvlText w:val="•"/>
      <w:lvlJc w:val="left"/>
      <w:pPr>
        <w:ind w:left="1795" w:hanging="1100"/>
      </w:pPr>
      <w:rPr>
        <w:rFonts w:hint="default"/>
        <w:lang w:val="en-US" w:eastAsia="zh-CN" w:bidi="ar-SA"/>
      </w:rPr>
    </w:lvl>
    <w:lvl w:ilvl="4">
      <w:start w:val="0"/>
      <w:numFmt w:val="bullet"/>
      <w:lvlText w:val="•"/>
      <w:lvlJc w:val="left"/>
      <w:pPr>
        <w:ind w:left="1947" w:hanging="1100"/>
      </w:pPr>
      <w:rPr>
        <w:rFonts w:hint="default"/>
        <w:lang w:val="en-US" w:eastAsia="zh-CN" w:bidi="ar-SA"/>
      </w:rPr>
    </w:lvl>
    <w:lvl w:ilvl="5">
      <w:start w:val="0"/>
      <w:numFmt w:val="bullet"/>
      <w:lvlText w:val="•"/>
      <w:lvlJc w:val="left"/>
      <w:pPr>
        <w:ind w:left="2099" w:hanging="1100"/>
      </w:pPr>
      <w:rPr>
        <w:rFonts w:hint="default"/>
        <w:lang w:val="en-US" w:eastAsia="zh-CN" w:bidi="ar-SA"/>
      </w:rPr>
    </w:lvl>
    <w:lvl w:ilvl="6">
      <w:start w:val="0"/>
      <w:numFmt w:val="bullet"/>
      <w:lvlText w:val="•"/>
      <w:lvlJc w:val="left"/>
      <w:pPr>
        <w:ind w:left="2251" w:hanging="1100"/>
      </w:pPr>
      <w:rPr>
        <w:rFonts w:hint="default"/>
        <w:lang w:val="en-US" w:eastAsia="zh-CN" w:bidi="ar-SA"/>
      </w:rPr>
    </w:lvl>
    <w:lvl w:ilvl="7">
      <w:start w:val="0"/>
      <w:numFmt w:val="bullet"/>
      <w:lvlText w:val="•"/>
      <w:lvlJc w:val="left"/>
      <w:pPr>
        <w:ind w:left="2403" w:hanging="1100"/>
      </w:pPr>
      <w:rPr>
        <w:rFonts w:hint="default"/>
        <w:lang w:val="en-US" w:eastAsia="zh-CN" w:bidi="ar-SA"/>
      </w:rPr>
    </w:lvl>
    <w:lvl w:ilvl="8">
      <w:start w:val="0"/>
      <w:numFmt w:val="bullet"/>
      <w:lvlText w:val="•"/>
      <w:lvlJc w:val="left"/>
      <w:pPr>
        <w:ind w:left="2555" w:hanging="1100"/>
      </w:pPr>
      <w:rPr>
        <w:rFonts w:hint="default"/>
        <w:lang w:val="en-US" w:eastAsia="zh-CN" w:bidi="ar-SA"/>
      </w:rPr>
    </w:lvl>
  </w:abstractNum>
  <w:abstractNum w:abstractNumId="15">
    <w:multiLevelType w:val="hybridMultilevel"/>
    <w:lvl w:ilvl="0">
      <w:start w:val="1"/>
      <w:numFmt w:val="decimal"/>
      <w:lvlText w:val="（%1）"/>
      <w:lvlJc w:val="left"/>
      <w:pPr>
        <w:ind w:left="71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81" w:hanging="529"/>
      </w:pPr>
      <w:rPr>
        <w:rFonts w:hint="default"/>
        <w:lang w:val="en-US" w:eastAsia="zh-CN" w:bidi="ar-SA"/>
      </w:rPr>
    </w:lvl>
    <w:lvl w:ilvl="2">
      <w:start w:val="0"/>
      <w:numFmt w:val="bullet"/>
      <w:lvlText w:val="•"/>
      <w:lvlJc w:val="left"/>
      <w:pPr>
        <w:ind w:left="1842" w:hanging="529"/>
      </w:pPr>
      <w:rPr>
        <w:rFonts w:hint="default"/>
        <w:lang w:val="en-US" w:eastAsia="zh-CN" w:bidi="ar-SA"/>
      </w:rPr>
    </w:lvl>
    <w:lvl w:ilvl="3">
      <w:start w:val="0"/>
      <w:numFmt w:val="bullet"/>
      <w:lvlText w:val="•"/>
      <w:lvlJc w:val="left"/>
      <w:pPr>
        <w:ind w:left="2403" w:hanging="529"/>
      </w:pPr>
      <w:rPr>
        <w:rFonts w:hint="default"/>
        <w:lang w:val="en-US" w:eastAsia="zh-CN" w:bidi="ar-SA"/>
      </w:rPr>
    </w:lvl>
    <w:lvl w:ilvl="4">
      <w:start w:val="0"/>
      <w:numFmt w:val="bullet"/>
      <w:lvlText w:val="•"/>
      <w:lvlJc w:val="left"/>
      <w:pPr>
        <w:ind w:left="2964" w:hanging="529"/>
      </w:pPr>
      <w:rPr>
        <w:rFonts w:hint="default"/>
        <w:lang w:val="en-US" w:eastAsia="zh-CN" w:bidi="ar-SA"/>
      </w:rPr>
    </w:lvl>
    <w:lvl w:ilvl="5">
      <w:start w:val="0"/>
      <w:numFmt w:val="bullet"/>
      <w:lvlText w:val="•"/>
      <w:lvlJc w:val="left"/>
      <w:pPr>
        <w:ind w:left="3525" w:hanging="529"/>
      </w:pPr>
      <w:rPr>
        <w:rFonts w:hint="default"/>
        <w:lang w:val="en-US" w:eastAsia="zh-CN" w:bidi="ar-SA"/>
      </w:rPr>
    </w:lvl>
    <w:lvl w:ilvl="6">
      <w:start w:val="0"/>
      <w:numFmt w:val="bullet"/>
      <w:lvlText w:val="•"/>
      <w:lvlJc w:val="left"/>
      <w:pPr>
        <w:ind w:left="4086" w:hanging="529"/>
      </w:pPr>
      <w:rPr>
        <w:rFonts w:hint="default"/>
        <w:lang w:val="en-US" w:eastAsia="zh-CN" w:bidi="ar-SA"/>
      </w:rPr>
    </w:lvl>
    <w:lvl w:ilvl="7">
      <w:start w:val="0"/>
      <w:numFmt w:val="bullet"/>
      <w:lvlText w:val="•"/>
      <w:lvlJc w:val="left"/>
      <w:pPr>
        <w:ind w:left="4647" w:hanging="529"/>
      </w:pPr>
      <w:rPr>
        <w:rFonts w:hint="default"/>
        <w:lang w:val="en-US" w:eastAsia="zh-CN" w:bidi="ar-SA"/>
      </w:rPr>
    </w:lvl>
    <w:lvl w:ilvl="8">
      <w:start w:val="0"/>
      <w:numFmt w:val="bullet"/>
      <w:lvlText w:val="•"/>
      <w:lvlJc w:val="left"/>
      <w:pPr>
        <w:ind w:left="5208" w:hanging="529"/>
      </w:pPr>
      <w:rPr>
        <w:rFonts w:hint="default"/>
        <w:lang w:val="en-US" w:eastAsia="zh-CN" w:bidi="ar-SA"/>
      </w:rPr>
    </w:lvl>
  </w:abstractNum>
  <w:abstractNum w:abstractNumId="14">
    <w:multiLevelType w:val="hybridMultilevel"/>
    <w:lvl w:ilvl="0">
      <w:start w:val="1"/>
      <w:numFmt w:val="decimal"/>
      <w:lvlText w:val="（%1）"/>
      <w:lvlJc w:val="left"/>
      <w:pPr>
        <w:ind w:left="70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63" w:hanging="529"/>
      </w:pPr>
      <w:rPr>
        <w:rFonts w:hint="default"/>
        <w:lang w:val="en-US" w:eastAsia="zh-CN" w:bidi="ar-SA"/>
      </w:rPr>
    </w:lvl>
    <w:lvl w:ilvl="2">
      <w:start w:val="0"/>
      <w:numFmt w:val="bullet"/>
      <w:lvlText w:val="•"/>
      <w:lvlJc w:val="left"/>
      <w:pPr>
        <w:ind w:left="1826" w:hanging="529"/>
      </w:pPr>
      <w:rPr>
        <w:rFonts w:hint="default"/>
        <w:lang w:val="en-US" w:eastAsia="zh-CN" w:bidi="ar-SA"/>
      </w:rPr>
    </w:lvl>
    <w:lvl w:ilvl="3">
      <w:start w:val="0"/>
      <w:numFmt w:val="bullet"/>
      <w:lvlText w:val="•"/>
      <w:lvlJc w:val="left"/>
      <w:pPr>
        <w:ind w:left="2389" w:hanging="529"/>
      </w:pPr>
      <w:rPr>
        <w:rFonts w:hint="default"/>
        <w:lang w:val="en-US" w:eastAsia="zh-CN" w:bidi="ar-SA"/>
      </w:rPr>
    </w:lvl>
    <w:lvl w:ilvl="4">
      <w:start w:val="0"/>
      <w:numFmt w:val="bullet"/>
      <w:lvlText w:val="•"/>
      <w:lvlJc w:val="left"/>
      <w:pPr>
        <w:ind w:left="2952" w:hanging="529"/>
      </w:pPr>
      <w:rPr>
        <w:rFonts w:hint="default"/>
        <w:lang w:val="en-US" w:eastAsia="zh-CN" w:bidi="ar-SA"/>
      </w:rPr>
    </w:lvl>
    <w:lvl w:ilvl="5">
      <w:start w:val="0"/>
      <w:numFmt w:val="bullet"/>
      <w:lvlText w:val="•"/>
      <w:lvlJc w:val="left"/>
      <w:pPr>
        <w:ind w:left="3515" w:hanging="529"/>
      </w:pPr>
      <w:rPr>
        <w:rFonts w:hint="default"/>
        <w:lang w:val="en-US" w:eastAsia="zh-CN" w:bidi="ar-SA"/>
      </w:rPr>
    </w:lvl>
    <w:lvl w:ilvl="6">
      <w:start w:val="0"/>
      <w:numFmt w:val="bullet"/>
      <w:lvlText w:val="•"/>
      <w:lvlJc w:val="left"/>
      <w:pPr>
        <w:ind w:left="4078" w:hanging="529"/>
      </w:pPr>
      <w:rPr>
        <w:rFonts w:hint="default"/>
        <w:lang w:val="en-US" w:eastAsia="zh-CN" w:bidi="ar-SA"/>
      </w:rPr>
    </w:lvl>
    <w:lvl w:ilvl="7">
      <w:start w:val="0"/>
      <w:numFmt w:val="bullet"/>
      <w:lvlText w:val="•"/>
      <w:lvlJc w:val="left"/>
      <w:pPr>
        <w:ind w:left="4641" w:hanging="529"/>
      </w:pPr>
      <w:rPr>
        <w:rFonts w:hint="default"/>
        <w:lang w:val="en-US" w:eastAsia="zh-CN" w:bidi="ar-SA"/>
      </w:rPr>
    </w:lvl>
    <w:lvl w:ilvl="8">
      <w:start w:val="0"/>
      <w:numFmt w:val="bullet"/>
      <w:lvlText w:val="•"/>
      <w:lvlJc w:val="left"/>
      <w:pPr>
        <w:ind w:left="5204" w:hanging="529"/>
      </w:pPr>
      <w:rPr>
        <w:rFonts w:hint="default"/>
        <w:lang w:val="en-US" w:eastAsia="zh-CN" w:bidi="ar-SA"/>
      </w:rPr>
    </w:lvl>
  </w:abstractNum>
  <w:abstractNum w:abstractNumId="13">
    <w:multiLevelType w:val="hybridMultilevel"/>
    <w:lvl w:ilvl="0">
      <w:start w:val="1"/>
      <w:numFmt w:val="decimal"/>
      <w:lvlText w:val="（%1）"/>
      <w:lvlJc w:val="left"/>
      <w:pPr>
        <w:ind w:left="77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0" w:hanging="529"/>
      </w:pPr>
      <w:rPr>
        <w:rFonts w:hint="default"/>
        <w:lang w:val="en-US" w:eastAsia="zh-CN" w:bidi="ar-SA"/>
      </w:rPr>
    </w:lvl>
    <w:lvl w:ilvl="2">
      <w:start w:val="0"/>
      <w:numFmt w:val="bullet"/>
      <w:lvlText w:val="•"/>
      <w:lvlJc w:val="left"/>
      <w:pPr>
        <w:ind w:left="1980" w:hanging="529"/>
      </w:pPr>
      <w:rPr>
        <w:rFonts w:hint="default"/>
        <w:lang w:val="en-US" w:eastAsia="zh-CN" w:bidi="ar-SA"/>
      </w:rPr>
    </w:lvl>
    <w:lvl w:ilvl="3">
      <w:start w:val="0"/>
      <w:numFmt w:val="bullet"/>
      <w:lvlText w:val="•"/>
      <w:lvlJc w:val="left"/>
      <w:pPr>
        <w:ind w:left="2581" w:hanging="529"/>
      </w:pPr>
      <w:rPr>
        <w:rFonts w:hint="default"/>
        <w:lang w:val="en-US" w:eastAsia="zh-CN" w:bidi="ar-SA"/>
      </w:rPr>
    </w:lvl>
    <w:lvl w:ilvl="4">
      <w:start w:val="0"/>
      <w:numFmt w:val="bullet"/>
      <w:lvlText w:val="•"/>
      <w:lvlJc w:val="left"/>
      <w:pPr>
        <w:ind w:left="3181" w:hanging="529"/>
      </w:pPr>
      <w:rPr>
        <w:rFonts w:hint="default"/>
        <w:lang w:val="en-US" w:eastAsia="zh-CN" w:bidi="ar-SA"/>
      </w:rPr>
    </w:lvl>
    <w:lvl w:ilvl="5">
      <w:start w:val="0"/>
      <w:numFmt w:val="bullet"/>
      <w:lvlText w:val="•"/>
      <w:lvlJc w:val="left"/>
      <w:pPr>
        <w:ind w:left="3781" w:hanging="529"/>
      </w:pPr>
      <w:rPr>
        <w:rFonts w:hint="default"/>
        <w:lang w:val="en-US" w:eastAsia="zh-CN" w:bidi="ar-SA"/>
      </w:rPr>
    </w:lvl>
    <w:lvl w:ilvl="6">
      <w:start w:val="0"/>
      <w:numFmt w:val="bullet"/>
      <w:lvlText w:val="•"/>
      <w:lvlJc w:val="left"/>
      <w:pPr>
        <w:ind w:left="4382" w:hanging="529"/>
      </w:pPr>
      <w:rPr>
        <w:rFonts w:hint="default"/>
        <w:lang w:val="en-US" w:eastAsia="zh-CN" w:bidi="ar-SA"/>
      </w:rPr>
    </w:lvl>
    <w:lvl w:ilvl="7">
      <w:start w:val="0"/>
      <w:numFmt w:val="bullet"/>
      <w:lvlText w:val="•"/>
      <w:lvlJc w:val="left"/>
      <w:pPr>
        <w:ind w:left="4982" w:hanging="529"/>
      </w:pPr>
      <w:rPr>
        <w:rFonts w:hint="default"/>
        <w:lang w:val="en-US" w:eastAsia="zh-CN" w:bidi="ar-SA"/>
      </w:rPr>
    </w:lvl>
    <w:lvl w:ilvl="8">
      <w:start w:val="0"/>
      <w:numFmt w:val="bullet"/>
      <w:lvlText w:val="•"/>
      <w:lvlJc w:val="left"/>
      <w:pPr>
        <w:ind w:left="5582" w:hanging="529"/>
      </w:pPr>
      <w:rPr>
        <w:rFonts w:hint="default"/>
        <w:lang w:val="en-US" w:eastAsia="zh-CN" w:bidi="ar-SA"/>
      </w:rPr>
    </w:lvl>
  </w:abstractNum>
  <w:abstractNum w:abstractNumId="12">
    <w:multiLevelType w:val="hybridMultilevel"/>
    <w:lvl w:ilvl="0">
      <w:start w:val="1"/>
      <w:numFmt w:val="decimal"/>
      <w:lvlText w:val="（%1）"/>
      <w:lvlJc w:val="left"/>
      <w:pPr>
        <w:ind w:left="77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0" w:hanging="529"/>
      </w:pPr>
      <w:rPr>
        <w:rFonts w:hint="default"/>
        <w:lang w:val="en-US" w:eastAsia="zh-CN" w:bidi="ar-SA"/>
      </w:rPr>
    </w:lvl>
    <w:lvl w:ilvl="2">
      <w:start w:val="0"/>
      <w:numFmt w:val="bullet"/>
      <w:lvlText w:val="•"/>
      <w:lvlJc w:val="left"/>
      <w:pPr>
        <w:ind w:left="1980" w:hanging="529"/>
      </w:pPr>
      <w:rPr>
        <w:rFonts w:hint="default"/>
        <w:lang w:val="en-US" w:eastAsia="zh-CN" w:bidi="ar-SA"/>
      </w:rPr>
    </w:lvl>
    <w:lvl w:ilvl="3">
      <w:start w:val="0"/>
      <w:numFmt w:val="bullet"/>
      <w:lvlText w:val="•"/>
      <w:lvlJc w:val="left"/>
      <w:pPr>
        <w:ind w:left="2581" w:hanging="529"/>
      </w:pPr>
      <w:rPr>
        <w:rFonts w:hint="default"/>
        <w:lang w:val="en-US" w:eastAsia="zh-CN" w:bidi="ar-SA"/>
      </w:rPr>
    </w:lvl>
    <w:lvl w:ilvl="4">
      <w:start w:val="0"/>
      <w:numFmt w:val="bullet"/>
      <w:lvlText w:val="•"/>
      <w:lvlJc w:val="left"/>
      <w:pPr>
        <w:ind w:left="3181" w:hanging="529"/>
      </w:pPr>
      <w:rPr>
        <w:rFonts w:hint="default"/>
        <w:lang w:val="en-US" w:eastAsia="zh-CN" w:bidi="ar-SA"/>
      </w:rPr>
    </w:lvl>
    <w:lvl w:ilvl="5">
      <w:start w:val="0"/>
      <w:numFmt w:val="bullet"/>
      <w:lvlText w:val="•"/>
      <w:lvlJc w:val="left"/>
      <w:pPr>
        <w:ind w:left="3781" w:hanging="529"/>
      </w:pPr>
      <w:rPr>
        <w:rFonts w:hint="default"/>
        <w:lang w:val="en-US" w:eastAsia="zh-CN" w:bidi="ar-SA"/>
      </w:rPr>
    </w:lvl>
    <w:lvl w:ilvl="6">
      <w:start w:val="0"/>
      <w:numFmt w:val="bullet"/>
      <w:lvlText w:val="•"/>
      <w:lvlJc w:val="left"/>
      <w:pPr>
        <w:ind w:left="4382" w:hanging="529"/>
      </w:pPr>
      <w:rPr>
        <w:rFonts w:hint="default"/>
        <w:lang w:val="en-US" w:eastAsia="zh-CN" w:bidi="ar-SA"/>
      </w:rPr>
    </w:lvl>
    <w:lvl w:ilvl="7">
      <w:start w:val="0"/>
      <w:numFmt w:val="bullet"/>
      <w:lvlText w:val="•"/>
      <w:lvlJc w:val="left"/>
      <w:pPr>
        <w:ind w:left="4982" w:hanging="529"/>
      </w:pPr>
      <w:rPr>
        <w:rFonts w:hint="default"/>
        <w:lang w:val="en-US" w:eastAsia="zh-CN" w:bidi="ar-SA"/>
      </w:rPr>
    </w:lvl>
    <w:lvl w:ilvl="8">
      <w:start w:val="0"/>
      <w:numFmt w:val="bullet"/>
      <w:lvlText w:val="•"/>
      <w:lvlJc w:val="left"/>
      <w:pPr>
        <w:ind w:left="5582" w:hanging="529"/>
      </w:pPr>
      <w:rPr>
        <w:rFonts w:hint="default"/>
        <w:lang w:val="en-US" w:eastAsia="zh-CN" w:bidi="ar-SA"/>
      </w:rPr>
    </w:lvl>
  </w:abstractNum>
  <w:abstractNum w:abstractNumId="11">
    <w:multiLevelType w:val="hybridMultilevel"/>
    <w:lvl w:ilvl="0">
      <w:start w:val="8"/>
      <w:numFmt w:val="decimal"/>
      <w:lvlText w:val="%1"/>
      <w:lvlJc w:val="left"/>
      <w:pPr>
        <w:ind w:left="1341" w:hanging="1100"/>
        <w:jc w:val="left"/>
      </w:pPr>
      <w:rPr>
        <w:rFonts w:hint="default"/>
        <w:lang w:val="en-US" w:eastAsia="zh-CN" w:bidi="ar-SA"/>
      </w:rPr>
    </w:lvl>
    <w:lvl w:ilvl="1">
      <w:start w:val="3"/>
      <w:numFmt w:val="decimal"/>
      <w:lvlText w:val="%1.%2"/>
      <w:lvlJc w:val="left"/>
      <w:pPr>
        <w:ind w:left="1341" w:hanging="110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0"/>
      <w:numFmt w:val="bullet"/>
      <w:lvlText w:val="•"/>
      <w:lvlJc w:val="left"/>
      <w:pPr>
        <w:ind w:left="1678" w:hanging="1100"/>
      </w:pPr>
      <w:rPr>
        <w:rFonts w:hint="default"/>
        <w:lang w:val="en-US" w:eastAsia="zh-CN" w:bidi="ar-SA"/>
      </w:rPr>
    </w:lvl>
    <w:lvl w:ilvl="3">
      <w:start w:val="0"/>
      <w:numFmt w:val="bullet"/>
      <w:lvlText w:val="•"/>
      <w:lvlJc w:val="left"/>
      <w:pPr>
        <w:ind w:left="1847" w:hanging="1100"/>
      </w:pPr>
      <w:rPr>
        <w:rFonts w:hint="default"/>
        <w:lang w:val="en-US" w:eastAsia="zh-CN" w:bidi="ar-SA"/>
      </w:rPr>
    </w:lvl>
    <w:lvl w:ilvl="4">
      <w:start w:val="0"/>
      <w:numFmt w:val="bullet"/>
      <w:lvlText w:val="•"/>
      <w:lvlJc w:val="left"/>
      <w:pPr>
        <w:ind w:left="2016" w:hanging="1100"/>
      </w:pPr>
      <w:rPr>
        <w:rFonts w:hint="default"/>
        <w:lang w:val="en-US" w:eastAsia="zh-CN" w:bidi="ar-SA"/>
      </w:rPr>
    </w:lvl>
    <w:lvl w:ilvl="5">
      <w:start w:val="0"/>
      <w:numFmt w:val="bullet"/>
      <w:lvlText w:val="•"/>
      <w:lvlJc w:val="left"/>
      <w:pPr>
        <w:ind w:left="2185" w:hanging="1100"/>
      </w:pPr>
      <w:rPr>
        <w:rFonts w:hint="default"/>
        <w:lang w:val="en-US" w:eastAsia="zh-CN" w:bidi="ar-SA"/>
      </w:rPr>
    </w:lvl>
    <w:lvl w:ilvl="6">
      <w:start w:val="0"/>
      <w:numFmt w:val="bullet"/>
      <w:lvlText w:val="•"/>
      <w:lvlJc w:val="left"/>
      <w:pPr>
        <w:ind w:left="2354" w:hanging="1100"/>
      </w:pPr>
      <w:rPr>
        <w:rFonts w:hint="default"/>
        <w:lang w:val="en-US" w:eastAsia="zh-CN" w:bidi="ar-SA"/>
      </w:rPr>
    </w:lvl>
    <w:lvl w:ilvl="7">
      <w:start w:val="0"/>
      <w:numFmt w:val="bullet"/>
      <w:lvlText w:val="•"/>
      <w:lvlJc w:val="left"/>
      <w:pPr>
        <w:ind w:left="2523" w:hanging="1100"/>
      </w:pPr>
      <w:rPr>
        <w:rFonts w:hint="default"/>
        <w:lang w:val="en-US" w:eastAsia="zh-CN" w:bidi="ar-SA"/>
      </w:rPr>
    </w:lvl>
    <w:lvl w:ilvl="8">
      <w:start w:val="0"/>
      <w:numFmt w:val="bullet"/>
      <w:lvlText w:val="•"/>
      <w:lvlJc w:val="left"/>
      <w:pPr>
        <w:ind w:left="2692" w:hanging="1100"/>
      </w:pPr>
      <w:rPr>
        <w:rFonts w:hint="default"/>
        <w:lang w:val="en-US" w:eastAsia="zh-CN" w:bidi="ar-SA"/>
      </w:rPr>
    </w:lvl>
  </w:abstractNum>
  <w:abstractNum w:abstractNumId="10">
    <w:multiLevelType w:val="hybridMultilevel"/>
    <w:lvl w:ilvl="0">
      <w:start w:val="1"/>
      <w:numFmt w:val="decimal"/>
      <w:lvlText w:val="（%1）"/>
      <w:lvlJc w:val="left"/>
      <w:pPr>
        <w:ind w:left="71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80" w:hanging="529"/>
      </w:pPr>
      <w:rPr>
        <w:rFonts w:hint="default"/>
        <w:lang w:val="en-US" w:eastAsia="zh-CN" w:bidi="ar-SA"/>
      </w:rPr>
    </w:lvl>
    <w:lvl w:ilvl="2">
      <w:start w:val="0"/>
      <w:numFmt w:val="bullet"/>
      <w:lvlText w:val="•"/>
      <w:lvlJc w:val="left"/>
      <w:pPr>
        <w:ind w:left="1841" w:hanging="529"/>
      </w:pPr>
      <w:rPr>
        <w:rFonts w:hint="default"/>
        <w:lang w:val="en-US" w:eastAsia="zh-CN" w:bidi="ar-SA"/>
      </w:rPr>
    </w:lvl>
    <w:lvl w:ilvl="3">
      <w:start w:val="0"/>
      <w:numFmt w:val="bullet"/>
      <w:lvlText w:val="•"/>
      <w:lvlJc w:val="left"/>
      <w:pPr>
        <w:ind w:left="2402" w:hanging="529"/>
      </w:pPr>
      <w:rPr>
        <w:rFonts w:hint="default"/>
        <w:lang w:val="en-US" w:eastAsia="zh-CN" w:bidi="ar-SA"/>
      </w:rPr>
    </w:lvl>
    <w:lvl w:ilvl="4">
      <w:start w:val="0"/>
      <w:numFmt w:val="bullet"/>
      <w:lvlText w:val="•"/>
      <w:lvlJc w:val="left"/>
      <w:pPr>
        <w:ind w:left="2963" w:hanging="529"/>
      </w:pPr>
      <w:rPr>
        <w:rFonts w:hint="default"/>
        <w:lang w:val="en-US" w:eastAsia="zh-CN" w:bidi="ar-SA"/>
      </w:rPr>
    </w:lvl>
    <w:lvl w:ilvl="5">
      <w:start w:val="0"/>
      <w:numFmt w:val="bullet"/>
      <w:lvlText w:val="•"/>
      <w:lvlJc w:val="left"/>
      <w:pPr>
        <w:ind w:left="3524" w:hanging="529"/>
      </w:pPr>
      <w:rPr>
        <w:rFonts w:hint="default"/>
        <w:lang w:val="en-US" w:eastAsia="zh-CN" w:bidi="ar-SA"/>
      </w:rPr>
    </w:lvl>
    <w:lvl w:ilvl="6">
      <w:start w:val="0"/>
      <w:numFmt w:val="bullet"/>
      <w:lvlText w:val="•"/>
      <w:lvlJc w:val="left"/>
      <w:pPr>
        <w:ind w:left="4084" w:hanging="529"/>
      </w:pPr>
      <w:rPr>
        <w:rFonts w:hint="default"/>
        <w:lang w:val="en-US" w:eastAsia="zh-CN" w:bidi="ar-SA"/>
      </w:rPr>
    </w:lvl>
    <w:lvl w:ilvl="7">
      <w:start w:val="0"/>
      <w:numFmt w:val="bullet"/>
      <w:lvlText w:val="•"/>
      <w:lvlJc w:val="left"/>
      <w:pPr>
        <w:ind w:left="4645" w:hanging="529"/>
      </w:pPr>
      <w:rPr>
        <w:rFonts w:hint="default"/>
        <w:lang w:val="en-US" w:eastAsia="zh-CN" w:bidi="ar-SA"/>
      </w:rPr>
    </w:lvl>
    <w:lvl w:ilvl="8">
      <w:start w:val="0"/>
      <w:numFmt w:val="bullet"/>
      <w:lvlText w:val="•"/>
      <w:lvlJc w:val="left"/>
      <w:pPr>
        <w:ind w:left="5206" w:hanging="529"/>
      </w:pPr>
      <w:rPr>
        <w:rFonts w:hint="default"/>
        <w:lang w:val="en-US" w:eastAsia="zh-CN" w:bidi="ar-SA"/>
      </w:rPr>
    </w:lvl>
  </w:abstractNum>
  <w:abstractNum w:abstractNumId="9">
    <w:multiLevelType w:val="hybridMultilevel"/>
    <w:lvl w:ilvl="0">
      <w:start w:val="8"/>
      <w:numFmt w:val="decimal"/>
      <w:lvlText w:val="%1"/>
      <w:lvlJc w:val="left"/>
      <w:pPr>
        <w:ind w:left="1341" w:hanging="1100"/>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1341" w:hanging="110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1"/>
      <w:numFmt w:val="decimal"/>
      <w:lvlText w:val="（%3）"/>
      <w:lvlJc w:val="left"/>
      <w:pPr>
        <w:ind w:left="3714"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054" w:hanging="529"/>
      </w:pPr>
      <w:rPr>
        <w:rFonts w:hint="default"/>
        <w:lang w:val="en-US" w:eastAsia="zh-CN" w:bidi="ar-SA"/>
      </w:rPr>
    </w:lvl>
    <w:lvl w:ilvl="4">
      <w:start w:val="0"/>
      <w:numFmt w:val="bullet"/>
      <w:lvlText w:val="•"/>
      <w:lvlJc w:val="left"/>
      <w:pPr>
        <w:ind w:left="5722" w:hanging="529"/>
      </w:pPr>
      <w:rPr>
        <w:rFonts w:hint="default"/>
        <w:lang w:val="en-US" w:eastAsia="zh-CN" w:bidi="ar-SA"/>
      </w:rPr>
    </w:lvl>
    <w:lvl w:ilvl="5">
      <w:start w:val="0"/>
      <w:numFmt w:val="bullet"/>
      <w:lvlText w:val="•"/>
      <w:lvlJc w:val="left"/>
      <w:pPr>
        <w:ind w:left="6389" w:hanging="529"/>
      </w:pPr>
      <w:rPr>
        <w:rFonts w:hint="default"/>
        <w:lang w:val="en-US" w:eastAsia="zh-CN" w:bidi="ar-SA"/>
      </w:rPr>
    </w:lvl>
    <w:lvl w:ilvl="6">
      <w:start w:val="0"/>
      <w:numFmt w:val="bullet"/>
      <w:lvlText w:val="•"/>
      <w:lvlJc w:val="left"/>
      <w:pPr>
        <w:ind w:left="7056" w:hanging="529"/>
      </w:pPr>
      <w:rPr>
        <w:rFonts w:hint="default"/>
        <w:lang w:val="en-US" w:eastAsia="zh-CN" w:bidi="ar-SA"/>
      </w:rPr>
    </w:lvl>
    <w:lvl w:ilvl="7">
      <w:start w:val="0"/>
      <w:numFmt w:val="bullet"/>
      <w:lvlText w:val="•"/>
      <w:lvlJc w:val="left"/>
      <w:pPr>
        <w:ind w:left="7724" w:hanging="529"/>
      </w:pPr>
      <w:rPr>
        <w:rFonts w:hint="default"/>
        <w:lang w:val="en-US" w:eastAsia="zh-CN" w:bidi="ar-SA"/>
      </w:rPr>
    </w:lvl>
    <w:lvl w:ilvl="8">
      <w:start w:val="0"/>
      <w:numFmt w:val="bullet"/>
      <w:lvlText w:val="•"/>
      <w:lvlJc w:val="left"/>
      <w:pPr>
        <w:ind w:left="8391" w:hanging="529"/>
      </w:pPr>
      <w:rPr>
        <w:rFonts w:hint="default"/>
        <w:lang w:val="en-US" w:eastAsia="zh-CN" w:bidi="ar-SA"/>
      </w:rPr>
    </w:lvl>
  </w:abstractNum>
  <w:abstractNum w:abstractNumId="8">
    <w:multiLevelType w:val="hybridMultilevel"/>
    <w:lvl w:ilvl="0">
      <w:start w:val="1"/>
      <w:numFmt w:val="decimal"/>
      <w:lvlText w:val="（%1）"/>
      <w:lvlJc w:val="left"/>
      <w:pPr>
        <w:ind w:left="60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167" w:hanging="529"/>
      </w:pPr>
      <w:rPr>
        <w:rFonts w:hint="default"/>
        <w:lang w:val="en-US" w:eastAsia="zh-CN" w:bidi="ar-SA"/>
      </w:rPr>
    </w:lvl>
    <w:lvl w:ilvl="2">
      <w:start w:val="0"/>
      <w:numFmt w:val="bullet"/>
      <w:lvlText w:val="•"/>
      <w:lvlJc w:val="left"/>
      <w:pPr>
        <w:ind w:left="1734" w:hanging="529"/>
      </w:pPr>
      <w:rPr>
        <w:rFonts w:hint="default"/>
        <w:lang w:val="en-US" w:eastAsia="zh-CN" w:bidi="ar-SA"/>
      </w:rPr>
    </w:lvl>
    <w:lvl w:ilvl="3">
      <w:start w:val="0"/>
      <w:numFmt w:val="bullet"/>
      <w:lvlText w:val="•"/>
      <w:lvlJc w:val="left"/>
      <w:pPr>
        <w:ind w:left="2301" w:hanging="529"/>
      </w:pPr>
      <w:rPr>
        <w:rFonts w:hint="default"/>
        <w:lang w:val="en-US" w:eastAsia="zh-CN" w:bidi="ar-SA"/>
      </w:rPr>
    </w:lvl>
    <w:lvl w:ilvl="4">
      <w:start w:val="0"/>
      <w:numFmt w:val="bullet"/>
      <w:lvlText w:val="•"/>
      <w:lvlJc w:val="left"/>
      <w:pPr>
        <w:ind w:left="2868" w:hanging="529"/>
      </w:pPr>
      <w:rPr>
        <w:rFonts w:hint="default"/>
        <w:lang w:val="en-US" w:eastAsia="zh-CN" w:bidi="ar-SA"/>
      </w:rPr>
    </w:lvl>
    <w:lvl w:ilvl="5">
      <w:start w:val="0"/>
      <w:numFmt w:val="bullet"/>
      <w:lvlText w:val="•"/>
      <w:lvlJc w:val="left"/>
      <w:pPr>
        <w:ind w:left="3436" w:hanging="529"/>
      </w:pPr>
      <w:rPr>
        <w:rFonts w:hint="default"/>
        <w:lang w:val="en-US" w:eastAsia="zh-CN" w:bidi="ar-SA"/>
      </w:rPr>
    </w:lvl>
    <w:lvl w:ilvl="6">
      <w:start w:val="0"/>
      <w:numFmt w:val="bullet"/>
      <w:lvlText w:val="•"/>
      <w:lvlJc w:val="left"/>
      <w:pPr>
        <w:ind w:left="4003" w:hanging="529"/>
      </w:pPr>
      <w:rPr>
        <w:rFonts w:hint="default"/>
        <w:lang w:val="en-US" w:eastAsia="zh-CN" w:bidi="ar-SA"/>
      </w:rPr>
    </w:lvl>
    <w:lvl w:ilvl="7">
      <w:start w:val="0"/>
      <w:numFmt w:val="bullet"/>
      <w:lvlText w:val="•"/>
      <w:lvlJc w:val="left"/>
      <w:pPr>
        <w:ind w:left="4570" w:hanging="529"/>
      </w:pPr>
      <w:rPr>
        <w:rFonts w:hint="default"/>
        <w:lang w:val="en-US" w:eastAsia="zh-CN" w:bidi="ar-SA"/>
      </w:rPr>
    </w:lvl>
    <w:lvl w:ilvl="8">
      <w:start w:val="0"/>
      <w:numFmt w:val="bullet"/>
      <w:lvlText w:val="•"/>
      <w:lvlJc w:val="left"/>
      <w:pPr>
        <w:ind w:left="5137" w:hanging="529"/>
      </w:pPr>
      <w:rPr>
        <w:rFonts w:hint="default"/>
        <w:lang w:val="en-US" w:eastAsia="zh-CN" w:bidi="ar-SA"/>
      </w:rPr>
    </w:lvl>
  </w:abstractNum>
  <w:abstractNum w:abstractNumId="7">
    <w:multiLevelType w:val="hybridMultilevel"/>
    <w:lvl w:ilvl="0">
      <w:start w:val="3"/>
      <w:numFmt w:val="decimal"/>
      <w:lvlText w:val="%1"/>
      <w:lvlJc w:val="left"/>
      <w:pPr>
        <w:ind w:left="1341" w:hanging="1100"/>
        <w:jc w:val="left"/>
      </w:pPr>
      <w:rPr>
        <w:rFonts w:hint="default"/>
        <w:lang w:val="en-US" w:eastAsia="zh-CN" w:bidi="ar-SA"/>
      </w:rPr>
    </w:lvl>
    <w:lvl w:ilvl="1">
      <w:start w:val="4"/>
      <w:numFmt w:val="decimal"/>
      <w:lvlText w:val="%1.%2"/>
      <w:lvlJc w:val="left"/>
      <w:pPr>
        <w:ind w:left="1341" w:hanging="110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0"/>
      <w:numFmt w:val="bullet"/>
      <w:lvlText w:val="•"/>
      <w:lvlJc w:val="left"/>
      <w:pPr>
        <w:ind w:left="3017" w:hanging="1100"/>
      </w:pPr>
      <w:rPr>
        <w:rFonts w:hint="default"/>
        <w:lang w:val="en-US" w:eastAsia="zh-CN" w:bidi="ar-SA"/>
      </w:rPr>
    </w:lvl>
    <w:lvl w:ilvl="3">
      <w:start w:val="0"/>
      <w:numFmt w:val="bullet"/>
      <w:lvlText w:val="•"/>
      <w:lvlJc w:val="left"/>
      <w:pPr>
        <w:ind w:left="3855" w:hanging="1100"/>
      </w:pPr>
      <w:rPr>
        <w:rFonts w:hint="default"/>
        <w:lang w:val="en-US" w:eastAsia="zh-CN" w:bidi="ar-SA"/>
      </w:rPr>
    </w:lvl>
    <w:lvl w:ilvl="4">
      <w:start w:val="0"/>
      <w:numFmt w:val="bullet"/>
      <w:lvlText w:val="•"/>
      <w:lvlJc w:val="left"/>
      <w:pPr>
        <w:ind w:left="4694" w:hanging="1100"/>
      </w:pPr>
      <w:rPr>
        <w:rFonts w:hint="default"/>
        <w:lang w:val="en-US" w:eastAsia="zh-CN" w:bidi="ar-SA"/>
      </w:rPr>
    </w:lvl>
    <w:lvl w:ilvl="5">
      <w:start w:val="0"/>
      <w:numFmt w:val="bullet"/>
      <w:lvlText w:val="•"/>
      <w:lvlJc w:val="left"/>
      <w:pPr>
        <w:ind w:left="5533" w:hanging="1100"/>
      </w:pPr>
      <w:rPr>
        <w:rFonts w:hint="default"/>
        <w:lang w:val="en-US" w:eastAsia="zh-CN" w:bidi="ar-SA"/>
      </w:rPr>
    </w:lvl>
    <w:lvl w:ilvl="6">
      <w:start w:val="0"/>
      <w:numFmt w:val="bullet"/>
      <w:lvlText w:val="•"/>
      <w:lvlJc w:val="left"/>
      <w:pPr>
        <w:ind w:left="6371" w:hanging="1100"/>
      </w:pPr>
      <w:rPr>
        <w:rFonts w:hint="default"/>
        <w:lang w:val="en-US" w:eastAsia="zh-CN" w:bidi="ar-SA"/>
      </w:rPr>
    </w:lvl>
    <w:lvl w:ilvl="7">
      <w:start w:val="0"/>
      <w:numFmt w:val="bullet"/>
      <w:lvlText w:val="•"/>
      <w:lvlJc w:val="left"/>
      <w:pPr>
        <w:ind w:left="7210" w:hanging="1100"/>
      </w:pPr>
      <w:rPr>
        <w:rFonts w:hint="default"/>
        <w:lang w:val="en-US" w:eastAsia="zh-CN" w:bidi="ar-SA"/>
      </w:rPr>
    </w:lvl>
    <w:lvl w:ilvl="8">
      <w:start w:val="0"/>
      <w:numFmt w:val="bullet"/>
      <w:lvlText w:val="•"/>
      <w:lvlJc w:val="left"/>
      <w:pPr>
        <w:ind w:left="8049" w:hanging="1100"/>
      </w:pPr>
      <w:rPr>
        <w:rFonts w:hint="default"/>
        <w:lang w:val="en-US" w:eastAsia="zh-CN" w:bidi="ar-SA"/>
      </w:rPr>
    </w:lvl>
  </w:abstractNum>
  <w:abstractNum w:abstractNumId="6">
    <w:multiLevelType w:val="hybridMultilevel"/>
    <w:lvl w:ilvl="0">
      <w:start w:val="1"/>
      <w:numFmt w:val="decimal"/>
      <w:lvlText w:val="（%1）"/>
      <w:lvlJc w:val="left"/>
      <w:pPr>
        <w:ind w:left="62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181" w:hanging="529"/>
      </w:pPr>
      <w:rPr>
        <w:rFonts w:hint="default"/>
        <w:lang w:val="en-US" w:eastAsia="zh-CN" w:bidi="ar-SA"/>
      </w:rPr>
    </w:lvl>
    <w:lvl w:ilvl="2">
      <w:start w:val="0"/>
      <w:numFmt w:val="bullet"/>
      <w:lvlText w:val="•"/>
      <w:lvlJc w:val="left"/>
      <w:pPr>
        <w:ind w:left="1743" w:hanging="529"/>
      </w:pPr>
      <w:rPr>
        <w:rFonts w:hint="default"/>
        <w:lang w:val="en-US" w:eastAsia="zh-CN" w:bidi="ar-SA"/>
      </w:rPr>
    </w:lvl>
    <w:lvl w:ilvl="3">
      <w:start w:val="0"/>
      <w:numFmt w:val="bullet"/>
      <w:lvlText w:val="•"/>
      <w:lvlJc w:val="left"/>
      <w:pPr>
        <w:ind w:left="2304" w:hanging="529"/>
      </w:pPr>
      <w:rPr>
        <w:rFonts w:hint="default"/>
        <w:lang w:val="en-US" w:eastAsia="zh-CN" w:bidi="ar-SA"/>
      </w:rPr>
    </w:lvl>
    <w:lvl w:ilvl="4">
      <w:start w:val="0"/>
      <w:numFmt w:val="bullet"/>
      <w:lvlText w:val="•"/>
      <w:lvlJc w:val="left"/>
      <w:pPr>
        <w:ind w:left="2866" w:hanging="529"/>
      </w:pPr>
      <w:rPr>
        <w:rFonts w:hint="default"/>
        <w:lang w:val="en-US" w:eastAsia="zh-CN" w:bidi="ar-SA"/>
      </w:rPr>
    </w:lvl>
    <w:lvl w:ilvl="5">
      <w:start w:val="0"/>
      <w:numFmt w:val="bullet"/>
      <w:lvlText w:val="•"/>
      <w:lvlJc w:val="left"/>
      <w:pPr>
        <w:ind w:left="3428" w:hanging="529"/>
      </w:pPr>
      <w:rPr>
        <w:rFonts w:hint="default"/>
        <w:lang w:val="en-US" w:eastAsia="zh-CN" w:bidi="ar-SA"/>
      </w:rPr>
    </w:lvl>
    <w:lvl w:ilvl="6">
      <w:start w:val="0"/>
      <w:numFmt w:val="bullet"/>
      <w:lvlText w:val="•"/>
      <w:lvlJc w:val="left"/>
      <w:pPr>
        <w:ind w:left="3989" w:hanging="529"/>
      </w:pPr>
      <w:rPr>
        <w:rFonts w:hint="default"/>
        <w:lang w:val="en-US" w:eastAsia="zh-CN" w:bidi="ar-SA"/>
      </w:rPr>
    </w:lvl>
    <w:lvl w:ilvl="7">
      <w:start w:val="0"/>
      <w:numFmt w:val="bullet"/>
      <w:lvlText w:val="•"/>
      <w:lvlJc w:val="left"/>
      <w:pPr>
        <w:ind w:left="4551" w:hanging="529"/>
      </w:pPr>
      <w:rPr>
        <w:rFonts w:hint="default"/>
        <w:lang w:val="en-US" w:eastAsia="zh-CN" w:bidi="ar-SA"/>
      </w:rPr>
    </w:lvl>
    <w:lvl w:ilvl="8">
      <w:start w:val="0"/>
      <w:numFmt w:val="bullet"/>
      <w:lvlText w:val="•"/>
      <w:lvlJc w:val="left"/>
      <w:pPr>
        <w:ind w:left="5112" w:hanging="529"/>
      </w:pPr>
      <w:rPr>
        <w:rFonts w:hint="default"/>
        <w:lang w:val="en-US" w:eastAsia="zh-CN" w:bidi="ar-SA"/>
      </w:rPr>
    </w:lvl>
  </w:abstractNum>
  <w:abstractNum w:abstractNumId="5">
    <w:multiLevelType w:val="hybridMultilevel"/>
    <w:lvl w:ilvl="0">
      <w:start w:val="1"/>
      <w:numFmt w:val="decimal"/>
      <w:lvlText w:val="（%1）"/>
      <w:lvlJc w:val="left"/>
      <w:pPr>
        <w:ind w:left="3714" w:hanging="529"/>
        <w:jc w:val="left"/>
      </w:pPr>
      <w:rPr>
        <w:rFonts w:hint="default" w:ascii="宋体" w:hAnsi="宋体" w:eastAsia="宋体" w:cs="宋体"/>
        <w:b/>
        <w:bCs/>
        <w:i w:val="0"/>
        <w:iCs w:val="0"/>
        <w:spacing w:val="-3"/>
        <w:w w:val="100"/>
        <w:sz w:val="19"/>
        <w:szCs w:val="19"/>
        <w:lang w:val="en-US" w:eastAsia="zh-CN" w:bidi="ar-SA"/>
      </w:rPr>
    </w:lvl>
    <w:lvl w:ilvl="1">
      <w:start w:val="0"/>
      <w:numFmt w:val="bullet"/>
      <w:lvlText w:val="•"/>
      <w:lvlJc w:val="left"/>
      <w:pPr>
        <w:ind w:left="4320" w:hanging="529"/>
      </w:pPr>
      <w:rPr>
        <w:rFonts w:hint="default"/>
        <w:lang w:val="en-US" w:eastAsia="zh-CN" w:bidi="ar-SA"/>
      </w:rPr>
    </w:lvl>
    <w:lvl w:ilvl="2">
      <w:start w:val="0"/>
      <w:numFmt w:val="bullet"/>
      <w:lvlText w:val="•"/>
      <w:lvlJc w:val="left"/>
      <w:pPr>
        <w:ind w:left="4921" w:hanging="529"/>
      </w:pPr>
      <w:rPr>
        <w:rFonts w:hint="default"/>
        <w:lang w:val="en-US" w:eastAsia="zh-CN" w:bidi="ar-SA"/>
      </w:rPr>
    </w:lvl>
    <w:lvl w:ilvl="3">
      <w:start w:val="0"/>
      <w:numFmt w:val="bullet"/>
      <w:lvlText w:val="•"/>
      <w:lvlJc w:val="left"/>
      <w:pPr>
        <w:ind w:left="5521" w:hanging="529"/>
      </w:pPr>
      <w:rPr>
        <w:rFonts w:hint="default"/>
        <w:lang w:val="en-US" w:eastAsia="zh-CN" w:bidi="ar-SA"/>
      </w:rPr>
    </w:lvl>
    <w:lvl w:ilvl="4">
      <w:start w:val="0"/>
      <w:numFmt w:val="bullet"/>
      <w:lvlText w:val="•"/>
      <w:lvlJc w:val="left"/>
      <w:pPr>
        <w:ind w:left="6122" w:hanging="529"/>
      </w:pPr>
      <w:rPr>
        <w:rFonts w:hint="default"/>
        <w:lang w:val="en-US" w:eastAsia="zh-CN" w:bidi="ar-SA"/>
      </w:rPr>
    </w:lvl>
    <w:lvl w:ilvl="5">
      <w:start w:val="0"/>
      <w:numFmt w:val="bullet"/>
      <w:lvlText w:val="•"/>
      <w:lvlJc w:val="left"/>
      <w:pPr>
        <w:ind w:left="6723" w:hanging="529"/>
      </w:pPr>
      <w:rPr>
        <w:rFonts w:hint="default"/>
        <w:lang w:val="en-US" w:eastAsia="zh-CN" w:bidi="ar-SA"/>
      </w:rPr>
    </w:lvl>
    <w:lvl w:ilvl="6">
      <w:start w:val="0"/>
      <w:numFmt w:val="bullet"/>
      <w:lvlText w:val="•"/>
      <w:lvlJc w:val="left"/>
      <w:pPr>
        <w:ind w:left="7323" w:hanging="529"/>
      </w:pPr>
      <w:rPr>
        <w:rFonts w:hint="default"/>
        <w:lang w:val="en-US" w:eastAsia="zh-CN" w:bidi="ar-SA"/>
      </w:rPr>
    </w:lvl>
    <w:lvl w:ilvl="7">
      <w:start w:val="0"/>
      <w:numFmt w:val="bullet"/>
      <w:lvlText w:val="•"/>
      <w:lvlJc w:val="left"/>
      <w:pPr>
        <w:ind w:left="7924" w:hanging="529"/>
      </w:pPr>
      <w:rPr>
        <w:rFonts w:hint="default"/>
        <w:lang w:val="en-US" w:eastAsia="zh-CN" w:bidi="ar-SA"/>
      </w:rPr>
    </w:lvl>
    <w:lvl w:ilvl="8">
      <w:start w:val="0"/>
      <w:numFmt w:val="bullet"/>
      <w:lvlText w:val="•"/>
      <w:lvlJc w:val="left"/>
      <w:pPr>
        <w:ind w:left="8525" w:hanging="529"/>
      </w:pPr>
      <w:rPr>
        <w:rFonts w:hint="default"/>
        <w:lang w:val="en-US" w:eastAsia="zh-CN" w:bidi="ar-SA"/>
      </w:rPr>
    </w:lvl>
  </w:abstractNum>
  <w:abstractNum w:abstractNumId="4">
    <w:multiLevelType w:val="hybridMultilevel"/>
    <w:lvl w:ilvl="0">
      <w:start w:val="2"/>
      <w:numFmt w:val="decimal"/>
      <w:lvlText w:val="%1"/>
      <w:lvlJc w:val="left"/>
      <w:pPr>
        <w:ind w:left="1341" w:hanging="1100"/>
        <w:jc w:val="left"/>
      </w:pPr>
      <w:rPr>
        <w:rFonts w:hint="default"/>
        <w:lang w:val="en-US" w:eastAsia="zh-CN" w:bidi="ar-SA"/>
      </w:rPr>
    </w:lvl>
    <w:lvl w:ilvl="1">
      <w:start w:val="4"/>
      <w:numFmt w:val="decimal"/>
      <w:lvlText w:val="%1.%2"/>
      <w:lvlJc w:val="left"/>
      <w:pPr>
        <w:ind w:left="1341" w:hanging="1100"/>
        <w:jc w:val="left"/>
      </w:pPr>
      <w:rPr>
        <w:rFonts w:hint="default"/>
        <w:lang w:val="en-US" w:eastAsia="zh-CN" w:bidi="ar-SA"/>
      </w:rPr>
    </w:lvl>
    <w:lvl w:ilvl="2">
      <w:start w:val="1"/>
      <w:numFmt w:val="decimal"/>
      <w:lvlText w:val="%1.%2.%3"/>
      <w:lvlJc w:val="left"/>
      <w:pPr>
        <w:ind w:left="1341" w:hanging="110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3">
      <w:start w:val="0"/>
      <w:numFmt w:val="bullet"/>
      <w:lvlText w:val="•"/>
      <w:lvlJc w:val="left"/>
      <w:pPr>
        <w:ind w:left="1828" w:hanging="1100"/>
      </w:pPr>
      <w:rPr>
        <w:rFonts w:hint="default"/>
        <w:lang w:val="en-US" w:eastAsia="zh-CN" w:bidi="ar-SA"/>
      </w:rPr>
    </w:lvl>
    <w:lvl w:ilvl="4">
      <w:start w:val="0"/>
      <w:numFmt w:val="bullet"/>
      <w:lvlText w:val="•"/>
      <w:lvlJc w:val="left"/>
      <w:pPr>
        <w:ind w:left="1990" w:hanging="1100"/>
      </w:pPr>
      <w:rPr>
        <w:rFonts w:hint="default"/>
        <w:lang w:val="en-US" w:eastAsia="zh-CN" w:bidi="ar-SA"/>
      </w:rPr>
    </w:lvl>
    <w:lvl w:ilvl="5">
      <w:start w:val="0"/>
      <w:numFmt w:val="bullet"/>
      <w:lvlText w:val="•"/>
      <w:lvlJc w:val="left"/>
      <w:pPr>
        <w:ind w:left="2153" w:hanging="1100"/>
      </w:pPr>
      <w:rPr>
        <w:rFonts w:hint="default"/>
        <w:lang w:val="en-US" w:eastAsia="zh-CN" w:bidi="ar-SA"/>
      </w:rPr>
    </w:lvl>
    <w:lvl w:ilvl="6">
      <w:start w:val="0"/>
      <w:numFmt w:val="bullet"/>
      <w:lvlText w:val="•"/>
      <w:lvlJc w:val="left"/>
      <w:pPr>
        <w:ind w:left="2316" w:hanging="1100"/>
      </w:pPr>
      <w:rPr>
        <w:rFonts w:hint="default"/>
        <w:lang w:val="en-US" w:eastAsia="zh-CN" w:bidi="ar-SA"/>
      </w:rPr>
    </w:lvl>
    <w:lvl w:ilvl="7">
      <w:start w:val="0"/>
      <w:numFmt w:val="bullet"/>
      <w:lvlText w:val="•"/>
      <w:lvlJc w:val="left"/>
      <w:pPr>
        <w:ind w:left="2479" w:hanging="1100"/>
      </w:pPr>
      <w:rPr>
        <w:rFonts w:hint="default"/>
        <w:lang w:val="en-US" w:eastAsia="zh-CN" w:bidi="ar-SA"/>
      </w:rPr>
    </w:lvl>
    <w:lvl w:ilvl="8">
      <w:start w:val="0"/>
      <w:numFmt w:val="bullet"/>
      <w:lvlText w:val="•"/>
      <w:lvlJc w:val="left"/>
      <w:pPr>
        <w:ind w:left="2641" w:hanging="1100"/>
      </w:pPr>
      <w:rPr>
        <w:rFonts w:hint="default"/>
        <w:lang w:val="en-US" w:eastAsia="zh-CN" w:bidi="ar-SA"/>
      </w:rPr>
    </w:lvl>
  </w:abstractNum>
  <w:abstractNum w:abstractNumId="3">
    <w:multiLevelType w:val="hybridMultilevel"/>
    <w:lvl w:ilvl="0">
      <w:start w:val="1"/>
      <w:numFmt w:val="decimal"/>
      <w:lvlText w:val="%1"/>
      <w:lvlJc w:val="left"/>
      <w:pPr>
        <w:ind w:left="1341" w:hanging="1100"/>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1341" w:hanging="110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1"/>
      <w:numFmt w:val="decimal"/>
      <w:lvlText w:val="（%3）"/>
      <w:lvlJc w:val="left"/>
      <w:pPr>
        <w:ind w:left="3710" w:hanging="529"/>
        <w:jc w:val="left"/>
      </w:pPr>
      <w:rPr>
        <w:rFonts w:hint="default"/>
        <w:spacing w:val="-3"/>
        <w:w w:val="100"/>
        <w:lang w:val="en-US" w:eastAsia="zh-CN" w:bidi="ar-SA"/>
      </w:rPr>
    </w:lvl>
    <w:lvl w:ilvl="3">
      <w:start w:val="0"/>
      <w:numFmt w:val="bullet"/>
      <w:lvlText w:val="•"/>
      <w:lvlJc w:val="left"/>
      <w:pPr>
        <w:ind w:left="5054" w:hanging="529"/>
      </w:pPr>
      <w:rPr>
        <w:rFonts w:hint="default"/>
        <w:lang w:val="en-US" w:eastAsia="zh-CN" w:bidi="ar-SA"/>
      </w:rPr>
    </w:lvl>
    <w:lvl w:ilvl="4">
      <w:start w:val="0"/>
      <w:numFmt w:val="bullet"/>
      <w:lvlText w:val="•"/>
      <w:lvlJc w:val="left"/>
      <w:pPr>
        <w:ind w:left="5722" w:hanging="529"/>
      </w:pPr>
      <w:rPr>
        <w:rFonts w:hint="default"/>
        <w:lang w:val="en-US" w:eastAsia="zh-CN" w:bidi="ar-SA"/>
      </w:rPr>
    </w:lvl>
    <w:lvl w:ilvl="5">
      <w:start w:val="0"/>
      <w:numFmt w:val="bullet"/>
      <w:lvlText w:val="•"/>
      <w:lvlJc w:val="left"/>
      <w:pPr>
        <w:ind w:left="6389" w:hanging="529"/>
      </w:pPr>
      <w:rPr>
        <w:rFonts w:hint="default"/>
        <w:lang w:val="en-US" w:eastAsia="zh-CN" w:bidi="ar-SA"/>
      </w:rPr>
    </w:lvl>
    <w:lvl w:ilvl="6">
      <w:start w:val="0"/>
      <w:numFmt w:val="bullet"/>
      <w:lvlText w:val="•"/>
      <w:lvlJc w:val="left"/>
      <w:pPr>
        <w:ind w:left="7056" w:hanging="529"/>
      </w:pPr>
      <w:rPr>
        <w:rFonts w:hint="default"/>
        <w:lang w:val="en-US" w:eastAsia="zh-CN" w:bidi="ar-SA"/>
      </w:rPr>
    </w:lvl>
    <w:lvl w:ilvl="7">
      <w:start w:val="0"/>
      <w:numFmt w:val="bullet"/>
      <w:lvlText w:val="•"/>
      <w:lvlJc w:val="left"/>
      <w:pPr>
        <w:ind w:left="7724" w:hanging="529"/>
      </w:pPr>
      <w:rPr>
        <w:rFonts w:hint="default"/>
        <w:lang w:val="en-US" w:eastAsia="zh-CN" w:bidi="ar-SA"/>
      </w:rPr>
    </w:lvl>
    <w:lvl w:ilvl="8">
      <w:start w:val="0"/>
      <w:numFmt w:val="bullet"/>
      <w:lvlText w:val="•"/>
      <w:lvlJc w:val="left"/>
      <w:pPr>
        <w:ind w:left="8391" w:hanging="529"/>
      </w:pPr>
      <w:rPr>
        <w:rFonts w:hint="default"/>
        <w:lang w:val="en-US" w:eastAsia="zh-CN" w:bidi="ar-SA"/>
      </w:rPr>
    </w:lvl>
  </w:abstractNum>
  <w:abstractNum w:abstractNumId="2">
    <w:multiLevelType w:val="hybridMultilevel"/>
    <w:lvl w:ilvl="0">
      <w:start w:val="0"/>
      <w:numFmt w:val="bullet"/>
      <w:lvlText w:val=""/>
      <w:lvlJc w:val="left"/>
      <w:pPr>
        <w:ind w:left="377" w:hanging="264"/>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973" w:hanging="264"/>
      </w:pPr>
      <w:rPr>
        <w:rFonts w:hint="default"/>
        <w:lang w:val="en-US" w:eastAsia="zh-CN" w:bidi="ar-SA"/>
      </w:rPr>
    </w:lvl>
    <w:lvl w:ilvl="2">
      <w:start w:val="0"/>
      <w:numFmt w:val="bullet"/>
      <w:lvlText w:val="•"/>
      <w:lvlJc w:val="left"/>
      <w:pPr>
        <w:ind w:left="1567" w:hanging="264"/>
      </w:pPr>
      <w:rPr>
        <w:rFonts w:hint="default"/>
        <w:lang w:val="en-US" w:eastAsia="zh-CN" w:bidi="ar-SA"/>
      </w:rPr>
    </w:lvl>
    <w:lvl w:ilvl="3">
      <w:start w:val="0"/>
      <w:numFmt w:val="bullet"/>
      <w:lvlText w:val="•"/>
      <w:lvlJc w:val="left"/>
      <w:pPr>
        <w:ind w:left="2161" w:hanging="264"/>
      </w:pPr>
      <w:rPr>
        <w:rFonts w:hint="default"/>
        <w:lang w:val="en-US" w:eastAsia="zh-CN" w:bidi="ar-SA"/>
      </w:rPr>
    </w:lvl>
    <w:lvl w:ilvl="4">
      <w:start w:val="0"/>
      <w:numFmt w:val="bullet"/>
      <w:lvlText w:val="•"/>
      <w:lvlJc w:val="left"/>
      <w:pPr>
        <w:ind w:left="2755" w:hanging="264"/>
      </w:pPr>
      <w:rPr>
        <w:rFonts w:hint="default"/>
        <w:lang w:val="en-US" w:eastAsia="zh-CN" w:bidi="ar-SA"/>
      </w:rPr>
    </w:lvl>
    <w:lvl w:ilvl="5">
      <w:start w:val="0"/>
      <w:numFmt w:val="bullet"/>
      <w:lvlText w:val="•"/>
      <w:lvlJc w:val="left"/>
      <w:pPr>
        <w:ind w:left="3349" w:hanging="264"/>
      </w:pPr>
      <w:rPr>
        <w:rFonts w:hint="default"/>
        <w:lang w:val="en-US" w:eastAsia="zh-CN" w:bidi="ar-SA"/>
      </w:rPr>
    </w:lvl>
    <w:lvl w:ilvl="6">
      <w:start w:val="0"/>
      <w:numFmt w:val="bullet"/>
      <w:lvlText w:val="•"/>
      <w:lvlJc w:val="left"/>
      <w:pPr>
        <w:ind w:left="3943" w:hanging="264"/>
      </w:pPr>
      <w:rPr>
        <w:rFonts w:hint="default"/>
        <w:lang w:val="en-US" w:eastAsia="zh-CN" w:bidi="ar-SA"/>
      </w:rPr>
    </w:lvl>
    <w:lvl w:ilvl="7">
      <w:start w:val="0"/>
      <w:numFmt w:val="bullet"/>
      <w:lvlText w:val="•"/>
      <w:lvlJc w:val="left"/>
      <w:pPr>
        <w:ind w:left="4537" w:hanging="264"/>
      </w:pPr>
      <w:rPr>
        <w:rFonts w:hint="default"/>
        <w:lang w:val="en-US" w:eastAsia="zh-CN" w:bidi="ar-SA"/>
      </w:rPr>
    </w:lvl>
    <w:lvl w:ilvl="8">
      <w:start w:val="0"/>
      <w:numFmt w:val="bullet"/>
      <w:lvlText w:val="•"/>
      <w:lvlJc w:val="left"/>
      <w:pPr>
        <w:ind w:left="5131" w:hanging="264"/>
      </w:pPr>
      <w:rPr>
        <w:rFonts w:hint="default"/>
        <w:lang w:val="en-US" w:eastAsia="zh-CN" w:bidi="ar-SA"/>
      </w:rPr>
    </w:lvl>
  </w:abstractNum>
  <w:abstractNum w:abstractNumId="1">
    <w:multiLevelType w:val="hybridMultilevel"/>
    <w:lvl w:ilvl="0">
      <w:start w:val="0"/>
      <w:numFmt w:val="bullet"/>
      <w:lvlText w:val=""/>
      <w:lvlJc w:val="left"/>
      <w:pPr>
        <w:ind w:left="377" w:hanging="264"/>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973" w:hanging="264"/>
      </w:pPr>
      <w:rPr>
        <w:rFonts w:hint="default"/>
        <w:lang w:val="en-US" w:eastAsia="zh-CN" w:bidi="ar-SA"/>
      </w:rPr>
    </w:lvl>
    <w:lvl w:ilvl="2">
      <w:start w:val="0"/>
      <w:numFmt w:val="bullet"/>
      <w:lvlText w:val="•"/>
      <w:lvlJc w:val="left"/>
      <w:pPr>
        <w:ind w:left="1567" w:hanging="264"/>
      </w:pPr>
      <w:rPr>
        <w:rFonts w:hint="default"/>
        <w:lang w:val="en-US" w:eastAsia="zh-CN" w:bidi="ar-SA"/>
      </w:rPr>
    </w:lvl>
    <w:lvl w:ilvl="3">
      <w:start w:val="0"/>
      <w:numFmt w:val="bullet"/>
      <w:lvlText w:val="•"/>
      <w:lvlJc w:val="left"/>
      <w:pPr>
        <w:ind w:left="2161" w:hanging="264"/>
      </w:pPr>
      <w:rPr>
        <w:rFonts w:hint="default"/>
        <w:lang w:val="en-US" w:eastAsia="zh-CN" w:bidi="ar-SA"/>
      </w:rPr>
    </w:lvl>
    <w:lvl w:ilvl="4">
      <w:start w:val="0"/>
      <w:numFmt w:val="bullet"/>
      <w:lvlText w:val="•"/>
      <w:lvlJc w:val="left"/>
      <w:pPr>
        <w:ind w:left="2755" w:hanging="264"/>
      </w:pPr>
      <w:rPr>
        <w:rFonts w:hint="default"/>
        <w:lang w:val="en-US" w:eastAsia="zh-CN" w:bidi="ar-SA"/>
      </w:rPr>
    </w:lvl>
    <w:lvl w:ilvl="5">
      <w:start w:val="0"/>
      <w:numFmt w:val="bullet"/>
      <w:lvlText w:val="•"/>
      <w:lvlJc w:val="left"/>
      <w:pPr>
        <w:ind w:left="3349" w:hanging="264"/>
      </w:pPr>
      <w:rPr>
        <w:rFonts w:hint="default"/>
        <w:lang w:val="en-US" w:eastAsia="zh-CN" w:bidi="ar-SA"/>
      </w:rPr>
    </w:lvl>
    <w:lvl w:ilvl="6">
      <w:start w:val="0"/>
      <w:numFmt w:val="bullet"/>
      <w:lvlText w:val="•"/>
      <w:lvlJc w:val="left"/>
      <w:pPr>
        <w:ind w:left="3943" w:hanging="264"/>
      </w:pPr>
      <w:rPr>
        <w:rFonts w:hint="default"/>
        <w:lang w:val="en-US" w:eastAsia="zh-CN" w:bidi="ar-SA"/>
      </w:rPr>
    </w:lvl>
    <w:lvl w:ilvl="7">
      <w:start w:val="0"/>
      <w:numFmt w:val="bullet"/>
      <w:lvlText w:val="•"/>
      <w:lvlJc w:val="left"/>
      <w:pPr>
        <w:ind w:left="4537" w:hanging="264"/>
      </w:pPr>
      <w:rPr>
        <w:rFonts w:hint="default"/>
        <w:lang w:val="en-US" w:eastAsia="zh-CN" w:bidi="ar-SA"/>
      </w:rPr>
    </w:lvl>
    <w:lvl w:ilvl="8">
      <w:start w:val="0"/>
      <w:numFmt w:val="bullet"/>
      <w:lvlText w:val="•"/>
      <w:lvlJc w:val="left"/>
      <w:pPr>
        <w:ind w:left="5131" w:hanging="264"/>
      </w:pPr>
      <w:rPr>
        <w:rFonts w:hint="default"/>
        <w:lang w:val="en-US" w:eastAsia="zh-CN" w:bidi="ar-SA"/>
      </w:rPr>
    </w:lvl>
  </w:abstractNum>
  <w:abstractNum w:abstractNumId="0">
    <w:multiLevelType w:val="hybridMultilevel"/>
    <w:lvl w:ilvl="0">
      <w:start w:val="0"/>
      <w:numFmt w:val="bullet"/>
      <w:lvlText w:val=""/>
      <w:lvlJc w:val="left"/>
      <w:pPr>
        <w:ind w:left="377" w:hanging="264"/>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973" w:hanging="264"/>
      </w:pPr>
      <w:rPr>
        <w:rFonts w:hint="default"/>
        <w:lang w:val="en-US" w:eastAsia="zh-CN" w:bidi="ar-SA"/>
      </w:rPr>
    </w:lvl>
    <w:lvl w:ilvl="2">
      <w:start w:val="0"/>
      <w:numFmt w:val="bullet"/>
      <w:lvlText w:val="•"/>
      <w:lvlJc w:val="left"/>
      <w:pPr>
        <w:ind w:left="1567" w:hanging="264"/>
      </w:pPr>
      <w:rPr>
        <w:rFonts w:hint="default"/>
        <w:lang w:val="en-US" w:eastAsia="zh-CN" w:bidi="ar-SA"/>
      </w:rPr>
    </w:lvl>
    <w:lvl w:ilvl="3">
      <w:start w:val="0"/>
      <w:numFmt w:val="bullet"/>
      <w:lvlText w:val="•"/>
      <w:lvlJc w:val="left"/>
      <w:pPr>
        <w:ind w:left="2161" w:hanging="264"/>
      </w:pPr>
      <w:rPr>
        <w:rFonts w:hint="default"/>
        <w:lang w:val="en-US" w:eastAsia="zh-CN" w:bidi="ar-SA"/>
      </w:rPr>
    </w:lvl>
    <w:lvl w:ilvl="4">
      <w:start w:val="0"/>
      <w:numFmt w:val="bullet"/>
      <w:lvlText w:val="•"/>
      <w:lvlJc w:val="left"/>
      <w:pPr>
        <w:ind w:left="2755" w:hanging="264"/>
      </w:pPr>
      <w:rPr>
        <w:rFonts w:hint="default"/>
        <w:lang w:val="en-US" w:eastAsia="zh-CN" w:bidi="ar-SA"/>
      </w:rPr>
    </w:lvl>
    <w:lvl w:ilvl="5">
      <w:start w:val="0"/>
      <w:numFmt w:val="bullet"/>
      <w:lvlText w:val="•"/>
      <w:lvlJc w:val="left"/>
      <w:pPr>
        <w:ind w:left="3349" w:hanging="264"/>
      </w:pPr>
      <w:rPr>
        <w:rFonts w:hint="default"/>
        <w:lang w:val="en-US" w:eastAsia="zh-CN" w:bidi="ar-SA"/>
      </w:rPr>
    </w:lvl>
    <w:lvl w:ilvl="6">
      <w:start w:val="0"/>
      <w:numFmt w:val="bullet"/>
      <w:lvlText w:val="•"/>
      <w:lvlJc w:val="left"/>
      <w:pPr>
        <w:ind w:left="3943" w:hanging="264"/>
      </w:pPr>
      <w:rPr>
        <w:rFonts w:hint="default"/>
        <w:lang w:val="en-US" w:eastAsia="zh-CN" w:bidi="ar-SA"/>
      </w:rPr>
    </w:lvl>
    <w:lvl w:ilvl="7">
      <w:start w:val="0"/>
      <w:numFmt w:val="bullet"/>
      <w:lvlText w:val="•"/>
      <w:lvlJc w:val="left"/>
      <w:pPr>
        <w:ind w:left="4537" w:hanging="264"/>
      </w:pPr>
      <w:rPr>
        <w:rFonts w:hint="default"/>
        <w:lang w:val="en-US" w:eastAsia="zh-CN" w:bidi="ar-SA"/>
      </w:rPr>
    </w:lvl>
    <w:lvl w:ilvl="8">
      <w:start w:val="0"/>
      <w:numFmt w:val="bullet"/>
      <w:lvlText w:val="•"/>
      <w:lvlJc w:val="left"/>
      <w:pPr>
        <w:ind w:left="5131" w:hanging="264"/>
      </w:pPr>
      <w:rPr>
        <w:rFonts w:hint="default"/>
        <w:lang w:val="en-US" w:eastAsia="zh-CN" w:bidi="ar-SA"/>
      </w:rPr>
    </w:lvl>
  </w:abstract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54"/>
      <w:ind w:left="222" w:right="387"/>
      <w:jc w:val="center"/>
      <w:outlineLvl w:val="1"/>
    </w:pPr>
    <w:rPr>
      <w:rFonts w:ascii="宋体" w:hAnsi="宋体" w:eastAsia="宋体" w:cs="宋体"/>
      <w:b/>
      <w:bCs/>
      <w:sz w:val="32"/>
      <w:szCs w:val="32"/>
      <w:lang w:val="en-US" w:eastAsia="zh-CN" w:bidi="ar-SA"/>
    </w:rPr>
  </w:style>
  <w:style w:styleId="Heading2" w:type="paragraph">
    <w:name w:val="Heading 2"/>
    <w:basedOn w:val="Normal"/>
    <w:uiPriority w:val="1"/>
    <w:qFormat/>
    <w:pPr>
      <w:ind w:left="1341" w:hanging="1100"/>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spacing w:before="94"/>
      <w:ind w:left="1341"/>
      <w:outlineLvl w:val="3"/>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1341" w:hanging="1100"/>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footer" Target="footer1.xml"/><Relationship Id="rId9" Type="http://schemas.openxmlformats.org/officeDocument/2006/relationships/image" Target="media/image4.jpe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2023-06-02T02:40:59Z</dcterms:created>
  <dcterms:modified xsi:type="dcterms:W3CDTF">2023-06-02T02:40:59Z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