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3"/>
        <w:ind w:left="6467"/>
      </w:pPr>
      <w:r>
        <w:rPr>
          <w:spacing w:val="-2"/>
        </w:rPr>
        <w:t>中意人寿[2019</w:t>
      </w:r>
      <w:r>
        <w:rPr>
          <w:spacing w:val="-10"/>
        </w:rPr>
        <w:t>]医疗保险 </w:t>
      </w:r>
      <w:r>
        <w:rPr>
          <w:spacing w:val="-2"/>
        </w:rPr>
        <w:t>030</w:t>
      </w:r>
      <w:r>
        <w:rPr>
          <w:spacing w:val="-27"/>
        </w:rPr>
        <w:t> 号</w:t>
      </w:r>
    </w:p>
    <w:p>
      <w:pPr>
        <w:pStyle w:val="BodyText"/>
        <w:spacing w:before="6"/>
        <w:rPr>
          <w:sz w:val="7"/>
        </w:rPr>
      </w:pPr>
      <w:r>
        <w:rPr/>
        <w:drawing>
          <wp:anchor distT="0" distB="0" distL="0" distR="0" allowOverlap="1" layoutInCell="1" locked="0" behindDoc="0" simplePos="0" relativeHeight="0">
            <wp:simplePos x="0" y="0"/>
            <wp:positionH relativeFrom="page">
              <wp:posOffset>1080769</wp:posOffset>
            </wp:positionH>
            <wp:positionV relativeFrom="paragraph">
              <wp:posOffset>140676</wp:posOffset>
            </wp:positionV>
            <wp:extent cx="1291139" cy="447675"/>
            <wp:effectExtent l="0" t="0" r="0" b="0"/>
            <wp:wrapTopAndBottom/>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291139" cy="447675"/>
                    </a:xfrm>
                    <a:prstGeom prst="rect">
                      <a:avLst/>
                    </a:prstGeom>
                  </pic:spPr>
                </pic:pic>
              </a:graphicData>
            </a:graphic>
          </wp:anchor>
        </w:drawing>
      </w:r>
      <w:r>
        <w:rPr/>
        <w:drawing>
          <wp:anchor distT="0" distB="0" distL="0" distR="0" allowOverlap="1" layoutInCell="1" locked="0" behindDoc="0" simplePos="0" relativeHeight="1">
            <wp:simplePos x="0" y="0"/>
            <wp:positionH relativeFrom="page">
              <wp:posOffset>5584190</wp:posOffset>
            </wp:positionH>
            <wp:positionV relativeFrom="paragraph">
              <wp:posOffset>76541</wp:posOffset>
            </wp:positionV>
            <wp:extent cx="723900" cy="723900"/>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90"/>
        <w:ind w:right="768"/>
        <w:jc w:val="right"/>
      </w:pPr>
      <w:r>
        <w:rPr>
          <w:spacing w:val="-3"/>
        </w:rPr>
        <w:t>请扫描以查询验证条款</w:t>
      </w:r>
    </w:p>
    <w:p>
      <w:pPr>
        <w:pStyle w:val="BodyText"/>
        <w:spacing w:before="1"/>
        <w:rPr>
          <w:sz w:val="18"/>
        </w:rPr>
      </w:pPr>
    </w:p>
    <w:p>
      <w:pPr>
        <w:pStyle w:val="Heading1"/>
      </w:pPr>
      <w:r>
        <w:rPr>
          <w:spacing w:val="-4"/>
        </w:rPr>
        <w:t>阅 读 提 示</w:t>
      </w:r>
    </w:p>
    <w:p>
      <w:pPr>
        <w:spacing w:before="248"/>
        <w:ind w:left="216" w:right="403" w:firstLine="0"/>
        <w:jc w:val="center"/>
        <w:rPr>
          <w:b/>
          <w:sz w:val="21"/>
        </w:rPr>
      </w:pPr>
      <w:r>
        <w:rPr>
          <w:b/>
          <w:spacing w:val="-3"/>
          <w:sz w:val="21"/>
        </w:rPr>
        <w:t>本阅读提示是为了帮助您更好理解条款，对本合同内容的解释以条款正文为准。</w:t>
      </w:r>
    </w:p>
    <w:p>
      <w:pPr>
        <w:pStyle w:val="BodyText"/>
        <w:spacing w:before="11"/>
        <w:rPr>
          <w:b/>
          <w:sz w:val="18"/>
        </w:rPr>
      </w:pP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4"/>
        <w:gridCol w:w="6319"/>
        <w:gridCol w:w="1531"/>
        <w:gridCol w:w="1129"/>
      </w:tblGrid>
      <w:tr>
        <w:trPr>
          <w:trHeight w:val="802" w:hRule="atLeast"/>
        </w:trPr>
        <w:tc>
          <w:tcPr>
            <w:tcW w:w="364" w:type="dxa"/>
          </w:tcPr>
          <w:p>
            <w:pPr>
              <w:pStyle w:val="TableParagraph"/>
              <w:spacing w:before="1"/>
              <w:ind w:left="50"/>
              <w:rPr>
                <w:rFonts w:ascii="Symbol" w:hAnsi="Symbol"/>
                <w:b/>
                <w:sz w:val="21"/>
              </w:rPr>
            </w:pPr>
            <w:r>
              <w:rPr>
                <w:rFonts w:ascii="Symbol" w:hAnsi="Symbol"/>
                <w:b/>
                <w:w w:val="100"/>
                <w:sz w:val="21"/>
              </w:rPr>
              <w:t></w:t>
            </w:r>
          </w:p>
        </w:tc>
        <w:tc>
          <w:tcPr>
            <w:tcW w:w="6319" w:type="dxa"/>
          </w:tcPr>
          <w:p>
            <w:pPr>
              <w:pStyle w:val="TableParagraph"/>
              <w:spacing w:before="2"/>
              <w:ind w:left="105"/>
              <w:rPr>
                <w:b/>
                <w:sz w:val="21"/>
              </w:rPr>
            </w:pPr>
            <w:r>
              <w:rPr>
                <w:b/>
                <w:spacing w:val="-2"/>
                <w:sz w:val="21"/>
              </w:rPr>
              <w:t>您拥有的重要权益</w:t>
            </w:r>
          </w:p>
          <w:p>
            <w:pPr>
              <w:pStyle w:val="TableParagraph"/>
              <w:numPr>
                <w:ilvl w:val="0"/>
                <w:numId w:val="1"/>
              </w:numPr>
              <w:tabs>
                <w:tab w:pos="378" w:val="left" w:leader="none"/>
              </w:tabs>
              <w:spacing w:line="240" w:lineRule="auto" w:before="5" w:after="0"/>
              <w:ind w:left="377" w:right="0" w:hanging="265"/>
              <w:jc w:val="left"/>
              <w:rPr>
                <w:rFonts w:ascii="Times New Roman" w:hAnsi="Times New Roman" w:eastAsia="Times New Roman"/>
                <w:sz w:val="21"/>
              </w:rPr>
            </w:pPr>
            <w:r>
              <w:rPr>
                <w:spacing w:val="-1"/>
                <w:sz w:val="21"/>
              </w:rPr>
              <w:t>被保险人可以享有本合同提供的保障利益</w:t>
            </w:r>
            <w:r>
              <w:rPr>
                <w:rFonts w:ascii="Times New Roman" w:hAnsi="Times New Roman" w:eastAsia="Times New Roman"/>
                <w:spacing w:val="-42"/>
                <w:sz w:val="21"/>
              </w:rPr>
              <w:t>································</w:t>
            </w:r>
          </w:p>
          <w:p>
            <w:pPr>
              <w:pStyle w:val="TableParagraph"/>
              <w:numPr>
                <w:ilvl w:val="0"/>
                <w:numId w:val="1"/>
              </w:numPr>
              <w:tabs>
                <w:tab w:pos="378" w:val="left" w:leader="none"/>
                <w:tab w:pos="4114" w:val="left" w:leader="none"/>
              </w:tabs>
              <w:spacing w:line="236" w:lineRule="exact" w:before="2" w:after="0"/>
              <w:ind w:left="377" w:right="0" w:hanging="265"/>
              <w:jc w:val="left"/>
              <w:rPr>
                <w:rFonts w:ascii="Times New Roman" w:hAnsi="Times New Roman" w:eastAsia="Times New Roman"/>
                <w:sz w:val="21"/>
              </w:rPr>
            </w:pPr>
            <w:r>
              <w:rPr>
                <w:sz w:val="21"/>
              </w:rPr>
              <w:t>您有权解除合</w:t>
            </w:r>
            <w:r>
              <w:rPr>
                <w:spacing w:val="30"/>
                <w:sz w:val="21"/>
              </w:rPr>
              <w:t>同</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tc>
        <w:tc>
          <w:tcPr>
            <w:tcW w:w="1531" w:type="dxa"/>
          </w:tcPr>
          <w:p>
            <w:pPr>
              <w:pStyle w:val="TableParagraph"/>
              <w:spacing w:before="8"/>
              <w:rPr>
                <w:b/>
                <w:sz w:val="22"/>
              </w:rPr>
            </w:pPr>
          </w:p>
          <w:p>
            <w:pPr>
              <w:pStyle w:val="TableParagraph"/>
              <w:ind w:left="92"/>
              <w:rPr>
                <w:rFonts w:ascii="Times New Roman" w:hAnsi="Times New Roman"/>
                <w:sz w:val="21"/>
              </w:rPr>
            </w:pPr>
            <w:r>
              <w:rPr>
                <w:rFonts w:ascii="Times New Roman" w:hAnsi="Times New Roman"/>
                <w:spacing w:val="-43"/>
                <w:sz w:val="21"/>
              </w:rPr>
              <w:t>································</w:t>
            </w:r>
          </w:p>
          <w:p>
            <w:pPr>
              <w:pStyle w:val="TableParagraph"/>
              <w:spacing w:line="222" w:lineRule="exact" w:before="29"/>
              <w:ind w:left="22"/>
              <w:rPr>
                <w:rFonts w:ascii="Times New Roman" w:hAnsi="Times New Roman"/>
                <w:sz w:val="21"/>
              </w:rPr>
            </w:pPr>
            <w:r>
              <w:rPr>
                <w:rFonts w:ascii="Times New Roman" w:hAnsi="Times New Roman"/>
                <w:spacing w:val="-43"/>
                <w:sz w:val="21"/>
              </w:rPr>
              <w:t>································</w:t>
            </w:r>
          </w:p>
        </w:tc>
        <w:tc>
          <w:tcPr>
            <w:tcW w:w="1129" w:type="dxa"/>
          </w:tcPr>
          <w:p>
            <w:pPr>
              <w:pStyle w:val="TableParagraph"/>
              <w:spacing w:before="8"/>
              <w:rPr>
                <w:b/>
                <w:sz w:val="22"/>
              </w:rPr>
            </w:pPr>
          </w:p>
          <w:p>
            <w:pPr>
              <w:pStyle w:val="TableParagraph"/>
              <w:ind w:right="47"/>
              <w:jc w:val="right"/>
              <w:rPr>
                <w:rFonts w:ascii="Times New Roman"/>
                <w:sz w:val="21"/>
              </w:rPr>
            </w:pPr>
            <w:r>
              <w:rPr>
                <w:rFonts w:ascii="Times New Roman"/>
                <w:spacing w:val="-5"/>
                <w:sz w:val="21"/>
              </w:rPr>
              <w:t>2.4</w:t>
            </w:r>
          </w:p>
          <w:p>
            <w:pPr>
              <w:pStyle w:val="TableParagraph"/>
              <w:spacing w:line="222" w:lineRule="exact" w:before="29"/>
              <w:ind w:right="49"/>
              <w:jc w:val="right"/>
              <w:rPr>
                <w:rFonts w:ascii="Times New Roman" w:hAnsi="Times New Roman"/>
                <w:sz w:val="21"/>
              </w:rPr>
            </w:pPr>
            <w:r>
              <w:rPr>
                <w:rFonts w:ascii="Times New Roman" w:hAnsi="Times New Roman"/>
                <w:spacing w:val="-18"/>
                <w:sz w:val="21"/>
              </w:rPr>
              <w:t>···</w:t>
            </w:r>
            <w:r>
              <w:rPr>
                <w:rFonts w:ascii="Times New Roman" w:hAnsi="Times New Roman"/>
                <w:spacing w:val="42"/>
                <w:sz w:val="21"/>
              </w:rPr>
              <w:t> </w:t>
            </w:r>
            <w:r>
              <w:rPr>
                <w:rFonts w:ascii="Times New Roman" w:hAnsi="Times New Roman"/>
                <w:spacing w:val="-10"/>
                <w:sz w:val="21"/>
              </w:rPr>
              <w:t>5</w:t>
            </w:r>
          </w:p>
        </w:tc>
      </w:tr>
      <w:tr>
        <w:trPr>
          <w:trHeight w:val="805" w:hRule="atLeast"/>
        </w:trPr>
        <w:tc>
          <w:tcPr>
            <w:tcW w:w="364" w:type="dxa"/>
          </w:tcPr>
          <w:p>
            <w:pPr>
              <w:pStyle w:val="TableParagraph"/>
              <w:rPr>
                <w:b/>
                <w:sz w:val="20"/>
              </w:rPr>
            </w:pPr>
          </w:p>
          <w:p>
            <w:pPr>
              <w:pStyle w:val="TableParagraph"/>
              <w:ind w:left="50"/>
              <w:rPr>
                <w:rFonts w:ascii="Symbol" w:hAnsi="Symbol"/>
                <w:b/>
                <w:sz w:val="21"/>
              </w:rPr>
            </w:pPr>
            <w:r>
              <w:rPr>
                <w:rFonts w:ascii="Symbol" w:hAnsi="Symbol"/>
                <w:b/>
                <w:w w:val="100"/>
                <w:sz w:val="21"/>
              </w:rPr>
              <w:t></w:t>
            </w:r>
          </w:p>
        </w:tc>
        <w:tc>
          <w:tcPr>
            <w:tcW w:w="6319" w:type="dxa"/>
          </w:tcPr>
          <w:p>
            <w:pPr>
              <w:pStyle w:val="TableParagraph"/>
              <w:spacing w:before="1"/>
              <w:rPr>
                <w:b/>
                <w:sz w:val="20"/>
              </w:rPr>
            </w:pPr>
          </w:p>
          <w:p>
            <w:pPr>
              <w:pStyle w:val="TableParagraph"/>
              <w:ind w:left="105"/>
              <w:rPr>
                <w:b/>
                <w:sz w:val="21"/>
              </w:rPr>
            </w:pPr>
            <w:r>
              <w:rPr>
                <w:b/>
                <w:spacing w:val="-3"/>
                <w:sz w:val="21"/>
              </w:rPr>
              <w:t>您应当特别注意的事项</w:t>
            </w:r>
          </w:p>
          <w:p>
            <w:pPr>
              <w:pStyle w:val="TableParagraph"/>
              <w:numPr>
                <w:ilvl w:val="0"/>
                <w:numId w:val="2"/>
              </w:numPr>
              <w:tabs>
                <w:tab w:pos="378" w:val="left" w:leader="none"/>
                <w:tab w:pos="5993" w:val="left" w:leader="none"/>
              </w:tabs>
              <w:spacing w:line="254" w:lineRule="exact" w:before="5" w:after="0"/>
              <w:ind w:left="377" w:right="0" w:hanging="265"/>
              <w:jc w:val="left"/>
              <w:rPr>
                <w:rFonts w:ascii="Times New Roman" w:hAnsi="Times New Roman" w:eastAsia="Times New Roman"/>
                <w:sz w:val="21"/>
              </w:rPr>
            </w:pPr>
            <w:r>
              <w:rPr>
                <w:sz w:val="21"/>
              </w:rPr>
              <w:t>在某些情况下，我们不承</w:t>
            </w:r>
            <w:r>
              <w:rPr>
                <w:sz w:val="21"/>
              </w:rPr>
              <w:t>担保险责</w:t>
            </w:r>
            <w:r>
              <w:rPr>
                <w:spacing w:val="5"/>
                <w:sz w:val="21"/>
              </w:rPr>
              <w:t>任</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tc>
        <w:tc>
          <w:tcPr>
            <w:tcW w:w="2660" w:type="dxa"/>
            <w:gridSpan w:val="2"/>
          </w:tcPr>
          <w:p>
            <w:pPr>
              <w:pStyle w:val="TableParagraph"/>
              <w:rPr>
                <w:b/>
                <w:sz w:val="22"/>
              </w:rPr>
            </w:pPr>
          </w:p>
          <w:p>
            <w:pPr>
              <w:pStyle w:val="TableParagraph"/>
              <w:spacing w:before="6"/>
              <w:rPr>
                <w:b/>
                <w:sz w:val="19"/>
              </w:rPr>
            </w:pPr>
          </w:p>
          <w:p>
            <w:pPr>
              <w:pStyle w:val="TableParagraph"/>
              <w:spacing w:line="254" w:lineRule="exact"/>
              <w:ind w:left="455"/>
              <w:rPr>
                <w:rFonts w:ascii="Times New Roman" w:eastAsia="Times New Roman"/>
                <w:sz w:val="21"/>
              </w:rPr>
            </w:pPr>
            <w:r>
              <w:rPr>
                <w:rFonts w:ascii="Times New Roman" w:eastAsia="Times New Roman"/>
                <w:spacing w:val="-2"/>
                <w:sz w:val="21"/>
              </w:rPr>
              <w:t>2.4</w:t>
            </w:r>
            <w:r>
              <w:rPr>
                <w:spacing w:val="-2"/>
                <w:sz w:val="21"/>
              </w:rPr>
              <w:t>、</w:t>
            </w:r>
            <w:r>
              <w:rPr>
                <w:rFonts w:ascii="Times New Roman" w:eastAsia="Times New Roman"/>
                <w:spacing w:val="-2"/>
                <w:sz w:val="21"/>
              </w:rPr>
              <w:t>2.7</w:t>
            </w:r>
            <w:r>
              <w:rPr>
                <w:spacing w:val="-2"/>
                <w:sz w:val="21"/>
              </w:rPr>
              <w:t>、</w:t>
            </w:r>
            <w:r>
              <w:rPr>
                <w:rFonts w:ascii="Times New Roman" w:eastAsia="Times New Roman"/>
                <w:spacing w:val="-2"/>
                <w:sz w:val="21"/>
              </w:rPr>
              <w:t>3.2</w:t>
            </w:r>
            <w:r>
              <w:rPr>
                <w:spacing w:val="-2"/>
                <w:sz w:val="21"/>
              </w:rPr>
              <w:t>、</w:t>
            </w:r>
            <w:r>
              <w:rPr>
                <w:rFonts w:ascii="Times New Roman" w:eastAsia="Times New Roman"/>
                <w:spacing w:val="-2"/>
                <w:sz w:val="21"/>
              </w:rPr>
              <w:t>3.4</w:t>
            </w:r>
            <w:r>
              <w:rPr>
                <w:spacing w:val="-2"/>
                <w:sz w:val="21"/>
              </w:rPr>
              <w:t>、</w:t>
            </w:r>
            <w:r>
              <w:rPr>
                <w:rFonts w:ascii="Times New Roman" w:eastAsia="Times New Roman"/>
                <w:spacing w:val="-5"/>
                <w:sz w:val="21"/>
              </w:rPr>
              <w:t>7.1</w:t>
            </w:r>
          </w:p>
        </w:tc>
      </w:tr>
      <w:tr>
        <w:trPr>
          <w:trHeight w:val="1888" w:hRule="atLeast"/>
        </w:trPr>
        <w:tc>
          <w:tcPr>
            <w:tcW w:w="364" w:type="dxa"/>
          </w:tcPr>
          <w:p>
            <w:pPr>
              <w:pStyle w:val="TableParagraph"/>
              <w:rPr>
                <w:rFonts w:ascii="Times New Roman"/>
                <w:sz w:val="20"/>
              </w:rPr>
            </w:pPr>
          </w:p>
        </w:tc>
        <w:tc>
          <w:tcPr>
            <w:tcW w:w="6319" w:type="dxa"/>
          </w:tcPr>
          <w:p>
            <w:pPr>
              <w:pStyle w:val="TableParagraph"/>
              <w:numPr>
                <w:ilvl w:val="0"/>
                <w:numId w:val="3"/>
              </w:numPr>
              <w:tabs>
                <w:tab w:pos="378" w:val="left" w:leader="none"/>
                <w:tab w:pos="5367" w:val="left" w:leader="none"/>
              </w:tabs>
              <w:spacing w:line="267" w:lineRule="exact" w:before="0" w:after="0"/>
              <w:ind w:left="377" w:right="0" w:hanging="265"/>
              <w:jc w:val="left"/>
              <w:rPr>
                <w:rFonts w:ascii="Times New Roman" w:hAnsi="Times New Roman" w:eastAsia="Times New Roman"/>
                <w:sz w:val="21"/>
              </w:rPr>
            </w:pPr>
            <w:r>
              <w:rPr>
                <w:sz w:val="21"/>
              </w:rPr>
              <w:t>您应及时向我们通知保险事</w:t>
            </w:r>
            <w:r>
              <w:rPr>
                <w:spacing w:val="12"/>
                <w:sz w:val="21"/>
              </w:rPr>
              <w:t>故</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p>
            <w:pPr>
              <w:pStyle w:val="TableParagraph"/>
              <w:numPr>
                <w:ilvl w:val="0"/>
                <w:numId w:val="3"/>
              </w:numPr>
              <w:tabs>
                <w:tab w:pos="378" w:val="left" w:leader="none"/>
              </w:tabs>
              <w:spacing w:line="240" w:lineRule="auto" w:before="5" w:after="0"/>
              <w:ind w:left="377" w:right="0" w:hanging="265"/>
              <w:jc w:val="left"/>
              <w:rPr>
                <w:rFonts w:ascii="Times New Roman" w:hAnsi="Times New Roman" w:eastAsia="Times New Roman"/>
                <w:sz w:val="21"/>
              </w:rPr>
            </w:pPr>
            <w:r>
              <w:rPr>
                <w:spacing w:val="-1"/>
                <w:sz w:val="21"/>
              </w:rPr>
              <w:t>受益人的保险金申请权应在一定期间内行使</w:t>
            </w:r>
            <w:r>
              <w:rPr>
                <w:rFonts w:ascii="Times New Roman" w:hAnsi="Times New Roman" w:eastAsia="Times New Roman"/>
                <w:spacing w:val="-42"/>
                <w:sz w:val="21"/>
              </w:rPr>
              <w:t>································</w:t>
            </w:r>
          </w:p>
          <w:p>
            <w:pPr>
              <w:pStyle w:val="TableParagraph"/>
              <w:numPr>
                <w:ilvl w:val="0"/>
                <w:numId w:val="3"/>
              </w:numPr>
              <w:tabs>
                <w:tab w:pos="378" w:val="left" w:leader="none"/>
                <w:tab w:pos="4532" w:val="left" w:leader="none"/>
              </w:tabs>
              <w:spacing w:line="240" w:lineRule="auto" w:before="2" w:after="0"/>
              <w:ind w:left="377" w:right="0" w:hanging="265"/>
              <w:jc w:val="left"/>
              <w:rPr>
                <w:rFonts w:ascii="Times New Roman" w:hAnsi="Times New Roman" w:eastAsia="Times New Roman"/>
                <w:sz w:val="21"/>
              </w:rPr>
            </w:pPr>
            <w:r>
              <w:rPr>
                <w:sz w:val="21"/>
              </w:rPr>
              <w:t>您应按时支付保险</w:t>
            </w:r>
            <w:r>
              <w:rPr>
                <w:spacing w:val="23"/>
                <w:sz w:val="21"/>
              </w:rPr>
              <w:t>费</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p>
            <w:pPr>
              <w:pStyle w:val="TableParagraph"/>
              <w:numPr>
                <w:ilvl w:val="0"/>
                <w:numId w:val="3"/>
              </w:numPr>
              <w:tabs>
                <w:tab w:pos="378" w:val="left" w:leader="none"/>
              </w:tabs>
              <w:spacing w:line="240" w:lineRule="auto" w:before="5" w:after="0"/>
              <w:ind w:left="377" w:right="0" w:hanging="268"/>
              <w:jc w:val="left"/>
              <w:rPr>
                <w:rFonts w:ascii="Times New Roman" w:hAnsi="Times New Roman" w:eastAsia="Times New Roman"/>
                <w:sz w:val="21"/>
              </w:rPr>
            </w:pPr>
            <w:r>
              <w:rPr>
                <w:spacing w:val="-1"/>
                <w:sz w:val="21"/>
              </w:rPr>
              <w:t>解除合同会给您造成一定的损失，请您慎重决策</w:t>
            </w:r>
            <w:r>
              <w:rPr>
                <w:rFonts w:ascii="Times New Roman" w:hAnsi="Times New Roman" w:eastAsia="Times New Roman"/>
                <w:spacing w:val="-42"/>
                <w:sz w:val="21"/>
              </w:rPr>
              <w:t>································</w:t>
            </w:r>
          </w:p>
          <w:p>
            <w:pPr>
              <w:pStyle w:val="TableParagraph"/>
              <w:numPr>
                <w:ilvl w:val="0"/>
                <w:numId w:val="3"/>
              </w:numPr>
              <w:tabs>
                <w:tab w:pos="378" w:val="left" w:leader="none"/>
                <w:tab w:pos="5576" w:val="left" w:leader="none"/>
              </w:tabs>
              <w:spacing w:line="240" w:lineRule="auto" w:before="2" w:after="0"/>
              <w:ind w:left="377" w:right="0" w:hanging="268"/>
              <w:jc w:val="left"/>
              <w:rPr>
                <w:rFonts w:ascii="Times New Roman" w:hAnsi="Times New Roman" w:eastAsia="Times New Roman"/>
                <w:sz w:val="21"/>
              </w:rPr>
            </w:pPr>
            <w:r>
              <w:rPr>
                <w:sz w:val="21"/>
              </w:rPr>
              <w:t>在某些情况下，本合同效</w:t>
            </w:r>
            <w:r>
              <w:rPr>
                <w:sz w:val="21"/>
              </w:rPr>
              <w:t>力终</w:t>
            </w:r>
            <w:r>
              <w:rPr>
                <w:spacing w:val="10"/>
                <w:sz w:val="21"/>
              </w:rPr>
              <w:t>止</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9"/>
                <w:sz w:val="21"/>
              </w:rPr>
              <w:t>································</w:t>
            </w:r>
          </w:p>
          <w:p>
            <w:pPr>
              <w:pStyle w:val="TableParagraph"/>
              <w:numPr>
                <w:ilvl w:val="0"/>
                <w:numId w:val="3"/>
              </w:numPr>
              <w:tabs>
                <w:tab w:pos="378" w:val="left" w:leader="none"/>
                <w:tab w:pos="4532" w:val="left" w:leader="none"/>
              </w:tabs>
              <w:spacing w:line="240" w:lineRule="auto" w:before="4" w:after="0"/>
              <w:ind w:left="377" w:right="0" w:hanging="265"/>
              <w:jc w:val="left"/>
              <w:rPr>
                <w:rFonts w:ascii="Times New Roman" w:hAnsi="Times New Roman" w:eastAsia="Times New Roman"/>
                <w:sz w:val="21"/>
              </w:rPr>
            </w:pPr>
            <w:r>
              <w:rPr>
                <w:sz w:val="21"/>
              </w:rPr>
              <w:t>您有如实告知的义</w:t>
            </w:r>
            <w:r>
              <w:rPr>
                <w:spacing w:val="23"/>
                <w:sz w:val="21"/>
              </w:rPr>
              <w:t>务</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p>
            <w:pPr>
              <w:pStyle w:val="TableParagraph"/>
              <w:numPr>
                <w:ilvl w:val="0"/>
                <w:numId w:val="3"/>
              </w:numPr>
              <w:tabs>
                <w:tab w:pos="378" w:val="left" w:leader="none"/>
              </w:tabs>
              <w:spacing w:line="236" w:lineRule="exact" w:before="2" w:after="0"/>
              <w:ind w:left="377" w:right="0" w:hanging="265"/>
              <w:jc w:val="left"/>
              <w:rPr>
                <w:rFonts w:ascii="Times New Roman" w:hAnsi="Times New Roman" w:eastAsia="Times New Roman"/>
                <w:sz w:val="21"/>
              </w:rPr>
            </w:pPr>
            <w:r>
              <w:rPr>
                <w:spacing w:val="-1"/>
                <w:sz w:val="21"/>
              </w:rPr>
              <w:t>我们对一些重要术语进行了解释，请您注意</w:t>
            </w:r>
            <w:r>
              <w:rPr>
                <w:rFonts w:ascii="Times New Roman" w:hAnsi="Times New Roman" w:eastAsia="Times New Roman"/>
                <w:spacing w:val="-42"/>
                <w:sz w:val="21"/>
              </w:rPr>
              <w:t>································</w:t>
            </w:r>
          </w:p>
        </w:tc>
        <w:tc>
          <w:tcPr>
            <w:tcW w:w="2660" w:type="dxa"/>
            <w:gridSpan w:val="2"/>
          </w:tcPr>
          <w:p>
            <w:pPr>
              <w:pStyle w:val="TableParagraph"/>
              <w:tabs>
                <w:tab w:pos="1070" w:val="left" w:leader="none"/>
              </w:tabs>
              <w:spacing w:before="11"/>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3.2</w:t>
            </w:r>
          </w:p>
          <w:p>
            <w:pPr>
              <w:pStyle w:val="TableParagraph"/>
              <w:tabs>
                <w:tab w:pos="2045" w:val="left" w:leader="none"/>
              </w:tabs>
              <w:spacing w:before="33"/>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3.6</w:t>
            </w:r>
          </w:p>
          <w:p>
            <w:pPr>
              <w:pStyle w:val="TableParagraph"/>
              <w:tabs>
                <w:tab w:pos="1905" w:val="left" w:leader="none"/>
              </w:tabs>
              <w:spacing w:before="30"/>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4.1</w:t>
            </w:r>
          </w:p>
          <w:p>
            <w:pPr>
              <w:pStyle w:val="TableParagraph"/>
              <w:tabs>
                <w:tab w:pos="1627" w:val="left" w:leader="none"/>
              </w:tabs>
              <w:spacing w:before="32"/>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5.1</w:t>
            </w:r>
          </w:p>
          <w:p>
            <w:pPr>
              <w:pStyle w:val="TableParagraph"/>
              <w:tabs>
                <w:tab w:pos="861" w:val="left" w:leader="none"/>
              </w:tabs>
              <w:spacing w:before="30"/>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6.1</w:t>
            </w:r>
          </w:p>
          <w:p>
            <w:pPr>
              <w:pStyle w:val="TableParagraph"/>
              <w:tabs>
                <w:tab w:pos="1905" w:val="left" w:leader="none"/>
              </w:tabs>
              <w:spacing w:before="32"/>
              <w:ind w:right="47"/>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7.1</w:t>
            </w:r>
          </w:p>
          <w:p>
            <w:pPr>
              <w:pStyle w:val="TableParagraph"/>
              <w:tabs>
                <w:tab w:pos="2201" w:val="left" w:leader="none"/>
              </w:tabs>
              <w:spacing w:line="222" w:lineRule="exact" w:before="29"/>
              <w:ind w:right="49"/>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10"/>
                <w:sz w:val="21"/>
              </w:rPr>
              <w:t>9</w:t>
            </w:r>
          </w:p>
        </w:tc>
      </w:tr>
    </w:tbl>
    <w:p>
      <w:pPr>
        <w:pStyle w:val="BodyText"/>
        <w:spacing w:before="1"/>
        <w:rPr>
          <w:b/>
          <w:sz w:val="20"/>
        </w:rPr>
      </w:pPr>
    </w:p>
    <w:p>
      <w:pPr>
        <w:tabs>
          <w:tab w:pos="641" w:val="left" w:leader="none"/>
        </w:tabs>
        <w:spacing w:before="0"/>
        <w:ind w:left="222" w:right="0" w:firstLine="0"/>
        <w:jc w:val="left"/>
        <w:rPr>
          <w:b/>
          <w:sz w:val="21"/>
        </w:rPr>
      </w:pPr>
      <w:r>
        <w:rPr>
          <w:rFonts w:ascii="Symbol" w:hAnsi="Symbol" w:eastAsia="Symbol"/>
          <w:b/>
          <w:spacing w:val="-10"/>
          <w:sz w:val="21"/>
        </w:rPr>
        <w:t></w:t>
      </w:r>
      <w:r>
        <w:rPr>
          <w:rFonts w:ascii="Times New Roman" w:hAnsi="Times New Roman" w:eastAsia="Times New Roman"/>
          <w:sz w:val="21"/>
        </w:rPr>
        <w:tab/>
      </w:r>
      <w:r>
        <w:rPr>
          <w:b/>
          <w:spacing w:val="-3"/>
          <w:sz w:val="21"/>
        </w:rPr>
        <w:t>条款是保险合同的重要内容，为充分保障您的权益，请您仔细阅读本条款。</w:t>
      </w:r>
    </w:p>
    <w:p>
      <w:pPr>
        <w:pStyle w:val="BodyText"/>
        <w:rPr>
          <w:b/>
          <w:sz w:val="19"/>
        </w:rPr>
      </w:pPr>
    </w:p>
    <w:p>
      <w:pPr>
        <w:tabs>
          <w:tab w:pos="641" w:val="left" w:leader="none"/>
        </w:tabs>
        <w:spacing w:before="0" w:after="14"/>
        <w:ind w:left="222" w:right="0" w:firstLine="0"/>
        <w:jc w:val="left"/>
        <w:rPr>
          <w:b/>
          <w:sz w:val="21"/>
        </w:rPr>
      </w:pPr>
      <w:r>
        <w:rPr>
          <w:rFonts w:ascii="Symbol" w:hAnsi="Symbol" w:eastAsia="Symbol"/>
          <w:b/>
          <w:spacing w:val="-10"/>
          <w:sz w:val="21"/>
        </w:rPr>
        <w:t></w:t>
      </w:r>
      <w:r>
        <w:rPr>
          <w:rFonts w:ascii="Times New Roman" w:hAnsi="Times New Roman" w:eastAsia="Times New Roman"/>
          <w:sz w:val="21"/>
        </w:rPr>
        <w:tab/>
      </w:r>
      <w:r>
        <w:rPr>
          <w:b/>
          <w:spacing w:val="-3"/>
          <w:sz w:val="21"/>
        </w:rPr>
        <w:t>条款目录</w:t>
      </w:r>
    </w:p>
    <w:tbl>
      <w:tblPr>
        <w:tblW w:w="0" w:type="auto"/>
        <w:jc w:val="left"/>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88"/>
        <w:gridCol w:w="419"/>
        <w:gridCol w:w="2715"/>
        <w:gridCol w:w="406"/>
        <w:gridCol w:w="3135"/>
      </w:tblGrid>
      <w:tr>
        <w:trPr>
          <w:trHeight w:val="445" w:hRule="atLeast"/>
        </w:trPr>
        <w:tc>
          <w:tcPr>
            <w:tcW w:w="2788" w:type="dxa"/>
            <w:tcBorders>
              <w:top w:val="dotted" w:sz="8" w:space="0" w:color="000000"/>
              <w:left w:val="dotted" w:sz="8" w:space="0" w:color="000000"/>
            </w:tcBorders>
          </w:tcPr>
          <w:p>
            <w:pPr>
              <w:pStyle w:val="TableParagraph"/>
              <w:spacing w:before="108"/>
              <w:ind w:left="107"/>
              <w:rPr>
                <w:b/>
                <w:sz w:val="21"/>
              </w:rPr>
            </w:pPr>
            <w:r>
              <w:rPr>
                <w:rFonts w:ascii="Times New Roman" w:eastAsia="Times New Roman"/>
                <w:b/>
                <w:sz w:val="21"/>
              </w:rPr>
              <w:t>1</w:t>
            </w:r>
            <w:r>
              <w:rPr>
                <w:rFonts w:ascii="Times New Roman" w:eastAsia="Times New Roman"/>
                <w:b/>
                <w:spacing w:val="49"/>
                <w:sz w:val="21"/>
              </w:rPr>
              <w:t> </w:t>
            </w:r>
            <w:r>
              <w:rPr>
                <w:b/>
                <w:spacing w:val="-2"/>
                <w:sz w:val="21"/>
              </w:rPr>
              <w:t>您与我们订立的合同</w:t>
            </w:r>
          </w:p>
        </w:tc>
        <w:tc>
          <w:tcPr>
            <w:tcW w:w="419" w:type="dxa"/>
            <w:tcBorders>
              <w:top w:val="dotted" w:sz="8" w:space="0" w:color="000000"/>
            </w:tcBorders>
          </w:tcPr>
          <w:p>
            <w:pPr>
              <w:pStyle w:val="TableParagraph"/>
              <w:spacing w:before="122"/>
              <w:ind w:right="41"/>
              <w:jc w:val="right"/>
              <w:rPr>
                <w:rFonts w:ascii="Times New Roman"/>
                <w:b/>
                <w:sz w:val="21"/>
              </w:rPr>
            </w:pPr>
            <w:r>
              <w:rPr>
                <w:rFonts w:ascii="Times New Roman"/>
                <w:b/>
                <w:w w:val="100"/>
                <w:sz w:val="21"/>
              </w:rPr>
              <w:t>3</w:t>
            </w:r>
          </w:p>
        </w:tc>
        <w:tc>
          <w:tcPr>
            <w:tcW w:w="2715" w:type="dxa"/>
            <w:tcBorders>
              <w:top w:val="dotted" w:sz="8" w:space="0" w:color="000000"/>
            </w:tcBorders>
          </w:tcPr>
          <w:p>
            <w:pPr>
              <w:pStyle w:val="TableParagraph"/>
              <w:spacing w:before="108"/>
              <w:ind w:left="62"/>
              <w:rPr>
                <w:b/>
                <w:sz w:val="21"/>
              </w:rPr>
            </w:pPr>
            <w:r>
              <w:rPr>
                <w:b/>
                <w:spacing w:val="-2"/>
                <w:sz w:val="21"/>
              </w:rPr>
              <w:t>保险金的申请</w:t>
            </w:r>
          </w:p>
        </w:tc>
        <w:tc>
          <w:tcPr>
            <w:tcW w:w="406" w:type="dxa"/>
            <w:tcBorders>
              <w:top w:val="dotted" w:sz="8" w:space="0" w:color="000000"/>
            </w:tcBorders>
          </w:tcPr>
          <w:p>
            <w:pPr>
              <w:pStyle w:val="TableParagraph"/>
              <w:spacing w:before="122"/>
              <w:ind w:right="41"/>
              <w:jc w:val="right"/>
              <w:rPr>
                <w:rFonts w:ascii="Times New Roman"/>
                <w:b/>
                <w:sz w:val="21"/>
              </w:rPr>
            </w:pPr>
            <w:r>
              <w:rPr>
                <w:rFonts w:ascii="Times New Roman"/>
                <w:b/>
                <w:w w:val="100"/>
                <w:sz w:val="21"/>
              </w:rPr>
              <w:t>6</w:t>
            </w:r>
          </w:p>
        </w:tc>
        <w:tc>
          <w:tcPr>
            <w:tcW w:w="3135" w:type="dxa"/>
            <w:tcBorders>
              <w:top w:val="dotted" w:sz="8" w:space="0" w:color="000000"/>
              <w:right w:val="dotted" w:sz="8" w:space="0" w:color="000000"/>
            </w:tcBorders>
          </w:tcPr>
          <w:p>
            <w:pPr>
              <w:pStyle w:val="TableParagraph"/>
              <w:spacing w:before="108"/>
              <w:ind w:left="51"/>
              <w:rPr>
                <w:b/>
                <w:sz w:val="21"/>
              </w:rPr>
            </w:pPr>
            <w:r>
              <w:rPr>
                <w:b/>
                <w:spacing w:val="-2"/>
                <w:sz w:val="21"/>
              </w:rPr>
              <w:t>合同效力的终止</w:t>
            </w:r>
          </w:p>
        </w:tc>
      </w:tr>
      <w:tr>
        <w:trPr>
          <w:trHeight w:val="397" w:hRule="atLeast"/>
        </w:trPr>
        <w:tc>
          <w:tcPr>
            <w:tcW w:w="2788" w:type="dxa"/>
            <w:tcBorders>
              <w:left w:val="dotted" w:sz="8" w:space="0" w:color="000000"/>
            </w:tcBorders>
          </w:tcPr>
          <w:p>
            <w:pPr>
              <w:pStyle w:val="TableParagraph"/>
              <w:spacing w:before="59"/>
              <w:ind w:left="318"/>
              <w:rPr>
                <w:sz w:val="21"/>
              </w:rPr>
            </w:pPr>
            <w:r>
              <w:rPr>
                <w:rFonts w:ascii="Times New Roman" w:eastAsia="Times New Roman"/>
                <w:sz w:val="21"/>
              </w:rPr>
              <w:t>1.1</w:t>
            </w:r>
            <w:r>
              <w:rPr>
                <w:rFonts w:ascii="Times New Roman" w:eastAsia="Times New Roman"/>
                <w:spacing w:val="-6"/>
                <w:sz w:val="21"/>
              </w:rPr>
              <w:t> </w:t>
            </w:r>
            <w:r>
              <w:rPr>
                <w:spacing w:val="-3"/>
                <w:sz w:val="21"/>
              </w:rPr>
              <w:t>合同构成</w:t>
            </w:r>
          </w:p>
        </w:tc>
        <w:tc>
          <w:tcPr>
            <w:tcW w:w="419" w:type="dxa"/>
          </w:tcPr>
          <w:p>
            <w:pPr>
              <w:pStyle w:val="TableParagraph"/>
              <w:rPr>
                <w:rFonts w:ascii="Times New Roman"/>
                <w:sz w:val="20"/>
              </w:rPr>
            </w:pPr>
          </w:p>
        </w:tc>
        <w:tc>
          <w:tcPr>
            <w:tcW w:w="2715" w:type="dxa"/>
          </w:tcPr>
          <w:p>
            <w:pPr>
              <w:pStyle w:val="TableParagraph"/>
              <w:spacing w:before="59"/>
              <w:ind w:left="62"/>
              <w:rPr>
                <w:sz w:val="21"/>
              </w:rPr>
            </w:pPr>
            <w:r>
              <w:rPr>
                <w:rFonts w:ascii="Times New Roman" w:eastAsia="Times New Roman"/>
                <w:sz w:val="21"/>
              </w:rPr>
              <w:t>3.1</w:t>
            </w:r>
            <w:r>
              <w:rPr>
                <w:rFonts w:ascii="Times New Roman" w:eastAsia="Times New Roman"/>
                <w:spacing w:val="-3"/>
                <w:sz w:val="21"/>
              </w:rPr>
              <w:t> </w:t>
            </w:r>
            <w:r>
              <w:rPr>
                <w:spacing w:val="-4"/>
                <w:sz w:val="21"/>
              </w:rPr>
              <w:t>受益人</w:t>
            </w:r>
          </w:p>
        </w:tc>
        <w:tc>
          <w:tcPr>
            <w:tcW w:w="406" w:type="dxa"/>
          </w:tcPr>
          <w:p>
            <w:pPr>
              <w:pStyle w:val="TableParagraph"/>
              <w:rPr>
                <w:rFonts w:ascii="Times New Roman"/>
                <w:sz w:val="20"/>
              </w:rPr>
            </w:pPr>
          </w:p>
        </w:tc>
        <w:tc>
          <w:tcPr>
            <w:tcW w:w="3135" w:type="dxa"/>
            <w:tcBorders>
              <w:right w:val="dotted" w:sz="8" w:space="0" w:color="000000"/>
            </w:tcBorders>
          </w:tcPr>
          <w:p>
            <w:pPr>
              <w:pStyle w:val="TableParagraph"/>
              <w:spacing w:before="59"/>
              <w:ind w:left="51"/>
              <w:rPr>
                <w:sz w:val="21"/>
              </w:rPr>
            </w:pPr>
            <w:r>
              <w:rPr>
                <w:rFonts w:ascii="Times New Roman" w:eastAsia="Times New Roman"/>
                <w:sz w:val="21"/>
              </w:rPr>
              <w:t>6.1</w:t>
            </w:r>
            <w:r>
              <w:rPr>
                <w:rFonts w:ascii="Times New Roman" w:eastAsia="Times New Roman"/>
                <w:spacing w:val="-9"/>
                <w:sz w:val="21"/>
              </w:rPr>
              <w:t> </w:t>
            </w:r>
            <w:r>
              <w:rPr>
                <w:spacing w:val="-2"/>
                <w:sz w:val="21"/>
              </w:rPr>
              <w:t>合同效力的终止</w:t>
            </w:r>
          </w:p>
        </w:tc>
      </w:tr>
      <w:tr>
        <w:trPr>
          <w:trHeight w:val="397" w:hRule="atLeast"/>
        </w:trPr>
        <w:tc>
          <w:tcPr>
            <w:tcW w:w="2788" w:type="dxa"/>
            <w:tcBorders>
              <w:left w:val="dotted" w:sz="8" w:space="0" w:color="000000"/>
            </w:tcBorders>
          </w:tcPr>
          <w:p>
            <w:pPr>
              <w:pStyle w:val="TableParagraph"/>
              <w:spacing w:before="60"/>
              <w:ind w:left="318"/>
              <w:rPr>
                <w:sz w:val="21"/>
              </w:rPr>
            </w:pPr>
            <w:r>
              <w:rPr>
                <w:rFonts w:ascii="Times New Roman" w:eastAsia="Times New Roman"/>
                <w:sz w:val="21"/>
              </w:rPr>
              <w:t>1.2</w:t>
            </w:r>
            <w:r>
              <w:rPr>
                <w:rFonts w:ascii="Times New Roman" w:eastAsia="Times New Roman"/>
                <w:spacing w:val="-14"/>
                <w:sz w:val="21"/>
              </w:rPr>
              <w:t> </w:t>
            </w:r>
            <w:r>
              <w:rPr>
                <w:spacing w:val="-2"/>
                <w:sz w:val="21"/>
              </w:rPr>
              <w:t>保险合同成立与生效</w:t>
            </w:r>
          </w:p>
        </w:tc>
        <w:tc>
          <w:tcPr>
            <w:tcW w:w="419" w:type="dxa"/>
          </w:tcPr>
          <w:p>
            <w:pPr>
              <w:pStyle w:val="TableParagraph"/>
              <w:rPr>
                <w:rFonts w:ascii="Times New Roman"/>
                <w:sz w:val="20"/>
              </w:rPr>
            </w:pPr>
          </w:p>
        </w:tc>
        <w:tc>
          <w:tcPr>
            <w:tcW w:w="2715" w:type="dxa"/>
          </w:tcPr>
          <w:p>
            <w:pPr>
              <w:pStyle w:val="TableParagraph"/>
              <w:spacing w:before="60"/>
              <w:ind w:left="62"/>
              <w:rPr>
                <w:sz w:val="21"/>
              </w:rPr>
            </w:pPr>
            <w:r>
              <w:rPr>
                <w:rFonts w:ascii="Times New Roman" w:eastAsia="Times New Roman"/>
                <w:sz w:val="21"/>
              </w:rPr>
              <w:t>3.2</w:t>
            </w:r>
            <w:r>
              <w:rPr>
                <w:rFonts w:ascii="Times New Roman" w:eastAsia="Times New Roman"/>
                <w:spacing w:val="-9"/>
                <w:sz w:val="21"/>
              </w:rPr>
              <w:t> </w:t>
            </w:r>
            <w:r>
              <w:rPr>
                <w:spacing w:val="-2"/>
                <w:sz w:val="21"/>
              </w:rPr>
              <w:t>保险事故通知</w:t>
            </w:r>
          </w:p>
        </w:tc>
        <w:tc>
          <w:tcPr>
            <w:tcW w:w="406" w:type="dxa"/>
          </w:tcPr>
          <w:p>
            <w:pPr>
              <w:pStyle w:val="TableParagraph"/>
              <w:spacing w:before="74"/>
              <w:ind w:right="41"/>
              <w:jc w:val="right"/>
              <w:rPr>
                <w:rFonts w:ascii="Times New Roman"/>
                <w:b/>
                <w:sz w:val="21"/>
              </w:rPr>
            </w:pPr>
            <w:r>
              <w:rPr>
                <w:rFonts w:ascii="Times New Roman"/>
                <w:b/>
                <w:w w:val="100"/>
                <w:sz w:val="21"/>
              </w:rPr>
              <w:t>7</w:t>
            </w:r>
          </w:p>
        </w:tc>
        <w:tc>
          <w:tcPr>
            <w:tcW w:w="3135" w:type="dxa"/>
            <w:tcBorders>
              <w:right w:val="dotted" w:sz="8" w:space="0" w:color="000000"/>
            </w:tcBorders>
          </w:tcPr>
          <w:p>
            <w:pPr>
              <w:pStyle w:val="TableParagraph"/>
              <w:spacing w:before="60"/>
              <w:ind w:left="51"/>
              <w:rPr>
                <w:b/>
                <w:sz w:val="21"/>
              </w:rPr>
            </w:pPr>
            <w:r>
              <w:rPr>
                <w:b/>
                <w:spacing w:val="-3"/>
                <w:sz w:val="21"/>
              </w:rPr>
              <w:t>如实告知</w:t>
            </w:r>
          </w:p>
        </w:tc>
      </w:tr>
      <w:tr>
        <w:trPr>
          <w:trHeight w:val="397" w:hRule="atLeast"/>
        </w:trPr>
        <w:tc>
          <w:tcPr>
            <w:tcW w:w="2788" w:type="dxa"/>
            <w:tcBorders>
              <w:left w:val="dotted" w:sz="8" w:space="0" w:color="000000"/>
            </w:tcBorders>
          </w:tcPr>
          <w:p>
            <w:pPr>
              <w:pStyle w:val="TableParagraph"/>
              <w:spacing w:before="59"/>
              <w:ind w:left="318"/>
              <w:rPr>
                <w:sz w:val="21"/>
              </w:rPr>
            </w:pPr>
            <w:r>
              <w:rPr>
                <w:rFonts w:ascii="Times New Roman" w:eastAsia="Times New Roman"/>
                <w:sz w:val="21"/>
              </w:rPr>
              <w:t>1.3</w:t>
            </w:r>
            <w:r>
              <w:rPr>
                <w:rFonts w:ascii="Times New Roman" w:eastAsia="Times New Roman"/>
                <w:spacing w:val="-6"/>
                <w:sz w:val="21"/>
              </w:rPr>
              <w:t> </w:t>
            </w:r>
            <w:r>
              <w:rPr>
                <w:spacing w:val="-3"/>
                <w:sz w:val="21"/>
              </w:rPr>
              <w:t>投保年龄</w:t>
            </w:r>
          </w:p>
        </w:tc>
        <w:tc>
          <w:tcPr>
            <w:tcW w:w="419" w:type="dxa"/>
          </w:tcPr>
          <w:p>
            <w:pPr>
              <w:pStyle w:val="TableParagraph"/>
              <w:rPr>
                <w:rFonts w:ascii="Times New Roman"/>
                <w:sz w:val="20"/>
              </w:rPr>
            </w:pPr>
          </w:p>
        </w:tc>
        <w:tc>
          <w:tcPr>
            <w:tcW w:w="2715" w:type="dxa"/>
          </w:tcPr>
          <w:p>
            <w:pPr>
              <w:pStyle w:val="TableParagraph"/>
              <w:spacing w:before="59"/>
              <w:ind w:left="62"/>
              <w:rPr>
                <w:sz w:val="21"/>
              </w:rPr>
            </w:pPr>
            <w:r>
              <w:rPr>
                <w:rFonts w:ascii="Times New Roman" w:eastAsia="Times New Roman"/>
                <w:sz w:val="21"/>
              </w:rPr>
              <w:t>3.3</w:t>
            </w:r>
            <w:r>
              <w:rPr>
                <w:rFonts w:ascii="Times New Roman" w:eastAsia="Times New Roman"/>
                <w:spacing w:val="-9"/>
                <w:sz w:val="21"/>
              </w:rPr>
              <w:t> </w:t>
            </w:r>
            <w:r>
              <w:rPr>
                <w:spacing w:val="-2"/>
                <w:sz w:val="21"/>
              </w:rPr>
              <w:t>保险金的申请</w:t>
            </w:r>
          </w:p>
        </w:tc>
        <w:tc>
          <w:tcPr>
            <w:tcW w:w="406" w:type="dxa"/>
          </w:tcPr>
          <w:p>
            <w:pPr>
              <w:pStyle w:val="TableParagraph"/>
              <w:rPr>
                <w:rFonts w:ascii="Times New Roman"/>
                <w:sz w:val="20"/>
              </w:rPr>
            </w:pPr>
          </w:p>
        </w:tc>
        <w:tc>
          <w:tcPr>
            <w:tcW w:w="3135" w:type="dxa"/>
            <w:tcBorders>
              <w:right w:val="dotted" w:sz="8" w:space="0" w:color="000000"/>
            </w:tcBorders>
          </w:tcPr>
          <w:p>
            <w:pPr>
              <w:pStyle w:val="TableParagraph"/>
              <w:spacing w:before="59"/>
              <w:ind w:left="51"/>
              <w:rPr>
                <w:sz w:val="21"/>
              </w:rPr>
            </w:pPr>
            <w:r>
              <w:rPr>
                <w:rFonts w:ascii="Times New Roman" w:eastAsia="Times New Roman"/>
                <w:sz w:val="21"/>
              </w:rPr>
              <w:t>7.1</w:t>
            </w:r>
            <w:r>
              <w:rPr>
                <w:rFonts w:ascii="Times New Roman" w:eastAsia="Times New Roman"/>
                <w:spacing w:val="-14"/>
                <w:sz w:val="21"/>
              </w:rPr>
              <w:t> </w:t>
            </w:r>
            <w:r>
              <w:rPr>
                <w:spacing w:val="-2"/>
                <w:sz w:val="21"/>
              </w:rPr>
              <w:t>明确说明与如实告知</w:t>
            </w:r>
          </w:p>
        </w:tc>
      </w:tr>
      <w:tr>
        <w:trPr>
          <w:trHeight w:val="397" w:hRule="atLeast"/>
        </w:trPr>
        <w:tc>
          <w:tcPr>
            <w:tcW w:w="2788" w:type="dxa"/>
            <w:tcBorders>
              <w:left w:val="dotted" w:sz="8" w:space="0" w:color="000000"/>
            </w:tcBorders>
          </w:tcPr>
          <w:p>
            <w:pPr>
              <w:pStyle w:val="TableParagraph"/>
              <w:spacing w:before="60"/>
              <w:ind w:left="318"/>
              <w:rPr>
                <w:sz w:val="21"/>
              </w:rPr>
            </w:pPr>
            <w:r>
              <w:rPr>
                <w:rFonts w:ascii="Times New Roman" w:eastAsia="Times New Roman"/>
                <w:sz w:val="21"/>
              </w:rPr>
              <w:t>1.4</w:t>
            </w:r>
            <w:r>
              <w:rPr>
                <w:rFonts w:ascii="Times New Roman" w:eastAsia="Times New Roman"/>
                <w:spacing w:val="-6"/>
                <w:sz w:val="21"/>
              </w:rPr>
              <w:t> </w:t>
            </w:r>
            <w:r>
              <w:rPr>
                <w:spacing w:val="-2"/>
                <w:sz w:val="21"/>
              </w:rPr>
              <w:t>合同的签收</w:t>
            </w:r>
          </w:p>
        </w:tc>
        <w:tc>
          <w:tcPr>
            <w:tcW w:w="419" w:type="dxa"/>
          </w:tcPr>
          <w:p>
            <w:pPr>
              <w:pStyle w:val="TableParagraph"/>
              <w:rPr>
                <w:rFonts w:ascii="Times New Roman"/>
                <w:sz w:val="20"/>
              </w:rPr>
            </w:pPr>
          </w:p>
        </w:tc>
        <w:tc>
          <w:tcPr>
            <w:tcW w:w="2715" w:type="dxa"/>
          </w:tcPr>
          <w:p>
            <w:pPr>
              <w:pStyle w:val="TableParagraph"/>
              <w:spacing w:before="60"/>
              <w:ind w:left="62"/>
              <w:rPr>
                <w:sz w:val="21"/>
              </w:rPr>
            </w:pPr>
            <w:r>
              <w:rPr>
                <w:rFonts w:ascii="Times New Roman" w:eastAsia="Times New Roman"/>
                <w:sz w:val="21"/>
              </w:rPr>
              <w:t>3.4</w:t>
            </w:r>
            <w:r>
              <w:rPr>
                <w:rFonts w:ascii="Times New Roman" w:eastAsia="Times New Roman"/>
                <w:spacing w:val="-13"/>
                <w:sz w:val="21"/>
              </w:rPr>
              <w:t> </w:t>
            </w:r>
            <w:r>
              <w:rPr>
                <w:spacing w:val="-2"/>
                <w:sz w:val="21"/>
              </w:rPr>
              <w:t>院外药店购买或领取</w:t>
            </w:r>
          </w:p>
        </w:tc>
        <w:tc>
          <w:tcPr>
            <w:tcW w:w="406" w:type="dxa"/>
          </w:tcPr>
          <w:p>
            <w:pPr>
              <w:pStyle w:val="TableParagraph"/>
              <w:rPr>
                <w:rFonts w:ascii="Times New Roman"/>
                <w:sz w:val="20"/>
              </w:rPr>
            </w:pPr>
          </w:p>
        </w:tc>
        <w:tc>
          <w:tcPr>
            <w:tcW w:w="3135" w:type="dxa"/>
            <w:tcBorders>
              <w:right w:val="dotted" w:sz="8" w:space="0" w:color="000000"/>
            </w:tcBorders>
          </w:tcPr>
          <w:p>
            <w:pPr>
              <w:pStyle w:val="TableParagraph"/>
              <w:spacing w:before="60"/>
              <w:ind w:left="51"/>
              <w:rPr>
                <w:sz w:val="21"/>
              </w:rPr>
            </w:pPr>
            <w:r>
              <w:rPr>
                <w:rFonts w:ascii="Times New Roman" w:eastAsia="Times New Roman"/>
                <w:spacing w:val="-2"/>
                <w:sz w:val="21"/>
              </w:rPr>
              <w:t>7.2</w:t>
            </w:r>
            <w:r>
              <w:rPr>
                <w:rFonts w:ascii="Times New Roman" w:eastAsia="Times New Roman"/>
                <w:spacing w:val="6"/>
                <w:sz w:val="21"/>
              </w:rPr>
              <w:t> </w:t>
            </w:r>
            <w:r>
              <w:rPr>
                <w:spacing w:val="-3"/>
                <w:sz w:val="21"/>
              </w:rPr>
              <w:t>本公司合同解除权的限制</w:t>
            </w:r>
          </w:p>
        </w:tc>
      </w:tr>
      <w:tr>
        <w:trPr>
          <w:trHeight w:val="396" w:hRule="atLeast"/>
        </w:trPr>
        <w:tc>
          <w:tcPr>
            <w:tcW w:w="2788" w:type="dxa"/>
            <w:tcBorders>
              <w:left w:val="dotted" w:sz="8" w:space="0" w:color="000000"/>
            </w:tcBorders>
          </w:tcPr>
          <w:p>
            <w:pPr>
              <w:pStyle w:val="TableParagraph"/>
              <w:spacing w:before="59"/>
              <w:ind w:left="107"/>
              <w:rPr>
                <w:b/>
                <w:sz w:val="21"/>
              </w:rPr>
            </w:pPr>
            <w:r>
              <w:rPr>
                <w:rFonts w:ascii="Times New Roman" w:eastAsia="Times New Roman"/>
                <w:b/>
                <w:sz w:val="21"/>
              </w:rPr>
              <w:t>2</w:t>
            </w:r>
            <w:r>
              <w:rPr>
                <w:rFonts w:ascii="Times New Roman" w:eastAsia="Times New Roman"/>
                <w:b/>
                <w:spacing w:val="52"/>
                <w:sz w:val="21"/>
              </w:rPr>
              <w:t> </w:t>
            </w:r>
            <w:r>
              <w:rPr>
                <w:b/>
                <w:spacing w:val="-2"/>
                <w:sz w:val="21"/>
              </w:rPr>
              <w:t>我们提供的保障</w:t>
            </w:r>
          </w:p>
        </w:tc>
        <w:tc>
          <w:tcPr>
            <w:tcW w:w="419" w:type="dxa"/>
          </w:tcPr>
          <w:p>
            <w:pPr>
              <w:pStyle w:val="TableParagraph"/>
              <w:rPr>
                <w:rFonts w:ascii="Times New Roman"/>
                <w:sz w:val="20"/>
              </w:rPr>
            </w:pPr>
          </w:p>
        </w:tc>
        <w:tc>
          <w:tcPr>
            <w:tcW w:w="2715" w:type="dxa"/>
          </w:tcPr>
          <w:p>
            <w:pPr>
              <w:pStyle w:val="TableParagraph"/>
              <w:spacing w:before="59"/>
              <w:ind w:left="376"/>
              <w:rPr>
                <w:sz w:val="21"/>
              </w:rPr>
            </w:pPr>
            <w:r>
              <w:rPr>
                <w:spacing w:val="-4"/>
                <w:sz w:val="21"/>
              </w:rPr>
              <w:t>药品流程</w:t>
            </w:r>
          </w:p>
        </w:tc>
        <w:tc>
          <w:tcPr>
            <w:tcW w:w="406" w:type="dxa"/>
          </w:tcPr>
          <w:p>
            <w:pPr>
              <w:pStyle w:val="TableParagraph"/>
              <w:spacing w:before="73"/>
              <w:ind w:right="41"/>
              <w:jc w:val="right"/>
              <w:rPr>
                <w:rFonts w:ascii="Times New Roman"/>
                <w:b/>
                <w:sz w:val="21"/>
              </w:rPr>
            </w:pPr>
            <w:r>
              <w:rPr>
                <w:rFonts w:ascii="Times New Roman"/>
                <w:b/>
                <w:w w:val="100"/>
                <w:sz w:val="21"/>
              </w:rPr>
              <w:t>8</w:t>
            </w:r>
          </w:p>
        </w:tc>
        <w:tc>
          <w:tcPr>
            <w:tcW w:w="3135" w:type="dxa"/>
            <w:tcBorders>
              <w:right w:val="dotted" w:sz="8" w:space="0" w:color="000000"/>
            </w:tcBorders>
          </w:tcPr>
          <w:p>
            <w:pPr>
              <w:pStyle w:val="TableParagraph"/>
              <w:spacing w:before="59"/>
              <w:ind w:left="51"/>
              <w:rPr>
                <w:b/>
                <w:sz w:val="21"/>
              </w:rPr>
            </w:pPr>
            <w:r>
              <w:rPr>
                <w:b/>
                <w:spacing w:val="-3"/>
                <w:sz w:val="21"/>
              </w:rPr>
              <w:t>其他需要关注的事项</w:t>
            </w:r>
          </w:p>
        </w:tc>
      </w:tr>
      <w:tr>
        <w:trPr>
          <w:trHeight w:val="397" w:hRule="atLeast"/>
        </w:trPr>
        <w:tc>
          <w:tcPr>
            <w:tcW w:w="2788" w:type="dxa"/>
            <w:tcBorders>
              <w:left w:val="dotted" w:sz="8" w:space="0" w:color="000000"/>
            </w:tcBorders>
          </w:tcPr>
          <w:p>
            <w:pPr>
              <w:pStyle w:val="TableParagraph"/>
              <w:spacing w:before="59"/>
              <w:ind w:left="318"/>
              <w:rPr>
                <w:sz w:val="21"/>
              </w:rPr>
            </w:pPr>
            <w:r>
              <w:rPr>
                <w:rFonts w:ascii="Times New Roman" w:eastAsia="Times New Roman"/>
                <w:sz w:val="21"/>
              </w:rPr>
              <w:t>2.1</w:t>
            </w:r>
            <w:r>
              <w:rPr>
                <w:rFonts w:ascii="Times New Roman" w:eastAsia="Times New Roman"/>
                <w:spacing w:val="-13"/>
                <w:sz w:val="21"/>
              </w:rPr>
              <w:t> </w:t>
            </w:r>
            <w:r>
              <w:rPr>
                <w:spacing w:val="-2"/>
                <w:sz w:val="21"/>
              </w:rPr>
              <w:t>保险期间及续保</w:t>
            </w:r>
          </w:p>
        </w:tc>
        <w:tc>
          <w:tcPr>
            <w:tcW w:w="419" w:type="dxa"/>
          </w:tcPr>
          <w:p>
            <w:pPr>
              <w:pStyle w:val="TableParagraph"/>
              <w:rPr>
                <w:rFonts w:ascii="Times New Roman"/>
                <w:sz w:val="20"/>
              </w:rPr>
            </w:pPr>
          </w:p>
        </w:tc>
        <w:tc>
          <w:tcPr>
            <w:tcW w:w="2715" w:type="dxa"/>
          </w:tcPr>
          <w:p>
            <w:pPr>
              <w:pStyle w:val="TableParagraph"/>
              <w:spacing w:before="59"/>
              <w:ind w:left="62"/>
              <w:rPr>
                <w:sz w:val="21"/>
              </w:rPr>
            </w:pPr>
            <w:r>
              <w:rPr>
                <w:rFonts w:ascii="Times New Roman" w:eastAsia="Times New Roman"/>
                <w:sz w:val="21"/>
              </w:rPr>
              <w:t>3.5</w:t>
            </w:r>
            <w:r>
              <w:rPr>
                <w:rFonts w:ascii="Times New Roman" w:eastAsia="Times New Roman"/>
                <w:spacing w:val="-6"/>
                <w:sz w:val="21"/>
              </w:rPr>
              <w:t> </w:t>
            </w:r>
            <w:r>
              <w:rPr>
                <w:spacing w:val="-2"/>
                <w:sz w:val="21"/>
              </w:rPr>
              <w:t>保险金给付</w:t>
            </w:r>
          </w:p>
        </w:tc>
        <w:tc>
          <w:tcPr>
            <w:tcW w:w="406" w:type="dxa"/>
          </w:tcPr>
          <w:p>
            <w:pPr>
              <w:pStyle w:val="TableParagraph"/>
              <w:rPr>
                <w:rFonts w:ascii="Times New Roman"/>
                <w:sz w:val="20"/>
              </w:rPr>
            </w:pPr>
          </w:p>
        </w:tc>
        <w:tc>
          <w:tcPr>
            <w:tcW w:w="3135" w:type="dxa"/>
            <w:tcBorders>
              <w:right w:val="dotted" w:sz="8" w:space="0" w:color="000000"/>
            </w:tcBorders>
          </w:tcPr>
          <w:p>
            <w:pPr>
              <w:pStyle w:val="TableParagraph"/>
              <w:spacing w:before="59"/>
              <w:ind w:left="51"/>
              <w:rPr>
                <w:sz w:val="21"/>
              </w:rPr>
            </w:pPr>
            <w:r>
              <w:rPr>
                <w:rFonts w:ascii="Times New Roman" w:eastAsia="Times New Roman"/>
                <w:sz w:val="21"/>
              </w:rPr>
              <w:t>8.1</w:t>
            </w:r>
            <w:r>
              <w:rPr>
                <w:rFonts w:ascii="Times New Roman" w:eastAsia="Times New Roman"/>
                <w:spacing w:val="-6"/>
                <w:sz w:val="21"/>
              </w:rPr>
              <w:t> </w:t>
            </w:r>
            <w:r>
              <w:rPr>
                <w:spacing w:val="-3"/>
                <w:sz w:val="21"/>
              </w:rPr>
              <w:t>年龄错误</w:t>
            </w:r>
          </w:p>
        </w:tc>
      </w:tr>
      <w:tr>
        <w:trPr>
          <w:trHeight w:val="397" w:hRule="atLeast"/>
        </w:trPr>
        <w:tc>
          <w:tcPr>
            <w:tcW w:w="2788" w:type="dxa"/>
            <w:tcBorders>
              <w:left w:val="dotted" w:sz="8" w:space="0" w:color="000000"/>
            </w:tcBorders>
          </w:tcPr>
          <w:p>
            <w:pPr>
              <w:pStyle w:val="TableParagraph"/>
              <w:spacing w:before="60"/>
              <w:ind w:left="318"/>
              <w:rPr>
                <w:sz w:val="21"/>
              </w:rPr>
            </w:pPr>
            <w:r>
              <w:rPr>
                <w:rFonts w:ascii="Times New Roman" w:eastAsia="Times New Roman"/>
                <w:sz w:val="21"/>
              </w:rPr>
              <w:t>2.2</w:t>
            </w:r>
            <w:r>
              <w:rPr>
                <w:rFonts w:ascii="Times New Roman" w:eastAsia="Times New Roman"/>
                <w:spacing w:val="-4"/>
                <w:sz w:val="21"/>
              </w:rPr>
              <w:t> </w:t>
            </w:r>
            <w:r>
              <w:rPr>
                <w:spacing w:val="-4"/>
                <w:sz w:val="21"/>
              </w:rPr>
              <w:t>等待期</w:t>
            </w:r>
          </w:p>
        </w:tc>
        <w:tc>
          <w:tcPr>
            <w:tcW w:w="419" w:type="dxa"/>
          </w:tcPr>
          <w:p>
            <w:pPr>
              <w:pStyle w:val="TableParagraph"/>
              <w:rPr>
                <w:rFonts w:ascii="Times New Roman"/>
                <w:sz w:val="20"/>
              </w:rPr>
            </w:pPr>
          </w:p>
        </w:tc>
        <w:tc>
          <w:tcPr>
            <w:tcW w:w="2715" w:type="dxa"/>
          </w:tcPr>
          <w:p>
            <w:pPr>
              <w:pStyle w:val="TableParagraph"/>
              <w:spacing w:before="60"/>
              <w:ind w:left="62"/>
              <w:rPr>
                <w:sz w:val="21"/>
              </w:rPr>
            </w:pPr>
            <w:r>
              <w:rPr>
                <w:rFonts w:ascii="Times New Roman" w:eastAsia="Times New Roman"/>
                <w:sz w:val="21"/>
              </w:rPr>
              <w:t>3.6</w:t>
            </w:r>
            <w:r>
              <w:rPr>
                <w:rFonts w:ascii="Times New Roman" w:eastAsia="Times New Roman"/>
                <w:spacing w:val="-6"/>
                <w:sz w:val="21"/>
              </w:rPr>
              <w:t> </w:t>
            </w:r>
            <w:r>
              <w:rPr>
                <w:spacing w:val="-3"/>
                <w:sz w:val="21"/>
              </w:rPr>
              <w:t>诉讼时效</w:t>
            </w:r>
          </w:p>
        </w:tc>
        <w:tc>
          <w:tcPr>
            <w:tcW w:w="406" w:type="dxa"/>
          </w:tcPr>
          <w:p>
            <w:pPr>
              <w:pStyle w:val="TableParagraph"/>
              <w:rPr>
                <w:rFonts w:ascii="Times New Roman"/>
                <w:sz w:val="20"/>
              </w:rPr>
            </w:pPr>
          </w:p>
        </w:tc>
        <w:tc>
          <w:tcPr>
            <w:tcW w:w="3135" w:type="dxa"/>
            <w:tcBorders>
              <w:right w:val="dotted" w:sz="8" w:space="0" w:color="000000"/>
            </w:tcBorders>
          </w:tcPr>
          <w:p>
            <w:pPr>
              <w:pStyle w:val="TableParagraph"/>
              <w:spacing w:before="60"/>
              <w:ind w:left="51"/>
              <w:rPr>
                <w:sz w:val="21"/>
              </w:rPr>
            </w:pPr>
            <w:r>
              <w:rPr>
                <w:rFonts w:ascii="Times New Roman" w:eastAsia="Times New Roman"/>
                <w:sz w:val="21"/>
              </w:rPr>
              <w:t>8.2</w:t>
            </w:r>
            <w:r>
              <w:rPr>
                <w:rFonts w:ascii="Times New Roman" w:eastAsia="Times New Roman"/>
                <w:spacing w:val="-9"/>
                <w:sz w:val="21"/>
              </w:rPr>
              <w:t> </w:t>
            </w:r>
            <w:r>
              <w:rPr>
                <w:spacing w:val="-2"/>
                <w:sz w:val="21"/>
              </w:rPr>
              <w:t>合同内容变更</w:t>
            </w:r>
          </w:p>
        </w:tc>
      </w:tr>
      <w:tr>
        <w:trPr>
          <w:trHeight w:val="397" w:hRule="atLeast"/>
        </w:trPr>
        <w:tc>
          <w:tcPr>
            <w:tcW w:w="2788" w:type="dxa"/>
            <w:tcBorders>
              <w:left w:val="dotted" w:sz="8" w:space="0" w:color="000000"/>
            </w:tcBorders>
          </w:tcPr>
          <w:p>
            <w:pPr>
              <w:pStyle w:val="TableParagraph"/>
              <w:spacing w:before="59"/>
              <w:ind w:left="318"/>
              <w:rPr>
                <w:sz w:val="21"/>
              </w:rPr>
            </w:pPr>
            <w:r>
              <w:rPr>
                <w:rFonts w:ascii="Times New Roman" w:eastAsia="Times New Roman"/>
                <w:sz w:val="21"/>
              </w:rPr>
              <w:t>2.3</w:t>
            </w:r>
            <w:r>
              <w:rPr>
                <w:rFonts w:ascii="Times New Roman" w:eastAsia="Times New Roman"/>
                <w:spacing w:val="-7"/>
                <w:sz w:val="21"/>
              </w:rPr>
              <w:t> </w:t>
            </w:r>
            <w:r>
              <w:rPr>
                <w:spacing w:val="-3"/>
                <w:sz w:val="21"/>
              </w:rPr>
              <w:t>保险金额</w:t>
            </w:r>
          </w:p>
        </w:tc>
        <w:tc>
          <w:tcPr>
            <w:tcW w:w="419" w:type="dxa"/>
          </w:tcPr>
          <w:p>
            <w:pPr>
              <w:pStyle w:val="TableParagraph"/>
              <w:spacing w:before="73"/>
              <w:ind w:right="41"/>
              <w:jc w:val="right"/>
              <w:rPr>
                <w:rFonts w:ascii="Times New Roman"/>
                <w:b/>
                <w:sz w:val="21"/>
              </w:rPr>
            </w:pPr>
            <w:r>
              <w:rPr>
                <w:rFonts w:ascii="Times New Roman"/>
                <w:b/>
                <w:w w:val="100"/>
                <w:sz w:val="21"/>
              </w:rPr>
              <w:t>4</w:t>
            </w:r>
          </w:p>
        </w:tc>
        <w:tc>
          <w:tcPr>
            <w:tcW w:w="2715" w:type="dxa"/>
          </w:tcPr>
          <w:p>
            <w:pPr>
              <w:pStyle w:val="TableParagraph"/>
              <w:spacing w:before="59"/>
              <w:ind w:left="62"/>
              <w:rPr>
                <w:b/>
                <w:sz w:val="21"/>
              </w:rPr>
            </w:pPr>
            <w:r>
              <w:rPr>
                <w:b/>
                <w:spacing w:val="-2"/>
                <w:sz w:val="21"/>
              </w:rPr>
              <w:t>保险费的支付</w:t>
            </w:r>
          </w:p>
        </w:tc>
        <w:tc>
          <w:tcPr>
            <w:tcW w:w="406" w:type="dxa"/>
          </w:tcPr>
          <w:p>
            <w:pPr>
              <w:pStyle w:val="TableParagraph"/>
              <w:rPr>
                <w:rFonts w:ascii="Times New Roman"/>
                <w:sz w:val="20"/>
              </w:rPr>
            </w:pPr>
          </w:p>
        </w:tc>
        <w:tc>
          <w:tcPr>
            <w:tcW w:w="3135" w:type="dxa"/>
            <w:tcBorders>
              <w:right w:val="dotted" w:sz="8" w:space="0" w:color="000000"/>
            </w:tcBorders>
          </w:tcPr>
          <w:p>
            <w:pPr>
              <w:pStyle w:val="TableParagraph"/>
              <w:spacing w:before="59"/>
              <w:ind w:left="51"/>
              <w:rPr>
                <w:sz w:val="21"/>
              </w:rPr>
            </w:pPr>
            <w:r>
              <w:rPr>
                <w:rFonts w:ascii="Times New Roman" w:eastAsia="Times New Roman"/>
                <w:sz w:val="21"/>
              </w:rPr>
              <w:t>8.3</w:t>
            </w:r>
            <w:r>
              <w:rPr>
                <w:rFonts w:ascii="Times New Roman" w:eastAsia="Times New Roman"/>
                <w:spacing w:val="-9"/>
                <w:sz w:val="21"/>
              </w:rPr>
              <w:t> </w:t>
            </w:r>
            <w:r>
              <w:rPr>
                <w:spacing w:val="-2"/>
                <w:sz w:val="21"/>
              </w:rPr>
              <w:t>联系方式变更</w:t>
            </w:r>
          </w:p>
        </w:tc>
      </w:tr>
      <w:tr>
        <w:trPr>
          <w:trHeight w:val="397" w:hRule="atLeast"/>
        </w:trPr>
        <w:tc>
          <w:tcPr>
            <w:tcW w:w="2788" w:type="dxa"/>
            <w:tcBorders>
              <w:left w:val="dotted" w:sz="8" w:space="0" w:color="000000"/>
            </w:tcBorders>
          </w:tcPr>
          <w:p>
            <w:pPr>
              <w:pStyle w:val="TableParagraph"/>
              <w:spacing w:before="60"/>
              <w:ind w:left="318"/>
              <w:rPr>
                <w:sz w:val="21"/>
              </w:rPr>
            </w:pPr>
            <w:r>
              <w:rPr>
                <w:rFonts w:ascii="Times New Roman" w:eastAsia="Times New Roman"/>
                <w:sz w:val="21"/>
              </w:rPr>
              <w:t>2.4</w:t>
            </w:r>
            <w:r>
              <w:rPr>
                <w:rFonts w:ascii="Times New Roman" w:eastAsia="Times New Roman"/>
                <w:spacing w:val="-7"/>
                <w:sz w:val="21"/>
              </w:rPr>
              <w:t> </w:t>
            </w:r>
            <w:r>
              <w:rPr>
                <w:spacing w:val="-3"/>
                <w:sz w:val="21"/>
              </w:rPr>
              <w:t>保险责任</w:t>
            </w:r>
          </w:p>
        </w:tc>
        <w:tc>
          <w:tcPr>
            <w:tcW w:w="419" w:type="dxa"/>
          </w:tcPr>
          <w:p>
            <w:pPr>
              <w:pStyle w:val="TableParagraph"/>
              <w:rPr>
                <w:rFonts w:ascii="Times New Roman"/>
                <w:sz w:val="20"/>
              </w:rPr>
            </w:pPr>
          </w:p>
        </w:tc>
        <w:tc>
          <w:tcPr>
            <w:tcW w:w="2715" w:type="dxa"/>
          </w:tcPr>
          <w:p>
            <w:pPr>
              <w:pStyle w:val="TableParagraph"/>
              <w:spacing w:before="60"/>
              <w:ind w:left="62"/>
              <w:rPr>
                <w:sz w:val="21"/>
              </w:rPr>
            </w:pPr>
            <w:r>
              <w:rPr>
                <w:rFonts w:ascii="Times New Roman" w:eastAsia="Times New Roman"/>
                <w:sz w:val="21"/>
              </w:rPr>
              <w:t>4.1</w:t>
            </w:r>
            <w:r>
              <w:rPr>
                <w:rFonts w:ascii="Times New Roman" w:eastAsia="Times New Roman"/>
                <w:spacing w:val="-9"/>
                <w:sz w:val="21"/>
              </w:rPr>
              <w:t> </w:t>
            </w:r>
            <w:r>
              <w:rPr>
                <w:spacing w:val="-2"/>
                <w:sz w:val="21"/>
              </w:rPr>
              <w:t>保险费的支付</w:t>
            </w:r>
          </w:p>
        </w:tc>
        <w:tc>
          <w:tcPr>
            <w:tcW w:w="406" w:type="dxa"/>
          </w:tcPr>
          <w:p>
            <w:pPr>
              <w:pStyle w:val="TableParagraph"/>
              <w:rPr>
                <w:rFonts w:ascii="Times New Roman"/>
                <w:sz w:val="20"/>
              </w:rPr>
            </w:pPr>
          </w:p>
        </w:tc>
        <w:tc>
          <w:tcPr>
            <w:tcW w:w="3135" w:type="dxa"/>
            <w:tcBorders>
              <w:right w:val="dotted" w:sz="8" w:space="0" w:color="000000"/>
            </w:tcBorders>
          </w:tcPr>
          <w:p>
            <w:pPr>
              <w:pStyle w:val="TableParagraph"/>
              <w:spacing w:before="60"/>
              <w:ind w:left="51"/>
              <w:rPr>
                <w:sz w:val="21"/>
              </w:rPr>
            </w:pPr>
            <w:r>
              <w:rPr>
                <w:rFonts w:ascii="Times New Roman" w:eastAsia="Times New Roman"/>
                <w:sz w:val="21"/>
              </w:rPr>
              <w:t>8.4</w:t>
            </w:r>
            <w:r>
              <w:rPr>
                <w:rFonts w:ascii="Times New Roman" w:eastAsia="Times New Roman"/>
                <w:spacing w:val="-6"/>
                <w:sz w:val="21"/>
              </w:rPr>
              <w:t> </w:t>
            </w:r>
            <w:r>
              <w:rPr>
                <w:spacing w:val="-3"/>
                <w:sz w:val="21"/>
              </w:rPr>
              <w:t>争议处理</w:t>
            </w:r>
          </w:p>
        </w:tc>
      </w:tr>
      <w:tr>
        <w:trPr>
          <w:trHeight w:val="397" w:hRule="atLeast"/>
        </w:trPr>
        <w:tc>
          <w:tcPr>
            <w:tcW w:w="2788" w:type="dxa"/>
            <w:tcBorders>
              <w:left w:val="dotted" w:sz="8" w:space="0" w:color="000000"/>
            </w:tcBorders>
          </w:tcPr>
          <w:p>
            <w:pPr>
              <w:pStyle w:val="TableParagraph"/>
              <w:spacing w:before="59"/>
              <w:ind w:left="318"/>
              <w:rPr>
                <w:sz w:val="21"/>
              </w:rPr>
            </w:pPr>
            <w:r>
              <w:rPr>
                <w:rFonts w:ascii="Times New Roman" w:eastAsia="Times New Roman"/>
                <w:sz w:val="21"/>
              </w:rPr>
              <w:t>2.5</w:t>
            </w:r>
            <w:r>
              <w:rPr>
                <w:rFonts w:ascii="Times New Roman" w:eastAsia="Times New Roman"/>
                <w:spacing w:val="-7"/>
                <w:sz w:val="21"/>
              </w:rPr>
              <w:t> </w:t>
            </w:r>
            <w:r>
              <w:rPr>
                <w:spacing w:val="-3"/>
                <w:sz w:val="21"/>
              </w:rPr>
              <w:t>补偿原则</w:t>
            </w:r>
          </w:p>
        </w:tc>
        <w:tc>
          <w:tcPr>
            <w:tcW w:w="419" w:type="dxa"/>
          </w:tcPr>
          <w:p>
            <w:pPr>
              <w:pStyle w:val="TableParagraph"/>
              <w:rPr>
                <w:rFonts w:ascii="Times New Roman"/>
                <w:sz w:val="20"/>
              </w:rPr>
            </w:pPr>
          </w:p>
        </w:tc>
        <w:tc>
          <w:tcPr>
            <w:tcW w:w="2715" w:type="dxa"/>
          </w:tcPr>
          <w:p>
            <w:pPr>
              <w:pStyle w:val="TableParagraph"/>
              <w:spacing w:before="59"/>
              <w:ind w:left="62"/>
              <w:rPr>
                <w:sz w:val="21"/>
              </w:rPr>
            </w:pPr>
            <w:r>
              <w:rPr>
                <w:rFonts w:ascii="Times New Roman" w:eastAsia="Times New Roman"/>
                <w:sz w:val="21"/>
              </w:rPr>
              <w:t>4.2</w:t>
            </w:r>
            <w:r>
              <w:rPr>
                <w:rFonts w:ascii="Times New Roman" w:eastAsia="Times New Roman"/>
                <w:spacing w:val="-9"/>
                <w:sz w:val="21"/>
              </w:rPr>
              <w:t> </w:t>
            </w:r>
            <w:r>
              <w:rPr>
                <w:spacing w:val="-2"/>
                <w:sz w:val="21"/>
              </w:rPr>
              <w:t>保险费率调整</w:t>
            </w:r>
          </w:p>
        </w:tc>
        <w:tc>
          <w:tcPr>
            <w:tcW w:w="406" w:type="dxa"/>
          </w:tcPr>
          <w:p>
            <w:pPr>
              <w:pStyle w:val="TableParagraph"/>
              <w:spacing w:before="73"/>
              <w:ind w:right="41"/>
              <w:jc w:val="right"/>
              <w:rPr>
                <w:rFonts w:ascii="Times New Roman"/>
                <w:b/>
                <w:sz w:val="21"/>
              </w:rPr>
            </w:pPr>
            <w:r>
              <w:rPr>
                <w:rFonts w:ascii="Times New Roman"/>
                <w:b/>
                <w:w w:val="100"/>
                <w:sz w:val="21"/>
              </w:rPr>
              <w:t>9</w:t>
            </w:r>
          </w:p>
        </w:tc>
        <w:tc>
          <w:tcPr>
            <w:tcW w:w="3135" w:type="dxa"/>
            <w:tcBorders>
              <w:right w:val="dotted" w:sz="8" w:space="0" w:color="000000"/>
            </w:tcBorders>
          </w:tcPr>
          <w:p>
            <w:pPr>
              <w:pStyle w:val="TableParagraph"/>
              <w:spacing w:before="59"/>
              <w:ind w:left="51"/>
              <w:rPr>
                <w:b/>
                <w:sz w:val="21"/>
              </w:rPr>
            </w:pPr>
            <w:r>
              <w:rPr>
                <w:b/>
                <w:spacing w:val="-5"/>
                <w:sz w:val="21"/>
              </w:rPr>
              <w:t>释义</w:t>
            </w:r>
          </w:p>
        </w:tc>
      </w:tr>
      <w:tr>
        <w:trPr>
          <w:trHeight w:val="397" w:hRule="atLeast"/>
        </w:trPr>
        <w:tc>
          <w:tcPr>
            <w:tcW w:w="2788" w:type="dxa"/>
            <w:tcBorders>
              <w:left w:val="dotted" w:sz="8" w:space="0" w:color="000000"/>
            </w:tcBorders>
          </w:tcPr>
          <w:p>
            <w:pPr>
              <w:pStyle w:val="TableParagraph"/>
              <w:spacing w:before="60"/>
              <w:ind w:left="316"/>
              <w:rPr>
                <w:sz w:val="21"/>
              </w:rPr>
            </w:pPr>
            <w:r>
              <w:rPr>
                <w:rFonts w:ascii="Times New Roman" w:eastAsia="Times New Roman"/>
                <w:sz w:val="21"/>
              </w:rPr>
              <w:t>2.6</w:t>
            </w:r>
            <w:r>
              <w:rPr>
                <w:rFonts w:ascii="Times New Roman" w:eastAsia="Times New Roman"/>
                <w:spacing w:val="-6"/>
                <w:sz w:val="21"/>
              </w:rPr>
              <w:t> </w:t>
            </w:r>
            <w:r>
              <w:rPr>
                <w:spacing w:val="-3"/>
                <w:sz w:val="21"/>
              </w:rPr>
              <w:t>给付比例</w:t>
            </w:r>
          </w:p>
        </w:tc>
        <w:tc>
          <w:tcPr>
            <w:tcW w:w="419" w:type="dxa"/>
          </w:tcPr>
          <w:p>
            <w:pPr>
              <w:pStyle w:val="TableParagraph"/>
              <w:spacing w:before="74"/>
              <w:ind w:right="41"/>
              <w:jc w:val="right"/>
              <w:rPr>
                <w:rFonts w:ascii="Times New Roman"/>
                <w:b/>
                <w:sz w:val="21"/>
              </w:rPr>
            </w:pPr>
            <w:r>
              <w:rPr>
                <w:rFonts w:ascii="Times New Roman"/>
                <w:b/>
                <w:w w:val="100"/>
                <w:sz w:val="21"/>
              </w:rPr>
              <w:t>5</w:t>
            </w:r>
          </w:p>
        </w:tc>
        <w:tc>
          <w:tcPr>
            <w:tcW w:w="2715" w:type="dxa"/>
          </w:tcPr>
          <w:p>
            <w:pPr>
              <w:pStyle w:val="TableParagraph"/>
              <w:spacing w:before="60"/>
              <w:ind w:left="62"/>
              <w:rPr>
                <w:b/>
                <w:sz w:val="21"/>
              </w:rPr>
            </w:pPr>
            <w:r>
              <w:rPr>
                <w:b/>
                <w:spacing w:val="-3"/>
                <w:sz w:val="21"/>
              </w:rPr>
              <w:t>合同解除</w:t>
            </w:r>
          </w:p>
        </w:tc>
        <w:tc>
          <w:tcPr>
            <w:tcW w:w="406" w:type="dxa"/>
          </w:tcPr>
          <w:p>
            <w:pPr>
              <w:pStyle w:val="TableParagraph"/>
              <w:rPr>
                <w:rFonts w:ascii="Times New Roman"/>
                <w:sz w:val="20"/>
              </w:rPr>
            </w:pPr>
          </w:p>
        </w:tc>
        <w:tc>
          <w:tcPr>
            <w:tcW w:w="3135" w:type="dxa"/>
            <w:tcBorders>
              <w:right w:val="dotted" w:sz="8" w:space="0" w:color="000000"/>
            </w:tcBorders>
          </w:tcPr>
          <w:p>
            <w:pPr>
              <w:pStyle w:val="TableParagraph"/>
              <w:rPr>
                <w:rFonts w:ascii="Times New Roman"/>
                <w:sz w:val="20"/>
              </w:rPr>
            </w:pPr>
          </w:p>
        </w:tc>
      </w:tr>
      <w:tr>
        <w:trPr>
          <w:trHeight w:val="348" w:hRule="atLeast"/>
        </w:trPr>
        <w:tc>
          <w:tcPr>
            <w:tcW w:w="2788" w:type="dxa"/>
            <w:tcBorders>
              <w:left w:val="dotted" w:sz="8" w:space="0" w:color="000000"/>
              <w:bottom w:val="dotted" w:sz="8" w:space="0" w:color="000000"/>
            </w:tcBorders>
          </w:tcPr>
          <w:p>
            <w:pPr>
              <w:pStyle w:val="TableParagraph"/>
              <w:spacing w:line="269" w:lineRule="exact" w:before="59"/>
              <w:ind w:left="316"/>
              <w:rPr>
                <w:sz w:val="21"/>
              </w:rPr>
            </w:pPr>
            <w:r>
              <w:rPr>
                <w:rFonts w:ascii="Times New Roman" w:eastAsia="Times New Roman"/>
                <w:sz w:val="21"/>
              </w:rPr>
              <w:t>2.7</w:t>
            </w:r>
            <w:r>
              <w:rPr>
                <w:rFonts w:ascii="Times New Roman" w:eastAsia="Times New Roman"/>
                <w:spacing w:val="-6"/>
                <w:sz w:val="21"/>
              </w:rPr>
              <w:t> </w:t>
            </w:r>
            <w:r>
              <w:rPr>
                <w:spacing w:val="-3"/>
                <w:sz w:val="21"/>
              </w:rPr>
              <w:t>责任免除</w:t>
            </w:r>
          </w:p>
        </w:tc>
        <w:tc>
          <w:tcPr>
            <w:tcW w:w="419" w:type="dxa"/>
            <w:tcBorders>
              <w:bottom w:val="dotted" w:sz="8" w:space="0" w:color="000000"/>
            </w:tcBorders>
          </w:tcPr>
          <w:p>
            <w:pPr>
              <w:pStyle w:val="TableParagraph"/>
              <w:rPr>
                <w:rFonts w:ascii="Times New Roman"/>
                <w:sz w:val="20"/>
              </w:rPr>
            </w:pPr>
          </w:p>
        </w:tc>
        <w:tc>
          <w:tcPr>
            <w:tcW w:w="2715" w:type="dxa"/>
            <w:tcBorders>
              <w:bottom w:val="dotted" w:sz="8" w:space="0" w:color="000000"/>
            </w:tcBorders>
          </w:tcPr>
          <w:p>
            <w:pPr>
              <w:pStyle w:val="TableParagraph"/>
              <w:spacing w:line="269" w:lineRule="exact" w:before="59"/>
              <w:ind w:left="62"/>
              <w:rPr>
                <w:sz w:val="21"/>
              </w:rPr>
            </w:pPr>
            <w:r>
              <w:rPr>
                <w:rFonts w:ascii="Times New Roman" w:eastAsia="Times New Roman"/>
                <w:spacing w:val="-2"/>
                <w:sz w:val="21"/>
              </w:rPr>
              <w:t>5.1</w:t>
            </w:r>
            <w:r>
              <w:rPr>
                <w:rFonts w:ascii="Times New Roman" w:eastAsia="Times New Roman"/>
                <w:spacing w:val="4"/>
                <w:sz w:val="21"/>
              </w:rPr>
              <w:t> </w:t>
            </w:r>
            <w:r>
              <w:rPr>
                <w:spacing w:val="-3"/>
                <w:sz w:val="21"/>
              </w:rPr>
              <w:t>解除合同的手续及风险</w:t>
            </w:r>
          </w:p>
        </w:tc>
        <w:tc>
          <w:tcPr>
            <w:tcW w:w="406" w:type="dxa"/>
            <w:tcBorders>
              <w:bottom w:val="dotted" w:sz="8" w:space="0" w:color="000000"/>
            </w:tcBorders>
          </w:tcPr>
          <w:p>
            <w:pPr>
              <w:pStyle w:val="TableParagraph"/>
              <w:rPr>
                <w:rFonts w:ascii="Times New Roman"/>
                <w:sz w:val="20"/>
              </w:rPr>
            </w:pPr>
          </w:p>
        </w:tc>
        <w:tc>
          <w:tcPr>
            <w:tcW w:w="3135" w:type="dxa"/>
            <w:tcBorders>
              <w:bottom w:val="dotted" w:sz="8" w:space="0" w:color="000000"/>
              <w:right w:val="dotted" w:sz="8" w:space="0" w:color="000000"/>
            </w:tcBorders>
          </w:tcPr>
          <w:p>
            <w:pPr>
              <w:pStyle w:val="TableParagraph"/>
              <w:rPr>
                <w:rFonts w:ascii="Times New Roman"/>
                <w:sz w:val="20"/>
              </w:rPr>
            </w:pPr>
          </w:p>
        </w:tc>
      </w:tr>
    </w:tbl>
    <w:p>
      <w:pPr>
        <w:spacing w:after="0"/>
        <w:rPr>
          <w:rFonts w:ascii="Times New Roman"/>
          <w:sz w:val="20"/>
        </w:rPr>
        <w:sectPr>
          <w:type w:val="continuous"/>
          <w:pgSz w:w="11910" w:h="16840"/>
          <w:pgMar w:top="300" w:bottom="280" w:left="1480" w:right="720"/>
        </w:sectPr>
      </w:pPr>
    </w:p>
    <w:p>
      <w:pPr>
        <w:pStyle w:val="BodyText"/>
        <w:ind w:left="1914"/>
        <w:rPr>
          <w:sz w:val="20"/>
        </w:rPr>
      </w:pPr>
      <w:r>
        <w:rPr>
          <w:sz w:val="20"/>
        </w:rPr>
        <w:drawing>
          <wp:inline distT="0" distB="0" distL="0" distR="0">
            <wp:extent cx="3586889" cy="885825"/>
            <wp:effectExtent l="0" t="0" r="0" b="0"/>
            <wp:docPr id="5" name="image3.jpeg"/>
            <wp:cNvGraphicFramePr>
              <a:graphicFrameLocks noChangeAspect="1"/>
            </wp:cNvGraphicFramePr>
            <a:graphic>
              <a:graphicData uri="http://schemas.openxmlformats.org/drawingml/2006/picture">
                <pic:pic>
                  <pic:nvPicPr>
                    <pic:cNvPr id="6" name="image3.jpeg"/>
                    <pic:cNvPicPr/>
                  </pic:nvPicPr>
                  <pic:blipFill>
                    <a:blip r:embed="rId8" cstate="print"/>
                    <a:stretch>
                      <a:fillRect/>
                    </a:stretch>
                  </pic:blipFill>
                  <pic:spPr>
                    <a:xfrm>
                      <a:off x="0" y="0"/>
                      <a:ext cx="3586889" cy="885825"/>
                    </a:xfrm>
                    <a:prstGeom prst="rect">
                      <a:avLst/>
                    </a:prstGeom>
                  </pic:spPr>
                </pic:pic>
              </a:graphicData>
            </a:graphic>
          </wp:inline>
        </w:drawing>
      </w:r>
      <w:r>
        <w:rPr>
          <w:sz w:val="20"/>
        </w:rPr>
      </w:r>
    </w:p>
    <w:p>
      <w:pPr>
        <w:pStyle w:val="BodyText"/>
        <w:spacing w:before="6"/>
        <w:rPr>
          <w:b/>
          <w:sz w:val="14"/>
        </w:rPr>
      </w:pPr>
    </w:p>
    <w:p>
      <w:pPr>
        <w:pStyle w:val="Heading1"/>
        <w:spacing w:before="55"/>
        <w:ind w:right="403"/>
      </w:pPr>
      <w:r>
        <w:rPr>
          <w:w w:val="95"/>
        </w:rPr>
        <w:t>中意</w:t>
      </w:r>
      <w:r>
        <w:rPr>
          <w:w w:val="95"/>
        </w:rPr>
        <w:t>恶</w:t>
      </w:r>
      <w:r>
        <w:rPr>
          <w:w w:val="95"/>
        </w:rPr>
        <w:t>性</w:t>
      </w:r>
      <w:r>
        <w:rPr>
          <w:w w:val="95"/>
        </w:rPr>
        <w:t>肿</w:t>
      </w:r>
      <w:r>
        <w:rPr>
          <w:w w:val="95"/>
        </w:rPr>
        <w:t>瘤</w:t>
      </w:r>
      <w:r>
        <w:rPr>
          <w:w w:val="95"/>
        </w:rPr>
        <w:t>特</w:t>
      </w:r>
      <w:r>
        <w:rPr>
          <w:w w:val="95"/>
        </w:rPr>
        <w:t>定</w:t>
      </w:r>
      <w:r>
        <w:rPr>
          <w:w w:val="95"/>
        </w:rPr>
        <w:t>药</w:t>
      </w:r>
      <w:r>
        <w:rPr>
          <w:w w:val="95"/>
        </w:rPr>
        <w:t>品</w:t>
      </w:r>
      <w:r>
        <w:rPr>
          <w:w w:val="95"/>
        </w:rPr>
        <w:t>费</w:t>
      </w:r>
      <w:r>
        <w:rPr>
          <w:w w:val="95"/>
        </w:rPr>
        <w:t>用医疗</w:t>
      </w:r>
      <w:r>
        <w:rPr>
          <w:w w:val="95"/>
        </w:rPr>
        <w:t>保</w:t>
      </w:r>
      <w:r>
        <w:rPr>
          <w:w w:val="95"/>
        </w:rPr>
        <w:t>险</w:t>
      </w:r>
      <w:r>
        <w:rPr>
          <w:w w:val="95"/>
        </w:rPr>
        <w:t>条</w:t>
      </w:r>
      <w:r>
        <w:rPr>
          <w:spacing w:val="-10"/>
          <w:w w:val="95"/>
        </w:rPr>
        <w:t>款</w:t>
      </w:r>
    </w:p>
    <w:p>
      <w:pPr>
        <w:pStyle w:val="BodyText"/>
        <w:spacing w:before="12"/>
        <w:rPr>
          <w:b/>
          <w:sz w:val="32"/>
        </w:rPr>
      </w:pPr>
    </w:p>
    <w:p>
      <w:pPr>
        <w:pStyle w:val="BodyText"/>
        <w:spacing w:line="242" w:lineRule="auto"/>
        <w:ind w:left="222" w:right="329" w:firstLine="419"/>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2"/>
        </w:rPr>
        <w:t>均指中意人寿保险有限公司，</w:t>
      </w:r>
      <w:r>
        <w:rPr>
          <w:rFonts w:ascii="Times New Roman" w:hAnsi="Times New Roman" w:eastAsia="Times New Roman"/>
          <w:spacing w:val="-2"/>
        </w:rPr>
        <w:t>“</w:t>
      </w:r>
      <w:r>
        <w:rPr>
          <w:spacing w:val="-2"/>
        </w:rPr>
        <w:t>本合同</w:t>
      </w:r>
      <w:r>
        <w:rPr>
          <w:rFonts w:ascii="Times New Roman" w:hAnsi="Times New Roman" w:eastAsia="Times New Roman"/>
          <w:spacing w:val="-2"/>
        </w:rPr>
        <w:t>”</w:t>
      </w:r>
      <w:r>
        <w:rPr>
          <w:spacing w:val="-2"/>
        </w:rPr>
        <w:t>指您与我</w:t>
      </w:r>
      <w:r>
        <w:rPr>
          <w:spacing w:val="-2"/>
        </w:rPr>
        <w:t>们之间订立的</w:t>
      </w:r>
      <w:r>
        <w:rPr>
          <w:rFonts w:ascii="Times New Roman" w:hAnsi="Times New Roman" w:eastAsia="Times New Roman"/>
          <w:spacing w:val="-2"/>
        </w:rPr>
        <w:t>“</w:t>
      </w:r>
      <w:r>
        <w:rPr>
          <w:spacing w:val="-2"/>
        </w:rPr>
        <w:t>中意恶性肿瘤特定药品费用医疗保险</w:t>
      </w:r>
      <w:r>
        <w:rPr>
          <w:rFonts w:ascii="Times New Roman" w:hAnsi="Times New Roman" w:eastAsia="Times New Roman"/>
          <w:spacing w:val="-2"/>
        </w:rPr>
        <w:t>”</w:t>
      </w:r>
      <w:r>
        <w:rPr>
          <w:spacing w:val="-2"/>
        </w:rPr>
        <w:t>保险合同。</w:t>
      </w:r>
    </w:p>
    <w:p>
      <w:pPr>
        <w:pStyle w:val="BodyText"/>
        <w:spacing w:before="7"/>
        <w:rPr>
          <w:sz w:val="24"/>
        </w:rPr>
      </w:pPr>
    </w:p>
    <w:p>
      <w:pPr>
        <w:pStyle w:val="Heading2"/>
        <w:numPr>
          <w:ilvl w:val="0"/>
          <w:numId w:val="4"/>
        </w:numPr>
        <w:tabs>
          <w:tab w:pos="1321" w:val="left" w:leader="none"/>
          <w:tab w:pos="1322" w:val="left" w:leader="none"/>
        </w:tabs>
        <w:spacing w:line="240" w:lineRule="auto" w:before="0" w:after="0"/>
        <w:ind w:left="1321" w:right="0" w:hanging="1100"/>
        <w:jc w:val="left"/>
      </w:pPr>
      <w:r>
        <w:rPr>
          <w:w w:val="95"/>
        </w:rPr>
        <w:t>您与我</w:t>
      </w:r>
      <w:r>
        <w:rPr>
          <w:w w:val="95"/>
        </w:rPr>
        <w:t>们</w:t>
      </w:r>
      <w:r>
        <w:rPr>
          <w:w w:val="95"/>
        </w:rPr>
        <w:t>订</w:t>
      </w:r>
      <w:r>
        <w:rPr>
          <w:spacing w:val="-3"/>
          <w:w w:val="95"/>
        </w:rPr>
        <w:t>立的合同</w:t>
      </w:r>
    </w:p>
    <w:p>
      <w:pPr>
        <w:pStyle w:val="BodyText"/>
        <w:spacing w:before="1"/>
        <w:rPr>
          <w:b/>
          <w:sz w:val="4"/>
        </w:rPr>
      </w:pPr>
      <w:r>
        <w:rPr/>
        <w:drawing>
          <wp:anchor distT="0" distB="0" distL="0" distR="0" allowOverlap="1" layoutInCell="1" locked="0" behindDoc="0" simplePos="0" relativeHeight="2">
            <wp:simplePos x="0" y="0"/>
            <wp:positionH relativeFrom="page">
              <wp:posOffset>1012240</wp:posOffset>
            </wp:positionH>
            <wp:positionV relativeFrom="paragraph">
              <wp:posOffset>48970</wp:posOffset>
            </wp:positionV>
            <wp:extent cx="5869766" cy="6096"/>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5869766" cy="6096"/>
                    </a:xfrm>
                    <a:prstGeom prst="rect">
                      <a:avLst/>
                    </a:prstGeom>
                  </pic:spPr>
                </pic:pic>
              </a:graphicData>
            </a:graphic>
          </wp:anchor>
        </w:drawing>
      </w:r>
    </w:p>
    <w:p>
      <w:pPr>
        <w:pStyle w:val="BodyText"/>
        <w:spacing w:before="6"/>
        <w:rPr>
          <w:b/>
          <w:sz w:val="18"/>
        </w:rPr>
      </w:pPr>
    </w:p>
    <w:p>
      <w:pPr>
        <w:pStyle w:val="ListParagraph"/>
        <w:numPr>
          <w:ilvl w:val="1"/>
          <w:numId w:val="4"/>
        </w:numPr>
        <w:tabs>
          <w:tab w:pos="1321" w:val="left" w:leader="none"/>
          <w:tab w:pos="1322" w:val="left" w:leader="none"/>
          <w:tab w:pos="3164" w:val="left" w:leader="none"/>
        </w:tabs>
        <w:spacing w:line="240" w:lineRule="auto" w:before="1" w:after="0"/>
        <w:ind w:left="1321" w:right="0" w:hanging="1100"/>
        <w:jc w:val="left"/>
        <w:rPr>
          <w:sz w:val="21"/>
        </w:rPr>
      </w:pPr>
      <w:r>
        <w:rPr>
          <w:b/>
          <w:sz w:val="21"/>
        </w:rPr>
        <w:t>合同构</w:t>
      </w:r>
      <w:r>
        <w:rPr>
          <w:b/>
          <w:spacing w:val="-10"/>
          <w:sz w:val="21"/>
        </w:rPr>
        <w:t>成</w:t>
      </w:r>
      <w:r>
        <w:rPr>
          <w:b/>
          <w:sz w:val="21"/>
        </w:rPr>
        <w:tab/>
      </w:r>
      <w:r>
        <w:rPr>
          <w:sz w:val="21"/>
        </w:rPr>
        <w:t>本合同是您与我们约定保险权利义务关系的协议，包括本保险</w:t>
      </w:r>
      <w:r>
        <w:rPr>
          <w:spacing w:val="-10"/>
          <w:sz w:val="21"/>
        </w:rPr>
        <w:t>条</w:t>
      </w:r>
    </w:p>
    <w:p>
      <w:pPr>
        <w:pStyle w:val="BodyText"/>
        <w:spacing w:line="242" w:lineRule="auto" w:before="5"/>
        <w:ind w:left="3165" w:right="346"/>
      </w:pPr>
      <w:r>
        <w:rPr>
          <w:spacing w:val="-4"/>
        </w:rPr>
        <w:t>款、保险单或其他保险凭证、投保单、与保险合同有关的投保文件、</w:t>
      </w:r>
      <w:r>
        <w:rPr>
          <w:spacing w:val="-13"/>
        </w:rPr>
        <w:t>合法有效的声明、批注、批单及其他您与我们共同认可的书面协议。</w:t>
      </w:r>
    </w:p>
    <w:p>
      <w:pPr>
        <w:pStyle w:val="BodyText"/>
        <w:rPr>
          <w:sz w:val="11"/>
        </w:rPr>
      </w:pPr>
    </w:p>
    <w:p>
      <w:pPr>
        <w:spacing w:after="0"/>
        <w:rPr>
          <w:sz w:val="11"/>
        </w:rPr>
        <w:sectPr>
          <w:footerReference w:type="default" r:id="rId7"/>
          <w:pgSz w:w="11910" w:h="16840"/>
          <w:pgMar w:footer="879" w:header="0" w:top="1360" w:bottom="1060" w:left="1480" w:right="720"/>
          <w:pgNumType w:start="1"/>
        </w:sectPr>
      </w:pPr>
    </w:p>
    <w:p>
      <w:pPr>
        <w:pStyle w:val="ListParagraph"/>
        <w:numPr>
          <w:ilvl w:val="1"/>
          <w:numId w:val="4"/>
        </w:numPr>
        <w:tabs>
          <w:tab w:pos="1321" w:val="left" w:leader="none"/>
          <w:tab w:pos="1322" w:val="left" w:leader="none"/>
        </w:tabs>
        <w:spacing w:line="244" w:lineRule="auto" w:before="94" w:after="0"/>
        <w:ind w:left="1321" w:right="0" w:hanging="1100"/>
        <w:jc w:val="left"/>
        <w:rPr>
          <w:b/>
          <w:sz w:val="21"/>
        </w:rPr>
      </w:pPr>
      <w:r>
        <w:rPr>
          <w:b/>
          <w:spacing w:val="18"/>
          <w:sz w:val="21"/>
        </w:rPr>
        <w:t>保险合同成立与</w:t>
      </w:r>
      <w:r>
        <w:rPr>
          <w:b/>
          <w:spacing w:val="-6"/>
          <w:sz w:val="21"/>
        </w:rPr>
        <w:t>生效</w:t>
      </w:r>
    </w:p>
    <w:p>
      <w:pPr>
        <w:pStyle w:val="BodyText"/>
        <w:spacing w:before="100"/>
        <w:ind w:left="177"/>
      </w:pPr>
      <w:r>
        <w:rPr/>
        <w:br w:type="column"/>
      </w:r>
      <w:r>
        <w:rPr>
          <w:spacing w:val="-3"/>
        </w:rPr>
        <w:t>您提出保险申请、我们同意承保，本合同成立。</w:t>
      </w:r>
    </w:p>
    <w:p>
      <w:pPr>
        <w:pStyle w:val="BodyText"/>
        <w:spacing w:before="1"/>
        <w:rPr>
          <w:sz w:val="19"/>
        </w:rPr>
      </w:pPr>
    </w:p>
    <w:p>
      <w:pPr>
        <w:pStyle w:val="BodyText"/>
        <w:spacing w:line="244" w:lineRule="auto"/>
        <w:ind w:left="177" w:right="442"/>
      </w:pPr>
      <w:r>
        <w:rPr>
          <w:spacing w:val="-2"/>
        </w:rPr>
        <w:t>除另有约定外，本合同自我们同意承保并签发保险单后开始生效，</w:t>
      </w:r>
      <w:r>
        <w:rPr>
          <w:spacing w:val="-2"/>
        </w:rPr>
        <w:t>合同生效日期在保险单上载明。</w:t>
      </w:r>
    </w:p>
    <w:p>
      <w:pPr>
        <w:pStyle w:val="BodyText"/>
        <w:spacing w:before="8"/>
        <w:rPr>
          <w:sz w:val="18"/>
        </w:rPr>
      </w:pPr>
    </w:p>
    <w:p>
      <w:pPr>
        <w:spacing w:line="242" w:lineRule="auto" w:before="0"/>
        <w:ind w:left="177" w:right="635" w:firstLine="0"/>
        <w:jc w:val="left"/>
        <w:rPr>
          <w:b/>
          <w:sz w:val="21"/>
        </w:rPr>
      </w:pPr>
      <w:r>
        <w:rPr>
          <w:b/>
          <w:spacing w:val="-2"/>
          <w:sz w:val="21"/>
        </w:rPr>
        <w:t>我们自保险单上约定的生效日的次日零时起开始承担本合同约定</w:t>
      </w:r>
      <w:r>
        <w:rPr>
          <w:b/>
          <w:spacing w:val="-2"/>
          <w:sz w:val="21"/>
        </w:rPr>
        <w:t>的保险责任。</w:t>
      </w:r>
    </w:p>
    <w:p>
      <w:pPr>
        <w:spacing w:after="0" w:line="242" w:lineRule="auto"/>
        <w:jc w:val="left"/>
        <w:rPr>
          <w:sz w:val="21"/>
        </w:rPr>
        <w:sectPr>
          <w:type w:val="continuous"/>
          <w:pgSz w:w="11910" w:h="16840"/>
          <w:pgMar w:header="0" w:footer="879" w:top="300" w:bottom="280" w:left="1480" w:right="720"/>
          <w:cols w:num="2" w:equalWidth="0">
            <w:col w:w="2948" w:space="40"/>
            <w:col w:w="6722"/>
          </w:cols>
        </w:sectPr>
      </w:pPr>
    </w:p>
    <w:p>
      <w:pPr>
        <w:pStyle w:val="BodyText"/>
        <w:rPr>
          <w:b/>
          <w:sz w:val="11"/>
        </w:rPr>
      </w:pPr>
    </w:p>
    <w:p>
      <w:pPr>
        <w:pStyle w:val="ListParagraph"/>
        <w:numPr>
          <w:ilvl w:val="1"/>
          <w:numId w:val="4"/>
        </w:numPr>
        <w:tabs>
          <w:tab w:pos="1321" w:val="left" w:leader="none"/>
          <w:tab w:pos="1322" w:val="left" w:leader="none"/>
          <w:tab w:pos="3164" w:val="left" w:leader="none"/>
        </w:tabs>
        <w:spacing w:line="240" w:lineRule="auto" w:before="94" w:after="0"/>
        <w:ind w:left="1321" w:right="0" w:hanging="1100"/>
        <w:jc w:val="left"/>
        <w:rPr>
          <w:sz w:val="21"/>
        </w:rPr>
      </w:pPr>
      <w:r>
        <w:rPr>
          <w:b/>
          <w:sz w:val="21"/>
        </w:rPr>
        <w:t>投保年</w:t>
      </w:r>
      <w:r>
        <w:rPr>
          <w:b/>
          <w:spacing w:val="-10"/>
          <w:sz w:val="21"/>
        </w:rPr>
        <w:t>龄</w:t>
      </w:r>
      <w:r>
        <w:rPr>
          <w:b/>
          <w:sz w:val="21"/>
        </w:rPr>
        <w:tab/>
      </w:r>
      <w:r>
        <w:rPr>
          <w:spacing w:val="-2"/>
          <w:sz w:val="21"/>
        </w:rPr>
        <w:t>指</w:t>
      </w:r>
      <w:r>
        <w:rPr>
          <w:spacing w:val="-2"/>
          <w:sz w:val="21"/>
        </w:rPr>
        <w:t>您</w:t>
      </w:r>
      <w:r>
        <w:rPr>
          <w:spacing w:val="-2"/>
          <w:sz w:val="21"/>
        </w:rPr>
        <w:t>投保本合同时被保险</w:t>
      </w:r>
      <w:r>
        <w:rPr>
          <w:spacing w:val="-2"/>
          <w:sz w:val="21"/>
        </w:rPr>
        <w:t>人</w:t>
      </w:r>
      <w:r>
        <w:rPr>
          <w:spacing w:val="-2"/>
          <w:sz w:val="21"/>
        </w:rPr>
        <w:t>的</w:t>
      </w:r>
      <w:r>
        <w:rPr>
          <w:spacing w:val="-2"/>
          <w:sz w:val="21"/>
        </w:rPr>
        <w:t>年龄，年龄以</w:t>
      </w:r>
      <w:r>
        <w:rPr>
          <w:b/>
          <w:spacing w:val="-2"/>
          <w:sz w:val="21"/>
        </w:rPr>
        <w:t>周</w:t>
      </w:r>
      <w:r>
        <w:rPr>
          <w:b/>
          <w:spacing w:val="-2"/>
          <w:sz w:val="21"/>
        </w:rPr>
        <w:t>岁</w:t>
      </w:r>
      <w:r>
        <w:rPr>
          <w:spacing w:val="-2"/>
          <w:sz w:val="21"/>
        </w:rPr>
        <w:t>（见</w:t>
      </w:r>
      <w:r>
        <w:rPr>
          <w:rFonts w:ascii="Times New Roman" w:eastAsia="Times New Roman"/>
          <w:spacing w:val="-2"/>
          <w:sz w:val="21"/>
        </w:rPr>
        <w:t>9.1</w:t>
      </w:r>
      <w:r>
        <w:rPr>
          <w:spacing w:val="-2"/>
          <w:sz w:val="21"/>
        </w:rPr>
        <w:t>）计</w:t>
      </w:r>
      <w:r>
        <w:rPr>
          <w:spacing w:val="-2"/>
          <w:sz w:val="21"/>
        </w:rPr>
        <w:t>算</w:t>
      </w:r>
      <w:r>
        <w:rPr>
          <w:spacing w:val="-10"/>
          <w:sz w:val="21"/>
        </w:rPr>
        <w:t>。</w:t>
      </w:r>
    </w:p>
    <w:p>
      <w:pPr>
        <w:pStyle w:val="BodyText"/>
        <w:spacing w:line="242" w:lineRule="auto" w:before="5"/>
        <w:ind w:left="3165" w:right="548"/>
      </w:pPr>
      <w:r>
        <w:rPr>
          <w:spacing w:val="-2"/>
        </w:rPr>
        <w:t>本合同接受的投保年龄为出生满</w:t>
      </w:r>
      <w:r>
        <w:rPr>
          <w:rFonts w:ascii="Times New Roman" w:eastAsia="Times New Roman"/>
          <w:spacing w:val="-2"/>
        </w:rPr>
        <w:t>30</w:t>
      </w:r>
      <w:r>
        <w:rPr>
          <w:spacing w:val="-2"/>
        </w:rPr>
        <w:t>天至</w:t>
      </w:r>
      <w:r>
        <w:rPr>
          <w:rFonts w:ascii="Times New Roman" w:eastAsia="Times New Roman"/>
          <w:spacing w:val="-2"/>
        </w:rPr>
        <w:t>65</w:t>
      </w:r>
      <w:r>
        <w:rPr>
          <w:spacing w:val="-2"/>
        </w:rPr>
        <w:t>周岁，最高可续保至</w:t>
      </w:r>
      <w:r>
        <w:rPr>
          <w:rFonts w:ascii="Times New Roman" w:eastAsia="Times New Roman"/>
          <w:spacing w:val="-2"/>
        </w:rPr>
        <w:t>105</w:t>
      </w:r>
      <w:r>
        <w:rPr>
          <w:spacing w:val="-4"/>
        </w:rPr>
        <w:t>周岁。</w:t>
      </w:r>
    </w:p>
    <w:p>
      <w:pPr>
        <w:pStyle w:val="BodyText"/>
        <w:spacing w:before="7"/>
        <w:rPr>
          <w:sz w:val="18"/>
        </w:rPr>
      </w:pPr>
    </w:p>
    <w:p>
      <w:pPr>
        <w:pStyle w:val="ListParagraph"/>
        <w:numPr>
          <w:ilvl w:val="1"/>
          <w:numId w:val="4"/>
        </w:numPr>
        <w:tabs>
          <w:tab w:pos="1321" w:val="left" w:leader="none"/>
          <w:tab w:pos="1322" w:val="left" w:leader="none"/>
          <w:tab w:pos="3164" w:val="left" w:leader="none"/>
        </w:tabs>
        <w:spacing w:line="240" w:lineRule="auto" w:before="0" w:after="0"/>
        <w:ind w:left="1321" w:right="0" w:hanging="1100"/>
        <w:jc w:val="left"/>
        <w:rPr>
          <w:sz w:val="21"/>
        </w:rPr>
      </w:pPr>
      <w:r>
        <w:rPr>
          <w:b/>
          <w:sz w:val="21"/>
        </w:rPr>
        <w:t>合同的签</w:t>
      </w:r>
      <w:r>
        <w:rPr>
          <w:b/>
          <w:spacing w:val="-10"/>
          <w:sz w:val="21"/>
        </w:rPr>
        <w:t>收</w:t>
      </w:r>
      <w:r>
        <w:rPr>
          <w:b/>
          <w:sz w:val="21"/>
        </w:rPr>
        <w:tab/>
      </w:r>
      <w:r>
        <w:rPr>
          <w:spacing w:val="-2"/>
          <w:sz w:val="21"/>
        </w:rPr>
        <w:t>在</w:t>
      </w:r>
      <w:r>
        <w:rPr>
          <w:spacing w:val="-2"/>
          <w:sz w:val="21"/>
        </w:rPr>
        <w:t>您</w:t>
      </w:r>
      <w:r>
        <w:rPr>
          <w:spacing w:val="-2"/>
          <w:sz w:val="21"/>
        </w:rPr>
        <w:t>收到本合同时，您应</w:t>
      </w:r>
      <w:r>
        <w:rPr>
          <w:spacing w:val="-2"/>
          <w:sz w:val="21"/>
        </w:rPr>
        <w:t>当</w:t>
      </w:r>
      <w:r>
        <w:rPr>
          <w:spacing w:val="-2"/>
          <w:sz w:val="21"/>
        </w:rPr>
        <w:t>签</w:t>
      </w:r>
      <w:r>
        <w:rPr>
          <w:spacing w:val="-2"/>
          <w:sz w:val="21"/>
        </w:rPr>
        <w:t>署本合同的签收回执</w:t>
      </w:r>
      <w:r>
        <w:rPr>
          <w:spacing w:val="-10"/>
          <w:sz w:val="21"/>
        </w:rPr>
        <w:t>。</w:t>
      </w:r>
    </w:p>
    <w:p>
      <w:pPr>
        <w:pStyle w:val="BodyText"/>
        <w:spacing w:before="8"/>
        <w:rPr>
          <w:sz w:val="24"/>
        </w:rPr>
      </w:pPr>
    </w:p>
    <w:p>
      <w:pPr>
        <w:pStyle w:val="Heading2"/>
        <w:numPr>
          <w:ilvl w:val="0"/>
          <w:numId w:val="4"/>
        </w:numPr>
        <w:tabs>
          <w:tab w:pos="1321" w:val="left" w:leader="none"/>
          <w:tab w:pos="1322" w:val="left" w:leader="none"/>
        </w:tabs>
        <w:spacing w:line="240" w:lineRule="auto" w:before="0" w:after="0"/>
        <w:ind w:left="1321" w:right="0" w:hanging="1100"/>
        <w:jc w:val="left"/>
      </w:pPr>
      <w:r>
        <w:rPr>
          <w:w w:val="95"/>
        </w:rPr>
        <w:t>我们提</w:t>
      </w:r>
      <w:r>
        <w:rPr>
          <w:w w:val="95"/>
        </w:rPr>
        <w:t>供</w:t>
      </w:r>
      <w:r>
        <w:rPr>
          <w:w w:val="95"/>
        </w:rPr>
        <w:t>的</w:t>
      </w:r>
      <w:r>
        <w:rPr>
          <w:spacing w:val="-5"/>
          <w:w w:val="95"/>
        </w:rPr>
        <w:t>保障</w:t>
      </w:r>
    </w:p>
    <w:p>
      <w:pPr>
        <w:pStyle w:val="BodyText"/>
        <w:spacing w:before="3"/>
        <w:rPr>
          <w:b/>
          <w:sz w:val="4"/>
        </w:rPr>
      </w:pPr>
      <w:r>
        <w:rPr/>
        <w:drawing>
          <wp:anchor distT="0" distB="0" distL="0" distR="0" allowOverlap="1" layoutInCell="1" locked="0" behindDoc="0" simplePos="0" relativeHeight="3">
            <wp:simplePos x="0" y="0"/>
            <wp:positionH relativeFrom="page">
              <wp:posOffset>1012240</wp:posOffset>
            </wp:positionH>
            <wp:positionV relativeFrom="paragraph">
              <wp:posOffset>50286</wp:posOffset>
            </wp:positionV>
            <wp:extent cx="5869400" cy="6096"/>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5869400" cy="6096"/>
                    </a:xfrm>
                    <a:prstGeom prst="rect">
                      <a:avLst/>
                    </a:prstGeom>
                  </pic:spPr>
                </pic:pic>
              </a:graphicData>
            </a:graphic>
          </wp:anchor>
        </w:drawing>
      </w:r>
    </w:p>
    <w:p>
      <w:pPr>
        <w:pStyle w:val="BodyText"/>
        <w:spacing w:before="6"/>
        <w:rPr>
          <w:b/>
          <w:sz w:val="18"/>
        </w:rPr>
      </w:pPr>
    </w:p>
    <w:p>
      <w:pPr>
        <w:pStyle w:val="ListParagraph"/>
        <w:numPr>
          <w:ilvl w:val="1"/>
          <w:numId w:val="4"/>
        </w:numPr>
        <w:tabs>
          <w:tab w:pos="1321" w:val="left" w:leader="none"/>
          <w:tab w:pos="1322" w:val="left" w:leader="none"/>
          <w:tab w:pos="3164" w:val="left" w:leader="none"/>
        </w:tabs>
        <w:spacing w:line="240" w:lineRule="auto" w:before="1" w:after="0"/>
        <w:ind w:left="1321" w:right="0" w:hanging="1100"/>
        <w:jc w:val="left"/>
        <w:rPr>
          <w:sz w:val="21"/>
        </w:rPr>
      </w:pPr>
      <w:r>
        <w:rPr>
          <w:b/>
          <w:sz w:val="21"/>
        </w:rPr>
        <w:t>保险期间及续</w:t>
      </w:r>
      <w:r>
        <w:rPr>
          <w:b/>
          <w:spacing w:val="-10"/>
          <w:sz w:val="21"/>
        </w:rPr>
        <w:t>保</w:t>
      </w:r>
      <w:r>
        <w:rPr>
          <w:b/>
          <w:sz w:val="21"/>
        </w:rPr>
        <w:tab/>
      </w:r>
      <w:r>
        <w:rPr>
          <w:sz w:val="21"/>
        </w:rPr>
        <w:t>本</w:t>
      </w:r>
      <w:r>
        <w:rPr>
          <w:sz w:val="21"/>
        </w:rPr>
        <w:t>合</w:t>
      </w:r>
      <w:r>
        <w:rPr>
          <w:sz w:val="21"/>
        </w:rPr>
        <w:t>同</w:t>
      </w:r>
      <w:r>
        <w:rPr>
          <w:sz w:val="21"/>
        </w:rPr>
        <w:t>的</w:t>
      </w:r>
      <w:r>
        <w:rPr>
          <w:sz w:val="21"/>
        </w:rPr>
        <w:t>保</w:t>
      </w:r>
      <w:r>
        <w:rPr>
          <w:sz w:val="21"/>
        </w:rPr>
        <w:t>险</w:t>
      </w:r>
      <w:r>
        <w:rPr>
          <w:sz w:val="21"/>
        </w:rPr>
        <w:t>期</w:t>
      </w:r>
      <w:r>
        <w:rPr>
          <w:sz w:val="21"/>
        </w:rPr>
        <w:t>间</w:t>
      </w:r>
      <w:r>
        <w:rPr>
          <w:sz w:val="21"/>
        </w:rPr>
        <w:t>为</w:t>
      </w:r>
      <w:r>
        <w:rPr>
          <w:rFonts w:ascii="Times New Roman" w:eastAsia="Times New Roman"/>
          <w:sz w:val="21"/>
        </w:rPr>
        <w:t>1</w:t>
      </w:r>
      <w:r>
        <w:rPr>
          <w:sz w:val="21"/>
        </w:rPr>
        <w:t>年</w:t>
      </w:r>
      <w:r>
        <w:rPr>
          <w:sz w:val="21"/>
        </w:rPr>
        <w:t>，</w:t>
      </w:r>
      <w:r>
        <w:rPr>
          <w:sz w:val="21"/>
        </w:rPr>
        <w:t>自</w:t>
      </w:r>
      <w:r>
        <w:rPr>
          <w:sz w:val="21"/>
        </w:rPr>
        <w:t>本</w:t>
      </w:r>
      <w:r>
        <w:rPr>
          <w:sz w:val="21"/>
        </w:rPr>
        <w:t>合</w:t>
      </w:r>
      <w:r>
        <w:rPr>
          <w:sz w:val="21"/>
        </w:rPr>
        <w:t>同</w:t>
      </w:r>
      <w:r>
        <w:rPr>
          <w:sz w:val="21"/>
        </w:rPr>
        <w:t>生</w:t>
      </w:r>
      <w:r>
        <w:rPr>
          <w:sz w:val="21"/>
        </w:rPr>
        <w:t>效</w:t>
      </w:r>
      <w:r>
        <w:rPr>
          <w:sz w:val="21"/>
        </w:rPr>
        <w:t>日</w:t>
      </w:r>
      <w:r>
        <w:rPr>
          <w:sz w:val="21"/>
        </w:rPr>
        <w:t>次</w:t>
      </w:r>
      <w:r>
        <w:rPr>
          <w:sz w:val="21"/>
        </w:rPr>
        <w:t>日</w:t>
      </w:r>
      <w:r>
        <w:rPr>
          <w:sz w:val="21"/>
        </w:rPr>
        <w:t>零</w:t>
      </w:r>
      <w:r>
        <w:rPr>
          <w:sz w:val="21"/>
        </w:rPr>
        <w:t>时</w:t>
      </w:r>
      <w:r>
        <w:rPr>
          <w:sz w:val="21"/>
        </w:rPr>
        <w:t>起</w:t>
      </w:r>
      <w:r>
        <w:rPr>
          <w:sz w:val="21"/>
        </w:rPr>
        <w:t>算</w:t>
      </w:r>
      <w:r>
        <w:rPr>
          <w:sz w:val="21"/>
        </w:rPr>
        <w:t>，</w:t>
      </w:r>
      <w:r>
        <w:rPr>
          <w:sz w:val="21"/>
        </w:rPr>
        <w:t>并</w:t>
      </w:r>
      <w:r>
        <w:rPr>
          <w:sz w:val="21"/>
        </w:rPr>
        <w:t>于</w:t>
      </w:r>
      <w:r>
        <w:rPr>
          <w:spacing w:val="-10"/>
          <w:sz w:val="21"/>
        </w:rPr>
        <w:t>保</w:t>
      </w:r>
    </w:p>
    <w:p>
      <w:pPr>
        <w:pStyle w:val="BodyText"/>
        <w:spacing w:before="2"/>
        <w:ind w:left="3165"/>
      </w:pPr>
      <w:r>
        <w:rPr>
          <w:spacing w:val="-4"/>
        </w:rPr>
        <w:t>险单上载明。</w:t>
      </w:r>
    </w:p>
    <w:p>
      <w:pPr>
        <w:pStyle w:val="BodyText"/>
        <w:spacing w:before="1"/>
        <w:rPr>
          <w:sz w:val="19"/>
        </w:rPr>
      </w:pPr>
    </w:p>
    <w:p>
      <w:pPr>
        <w:pStyle w:val="BodyText"/>
        <w:ind w:left="3165"/>
      </w:pPr>
      <w:r>
        <w:rPr>
          <w:spacing w:val="-2"/>
        </w:rPr>
        <w:t>您为被保险人续保本合同时，续保合同的保险期间为</w:t>
      </w:r>
      <w:r>
        <w:rPr>
          <w:rFonts w:ascii="Times New Roman" w:eastAsia="Times New Roman"/>
          <w:spacing w:val="-2"/>
        </w:rPr>
        <w:t>1</w:t>
      </w:r>
      <w:r>
        <w:rPr>
          <w:spacing w:val="-7"/>
        </w:rPr>
        <w:t>年。</w:t>
      </w:r>
    </w:p>
    <w:p>
      <w:pPr>
        <w:pStyle w:val="BodyText"/>
        <w:spacing w:before="1"/>
        <w:rPr>
          <w:sz w:val="19"/>
        </w:rPr>
      </w:pPr>
    </w:p>
    <w:p>
      <w:pPr>
        <w:pStyle w:val="BodyText"/>
        <w:spacing w:line="242" w:lineRule="auto"/>
        <w:ind w:left="3165" w:right="452"/>
        <w:jc w:val="both"/>
      </w:pPr>
      <w:r>
        <w:rPr>
          <w:spacing w:val="-2"/>
        </w:rPr>
        <w:t>每个保险期间届满前，您提出续保申请并经我们审核通过，且您按</w:t>
      </w:r>
      <w:r>
        <w:rPr>
          <w:spacing w:val="-2"/>
        </w:rPr>
        <w:t>续保时对应的保险费率交纳保险费后，续保合同生效。发生下列情</w:t>
      </w:r>
      <w:r>
        <w:rPr>
          <w:spacing w:val="-2"/>
        </w:rPr>
        <w:t>况之一时，本合同将不再接受续保：</w:t>
      </w:r>
    </w:p>
    <w:p>
      <w:pPr>
        <w:pStyle w:val="ListParagraph"/>
        <w:numPr>
          <w:ilvl w:val="2"/>
          <w:numId w:val="4"/>
        </w:numPr>
        <w:tabs>
          <w:tab w:pos="3694" w:val="left" w:leader="none"/>
        </w:tabs>
        <w:spacing w:line="240" w:lineRule="auto" w:before="4" w:after="0"/>
        <w:ind w:left="3694" w:right="0" w:hanging="529"/>
        <w:jc w:val="left"/>
        <w:rPr>
          <w:sz w:val="19"/>
        </w:rPr>
      </w:pPr>
      <w:r>
        <w:rPr>
          <w:sz w:val="21"/>
        </w:rPr>
        <w:t>被保险人已确诊罹患本合同约定保障范围及定义的</w:t>
      </w:r>
      <w:r>
        <w:rPr>
          <w:b/>
          <w:spacing w:val="-3"/>
          <w:sz w:val="21"/>
        </w:rPr>
        <w:t>恶性肿瘤</w:t>
      </w:r>
    </w:p>
    <w:p>
      <w:pPr>
        <w:pStyle w:val="BodyText"/>
        <w:spacing w:before="2"/>
        <w:ind w:left="3690"/>
      </w:pPr>
      <w:r>
        <w:rPr/>
        <w:t>（见</w:t>
      </w:r>
      <w:r>
        <w:rPr>
          <w:rFonts w:ascii="Times New Roman" w:eastAsia="Times New Roman"/>
          <w:spacing w:val="18"/>
        </w:rPr>
        <w:t>9</w:t>
      </w:r>
      <w:r>
        <w:rPr>
          <w:rFonts w:ascii="Times New Roman" w:eastAsia="Times New Roman"/>
          <w:spacing w:val="15"/>
        </w:rPr>
        <w:t>.</w:t>
      </w:r>
      <w:r>
        <w:rPr>
          <w:rFonts w:ascii="Times New Roman" w:eastAsia="Times New Roman"/>
          <w:spacing w:val="17"/>
        </w:rPr>
        <w:t>2</w:t>
      </w:r>
      <w:r>
        <w:rPr>
          <w:spacing w:val="-88"/>
        </w:rPr>
        <w:t>）</w:t>
      </w:r>
      <w:r>
        <w:rPr>
          <w:spacing w:val="18"/>
        </w:rPr>
        <w:t>；</w:t>
      </w:r>
    </w:p>
    <w:p>
      <w:pPr>
        <w:pStyle w:val="ListParagraph"/>
        <w:numPr>
          <w:ilvl w:val="2"/>
          <w:numId w:val="4"/>
        </w:numPr>
        <w:tabs>
          <w:tab w:pos="3694" w:val="left" w:leader="none"/>
        </w:tabs>
        <w:spacing w:line="240" w:lineRule="auto" w:before="4" w:after="0"/>
        <w:ind w:left="3694" w:right="0" w:hanging="529"/>
        <w:jc w:val="left"/>
        <w:rPr>
          <w:sz w:val="19"/>
        </w:rPr>
      </w:pPr>
      <w:r>
        <w:rPr>
          <w:spacing w:val="-2"/>
          <w:sz w:val="21"/>
        </w:rPr>
        <w:t>续保时被保险人年满</w:t>
      </w:r>
      <w:r>
        <w:rPr>
          <w:rFonts w:ascii="Times New Roman" w:eastAsia="Times New Roman"/>
          <w:spacing w:val="-2"/>
          <w:sz w:val="21"/>
        </w:rPr>
        <w:t>106</w:t>
      </w:r>
      <w:r>
        <w:rPr>
          <w:spacing w:val="-5"/>
          <w:sz w:val="21"/>
        </w:rPr>
        <w:t>周岁；</w:t>
      </w:r>
    </w:p>
    <w:p>
      <w:pPr>
        <w:pStyle w:val="ListParagraph"/>
        <w:numPr>
          <w:ilvl w:val="2"/>
          <w:numId w:val="4"/>
        </w:numPr>
        <w:tabs>
          <w:tab w:pos="3694" w:val="left" w:leader="none"/>
        </w:tabs>
        <w:spacing w:line="240" w:lineRule="auto" w:before="3" w:after="0"/>
        <w:ind w:left="3694" w:right="0" w:hanging="529"/>
        <w:jc w:val="left"/>
        <w:rPr>
          <w:sz w:val="19"/>
        </w:rPr>
      </w:pPr>
      <w:r>
        <w:rPr>
          <w:spacing w:val="-3"/>
          <w:sz w:val="21"/>
        </w:rPr>
        <w:t>续保时本产品已停止销售。</w:t>
      </w:r>
    </w:p>
    <w:p>
      <w:pPr>
        <w:pStyle w:val="BodyText"/>
        <w:spacing w:before="7"/>
        <w:rPr>
          <w:sz w:val="18"/>
        </w:rPr>
      </w:pPr>
    </w:p>
    <w:p>
      <w:pPr>
        <w:pStyle w:val="ListParagraph"/>
        <w:numPr>
          <w:ilvl w:val="1"/>
          <w:numId w:val="4"/>
        </w:numPr>
        <w:tabs>
          <w:tab w:pos="1321" w:val="left" w:leader="none"/>
          <w:tab w:pos="1322" w:val="left" w:leader="none"/>
          <w:tab w:pos="3164" w:val="left" w:leader="none"/>
        </w:tabs>
        <w:spacing w:line="240" w:lineRule="auto" w:before="0" w:after="0"/>
        <w:ind w:left="1321" w:right="0" w:hanging="1100"/>
        <w:jc w:val="left"/>
        <w:rPr>
          <w:b/>
          <w:sz w:val="21"/>
        </w:rPr>
      </w:pPr>
      <w:r>
        <w:rPr>
          <w:b/>
          <w:sz w:val="21"/>
        </w:rPr>
        <w:t>等待</w:t>
      </w:r>
      <w:r>
        <w:rPr>
          <w:b/>
          <w:spacing w:val="-10"/>
          <w:sz w:val="21"/>
        </w:rPr>
        <w:t>期</w:t>
      </w:r>
      <w:r>
        <w:rPr>
          <w:b/>
          <w:sz w:val="21"/>
        </w:rPr>
        <w:tab/>
      </w:r>
      <w:r>
        <w:rPr>
          <w:b/>
          <w:spacing w:val="-2"/>
          <w:sz w:val="21"/>
        </w:rPr>
        <w:t>本</w:t>
      </w:r>
      <w:r>
        <w:rPr>
          <w:b/>
          <w:spacing w:val="-2"/>
          <w:sz w:val="21"/>
        </w:rPr>
        <w:t>合</w:t>
      </w:r>
      <w:r>
        <w:rPr>
          <w:b/>
          <w:spacing w:val="-2"/>
          <w:sz w:val="21"/>
        </w:rPr>
        <w:t>同</w:t>
      </w:r>
      <w:r>
        <w:rPr>
          <w:b/>
          <w:spacing w:val="-2"/>
          <w:sz w:val="21"/>
        </w:rPr>
        <w:t>的</w:t>
      </w:r>
      <w:r>
        <w:rPr>
          <w:b/>
          <w:spacing w:val="-2"/>
          <w:sz w:val="21"/>
        </w:rPr>
        <w:t>等</w:t>
      </w:r>
      <w:r>
        <w:rPr>
          <w:b/>
          <w:spacing w:val="-2"/>
          <w:sz w:val="21"/>
        </w:rPr>
        <w:t>待</w:t>
      </w:r>
      <w:r>
        <w:rPr>
          <w:b/>
          <w:spacing w:val="-2"/>
          <w:sz w:val="21"/>
        </w:rPr>
        <w:t>期</w:t>
      </w:r>
      <w:r>
        <w:rPr>
          <w:b/>
          <w:spacing w:val="-2"/>
          <w:sz w:val="21"/>
        </w:rPr>
        <w:t>是</w:t>
      </w:r>
      <w:r>
        <w:rPr>
          <w:b/>
          <w:spacing w:val="-2"/>
          <w:sz w:val="21"/>
        </w:rPr>
        <w:t>指自本</w:t>
      </w:r>
      <w:r>
        <w:rPr>
          <w:b/>
          <w:spacing w:val="-2"/>
          <w:sz w:val="21"/>
        </w:rPr>
        <w:t>合</w:t>
      </w:r>
      <w:r>
        <w:rPr>
          <w:b/>
          <w:spacing w:val="-2"/>
          <w:sz w:val="21"/>
        </w:rPr>
        <w:t>同</w:t>
      </w:r>
      <w:r>
        <w:rPr>
          <w:b/>
          <w:spacing w:val="-2"/>
          <w:sz w:val="21"/>
        </w:rPr>
        <w:t>生</w:t>
      </w:r>
      <w:r>
        <w:rPr>
          <w:b/>
          <w:spacing w:val="-2"/>
          <w:sz w:val="21"/>
        </w:rPr>
        <w:t>效</w:t>
      </w:r>
      <w:r>
        <w:rPr>
          <w:b/>
          <w:spacing w:val="-2"/>
          <w:sz w:val="21"/>
        </w:rPr>
        <w:t>日</w:t>
      </w:r>
      <w:r>
        <w:rPr>
          <w:b/>
          <w:spacing w:val="-2"/>
          <w:sz w:val="21"/>
        </w:rPr>
        <w:t>起</w:t>
      </w:r>
      <w:r>
        <w:rPr>
          <w:rFonts w:ascii="Times New Roman" w:eastAsia="Times New Roman"/>
          <w:b/>
          <w:spacing w:val="-2"/>
          <w:sz w:val="21"/>
        </w:rPr>
        <w:t>30</w:t>
      </w:r>
      <w:r>
        <w:rPr>
          <w:b/>
          <w:spacing w:val="-2"/>
          <w:sz w:val="21"/>
        </w:rPr>
        <w:t>天</w:t>
      </w:r>
      <w:r>
        <w:rPr>
          <w:b/>
          <w:spacing w:val="-68"/>
          <w:sz w:val="21"/>
        </w:rPr>
        <w:t>内</w:t>
      </w:r>
      <w:r>
        <w:rPr>
          <w:b/>
          <w:spacing w:val="-2"/>
          <w:sz w:val="21"/>
        </w:rPr>
        <w:t>（含第</w:t>
      </w:r>
      <w:r>
        <w:rPr>
          <w:rFonts w:ascii="Times New Roman" w:eastAsia="Times New Roman"/>
          <w:b/>
          <w:spacing w:val="-2"/>
          <w:sz w:val="21"/>
        </w:rPr>
        <w:t>30</w:t>
      </w:r>
      <w:r>
        <w:rPr>
          <w:b/>
          <w:spacing w:val="-2"/>
          <w:sz w:val="21"/>
        </w:rPr>
        <w:t>天</w:t>
      </w:r>
      <w:r>
        <w:rPr>
          <w:b/>
          <w:spacing w:val="-68"/>
          <w:sz w:val="21"/>
        </w:rPr>
        <w:t>）</w:t>
      </w:r>
      <w:r>
        <w:rPr>
          <w:b/>
          <w:spacing w:val="-2"/>
          <w:sz w:val="21"/>
        </w:rPr>
        <w:t>的</w:t>
      </w:r>
      <w:r>
        <w:rPr>
          <w:b/>
          <w:spacing w:val="-2"/>
          <w:sz w:val="21"/>
        </w:rPr>
        <w:t>期</w:t>
      </w:r>
      <w:r>
        <w:rPr>
          <w:b/>
          <w:spacing w:val="-2"/>
          <w:sz w:val="21"/>
        </w:rPr>
        <w:t>间</w:t>
      </w:r>
      <w:r>
        <w:rPr>
          <w:b/>
          <w:spacing w:val="-10"/>
          <w:sz w:val="21"/>
        </w:rPr>
        <w:t>。</w:t>
      </w:r>
    </w:p>
    <w:p>
      <w:pPr>
        <w:spacing w:line="242" w:lineRule="auto" w:before="5"/>
        <w:ind w:left="3165" w:right="451" w:firstLine="0"/>
        <w:jc w:val="left"/>
        <w:rPr>
          <w:sz w:val="21"/>
        </w:rPr>
      </w:pPr>
      <w:r>
        <w:rPr>
          <w:b/>
          <w:spacing w:val="-4"/>
          <w:sz w:val="21"/>
        </w:rPr>
        <w:t>但因意外伤害</w:t>
      </w:r>
      <w:r>
        <w:rPr>
          <w:spacing w:val="-4"/>
          <w:sz w:val="21"/>
        </w:rPr>
        <w:t>（见</w:t>
      </w:r>
      <w:r>
        <w:rPr>
          <w:rFonts w:ascii="Times New Roman" w:eastAsia="Times New Roman"/>
          <w:spacing w:val="-4"/>
          <w:sz w:val="21"/>
        </w:rPr>
        <w:t>9.3</w:t>
      </w:r>
      <w:r>
        <w:rPr>
          <w:spacing w:val="-4"/>
          <w:sz w:val="21"/>
        </w:rPr>
        <w:t>）</w:t>
      </w:r>
      <w:r>
        <w:rPr>
          <w:b/>
          <w:spacing w:val="-4"/>
          <w:sz w:val="21"/>
        </w:rPr>
        <w:t>事故引起的保险事故无等待期。</w:t>
      </w:r>
      <w:r>
        <w:rPr>
          <w:spacing w:val="-4"/>
          <w:sz w:val="21"/>
        </w:rPr>
        <w:t>续保合同无</w:t>
      </w:r>
      <w:r>
        <w:rPr>
          <w:spacing w:val="-4"/>
          <w:sz w:val="21"/>
        </w:rPr>
        <w:t>等待期。</w:t>
      </w:r>
    </w:p>
    <w:p>
      <w:pPr>
        <w:pStyle w:val="BodyText"/>
        <w:spacing w:before="4"/>
        <w:rPr>
          <w:sz w:val="18"/>
        </w:rPr>
      </w:pPr>
    </w:p>
    <w:p>
      <w:pPr>
        <w:pStyle w:val="ListParagraph"/>
        <w:numPr>
          <w:ilvl w:val="1"/>
          <w:numId w:val="4"/>
        </w:numPr>
        <w:tabs>
          <w:tab w:pos="1321" w:val="left" w:leader="none"/>
          <w:tab w:pos="1322" w:val="left" w:leader="none"/>
          <w:tab w:pos="3164" w:val="left" w:leader="none"/>
        </w:tabs>
        <w:spacing w:line="240" w:lineRule="auto" w:before="0" w:after="0"/>
        <w:ind w:left="1321" w:right="0" w:hanging="1100"/>
        <w:jc w:val="left"/>
        <w:rPr>
          <w:sz w:val="21"/>
        </w:rPr>
      </w:pPr>
      <w:r>
        <w:rPr>
          <w:b/>
          <w:sz w:val="21"/>
        </w:rPr>
        <w:t>保险金</w:t>
      </w:r>
      <w:r>
        <w:rPr>
          <w:b/>
          <w:spacing w:val="-10"/>
          <w:sz w:val="21"/>
        </w:rPr>
        <w:t>额</w:t>
      </w:r>
      <w:r>
        <w:rPr>
          <w:b/>
          <w:sz w:val="21"/>
        </w:rPr>
        <w:tab/>
      </w:r>
      <w:r>
        <w:rPr>
          <w:spacing w:val="-2"/>
          <w:sz w:val="21"/>
        </w:rPr>
        <w:t>保</w:t>
      </w:r>
      <w:r>
        <w:rPr>
          <w:spacing w:val="-2"/>
          <w:sz w:val="21"/>
        </w:rPr>
        <w:t>险</w:t>
      </w:r>
      <w:r>
        <w:rPr>
          <w:spacing w:val="-2"/>
          <w:sz w:val="21"/>
        </w:rPr>
        <w:t>金额是我们承担给付</w:t>
      </w:r>
      <w:r>
        <w:rPr>
          <w:spacing w:val="-2"/>
          <w:sz w:val="21"/>
        </w:rPr>
        <w:t>保</w:t>
      </w:r>
      <w:r>
        <w:rPr>
          <w:spacing w:val="-2"/>
          <w:sz w:val="21"/>
        </w:rPr>
        <w:t>险</w:t>
      </w:r>
      <w:r>
        <w:rPr>
          <w:spacing w:val="-2"/>
          <w:sz w:val="21"/>
        </w:rPr>
        <w:t>金责任的最高限额。</w:t>
      </w:r>
      <w:r>
        <w:rPr>
          <w:spacing w:val="-2"/>
          <w:sz w:val="21"/>
        </w:rPr>
        <w:t>本</w:t>
      </w:r>
      <w:r>
        <w:rPr>
          <w:spacing w:val="-2"/>
          <w:sz w:val="21"/>
        </w:rPr>
        <w:t>合</w:t>
      </w:r>
      <w:r>
        <w:rPr>
          <w:spacing w:val="-2"/>
          <w:sz w:val="21"/>
        </w:rPr>
        <w:t>同保险</w:t>
      </w:r>
      <w:r>
        <w:rPr>
          <w:spacing w:val="-2"/>
          <w:sz w:val="21"/>
        </w:rPr>
        <w:t>金</w:t>
      </w:r>
      <w:r>
        <w:rPr>
          <w:spacing w:val="-10"/>
          <w:sz w:val="21"/>
        </w:rPr>
        <w:t>额</w:t>
      </w:r>
    </w:p>
    <w:p>
      <w:pPr>
        <w:spacing w:after="0" w:line="240" w:lineRule="auto"/>
        <w:jc w:val="left"/>
        <w:rPr>
          <w:sz w:val="21"/>
        </w:rPr>
        <w:sectPr>
          <w:type w:val="continuous"/>
          <w:pgSz w:w="11910" w:h="16840"/>
          <w:pgMar w:header="0" w:footer="879" w:top="300" w:bottom="280" w:left="1480" w:right="720"/>
        </w:sectPr>
      </w:pPr>
    </w:p>
    <w:p>
      <w:pPr>
        <w:pStyle w:val="BodyText"/>
        <w:spacing w:before="55"/>
        <w:ind w:left="216" w:right="19"/>
        <w:jc w:val="center"/>
      </w:pPr>
      <w:r>
        <w:rPr>
          <w:spacing w:val="-3"/>
        </w:rPr>
        <w:t>由您和我们约定，并在保险单中载明。</w:t>
      </w:r>
    </w:p>
    <w:p>
      <w:pPr>
        <w:pStyle w:val="BodyText"/>
        <w:spacing w:before="11"/>
        <w:rPr>
          <w:sz w:val="18"/>
        </w:rPr>
      </w:pPr>
    </w:p>
    <w:p>
      <w:pPr>
        <w:pStyle w:val="ListParagraph"/>
        <w:numPr>
          <w:ilvl w:val="1"/>
          <w:numId w:val="4"/>
        </w:numPr>
        <w:tabs>
          <w:tab w:pos="1321" w:val="left" w:leader="none"/>
          <w:tab w:pos="1322" w:val="left" w:leader="none"/>
          <w:tab w:pos="3164" w:val="left" w:leader="none"/>
        </w:tabs>
        <w:spacing w:line="240" w:lineRule="auto" w:before="0" w:after="0"/>
        <w:ind w:left="1321" w:right="0" w:hanging="1100"/>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合同有效期内，我们</w:t>
      </w:r>
      <w:r>
        <w:rPr>
          <w:spacing w:val="-2"/>
          <w:sz w:val="21"/>
        </w:rPr>
        <w:t>承</w:t>
      </w:r>
      <w:r>
        <w:rPr>
          <w:spacing w:val="-2"/>
          <w:sz w:val="21"/>
        </w:rPr>
        <w:t>担</w:t>
      </w:r>
      <w:r>
        <w:rPr>
          <w:spacing w:val="-2"/>
          <w:sz w:val="21"/>
        </w:rPr>
        <w:t>如下保险责</w:t>
      </w:r>
      <w:r>
        <w:rPr>
          <w:spacing w:val="-2"/>
          <w:sz w:val="21"/>
        </w:rPr>
        <w:t>任</w:t>
      </w:r>
      <w:r>
        <w:rPr>
          <w:spacing w:val="-10"/>
          <w:sz w:val="21"/>
        </w:rPr>
        <w:t>：</w:t>
      </w:r>
    </w:p>
    <w:p>
      <w:pPr>
        <w:pStyle w:val="BodyText"/>
        <w:spacing w:before="4"/>
        <w:rPr>
          <w:sz w:val="11"/>
        </w:rPr>
      </w:pPr>
    </w:p>
    <w:p>
      <w:pPr>
        <w:spacing w:after="0"/>
        <w:rPr>
          <w:sz w:val="11"/>
        </w:rPr>
        <w:sectPr>
          <w:pgSz w:w="11910" w:h="16840"/>
          <w:pgMar w:header="0" w:footer="879" w:top="1060" w:bottom="1060" w:left="1480" w:right="720"/>
        </w:sectPr>
      </w:pPr>
    </w:p>
    <w:p>
      <w:pPr>
        <w:tabs>
          <w:tab w:pos="1321" w:val="left" w:leader="none"/>
        </w:tabs>
        <w:spacing w:line="242" w:lineRule="auto" w:before="94"/>
        <w:ind w:left="1321" w:right="0" w:hanging="1100"/>
        <w:jc w:val="left"/>
        <w:rPr>
          <w:b/>
          <w:sz w:val="21"/>
        </w:rPr>
      </w:pPr>
      <w:r>
        <w:rPr>
          <w:rFonts w:ascii="Times New Roman" w:eastAsia="Times New Roman"/>
          <w:spacing w:val="-2"/>
          <w:position w:val="2"/>
          <w:sz w:val="21"/>
        </w:rPr>
        <w:t>2.4.1</w:t>
      </w:r>
      <w:r>
        <w:rPr>
          <w:rFonts w:ascii="Times New Roman" w:eastAsia="Times New Roman"/>
          <w:position w:val="2"/>
          <w:sz w:val="21"/>
        </w:rPr>
        <w:tab/>
      </w:r>
      <w:r>
        <w:rPr>
          <w:b/>
          <w:spacing w:val="18"/>
          <w:sz w:val="21"/>
        </w:rPr>
        <w:t>恶性肿瘤特定药</w:t>
      </w:r>
      <w:r>
        <w:rPr>
          <w:b/>
          <w:spacing w:val="-2"/>
          <w:sz w:val="21"/>
        </w:rPr>
        <w:t>品费用保险金</w:t>
      </w:r>
    </w:p>
    <w:p>
      <w:pPr>
        <w:spacing w:line="242" w:lineRule="auto" w:before="100"/>
        <w:ind w:left="175" w:right="449" w:firstLine="0"/>
        <w:jc w:val="both"/>
        <w:rPr>
          <w:b/>
          <w:sz w:val="21"/>
        </w:rPr>
      </w:pPr>
      <w:r>
        <w:rPr/>
        <w:br w:type="column"/>
      </w:r>
      <w:r>
        <w:rPr>
          <w:b/>
          <w:spacing w:val="-4"/>
          <w:sz w:val="21"/>
        </w:rPr>
        <w:t>若被保险人在等待期内发病</w:t>
      </w:r>
      <w:r>
        <w:rPr>
          <w:spacing w:val="-4"/>
          <w:sz w:val="21"/>
        </w:rPr>
        <w:t>（见</w:t>
      </w:r>
      <w:r>
        <w:rPr>
          <w:rFonts w:ascii="Times New Roman" w:eastAsia="Times New Roman"/>
          <w:spacing w:val="-4"/>
          <w:sz w:val="21"/>
        </w:rPr>
        <w:t>9.4</w:t>
      </w:r>
      <w:r>
        <w:rPr>
          <w:spacing w:val="-4"/>
          <w:sz w:val="21"/>
        </w:rPr>
        <w:t>）</w:t>
      </w:r>
      <w:r>
        <w:rPr>
          <w:b/>
          <w:spacing w:val="-4"/>
          <w:sz w:val="21"/>
        </w:rPr>
        <w:t>或确诊患有</w:t>
      </w:r>
      <w:r>
        <w:rPr>
          <w:spacing w:val="-4"/>
          <w:sz w:val="21"/>
        </w:rPr>
        <w:t>任何一种符合本合</w:t>
      </w:r>
      <w:r>
        <w:rPr>
          <w:spacing w:val="-2"/>
          <w:sz w:val="21"/>
        </w:rPr>
        <w:t>同约定保障范围及定义的</w:t>
      </w:r>
      <w:r>
        <w:rPr>
          <w:b/>
          <w:spacing w:val="-2"/>
          <w:sz w:val="21"/>
        </w:rPr>
        <w:t>恶性肿瘤</w:t>
      </w:r>
      <w:r>
        <w:rPr>
          <w:spacing w:val="-2"/>
          <w:sz w:val="21"/>
        </w:rPr>
        <w:t>（无论一种或者多种）</w:t>
      </w:r>
      <w:r>
        <w:rPr>
          <w:b/>
          <w:spacing w:val="-2"/>
          <w:sz w:val="21"/>
        </w:rPr>
        <w:t>我们向您</w:t>
      </w:r>
      <w:r>
        <w:rPr>
          <w:b/>
          <w:spacing w:val="-2"/>
          <w:sz w:val="21"/>
        </w:rPr>
        <w:t>无息退还保险费（不包括其附加合同的保险费</w:t>
      </w:r>
      <w:r>
        <w:rPr>
          <w:b/>
          <w:spacing w:val="-103"/>
          <w:sz w:val="21"/>
        </w:rPr>
        <w:t>）</w:t>
      </w:r>
      <w:r>
        <w:rPr>
          <w:b/>
          <w:spacing w:val="-2"/>
          <w:sz w:val="21"/>
        </w:rPr>
        <w:t>，同时本合同效力</w:t>
      </w:r>
      <w:r>
        <w:rPr>
          <w:b/>
          <w:spacing w:val="-4"/>
          <w:sz w:val="21"/>
        </w:rPr>
        <w:t>终止。</w:t>
      </w:r>
    </w:p>
    <w:p>
      <w:pPr>
        <w:pStyle w:val="BodyText"/>
        <w:spacing w:before="11"/>
        <w:rPr>
          <w:b/>
          <w:sz w:val="18"/>
        </w:rPr>
      </w:pPr>
    </w:p>
    <w:p>
      <w:pPr>
        <w:pStyle w:val="BodyText"/>
        <w:spacing w:line="242" w:lineRule="auto" w:before="1"/>
        <w:ind w:left="175" w:right="449"/>
        <w:jc w:val="both"/>
      </w:pPr>
      <w:r>
        <w:rPr>
          <w:spacing w:val="2"/>
          <w:w w:val="100"/>
        </w:rPr>
        <w:t>若被保险人在等待期后</w:t>
      </w:r>
      <w:r>
        <w:rPr>
          <w:b/>
          <w:spacing w:val="2"/>
          <w:w w:val="100"/>
        </w:rPr>
        <w:t>首次发病</w:t>
      </w:r>
      <w:r>
        <w:rPr>
          <w:spacing w:val="2"/>
          <w:w w:val="100"/>
        </w:rPr>
        <w:t>（</w:t>
      </w:r>
      <w:r>
        <w:rPr>
          <w:w w:val="100"/>
        </w:rPr>
        <w:t>见</w:t>
      </w:r>
      <w:r>
        <w:rPr>
          <w:rFonts w:ascii="Times New Roman" w:eastAsia="Times New Roman"/>
          <w:w w:val="100"/>
        </w:rPr>
        <w:t>9.</w:t>
      </w:r>
      <w:r>
        <w:rPr>
          <w:rFonts w:ascii="Times New Roman" w:eastAsia="Times New Roman"/>
          <w:spacing w:val="2"/>
          <w:w w:val="100"/>
        </w:rPr>
        <w:t>5</w:t>
      </w:r>
      <w:r>
        <w:rPr>
          <w:spacing w:val="2"/>
          <w:w w:val="100"/>
        </w:rPr>
        <w:t>）并经</w:t>
      </w:r>
      <w:r>
        <w:rPr>
          <w:b/>
          <w:spacing w:val="2"/>
          <w:w w:val="100"/>
        </w:rPr>
        <w:t>专科医生</w:t>
      </w:r>
      <w:r>
        <w:rPr>
          <w:spacing w:val="2"/>
          <w:w w:val="100"/>
        </w:rPr>
        <w:t>（见</w:t>
      </w:r>
      <w:r>
        <w:rPr>
          <w:rFonts w:ascii="Times New Roman" w:eastAsia="Times New Roman"/>
          <w:w w:val="100"/>
        </w:rPr>
        <w:t>9.</w:t>
      </w:r>
      <w:r>
        <w:rPr>
          <w:rFonts w:ascii="Times New Roman" w:eastAsia="Times New Roman"/>
          <w:spacing w:val="2"/>
          <w:w w:val="100"/>
        </w:rPr>
        <w:t>6</w:t>
      </w:r>
      <w:r>
        <w:rPr>
          <w:w w:val="100"/>
        </w:rPr>
        <w:t>）</w:t>
      </w:r>
      <w:r>
        <w:rPr>
          <w:b/>
          <w:spacing w:val="-8"/>
          <w:w w:val="100"/>
        </w:rPr>
        <w:t>首次确诊</w:t>
      </w:r>
      <w:r>
        <w:rPr>
          <w:w w:val="100"/>
        </w:rPr>
        <w:t>（</w:t>
      </w:r>
      <w:r>
        <w:rPr>
          <w:spacing w:val="-3"/>
          <w:w w:val="100"/>
        </w:rPr>
        <w:t>见</w:t>
      </w:r>
      <w:r>
        <w:rPr>
          <w:rFonts w:ascii="Times New Roman" w:eastAsia="Times New Roman"/>
          <w:w w:val="100"/>
        </w:rPr>
        <w:t>9.7</w:t>
      </w:r>
      <w:r>
        <w:rPr>
          <w:spacing w:val="-34"/>
          <w:w w:val="100"/>
        </w:rPr>
        <w:t>）</w:t>
      </w:r>
      <w:r>
        <w:rPr>
          <w:spacing w:val="-3"/>
          <w:w w:val="100"/>
        </w:rPr>
        <w:t>患有任何一种符合本合同约定保障范围及定义的</w:t>
      </w:r>
      <w:r>
        <w:rPr>
          <w:b/>
          <w:spacing w:val="-3"/>
          <w:w w:val="100"/>
        </w:rPr>
        <w:t>恶性肿瘤</w:t>
      </w:r>
      <w:r>
        <w:rPr>
          <w:spacing w:val="-4"/>
          <w:w w:val="100"/>
        </w:rPr>
        <w:t>，我们对于被保险人治疗该恶性肿瘤而实际支出的、同时</w:t>
      </w:r>
      <w:r>
        <w:rPr>
          <w:spacing w:val="2"/>
          <w:w w:val="100"/>
        </w:rPr>
        <w:t>满足以下条件的药品费用按本合同第</w:t>
      </w:r>
      <w:r>
        <w:rPr>
          <w:rFonts w:ascii="Times New Roman" w:eastAsia="Times New Roman"/>
          <w:w w:val="100"/>
        </w:rPr>
        <w:t>2.</w:t>
      </w:r>
      <w:r>
        <w:rPr>
          <w:rFonts w:ascii="Times New Roman" w:eastAsia="Times New Roman"/>
          <w:spacing w:val="4"/>
          <w:w w:val="100"/>
        </w:rPr>
        <w:t>6</w:t>
      </w:r>
      <w:r>
        <w:rPr>
          <w:spacing w:val="1"/>
          <w:w w:val="100"/>
        </w:rPr>
        <w:t>条约定的给付比例给付恶</w:t>
      </w:r>
      <w:r>
        <w:rPr>
          <w:spacing w:val="-3"/>
          <w:w w:val="100"/>
        </w:rPr>
        <w:t>性肿瘤特定药品费用保险金。</w:t>
      </w:r>
    </w:p>
    <w:p>
      <w:pPr>
        <w:pStyle w:val="BodyText"/>
        <w:rPr>
          <w:sz w:val="19"/>
        </w:rPr>
      </w:pPr>
    </w:p>
    <w:p>
      <w:pPr>
        <w:spacing w:before="1"/>
        <w:ind w:left="175" w:right="0" w:firstLine="0"/>
        <w:jc w:val="left"/>
        <w:rPr>
          <w:b/>
          <w:sz w:val="21"/>
        </w:rPr>
      </w:pPr>
      <w:r>
        <w:rPr>
          <w:b/>
          <w:spacing w:val="-3"/>
          <w:sz w:val="21"/>
        </w:rPr>
        <w:t>药品费用须同时满足以下条件：</w:t>
      </w:r>
    </w:p>
    <w:p>
      <w:pPr>
        <w:pStyle w:val="ListParagraph"/>
        <w:numPr>
          <w:ilvl w:val="0"/>
          <w:numId w:val="5"/>
        </w:numPr>
        <w:tabs>
          <w:tab w:pos="705" w:val="left" w:leader="none"/>
        </w:tabs>
        <w:spacing w:line="240" w:lineRule="auto" w:before="5" w:after="0"/>
        <w:ind w:left="705" w:right="0" w:hanging="530"/>
        <w:jc w:val="left"/>
        <w:rPr>
          <w:b/>
          <w:sz w:val="21"/>
        </w:rPr>
      </w:pPr>
      <w:r>
        <w:rPr>
          <w:b/>
          <w:spacing w:val="-2"/>
          <w:sz w:val="21"/>
        </w:rPr>
        <w:t>该药品处方</w:t>
      </w:r>
      <w:r>
        <w:rPr>
          <w:spacing w:val="-2"/>
          <w:sz w:val="21"/>
        </w:rPr>
        <w:t>（见</w:t>
      </w:r>
      <w:r>
        <w:rPr>
          <w:rFonts w:ascii="Times New Roman" w:eastAsia="Times New Roman"/>
          <w:spacing w:val="-2"/>
          <w:sz w:val="21"/>
        </w:rPr>
        <w:t>9.8</w:t>
      </w:r>
      <w:r>
        <w:rPr>
          <w:spacing w:val="-2"/>
          <w:sz w:val="21"/>
        </w:rPr>
        <w:t>）</w:t>
      </w:r>
      <w:r>
        <w:rPr>
          <w:b/>
          <w:spacing w:val="-2"/>
          <w:sz w:val="21"/>
        </w:rPr>
        <w:t>由医院</w:t>
      </w:r>
      <w:r>
        <w:rPr>
          <w:spacing w:val="-2"/>
          <w:sz w:val="21"/>
        </w:rPr>
        <w:t>（见</w:t>
      </w:r>
      <w:r>
        <w:rPr>
          <w:rFonts w:ascii="Times New Roman" w:eastAsia="Times New Roman"/>
          <w:spacing w:val="-2"/>
          <w:sz w:val="21"/>
        </w:rPr>
        <w:t>9.9</w:t>
      </w:r>
      <w:r>
        <w:rPr>
          <w:spacing w:val="-2"/>
          <w:sz w:val="21"/>
        </w:rPr>
        <w:t>）</w:t>
      </w:r>
      <w:r>
        <w:rPr>
          <w:b/>
          <w:spacing w:val="-4"/>
          <w:sz w:val="21"/>
        </w:rPr>
        <w:t>专科医生开具；</w:t>
      </w:r>
    </w:p>
    <w:p>
      <w:pPr>
        <w:pStyle w:val="ListParagraph"/>
        <w:numPr>
          <w:ilvl w:val="0"/>
          <w:numId w:val="5"/>
        </w:numPr>
        <w:tabs>
          <w:tab w:pos="705" w:val="left" w:leader="none"/>
        </w:tabs>
        <w:spacing w:line="240" w:lineRule="auto" w:before="2" w:after="0"/>
        <w:ind w:left="705" w:right="0" w:hanging="530"/>
        <w:jc w:val="left"/>
        <w:rPr>
          <w:b/>
          <w:sz w:val="21"/>
        </w:rPr>
      </w:pPr>
      <w:r>
        <w:rPr>
          <w:b/>
          <w:spacing w:val="-2"/>
          <w:sz w:val="21"/>
        </w:rPr>
        <w:t>该药品是被保险人当前治疗合理且必需</w:t>
      </w:r>
      <w:r>
        <w:rPr>
          <w:spacing w:val="-2"/>
          <w:sz w:val="21"/>
        </w:rPr>
        <w:t>（见</w:t>
      </w:r>
      <w:r>
        <w:rPr>
          <w:rFonts w:ascii="Times New Roman" w:eastAsia="Times New Roman"/>
          <w:spacing w:val="-2"/>
          <w:sz w:val="21"/>
        </w:rPr>
        <w:t>9.10</w:t>
      </w:r>
      <w:r>
        <w:rPr>
          <w:spacing w:val="-2"/>
          <w:sz w:val="21"/>
        </w:rPr>
        <w:t>）</w:t>
      </w:r>
      <w:r>
        <w:rPr>
          <w:b/>
          <w:spacing w:val="-4"/>
          <w:sz w:val="21"/>
        </w:rPr>
        <w:t>的药品；</w:t>
      </w:r>
    </w:p>
    <w:p>
      <w:pPr>
        <w:pStyle w:val="ListParagraph"/>
        <w:numPr>
          <w:ilvl w:val="0"/>
          <w:numId w:val="5"/>
        </w:numPr>
        <w:tabs>
          <w:tab w:pos="705" w:val="left" w:leader="none"/>
        </w:tabs>
        <w:spacing w:line="240" w:lineRule="auto" w:before="4" w:after="0"/>
        <w:ind w:left="705" w:right="0" w:hanging="530"/>
        <w:jc w:val="left"/>
        <w:rPr>
          <w:b/>
          <w:sz w:val="21"/>
        </w:rPr>
      </w:pPr>
      <w:r>
        <w:rPr>
          <w:b/>
          <w:spacing w:val="-2"/>
          <w:sz w:val="21"/>
        </w:rPr>
        <w:t>每次的处方剂量不超过</w:t>
      </w:r>
      <w:r>
        <w:rPr>
          <w:rFonts w:ascii="Times New Roman" w:eastAsia="Times New Roman"/>
          <w:b/>
          <w:spacing w:val="-2"/>
          <w:sz w:val="21"/>
        </w:rPr>
        <w:t>1</w:t>
      </w:r>
      <w:r>
        <w:rPr>
          <w:b/>
          <w:spacing w:val="-5"/>
          <w:sz w:val="21"/>
        </w:rPr>
        <w:t>个月；</w:t>
      </w:r>
    </w:p>
    <w:p>
      <w:pPr>
        <w:pStyle w:val="ListParagraph"/>
        <w:numPr>
          <w:ilvl w:val="0"/>
          <w:numId w:val="5"/>
        </w:numPr>
        <w:tabs>
          <w:tab w:pos="705" w:val="left" w:leader="none"/>
        </w:tabs>
        <w:spacing w:line="240" w:lineRule="auto" w:before="2" w:after="0"/>
        <w:ind w:left="705" w:right="0" w:hanging="530"/>
        <w:jc w:val="left"/>
        <w:rPr>
          <w:b/>
          <w:sz w:val="21"/>
        </w:rPr>
      </w:pPr>
      <w:r>
        <w:rPr>
          <w:b/>
          <w:spacing w:val="-3"/>
          <w:sz w:val="21"/>
        </w:rPr>
        <w:t>该药品在附表《药品清单》中；</w:t>
      </w:r>
    </w:p>
    <w:p>
      <w:pPr>
        <w:pStyle w:val="ListParagraph"/>
        <w:numPr>
          <w:ilvl w:val="0"/>
          <w:numId w:val="5"/>
        </w:numPr>
        <w:tabs>
          <w:tab w:pos="705" w:val="left" w:leader="none"/>
        </w:tabs>
        <w:spacing w:line="240" w:lineRule="auto" w:before="5" w:after="0"/>
        <w:ind w:left="705" w:right="0" w:hanging="530"/>
        <w:jc w:val="left"/>
        <w:rPr>
          <w:b/>
          <w:sz w:val="21"/>
        </w:rPr>
      </w:pPr>
      <w:r>
        <w:rPr>
          <w:b/>
          <w:spacing w:val="-2"/>
          <w:sz w:val="21"/>
        </w:rPr>
        <w:t>该药品是在医院或我们指定的药店</w:t>
      </w:r>
      <w:r>
        <w:rPr>
          <w:spacing w:val="-2"/>
          <w:sz w:val="21"/>
        </w:rPr>
        <w:t>（见</w:t>
      </w:r>
      <w:r>
        <w:rPr>
          <w:rFonts w:ascii="Times New Roman" w:eastAsia="Times New Roman"/>
          <w:spacing w:val="-2"/>
          <w:sz w:val="21"/>
        </w:rPr>
        <w:t>9.11</w:t>
      </w:r>
      <w:r>
        <w:rPr>
          <w:spacing w:val="-2"/>
          <w:sz w:val="21"/>
        </w:rPr>
        <w:t>）</w:t>
      </w:r>
      <w:r>
        <w:rPr>
          <w:b/>
          <w:spacing w:val="-4"/>
          <w:sz w:val="21"/>
        </w:rPr>
        <w:t>购买的药品；</w:t>
      </w:r>
    </w:p>
    <w:p>
      <w:pPr>
        <w:pStyle w:val="ListParagraph"/>
        <w:numPr>
          <w:ilvl w:val="0"/>
          <w:numId w:val="5"/>
        </w:numPr>
        <w:tabs>
          <w:tab w:pos="705" w:val="left" w:leader="none"/>
        </w:tabs>
        <w:spacing w:line="458" w:lineRule="auto" w:before="2" w:after="0"/>
        <w:ind w:left="175" w:right="689" w:firstLine="0"/>
        <w:jc w:val="left"/>
        <w:rPr>
          <w:b/>
          <w:sz w:val="21"/>
        </w:rPr>
      </w:pPr>
      <w:r>
        <w:rPr>
          <w:b/>
          <w:spacing w:val="-2"/>
          <w:sz w:val="21"/>
        </w:rPr>
        <w:t>在我们指定的药店购买药品时须符合本合同第</w:t>
      </w:r>
      <w:r>
        <w:rPr>
          <w:rFonts w:ascii="Times New Roman" w:eastAsia="Times New Roman"/>
          <w:b/>
          <w:spacing w:val="-2"/>
          <w:sz w:val="21"/>
        </w:rPr>
        <w:t>3.4</w:t>
      </w:r>
      <w:r>
        <w:rPr>
          <w:b/>
          <w:spacing w:val="-2"/>
          <w:sz w:val="21"/>
        </w:rPr>
        <w:t>条约定。</w:t>
      </w:r>
      <w:r>
        <w:rPr>
          <w:b/>
          <w:spacing w:val="-2"/>
          <w:sz w:val="21"/>
        </w:rPr>
        <w:t>不满足上述条件的药品费用，我们不承担给付保险金的责任。</w:t>
      </w:r>
    </w:p>
    <w:p>
      <w:pPr>
        <w:spacing w:line="242" w:lineRule="auto" w:before="0"/>
        <w:ind w:left="175" w:right="447" w:firstLine="0"/>
        <w:jc w:val="both"/>
        <w:rPr>
          <w:b/>
          <w:sz w:val="21"/>
        </w:rPr>
      </w:pPr>
      <w:r>
        <w:rPr>
          <w:b/>
          <w:spacing w:val="-2"/>
          <w:sz w:val="21"/>
        </w:rPr>
        <w:t>若上述药品须在非就诊医院药房购买或领取，则您或受益人须作为</w:t>
      </w:r>
      <w:r>
        <w:rPr>
          <w:b/>
          <w:spacing w:val="-2"/>
          <w:sz w:val="21"/>
        </w:rPr>
        <w:t>申请人在购买或领取上述药品前按照本合同第</w:t>
      </w:r>
      <w:r>
        <w:rPr>
          <w:rFonts w:ascii="Times New Roman" w:eastAsia="Times New Roman"/>
          <w:b/>
          <w:spacing w:val="-2"/>
          <w:sz w:val="21"/>
        </w:rPr>
        <w:t>3.4</w:t>
      </w:r>
      <w:r>
        <w:rPr>
          <w:b/>
          <w:spacing w:val="-2"/>
          <w:sz w:val="21"/>
        </w:rPr>
        <w:t>条约定的院外药</w:t>
      </w:r>
      <w:r>
        <w:rPr>
          <w:b/>
          <w:spacing w:val="-2"/>
          <w:sz w:val="21"/>
        </w:rPr>
        <w:t>店购买或领取药品流程进行药品申请、药品处方审核、药品购买或</w:t>
      </w:r>
      <w:r>
        <w:rPr>
          <w:b/>
          <w:spacing w:val="-2"/>
          <w:sz w:val="21"/>
        </w:rPr>
        <w:t>领取及申请慈善赠药。</w:t>
      </w:r>
    </w:p>
    <w:p>
      <w:pPr>
        <w:pStyle w:val="BodyText"/>
        <w:spacing w:before="1"/>
        <w:rPr>
          <w:b/>
          <w:sz w:val="19"/>
        </w:rPr>
      </w:pPr>
    </w:p>
    <w:p>
      <w:pPr>
        <w:pStyle w:val="BodyText"/>
        <w:spacing w:line="242" w:lineRule="auto"/>
        <w:ind w:left="175" w:right="478"/>
        <w:jc w:val="both"/>
      </w:pPr>
      <w:r>
        <w:rPr>
          <w:spacing w:val="-3"/>
        </w:rPr>
        <w:t>您或受益人根据本合同第 </w:t>
      </w:r>
      <w:r>
        <w:rPr>
          <w:rFonts w:ascii="Times New Roman" w:eastAsia="Times New Roman"/>
        </w:rPr>
        <w:t>3.4</w:t>
      </w:r>
      <w:r>
        <w:rPr>
          <w:rFonts w:ascii="Times New Roman" w:eastAsia="Times New Roman"/>
          <w:spacing w:val="-13"/>
        </w:rPr>
        <w:t> </w:t>
      </w:r>
      <w:r>
        <w:rPr/>
        <w:t>条约定流程获得的药品的，对于我们</w:t>
      </w:r>
      <w:r>
        <w:rPr>
          <w:spacing w:val="-2"/>
        </w:rPr>
        <w:t>已经向指定的药店直接结算并支付的上述药品费用，我们不再接受</w:t>
      </w:r>
      <w:r>
        <w:rPr>
          <w:spacing w:val="-2"/>
        </w:rPr>
        <w:t>该部分费用的保险金给付申请。</w:t>
      </w:r>
    </w:p>
    <w:p>
      <w:pPr>
        <w:pStyle w:val="BodyText"/>
        <w:rPr>
          <w:sz w:val="19"/>
        </w:rPr>
      </w:pPr>
    </w:p>
    <w:p>
      <w:pPr>
        <w:spacing w:line="242" w:lineRule="auto" w:before="0"/>
        <w:ind w:left="175" w:right="375" w:firstLine="0"/>
        <w:jc w:val="both"/>
        <w:rPr>
          <w:b/>
          <w:sz w:val="21"/>
        </w:rPr>
      </w:pPr>
      <w:r>
        <w:rPr>
          <w:spacing w:val="4"/>
          <w:w w:val="100"/>
          <w:sz w:val="21"/>
        </w:rPr>
        <w:t>被保险人在本合同有效期内开始接受恶性肿瘤（</w:t>
      </w:r>
      <w:r>
        <w:rPr>
          <w:spacing w:val="3"/>
          <w:w w:val="100"/>
          <w:sz w:val="21"/>
        </w:rPr>
        <w:t>无论一种或者多种</w:t>
      </w:r>
      <w:r>
        <w:rPr>
          <w:spacing w:val="-13"/>
          <w:w w:val="100"/>
          <w:sz w:val="21"/>
        </w:rPr>
        <w:t>）</w:t>
      </w:r>
      <w:r>
        <w:rPr>
          <w:spacing w:val="-6"/>
          <w:w w:val="100"/>
          <w:sz w:val="21"/>
        </w:rPr>
        <w:t>治疗，到本合同期满日仍未结束本次治疗的，我们将继续承担因本次治疗发生的恶性肿瘤特定药品费用保险金，</w:t>
      </w:r>
      <w:r>
        <w:rPr>
          <w:b/>
          <w:w w:val="100"/>
          <w:sz w:val="21"/>
        </w:rPr>
        <w:t>但最长不超过首</w:t>
      </w:r>
      <w:r>
        <w:rPr>
          <w:b/>
          <w:spacing w:val="-11"/>
          <w:w w:val="100"/>
          <w:sz w:val="21"/>
        </w:rPr>
        <w:t>次确诊罹患恶性肿瘤</w:t>
      </w:r>
      <w:r>
        <w:rPr>
          <w:b/>
          <w:w w:val="100"/>
          <w:sz w:val="21"/>
        </w:rPr>
        <w:t>（</w:t>
      </w:r>
      <w:r>
        <w:rPr>
          <w:b/>
          <w:spacing w:val="-2"/>
          <w:w w:val="100"/>
          <w:sz w:val="21"/>
        </w:rPr>
        <w:t>无论一种或者多种</w:t>
      </w:r>
      <w:r>
        <w:rPr>
          <w:b/>
          <w:spacing w:val="-89"/>
          <w:w w:val="100"/>
          <w:sz w:val="21"/>
        </w:rPr>
        <w:t>）</w:t>
      </w:r>
      <w:r>
        <w:rPr>
          <w:b/>
          <w:spacing w:val="-2"/>
          <w:w w:val="100"/>
          <w:sz w:val="21"/>
        </w:rPr>
        <w:t>之日起</w:t>
      </w:r>
      <w:r>
        <w:rPr>
          <w:b/>
          <w:spacing w:val="-53"/>
          <w:sz w:val="21"/>
        </w:rPr>
        <w:t> </w:t>
      </w:r>
      <w:r>
        <w:rPr>
          <w:rFonts w:ascii="Times New Roman" w:eastAsia="Times New Roman"/>
          <w:b/>
          <w:w w:val="100"/>
          <w:sz w:val="21"/>
        </w:rPr>
        <w:t>3</w:t>
      </w:r>
      <w:r>
        <w:rPr>
          <w:rFonts w:ascii="Times New Roman" w:eastAsia="Times New Roman"/>
          <w:b/>
          <w:spacing w:val="-3"/>
          <w:sz w:val="21"/>
        </w:rPr>
        <w:t> </w:t>
      </w:r>
      <w:r>
        <w:rPr>
          <w:b/>
          <w:spacing w:val="-89"/>
          <w:w w:val="100"/>
          <w:sz w:val="21"/>
        </w:rPr>
        <w:t>年</w:t>
      </w:r>
      <w:r>
        <w:rPr>
          <w:b/>
          <w:w w:val="100"/>
          <w:sz w:val="21"/>
        </w:rPr>
        <w:t>（含第</w:t>
      </w:r>
      <w:r>
        <w:rPr>
          <w:b/>
          <w:spacing w:val="-54"/>
          <w:sz w:val="21"/>
        </w:rPr>
        <w:t> </w:t>
      </w:r>
      <w:r>
        <w:rPr>
          <w:rFonts w:ascii="Times New Roman" w:eastAsia="Times New Roman"/>
          <w:b/>
          <w:w w:val="100"/>
          <w:sz w:val="21"/>
        </w:rPr>
        <w:t>3</w:t>
      </w:r>
      <w:r>
        <w:rPr>
          <w:rFonts w:ascii="Times New Roman" w:eastAsia="Times New Roman"/>
          <w:b/>
          <w:spacing w:val="-3"/>
          <w:sz w:val="21"/>
        </w:rPr>
        <w:t> </w:t>
      </w:r>
      <w:r>
        <w:rPr>
          <w:b/>
          <w:w w:val="100"/>
          <w:sz w:val="21"/>
        </w:rPr>
        <w:t>年</w:t>
      </w:r>
      <w:r>
        <w:rPr>
          <w:b/>
          <w:spacing w:val="-106"/>
          <w:w w:val="100"/>
          <w:sz w:val="21"/>
        </w:rPr>
        <w:t>）</w:t>
      </w:r>
      <w:r>
        <w:rPr>
          <w:b/>
          <w:spacing w:val="-11"/>
          <w:w w:val="100"/>
          <w:sz w:val="21"/>
        </w:rPr>
        <w:t>。</w:t>
      </w:r>
    </w:p>
    <w:p>
      <w:pPr>
        <w:pStyle w:val="BodyText"/>
        <w:spacing w:before="12"/>
        <w:rPr>
          <w:b/>
          <w:sz w:val="18"/>
        </w:rPr>
      </w:pPr>
    </w:p>
    <w:p>
      <w:pPr>
        <w:spacing w:line="242" w:lineRule="auto" w:before="0"/>
        <w:ind w:left="175" w:right="481" w:firstLine="0"/>
        <w:jc w:val="both"/>
        <w:rPr>
          <w:b/>
          <w:sz w:val="21"/>
        </w:rPr>
      </w:pPr>
      <w:r>
        <w:rPr>
          <w:b/>
          <w:spacing w:val="3"/>
          <w:w w:val="100"/>
          <w:sz w:val="21"/>
        </w:rPr>
        <w:t>我们累计给付的恶性肿瘤特定药品费用保险金之和以本合同约定</w:t>
      </w:r>
      <w:r>
        <w:rPr>
          <w:b/>
          <w:spacing w:val="-6"/>
          <w:w w:val="100"/>
          <w:sz w:val="21"/>
        </w:rPr>
        <w:t>的保险金额为限。累计给付的恶性肿瘤特定药品费用保险金达到保</w:t>
      </w:r>
      <w:r>
        <w:rPr>
          <w:b/>
          <w:spacing w:val="-2"/>
          <w:w w:val="100"/>
          <w:sz w:val="21"/>
        </w:rPr>
        <w:t>险金额时，本合同效力终止。</w:t>
      </w:r>
    </w:p>
    <w:p>
      <w:pPr>
        <w:spacing w:after="0" w:line="242" w:lineRule="auto"/>
        <w:jc w:val="both"/>
        <w:rPr>
          <w:sz w:val="21"/>
        </w:rPr>
        <w:sectPr>
          <w:type w:val="continuous"/>
          <w:pgSz w:w="11910" w:h="16840"/>
          <w:pgMar w:header="0" w:footer="879" w:top="300" w:bottom="280" w:left="1480" w:right="720"/>
          <w:cols w:num="2" w:equalWidth="0">
            <w:col w:w="2950" w:space="40"/>
            <w:col w:w="6720"/>
          </w:cols>
        </w:sectPr>
      </w:pPr>
    </w:p>
    <w:p>
      <w:pPr>
        <w:pStyle w:val="BodyText"/>
        <w:spacing w:before="2"/>
        <w:rPr>
          <w:b/>
          <w:sz w:val="11"/>
        </w:rPr>
      </w:pPr>
    </w:p>
    <w:p>
      <w:pPr>
        <w:pStyle w:val="ListParagraph"/>
        <w:numPr>
          <w:ilvl w:val="1"/>
          <w:numId w:val="4"/>
        </w:numPr>
        <w:tabs>
          <w:tab w:pos="1321" w:val="left" w:leader="none"/>
          <w:tab w:pos="1322" w:val="left" w:leader="none"/>
        </w:tabs>
        <w:spacing w:line="240" w:lineRule="auto" w:before="94" w:after="0"/>
        <w:ind w:left="1321" w:right="0" w:hanging="1100"/>
        <w:jc w:val="both"/>
        <w:rPr>
          <w:b/>
          <w:sz w:val="21"/>
        </w:rPr>
      </w:pPr>
      <w:r>
        <w:rPr>
          <w:b/>
          <w:sz w:val="21"/>
        </w:rPr>
        <w:t>补偿原则</w:t>
      </w:r>
      <w:r>
        <w:rPr>
          <w:b/>
          <w:spacing w:val="689"/>
          <w:sz w:val="21"/>
        </w:rPr>
        <w:t> </w:t>
      </w:r>
      <w:r>
        <w:rPr>
          <w:sz w:val="21"/>
        </w:rPr>
        <w:t>若被保险人已从其他途径（包括</w:t>
      </w:r>
      <w:r>
        <w:rPr>
          <w:b/>
          <w:sz w:val="21"/>
        </w:rPr>
        <w:t>基本医疗保险</w:t>
      </w:r>
      <w:r>
        <w:rPr>
          <w:sz w:val="21"/>
        </w:rPr>
        <w:t>（见</w:t>
      </w:r>
      <w:r>
        <w:rPr>
          <w:rFonts w:ascii="Times New Roman" w:eastAsia="Times New Roman"/>
          <w:spacing w:val="22"/>
          <w:sz w:val="21"/>
        </w:rPr>
        <w:t>9</w:t>
      </w:r>
      <w:r>
        <w:rPr>
          <w:rFonts w:ascii="Times New Roman" w:eastAsia="Times New Roman"/>
          <w:spacing w:val="19"/>
          <w:sz w:val="21"/>
        </w:rPr>
        <w:t>.</w:t>
      </w:r>
      <w:r>
        <w:rPr>
          <w:rFonts w:ascii="Times New Roman" w:eastAsia="Times New Roman"/>
          <w:spacing w:val="22"/>
          <w:sz w:val="21"/>
        </w:rPr>
        <w:t>1</w:t>
      </w:r>
      <w:r>
        <w:rPr>
          <w:rFonts w:ascii="Times New Roman" w:eastAsia="Times New Roman"/>
          <w:spacing w:val="21"/>
          <w:sz w:val="21"/>
        </w:rPr>
        <w:t>2</w:t>
      </w:r>
      <w:r>
        <w:rPr>
          <w:spacing w:val="-84"/>
          <w:sz w:val="21"/>
        </w:rPr>
        <w:t>）</w:t>
      </w:r>
      <w:r>
        <w:rPr>
          <w:sz w:val="21"/>
        </w:rPr>
        <w:t>、</w:t>
      </w:r>
      <w:r>
        <w:rPr>
          <w:b/>
          <w:spacing w:val="-3"/>
          <w:sz w:val="21"/>
        </w:rPr>
        <w:t>公费医疗</w:t>
      </w:r>
    </w:p>
    <w:p>
      <w:pPr>
        <w:spacing w:line="242" w:lineRule="auto" w:before="5"/>
        <w:ind w:left="3165" w:right="449" w:firstLine="0"/>
        <w:jc w:val="both"/>
        <w:rPr>
          <w:sz w:val="21"/>
        </w:rPr>
      </w:pPr>
      <w:r>
        <w:rPr>
          <w:spacing w:val="2"/>
          <w:w w:val="100"/>
          <w:sz w:val="21"/>
        </w:rPr>
        <w:t>（见</w:t>
      </w:r>
      <w:r>
        <w:rPr>
          <w:rFonts w:ascii="Times New Roman" w:eastAsia="Times New Roman"/>
          <w:w w:val="100"/>
          <w:sz w:val="21"/>
        </w:rPr>
        <w:t>9.1</w:t>
      </w:r>
      <w:r>
        <w:rPr>
          <w:rFonts w:ascii="Times New Roman" w:eastAsia="Times New Roman"/>
          <w:spacing w:val="2"/>
          <w:w w:val="100"/>
          <w:sz w:val="21"/>
        </w:rPr>
        <w:t>3</w:t>
      </w:r>
      <w:r>
        <w:rPr>
          <w:spacing w:val="-101"/>
          <w:w w:val="100"/>
          <w:sz w:val="21"/>
        </w:rPr>
        <w:t>）</w:t>
      </w:r>
      <w:r>
        <w:rPr>
          <w:w w:val="100"/>
          <w:sz w:val="21"/>
        </w:rPr>
        <w:t>、</w:t>
      </w:r>
      <w:r>
        <w:rPr>
          <w:b/>
          <w:spacing w:val="2"/>
          <w:w w:val="100"/>
          <w:sz w:val="21"/>
        </w:rPr>
        <w:t>城乡居民大病保险</w:t>
      </w:r>
      <w:r>
        <w:rPr>
          <w:spacing w:val="2"/>
          <w:w w:val="100"/>
          <w:sz w:val="21"/>
        </w:rPr>
        <w:t>（见</w:t>
      </w:r>
      <w:r>
        <w:rPr>
          <w:rFonts w:ascii="Times New Roman" w:eastAsia="Times New Roman"/>
          <w:w w:val="100"/>
          <w:sz w:val="21"/>
        </w:rPr>
        <w:t>9.14</w:t>
      </w:r>
      <w:r>
        <w:rPr>
          <w:spacing w:val="-101"/>
          <w:w w:val="100"/>
          <w:sz w:val="21"/>
        </w:rPr>
        <w:t>）</w:t>
      </w:r>
      <w:r>
        <w:rPr>
          <w:w w:val="100"/>
          <w:sz w:val="21"/>
        </w:rPr>
        <w:t>、工作单位、公益慈善机</w:t>
      </w:r>
      <w:r>
        <w:rPr>
          <w:spacing w:val="-3"/>
          <w:w w:val="100"/>
          <w:sz w:val="21"/>
        </w:rPr>
        <w:t>构，以及我们在内的任何商业保险机构等</w:t>
      </w:r>
      <w:r>
        <w:rPr>
          <w:spacing w:val="-5"/>
          <w:w w:val="100"/>
          <w:sz w:val="21"/>
        </w:rPr>
        <w:t>）</w:t>
      </w:r>
      <w:r>
        <w:rPr>
          <w:spacing w:val="-3"/>
          <w:w w:val="100"/>
          <w:sz w:val="21"/>
        </w:rPr>
        <w:t>获得恶性肿瘤特定药品</w:t>
      </w:r>
      <w:r>
        <w:rPr>
          <w:spacing w:val="-8"/>
          <w:w w:val="100"/>
          <w:sz w:val="21"/>
        </w:rPr>
        <w:t>费用补偿，则</w:t>
      </w:r>
      <w:r>
        <w:rPr>
          <w:b/>
          <w:spacing w:val="-3"/>
          <w:w w:val="100"/>
          <w:sz w:val="21"/>
        </w:rPr>
        <w:t>我们仅对被保险人实际发生的合理且必需的恶性肿瘤</w:t>
      </w:r>
      <w:r>
        <w:rPr>
          <w:b/>
          <w:spacing w:val="3"/>
          <w:w w:val="100"/>
          <w:sz w:val="21"/>
        </w:rPr>
        <w:t>特定药品费用扣除其已获得的费用补偿后的余额按本合同的约定</w:t>
      </w:r>
      <w:r>
        <w:rPr>
          <w:b/>
          <w:w w:val="100"/>
          <w:sz w:val="21"/>
        </w:rPr>
        <w:t>进行给付。</w:t>
      </w:r>
      <w:r>
        <w:rPr>
          <w:spacing w:val="-3"/>
          <w:w w:val="100"/>
          <w:sz w:val="21"/>
        </w:rPr>
        <w:t>包括本合同在内的各种途径给付的所有补偿金额之和不</w:t>
      </w:r>
      <w:r>
        <w:rPr>
          <w:spacing w:val="-4"/>
          <w:w w:val="100"/>
          <w:sz w:val="21"/>
        </w:rPr>
        <w:t>得超过被保险人实际发生的恶性肿瘤特定药品费用。社保个人账户</w:t>
      </w:r>
      <w:r>
        <w:rPr>
          <w:spacing w:val="-3"/>
          <w:w w:val="100"/>
          <w:sz w:val="21"/>
        </w:rPr>
        <w:t>部分支出视为个人支付，不属于已获得的医疗费用补偿。</w:t>
      </w:r>
    </w:p>
    <w:p>
      <w:pPr>
        <w:pStyle w:val="BodyText"/>
        <w:spacing w:before="9"/>
        <w:rPr>
          <w:sz w:val="18"/>
        </w:rPr>
      </w:pPr>
    </w:p>
    <w:p>
      <w:pPr>
        <w:pStyle w:val="ListParagraph"/>
        <w:numPr>
          <w:ilvl w:val="1"/>
          <w:numId w:val="4"/>
        </w:numPr>
        <w:tabs>
          <w:tab w:pos="1099" w:val="left" w:leader="none"/>
          <w:tab w:pos="1322" w:val="left" w:leader="none"/>
          <w:tab w:pos="2942" w:val="left" w:leader="none"/>
        </w:tabs>
        <w:spacing w:line="240" w:lineRule="auto" w:before="0" w:after="0"/>
        <w:ind w:left="1321" w:right="449" w:hanging="1322"/>
        <w:jc w:val="right"/>
        <w:rPr>
          <w:b/>
          <w:sz w:val="21"/>
        </w:rPr>
      </w:pPr>
      <w:r>
        <w:rPr>
          <w:b/>
          <w:sz w:val="21"/>
        </w:rPr>
        <w:t>给付比</w:t>
      </w:r>
      <w:r>
        <w:rPr>
          <w:b/>
          <w:spacing w:val="-10"/>
          <w:sz w:val="21"/>
        </w:rPr>
        <w:t>例</w:t>
      </w:r>
      <w:r>
        <w:rPr>
          <w:b/>
          <w:sz w:val="21"/>
        </w:rPr>
        <w:tab/>
      </w:r>
      <w:r>
        <w:rPr>
          <w:sz w:val="21"/>
        </w:rPr>
        <w:t>恶性肿瘤特</w:t>
      </w:r>
      <w:r>
        <w:rPr>
          <w:sz w:val="21"/>
        </w:rPr>
        <w:t>定药品费用包括</w:t>
      </w:r>
      <w:r>
        <w:rPr>
          <w:b/>
          <w:sz w:val="21"/>
        </w:rPr>
        <w:t>社保目录内</w:t>
      </w:r>
      <w:r>
        <w:rPr>
          <w:b/>
          <w:sz w:val="21"/>
        </w:rPr>
        <w:t>药品费用</w:t>
      </w:r>
      <w:r>
        <w:rPr>
          <w:sz w:val="21"/>
        </w:rPr>
        <w:t>（见</w:t>
      </w:r>
      <w:r>
        <w:rPr>
          <w:rFonts w:ascii="Times New Roman" w:eastAsia="Times New Roman"/>
          <w:sz w:val="21"/>
        </w:rPr>
        <w:t>9.15</w:t>
      </w:r>
      <w:r>
        <w:rPr>
          <w:sz w:val="21"/>
        </w:rPr>
        <w:t>）及</w:t>
      </w:r>
      <w:r>
        <w:rPr>
          <w:b/>
          <w:sz w:val="21"/>
        </w:rPr>
        <w:t>社</w:t>
      </w:r>
      <w:r>
        <w:rPr>
          <w:b/>
          <w:spacing w:val="-10"/>
          <w:sz w:val="21"/>
        </w:rPr>
        <w:t>保</w:t>
      </w:r>
    </w:p>
    <w:p>
      <w:pPr>
        <w:spacing w:before="3"/>
        <w:ind w:left="0" w:right="451" w:firstLine="0"/>
        <w:jc w:val="right"/>
        <w:rPr>
          <w:sz w:val="21"/>
        </w:rPr>
      </w:pPr>
      <w:r>
        <w:rPr>
          <w:b/>
          <w:spacing w:val="-8"/>
          <w:sz w:val="21"/>
        </w:rPr>
        <w:t>目录外药品费用</w:t>
      </w:r>
      <w:r>
        <w:rPr>
          <w:spacing w:val="-8"/>
          <w:sz w:val="21"/>
        </w:rPr>
        <w:t>（见</w:t>
      </w:r>
      <w:r>
        <w:rPr>
          <w:rFonts w:ascii="Times New Roman" w:eastAsia="Times New Roman"/>
          <w:spacing w:val="15"/>
          <w:sz w:val="21"/>
        </w:rPr>
        <w:t>9.1</w:t>
      </w:r>
      <w:r>
        <w:rPr>
          <w:rFonts w:ascii="Times New Roman" w:eastAsia="Times New Roman"/>
          <w:spacing w:val="12"/>
          <w:sz w:val="21"/>
        </w:rPr>
        <w:t>6</w:t>
      </w:r>
      <w:r>
        <w:rPr>
          <w:spacing w:val="-93"/>
          <w:sz w:val="21"/>
        </w:rPr>
        <w:t>）</w:t>
      </w:r>
      <w:r>
        <w:rPr>
          <w:spacing w:val="-11"/>
          <w:sz w:val="21"/>
        </w:rPr>
        <w:t>，以药品处方开具时药品属于社保目录内</w:t>
      </w:r>
    </w:p>
    <w:p>
      <w:pPr>
        <w:spacing w:after="0"/>
        <w:jc w:val="right"/>
        <w:rPr>
          <w:sz w:val="21"/>
        </w:rPr>
        <w:sectPr>
          <w:type w:val="continuous"/>
          <w:pgSz w:w="11910" w:h="16840"/>
          <w:pgMar w:header="0" w:footer="879" w:top="300" w:bottom="280" w:left="1480" w:right="720"/>
        </w:sectPr>
      </w:pPr>
    </w:p>
    <w:p>
      <w:pPr>
        <w:pStyle w:val="BodyText"/>
        <w:spacing w:before="55"/>
        <w:ind w:left="3165"/>
      </w:pPr>
      <w:r>
        <w:rPr>
          <w:spacing w:val="-3"/>
        </w:rPr>
        <w:t>或社保目录外为准。</w:t>
      </w:r>
    </w:p>
    <w:p>
      <w:pPr>
        <w:pStyle w:val="BodyText"/>
        <w:spacing w:before="4"/>
        <w:rPr>
          <w:sz w:val="19"/>
        </w:rPr>
      </w:pPr>
    </w:p>
    <w:p>
      <w:pPr>
        <w:pStyle w:val="BodyText"/>
        <w:ind w:left="3165"/>
      </w:pPr>
      <w:r>
        <w:rPr>
          <w:spacing w:val="-3"/>
        </w:rPr>
        <w:t>本合同约定的给付比例如下：</w:t>
      </w:r>
    </w:p>
    <w:p>
      <w:pPr>
        <w:pStyle w:val="ListParagraph"/>
        <w:numPr>
          <w:ilvl w:val="0"/>
          <w:numId w:val="6"/>
        </w:numPr>
        <w:tabs>
          <w:tab w:pos="3694" w:val="left" w:leader="none"/>
        </w:tabs>
        <w:spacing w:line="240" w:lineRule="auto" w:before="2" w:after="0"/>
        <w:ind w:left="3694" w:right="0" w:hanging="529"/>
        <w:jc w:val="left"/>
        <w:rPr>
          <w:sz w:val="21"/>
        </w:rPr>
      </w:pPr>
      <w:r>
        <w:rPr>
          <w:spacing w:val="-1"/>
          <w:sz w:val="21"/>
        </w:rPr>
        <w:t>若被保险人结算社保目录外药品费用，则约定的给付比例为</w:t>
      </w:r>
    </w:p>
    <w:p>
      <w:pPr>
        <w:pStyle w:val="BodyText"/>
        <w:spacing w:before="5"/>
        <w:ind w:left="216" w:right="1836"/>
        <w:jc w:val="center"/>
      </w:pPr>
      <w:r>
        <w:rPr>
          <w:rFonts w:ascii="Times New Roman" w:eastAsia="Times New Roman"/>
          <w:spacing w:val="-2"/>
        </w:rPr>
        <w:t>100%</w:t>
      </w:r>
      <w:r>
        <w:rPr>
          <w:spacing w:val="-2"/>
        </w:rPr>
        <w:t>；</w:t>
      </w:r>
    </w:p>
    <w:p>
      <w:pPr>
        <w:pStyle w:val="ListParagraph"/>
        <w:numPr>
          <w:ilvl w:val="0"/>
          <w:numId w:val="6"/>
        </w:numPr>
        <w:tabs>
          <w:tab w:pos="3694" w:val="left" w:leader="none"/>
        </w:tabs>
        <w:spacing w:line="242" w:lineRule="auto" w:before="2" w:after="0"/>
        <w:ind w:left="3690" w:right="344" w:hanging="526"/>
        <w:jc w:val="both"/>
        <w:rPr>
          <w:sz w:val="21"/>
        </w:rPr>
      </w:pPr>
      <w:r>
        <w:rPr>
          <w:spacing w:val="-2"/>
          <w:sz w:val="21"/>
        </w:rPr>
        <w:t>若被保险人结算社保目录内药品费用时，已从基本医疗保险、</w:t>
      </w:r>
      <w:r>
        <w:rPr>
          <w:spacing w:val="-2"/>
          <w:sz w:val="21"/>
        </w:rPr>
        <w:t>公费医疗、城乡居民大病保险获得社保目录内药品费用补偿，</w:t>
      </w:r>
      <w:r>
        <w:rPr>
          <w:spacing w:val="-2"/>
          <w:sz w:val="21"/>
        </w:rPr>
        <w:t>则约定的给付比例为</w:t>
      </w:r>
      <w:r>
        <w:rPr>
          <w:rFonts w:ascii="Times New Roman" w:eastAsia="Times New Roman"/>
          <w:spacing w:val="-2"/>
          <w:sz w:val="21"/>
        </w:rPr>
        <w:t>100%</w:t>
      </w:r>
      <w:r>
        <w:rPr>
          <w:spacing w:val="-2"/>
          <w:sz w:val="21"/>
        </w:rPr>
        <w:t>；</w:t>
      </w:r>
    </w:p>
    <w:p>
      <w:pPr>
        <w:pStyle w:val="ListParagraph"/>
        <w:numPr>
          <w:ilvl w:val="0"/>
          <w:numId w:val="6"/>
        </w:numPr>
        <w:tabs>
          <w:tab w:pos="3694" w:val="left" w:leader="none"/>
        </w:tabs>
        <w:spacing w:line="242" w:lineRule="auto" w:before="1" w:after="0"/>
        <w:ind w:left="3692" w:right="346" w:hanging="528"/>
        <w:jc w:val="both"/>
        <w:rPr>
          <w:b/>
          <w:sz w:val="21"/>
        </w:rPr>
      </w:pPr>
      <w:r>
        <w:rPr>
          <w:b/>
          <w:spacing w:val="-2"/>
          <w:sz w:val="21"/>
        </w:rPr>
        <w:t>若被保险人结算社保目录内药品费用时，未从基本医疗保险、</w:t>
      </w:r>
      <w:r>
        <w:rPr>
          <w:b/>
          <w:spacing w:val="-2"/>
          <w:sz w:val="21"/>
        </w:rPr>
        <w:t>公费医疗、城乡居民大病保险获得社保目录内药品费用补偿，</w:t>
      </w:r>
      <w:r>
        <w:rPr>
          <w:b/>
          <w:spacing w:val="-2"/>
          <w:sz w:val="21"/>
        </w:rPr>
        <w:t>则约定的给付比例为</w:t>
      </w:r>
      <w:r>
        <w:rPr>
          <w:rFonts w:ascii="Times New Roman" w:eastAsia="Times New Roman"/>
          <w:b/>
          <w:spacing w:val="-2"/>
          <w:sz w:val="21"/>
        </w:rPr>
        <w:t>60%</w:t>
      </w:r>
      <w:r>
        <w:rPr>
          <w:b/>
          <w:spacing w:val="-2"/>
          <w:sz w:val="21"/>
        </w:rPr>
        <w:t>。</w:t>
      </w:r>
    </w:p>
    <w:p>
      <w:pPr>
        <w:pStyle w:val="BodyText"/>
        <w:spacing w:before="6"/>
        <w:rPr>
          <w:b/>
          <w:sz w:val="18"/>
        </w:rPr>
      </w:pPr>
    </w:p>
    <w:p>
      <w:pPr>
        <w:pStyle w:val="ListParagraph"/>
        <w:numPr>
          <w:ilvl w:val="1"/>
          <w:numId w:val="4"/>
        </w:numPr>
        <w:tabs>
          <w:tab w:pos="1321" w:val="left" w:leader="none"/>
          <w:tab w:pos="1322" w:val="left" w:leader="none"/>
          <w:tab w:pos="3164" w:val="left" w:leader="none"/>
        </w:tabs>
        <w:spacing w:line="240" w:lineRule="auto" w:before="0" w:after="0"/>
        <w:ind w:left="1321" w:right="0" w:hanging="1100"/>
        <w:jc w:val="left"/>
        <w:rPr>
          <w:b/>
          <w:sz w:val="21"/>
        </w:rPr>
      </w:pPr>
      <w:r>
        <w:rPr>
          <w:b/>
          <w:sz w:val="21"/>
        </w:rPr>
        <w:t>责任免</w:t>
      </w:r>
      <w:r>
        <w:rPr>
          <w:b/>
          <w:spacing w:val="-10"/>
          <w:sz w:val="21"/>
        </w:rPr>
        <w:t>除</w:t>
      </w:r>
      <w:r>
        <w:rPr>
          <w:b/>
          <w:sz w:val="21"/>
        </w:rPr>
        <w:tab/>
      </w:r>
      <w:r>
        <w:rPr>
          <w:b/>
          <w:spacing w:val="-2"/>
          <w:sz w:val="21"/>
        </w:rPr>
        <w:t>因</w:t>
      </w:r>
      <w:r>
        <w:rPr>
          <w:b/>
          <w:spacing w:val="-2"/>
          <w:sz w:val="21"/>
        </w:rPr>
        <w:t>下</w:t>
      </w:r>
      <w:r>
        <w:rPr>
          <w:b/>
          <w:spacing w:val="-2"/>
          <w:sz w:val="21"/>
        </w:rPr>
        <w:t>列</w:t>
      </w:r>
      <w:r>
        <w:rPr>
          <w:b/>
          <w:spacing w:val="-2"/>
          <w:sz w:val="21"/>
        </w:rPr>
        <w:t>情</w:t>
      </w:r>
      <w:r>
        <w:rPr>
          <w:b/>
          <w:spacing w:val="-2"/>
          <w:sz w:val="21"/>
        </w:rPr>
        <w:t>形</w:t>
      </w:r>
      <w:r>
        <w:rPr>
          <w:b/>
          <w:spacing w:val="-2"/>
          <w:sz w:val="21"/>
        </w:rPr>
        <w:t>之</w:t>
      </w:r>
      <w:r>
        <w:rPr>
          <w:b/>
          <w:spacing w:val="-2"/>
          <w:sz w:val="21"/>
        </w:rPr>
        <w:t>一</w:t>
      </w:r>
      <w:r>
        <w:rPr>
          <w:b/>
          <w:spacing w:val="-2"/>
          <w:sz w:val="21"/>
        </w:rPr>
        <w:t>导</w:t>
      </w:r>
      <w:r>
        <w:rPr>
          <w:b/>
          <w:spacing w:val="-2"/>
          <w:sz w:val="21"/>
        </w:rPr>
        <w:t>致被保</w:t>
      </w:r>
      <w:r>
        <w:rPr>
          <w:b/>
          <w:spacing w:val="-2"/>
          <w:sz w:val="21"/>
        </w:rPr>
        <w:t>险</w:t>
      </w:r>
      <w:r>
        <w:rPr>
          <w:b/>
          <w:spacing w:val="-2"/>
          <w:sz w:val="21"/>
        </w:rPr>
        <w:t>人</w:t>
      </w:r>
      <w:r>
        <w:rPr>
          <w:b/>
          <w:spacing w:val="-2"/>
          <w:sz w:val="21"/>
        </w:rPr>
        <w:t>发</w:t>
      </w:r>
      <w:r>
        <w:rPr>
          <w:b/>
          <w:spacing w:val="-2"/>
          <w:sz w:val="21"/>
        </w:rPr>
        <w:t>生</w:t>
      </w:r>
      <w:r>
        <w:rPr>
          <w:b/>
          <w:spacing w:val="-2"/>
          <w:sz w:val="21"/>
        </w:rPr>
        <w:t>恶</w:t>
      </w:r>
      <w:r>
        <w:rPr>
          <w:b/>
          <w:spacing w:val="-2"/>
          <w:sz w:val="21"/>
        </w:rPr>
        <w:t>性</w:t>
      </w:r>
      <w:r>
        <w:rPr>
          <w:b/>
          <w:spacing w:val="-2"/>
          <w:sz w:val="21"/>
        </w:rPr>
        <w:t>肿</w:t>
      </w:r>
      <w:r>
        <w:rPr>
          <w:b/>
          <w:spacing w:val="-2"/>
          <w:sz w:val="21"/>
        </w:rPr>
        <w:t>瘤</w:t>
      </w:r>
      <w:r>
        <w:rPr>
          <w:b/>
          <w:spacing w:val="-2"/>
          <w:sz w:val="21"/>
        </w:rPr>
        <w:t>特定药</w:t>
      </w:r>
      <w:r>
        <w:rPr>
          <w:b/>
          <w:spacing w:val="-2"/>
          <w:sz w:val="21"/>
        </w:rPr>
        <w:t>品</w:t>
      </w:r>
      <w:r>
        <w:rPr>
          <w:b/>
          <w:spacing w:val="-2"/>
          <w:sz w:val="21"/>
        </w:rPr>
        <w:t>费</w:t>
      </w:r>
      <w:r>
        <w:rPr>
          <w:b/>
          <w:spacing w:val="-2"/>
          <w:sz w:val="21"/>
        </w:rPr>
        <w:t>用</w:t>
      </w:r>
      <w:r>
        <w:rPr>
          <w:b/>
          <w:spacing w:val="-2"/>
          <w:sz w:val="21"/>
        </w:rPr>
        <w:t>支</w:t>
      </w:r>
      <w:r>
        <w:rPr>
          <w:b/>
          <w:spacing w:val="-2"/>
          <w:sz w:val="21"/>
        </w:rPr>
        <w:t>出</w:t>
      </w:r>
      <w:r>
        <w:rPr>
          <w:b/>
          <w:spacing w:val="-2"/>
          <w:sz w:val="21"/>
        </w:rPr>
        <w:t>的</w:t>
      </w:r>
      <w:r>
        <w:rPr>
          <w:b/>
          <w:spacing w:val="-10"/>
          <w:sz w:val="21"/>
        </w:rPr>
        <w:t>，</w:t>
      </w:r>
    </w:p>
    <w:p>
      <w:pPr>
        <w:spacing w:before="5"/>
        <w:ind w:left="3165" w:right="0" w:firstLine="0"/>
        <w:jc w:val="left"/>
        <w:rPr>
          <w:b/>
          <w:sz w:val="21"/>
        </w:rPr>
      </w:pPr>
      <w:r>
        <w:rPr>
          <w:b/>
          <w:spacing w:val="-3"/>
          <w:sz w:val="21"/>
        </w:rPr>
        <w:t>我们不承担给付保险金的责任：</w:t>
      </w:r>
    </w:p>
    <w:p>
      <w:pPr>
        <w:pStyle w:val="ListParagraph"/>
        <w:numPr>
          <w:ilvl w:val="0"/>
          <w:numId w:val="7"/>
        </w:numPr>
        <w:tabs>
          <w:tab w:pos="3694" w:val="left" w:leader="none"/>
        </w:tabs>
        <w:spacing w:line="240" w:lineRule="auto" w:before="2" w:after="0"/>
        <w:ind w:left="3694" w:right="0" w:hanging="529"/>
        <w:jc w:val="left"/>
        <w:rPr>
          <w:b/>
          <w:sz w:val="21"/>
        </w:rPr>
      </w:pPr>
      <w:r>
        <w:rPr>
          <w:b/>
          <w:spacing w:val="-3"/>
          <w:sz w:val="21"/>
        </w:rPr>
        <w:t>被保险人在中国境外或港、澳、台地区接受治疗；</w:t>
      </w:r>
    </w:p>
    <w:p>
      <w:pPr>
        <w:pStyle w:val="ListParagraph"/>
        <w:numPr>
          <w:ilvl w:val="0"/>
          <w:numId w:val="7"/>
        </w:numPr>
        <w:tabs>
          <w:tab w:pos="3694" w:val="left" w:leader="none"/>
        </w:tabs>
        <w:spacing w:line="242" w:lineRule="auto" w:before="4" w:after="0"/>
        <w:ind w:left="3692" w:right="456" w:hanging="528"/>
        <w:jc w:val="left"/>
        <w:rPr>
          <w:b/>
          <w:sz w:val="21"/>
        </w:rPr>
      </w:pPr>
      <w:r>
        <w:rPr>
          <w:b/>
          <w:spacing w:val="-6"/>
          <w:sz w:val="21"/>
        </w:rPr>
        <w:t>被保险人未经医师</w:t>
      </w:r>
      <w:r>
        <w:rPr>
          <w:spacing w:val="-6"/>
          <w:sz w:val="21"/>
        </w:rPr>
        <w:t>（</w:t>
      </w:r>
      <w:r>
        <w:rPr>
          <w:spacing w:val="-25"/>
          <w:sz w:val="21"/>
        </w:rPr>
        <w:t>见 </w:t>
      </w:r>
      <w:r>
        <w:rPr>
          <w:rFonts w:ascii="Times New Roman" w:eastAsia="Times New Roman"/>
          <w:spacing w:val="-6"/>
          <w:sz w:val="21"/>
        </w:rPr>
        <w:t>9.17</w:t>
      </w:r>
      <w:r>
        <w:rPr>
          <w:spacing w:val="-6"/>
          <w:sz w:val="21"/>
        </w:rPr>
        <w:t>）</w:t>
      </w:r>
      <w:r>
        <w:rPr>
          <w:b/>
          <w:spacing w:val="-6"/>
          <w:sz w:val="21"/>
        </w:rPr>
        <w:t>处方注射、吸食、服用毒品</w:t>
      </w:r>
      <w:r>
        <w:rPr>
          <w:spacing w:val="-6"/>
          <w:sz w:val="21"/>
        </w:rPr>
        <w:t>（见</w:t>
      </w:r>
      <w:r>
        <w:rPr>
          <w:spacing w:val="-6"/>
          <w:sz w:val="21"/>
        </w:rPr>
        <w:t> </w:t>
      </w:r>
      <w:r>
        <w:rPr>
          <w:rFonts w:ascii="Times New Roman" w:eastAsia="Times New Roman"/>
          <w:spacing w:val="16"/>
          <w:sz w:val="21"/>
        </w:rPr>
        <w:t>9.18</w:t>
      </w:r>
      <w:r>
        <w:rPr>
          <w:spacing w:val="-92"/>
          <w:sz w:val="21"/>
        </w:rPr>
        <w:t>）</w:t>
      </w:r>
      <w:r>
        <w:rPr>
          <w:b/>
          <w:spacing w:val="16"/>
          <w:sz w:val="21"/>
        </w:rPr>
        <w:t>；</w:t>
      </w:r>
    </w:p>
    <w:p>
      <w:pPr>
        <w:pStyle w:val="ListParagraph"/>
        <w:numPr>
          <w:ilvl w:val="0"/>
          <w:numId w:val="7"/>
        </w:numPr>
        <w:tabs>
          <w:tab w:pos="3694" w:val="left" w:leader="none"/>
        </w:tabs>
        <w:spacing w:line="240" w:lineRule="auto" w:before="2" w:after="0"/>
        <w:ind w:left="3694" w:right="0" w:hanging="529"/>
        <w:jc w:val="left"/>
        <w:rPr>
          <w:b/>
          <w:sz w:val="21"/>
        </w:rPr>
      </w:pPr>
      <w:r>
        <w:rPr>
          <w:b/>
          <w:spacing w:val="-2"/>
          <w:sz w:val="21"/>
        </w:rPr>
        <w:t>被保险人感染艾滋病病毒或患艾滋病</w:t>
      </w:r>
      <w:r>
        <w:rPr>
          <w:spacing w:val="-2"/>
          <w:sz w:val="21"/>
        </w:rPr>
        <w:t>（</w:t>
      </w:r>
      <w:r>
        <w:rPr>
          <w:spacing w:val="-15"/>
          <w:sz w:val="21"/>
        </w:rPr>
        <w:t>见 </w:t>
      </w:r>
      <w:r>
        <w:rPr>
          <w:rFonts w:ascii="Times New Roman" w:eastAsia="Times New Roman"/>
          <w:spacing w:val="16"/>
          <w:sz w:val="21"/>
        </w:rPr>
        <w:t>9.</w:t>
      </w:r>
      <w:r>
        <w:rPr>
          <w:rFonts w:ascii="Times New Roman" w:eastAsia="Times New Roman"/>
          <w:spacing w:val="13"/>
          <w:sz w:val="21"/>
        </w:rPr>
        <w:t>1</w:t>
      </w:r>
      <w:r>
        <w:rPr>
          <w:rFonts w:ascii="Times New Roman" w:eastAsia="Times New Roman"/>
          <w:spacing w:val="16"/>
          <w:sz w:val="21"/>
        </w:rPr>
        <w:t>9</w:t>
      </w:r>
      <w:r>
        <w:rPr>
          <w:spacing w:val="-92"/>
          <w:sz w:val="21"/>
        </w:rPr>
        <w:t>）</w:t>
      </w:r>
      <w:r>
        <w:rPr>
          <w:b/>
          <w:spacing w:val="16"/>
          <w:sz w:val="21"/>
        </w:rPr>
        <w:t>；</w:t>
      </w:r>
    </w:p>
    <w:p>
      <w:pPr>
        <w:pStyle w:val="ListParagraph"/>
        <w:numPr>
          <w:ilvl w:val="0"/>
          <w:numId w:val="7"/>
        </w:numPr>
        <w:tabs>
          <w:tab w:pos="3694" w:val="left" w:leader="none"/>
        </w:tabs>
        <w:spacing w:line="240" w:lineRule="auto" w:before="2" w:after="0"/>
        <w:ind w:left="3694" w:right="0" w:hanging="529"/>
        <w:jc w:val="left"/>
        <w:rPr>
          <w:b/>
          <w:sz w:val="21"/>
        </w:rPr>
      </w:pPr>
      <w:r>
        <w:rPr>
          <w:b/>
          <w:spacing w:val="-3"/>
          <w:sz w:val="21"/>
        </w:rPr>
        <w:t>核爆炸、核辐射或核污染；</w:t>
      </w:r>
    </w:p>
    <w:p>
      <w:pPr>
        <w:pStyle w:val="ListParagraph"/>
        <w:numPr>
          <w:ilvl w:val="0"/>
          <w:numId w:val="7"/>
        </w:numPr>
        <w:tabs>
          <w:tab w:pos="3694" w:val="left" w:leader="none"/>
        </w:tabs>
        <w:spacing w:line="242" w:lineRule="auto" w:before="5" w:after="0"/>
        <w:ind w:left="3692" w:right="464" w:hanging="528"/>
        <w:jc w:val="left"/>
        <w:rPr>
          <w:b/>
          <w:sz w:val="21"/>
        </w:rPr>
      </w:pPr>
      <w:r>
        <w:rPr>
          <w:b/>
          <w:spacing w:val="-2"/>
          <w:sz w:val="21"/>
        </w:rPr>
        <w:t>被保险人未遵医嘱使用管制药物或处方药物，未按照说明书</w:t>
      </w:r>
      <w:r>
        <w:rPr>
          <w:b/>
          <w:spacing w:val="-2"/>
          <w:sz w:val="21"/>
        </w:rPr>
        <w:t>所示内容使用非处方药物；</w:t>
      </w:r>
    </w:p>
    <w:p>
      <w:pPr>
        <w:pStyle w:val="ListParagraph"/>
        <w:numPr>
          <w:ilvl w:val="0"/>
          <w:numId w:val="7"/>
        </w:numPr>
        <w:tabs>
          <w:tab w:pos="3694" w:val="left" w:leader="none"/>
        </w:tabs>
        <w:spacing w:line="242" w:lineRule="auto" w:before="1" w:after="0"/>
        <w:ind w:left="3692" w:right="454" w:hanging="528"/>
        <w:jc w:val="left"/>
        <w:rPr>
          <w:b/>
          <w:sz w:val="21"/>
        </w:rPr>
      </w:pPr>
      <w:r>
        <w:rPr>
          <w:b/>
          <w:spacing w:val="-6"/>
          <w:sz w:val="21"/>
        </w:rPr>
        <w:t>遗传性疾病</w:t>
      </w:r>
      <w:r>
        <w:rPr>
          <w:spacing w:val="-6"/>
          <w:sz w:val="21"/>
        </w:rPr>
        <w:t>（</w:t>
      </w:r>
      <w:r>
        <w:rPr>
          <w:spacing w:val="-26"/>
          <w:sz w:val="21"/>
        </w:rPr>
        <w:t>见 </w:t>
      </w:r>
      <w:r>
        <w:rPr>
          <w:rFonts w:ascii="Times New Roman" w:eastAsia="Times New Roman"/>
          <w:spacing w:val="15"/>
          <w:sz w:val="21"/>
        </w:rPr>
        <w:t>9.20</w:t>
      </w:r>
      <w:r>
        <w:rPr>
          <w:spacing w:val="-93"/>
          <w:sz w:val="21"/>
        </w:rPr>
        <w:t>）</w:t>
      </w:r>
      <w:r>
        <w:rPr>
          <w:b/>
          <w:spacing w:val="-6"/>
          <w:sz w:val="21"/>
        </w:rPr>
        <w:t>、先天性畸形、变形或染色体异常</w:t>
      </w:r>
      <w:r>
        <w:rPr>
          <w:spacing w:val="-6"/>
          <w:sz w:val="21"/>
        </w:rPr>
        <w:t>（见</w:t>
      </w:r>
      <w:r>
        <w:rPr>
          <w:spacing w:val="-6"/>
          <w:sz w:val="21"/>
        </w:rPr>
        <w:t> </w:t>
      </w:r>
      <w:r>
        <w:rPr>
          <w:rFonts w:ascii="Times New Roman" w:eastAsia="Times New Roman"/>
          <w:spacing w:val="16"/>
          <w:sz w:val="21"/>
        </w:rPr>
        <w:t>9.21</w:t>
      </w:r>
      <w:r>
        <w:rPr>
          <w:spacing w:val="-92"/>
          <w:sz w:val="21"/>
        </w:rPr>
        <w:t>）</w:t>
      </w:r>
      <w:r>
        <w:rPr>
          <w:b/>
          <w:spacing w:val="16"/>
          <w:sz w:val="21"/>
        </w:rPr>
        <w:t>；</w:t>
      </w:r>
    </w:p>
    <w:p>
      <w:pPr>
        <w:pStyle w:val="ListParagraph"/>
        <w:numPr>
          <w:ilvl w:val="0"/>
          <w:numId w:val="7"/>
        </w:numPr>
        <w:tabs>
          <w:tab w:pos="3694" w:val="left" w:leader="none"/>
        </w:tabs>
        <w:spacing w:line="242" w:lineRule="auto" w:before="2" w:after="0"/>
        <w:ind w:left="3692" w:right="351" w:hanging="528"/>
        <w:jc w:val="left"/>
        <w:rPr>
          <w:b/>
          <w:sz w:val="21"/>
        </w:rPr>
      </w:pPr>
      <w:r>
        <w:rPr>
          <w:b/>
          <w:spacing w:val="-8"/>
          <w:sz w:val="21"/>
        </w:rPr>
        <w:t>未以书面形式或者双方认可的其他形式告知的既往症</w:t>
      </w:r>
      <w:r>
        <w:rPr>
          <w:spacing w:val="14"/>
          <w:sz w:val="21"/>
        </w:rPr>
        <w:t>（</w:t>
      </w:r>
      <w:r>
        <w:rPr>
          <w:rFonts w:ascii="Times New Roman" w:eastAsia="Times New Roman"/>
          <w:spacing w:val="14"/>
          <w:sz w:val="21"/>
        </w:rPr>
        <w:t>9.</w:t>
      </w:r>
      <w:r>
        <w:rPr>
          <w:rFonts w:ascii="Times New Roman" w:eastAsia="Times New Roman"/>
          <w:spacing w:val="11"/>
          <w:sz w:val="21"/>
        </w:rPr>
        <w:t>2</w:t>
      </w:r>
      <w:r>
        <w:rPr>
          <w:rFonts w:ascii="Times New Roman" w:eastAsia="Times New Roman"/>
          <w:spacing w:val="13"/>
          <w:sz w:val="21"/>
        </w:rPr>
        <w:t>2</w:t>
      </w:r>
      <w:r>
        <w:rPr>
          <w:spacing w:val="-94"/>
          <w:sz w:val="21"/>
        </w:rPr>
        <w:t>）</w:t>
      </w:r>
      <w:r>
        <w:rPr>
          <w:b/>
          <w:spacing w:val="-4"/>
          <w:sz w:val="21"/>
        </w:rPr>
        <w:t>、</w:t>
      </w:r>
      <w:r>
        <w:rPr>
          <w:b/>
          <w:spacing w:val="-2"/>
          <w:sz w:val="21"/>
        </w:rPr>
        <w:t>本合同特别约定除外的疾病；</w:t>
      </w:r>
    </w:p>
    <w:p>
      <w:pPr>
        <w:pStyle w:val="ListParagraph"/>
        <w:numPr>
          <w:ilvl w:val="0"/>
          <w:numId w:val="7"/>
        </w:numPr>
        <w:tabs>
          <w:tab w:pos="3694" w:val="left" w:leader="none"/>
        </w:tabs>
        <w:spacing w:line="240" w:lineRule="auto" w:before="1" w:after="0"/>
        <w:ind w:left="3694" w:right="0" w:hanging="529"/>
        <w:jc w:val="left"/>
        <w:rPr>
          <w:b/>
          <w:sz w:val="21"/>
        </w:rPr>
      </w:pPr>
      <w:r>
        <w:rPr>
          <w:b/>
          <w:spacing w:val="-3"/>
          <w:sz w:val="21"/>
        </w:rPr>
        <w:t>未经我们审核在医院外药店购买的药品；</w:t>
      </w:r>
    </w:p>
    <w:p>
      <w:pPr>
        <w:pStyle w:val="ListParagraph"/>
        <w:numPr>
          <w:ilvl w:val="0"/>
          <w:numId w:val="7"/>
        </w:numPr>
        <w:tabs>
          <w:tab w:pos="3694" w:val="left" w:leader="none"/>
        </w:tabs>
        <w:spacing w:line="244" w:lineRule="auto" w:before="2" w:after="0"/>
        <w:ind w:left="3692" w:right="456" w:hanging="528"/>
        <w:jc w:val="left"/>
        <w:rPr>
          <w:b/>
          <w:sz w:val="21"/>
        </w:rPr>
      </w:pPr>
      <w:r>
        <w:rPr>
          <w:b/>
          <w:spacing w:val="-2"/>
          <w:sz w:val="21"/>
        </w:rPr>
        <w:t>被保险人接受实验性治疗或替代疗法（即未经科学或医学认</w:t>
      </w:r>
      <w:r>
        <w:rPr>
          <w:b/>
          <w:spacing w:val="-4"/>
          <w:sz w:val="21"/>
        </w:rPr>
        <w:t>可的医疗</w:t>
      </w:r>
      <w:r>
        <w:rPr>
          <w:b/>
          <w:spacing w:val="-106"/>
          <w:sz w:val="21"/>
        </w:rPr>
        <w:t>）；</w:t>
      </w:r>
    </w:p>
    <w:p>
      <w:pPr>
        <w:pStyle w:val="ListParagraph"/>
        <w:numPr>
          <w:ilvl w:val="0"/>
          <w:numId w:val="7"/>
        </w:numPr>
        <w:tabs>
          <w:tab w:pos="3798" w:val="left" w:leader="none"/>
        </w:tabs>
        <w:spacing w:line="244" w:lineRule="auto" w:before="0" w:after="0"/>
        <w:ind w:left="3796" w:right="447" w:hanging="632"/>
        <w:jc w:val="left"/>
        <w:rPr>
          <w:b/>
          <w:sz w:val="21"/>
        </w:rPr>
      </w:pPr>
      <w:r>
        <w:rPr>
          <w:b/>
          <w:spacing w:val="6"/>
          <w:w w:val="100"/>
          <w:sz w:val="21"/>
        </w:rPr>
        <w:t>被保险人使用未被治疗所在地权威部门批准或未获得治疗</w:t>
      </w:r>
      <w:r>
        <w:rPr>
          <w:b/>
          <w:spacing w:val="-2"/>
          <w:w w:val="100"/>
          <w:sz w:val="21"/>
        </w:rPr>
        <w:t>所在地政府许可或批准的药品或药物；</w:t>
      </w:r>
    </w:p>
    <w:p>
      <w:pPr>
        <w:pStyle w:val="ListParagraph"/>
        <w:numPr>
          <w:ilvl w:val="0"/>
          <w:numId w:val="7"/>
        </w:numPr>
        <w:tabs>
          <w:tab w:pos="3798" w:val="left" w:leader="none"/>
        </w:tabs>
        <w:spacing w:line="244" w:lineRule="auto" w:before="0" w:after="0"/>
        <w:ind w:left="3796" w:right="448" w:hanging="632"/>
        <w:jc w:val="left"/>
        <w:rPr>
          <w:b/>
          <w:sz w:val="21"/>
        </w:rPr>
      </w:pPr>
      <w:r>
        <w:rPr>
          <w:b/>
          <w:spacing w:val="6"/>
          <w:w w:val="100"/>
          <w:sz w:val="21"/>
        </w:rPr>
        <w:t>药品处方的开具与国家食品药品监督管理总局批准的说明</w:t>
      </w:r>
      <w:r>
        <w:rPr>
          <w:b/>
          <w:spacing w:val="-2"/>
          <w:w w:val="100"/>
          <w:sz w:val="21"/>
        </w:rPr>
        <w:t>书中所列明的适应症及用法用量不符；</w:t>
      </w:r>
    </w:p>
    <w:p>
      <w:pPr>
        <w:pStyle w:val="ListParagraph"/>
        <w:numPr>
          <w:ilvl w:val="0"/>
          <w:numId w:val="7"/>
        </w:numPr>
        <w:tabs>
          <w:tab w:pos="3798" w:val="left" w:leader="none"/>
        </w:tabs>
        <w:spacing w:line="244" w:lineRule="auto" w:before="0" w:after="0"/>
        <w:ind w:left="3796" w:right="557" w:hanging="632"/>
        <w:jc w:val="left"/>
        <w:rPr>
          <w:b/>
          <w:sz w:val="21"/>
        </w:rPr>
      </w:pPr>
      <w:r>
        <w:rPr>
          <w:b/>
          <w:spacing w:val="-2"/>
          <w:sz w:val="21"/>
        </w:rPr>
        <w:t>相关医学材料不能证明药品对被保险人所罹患的恶性肿瘤</w:t>
      </w:r>
      <w:r>
        <w:rPr>
          <w:b/>
          <w:spacing w:val="-4"/>
          <w:sz w:val="21"/>
        </w:rPr>
        <w:t>有效；</w:t>
      </w:r>
    </w:p>
    <w:p>
      <w:pPr>
        <w:pStyle w:val="ListParagraph"/>
        <w:numPr>
          <w:ilvl w:val="0"/>
          <w:numId w:val="7"/>
        </w:numPr>
        <w:tabs>
          <w:tab w:pos="3798" w:val="left" w:leader="none"/>
        </w:tabs>
        <w:spacing w:line="242" w:lineRule="auto" w:before="0" w:after="0"/>
        <w:ind w:left="3796" w:right="561" w:hanging="632"/>
        <w:jc w:val="both"/>
        <w:rPr>
          <w:b/>
          <w:sz w:val="21"/>
        </w:rPr>
      </w:pPr>
      <w:r>
        <w:rPr>
          <w:b/>
          <w:spacing w:val="-2"/>
          <w:sz w:val="21"/>
        </w:rPr>
        <w:t>被保险人用药时长符合慈善赠药申请条件，但因未提交相关申请或者提交材料不全，导致未通过慈善基金会审核所发生的药品费用；被保险人通过慈善机构援助审核，但因</w:t>
      </w:r>
      <w:r>
        <w:rPr>
          <w:b/>
          <w:spacing w:val="-2"/>
          <w:sz w:val="21"/>
        </w:rPr>
        <w:t>被保险人的原因未领取药品；</w:t>
      </w:r>
    </w:p>
    <w:p>
      <w:pPr>
        <w:pStyle w:val="ListParagraph"/>
        <w:numPr>
          <w:ilvl w:val="0"/>
          <w:numId w:val="7"/>
        </w:numPr>
        <w:tabs>
          <w:tab w:pos="3798" w:val="left" w:leader="none"/>
        </w:tabs>
        <w:spacing w:line="240" w:lineRule="auto" w:before="0" w:after="11"/>
        <w:ind w:left="3797" w:right="0" w:hanging="633"/>
        <w:jc w:val="left"/>
        <w:rPr>
          <w:b/>
          <w:sz w:val="21"/>
        </w:rPr>
      </w:pPr>
      <w:r>
        <w:rPr>
          <w:b/>
          <w:spacing w:val="11"/>
          <w:sz w:val="21"/>
        </w:rPr>
        <w:t>经审核确定，被保险人的疾病状况对申领药品已经耐药</w:t>
      </w: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062"/>
        <w:gridCol w:w="6393"/>
      </w:tblGrid>
      <w:tr>
        <w:trPr>
          <w:trHeight w:val="951" w:hRule="atLeast"/>
        </w:trPr>
        <w:tc>
          <w:tcPr>
            <w:tcW w:w="790" w:type="dxa"/>
            <w:tcBorders>
              <w:bottom w:val="single" w:sz="4" w:space="0" w:color="000000"/>
            </w:tcBorders>
          </w:tcPr>
          <w:p>
            <w:pPr>
              <w:pStyle w:val="TableParagraph"/>
              <w:rPr>
                <w:b/>
                <w:sz w:val="26"/>
              </w:rPr>
            </w:pPr>
          </w:p>
          <w:p>
            <w:pPr>
              <w:pStyle w:val="TableParagraph"/>
              <w:spacing w:before="4"/>
              <w:rPr>
                <w:b/>
                <w:sz w:val="19"/>
              </w:rPr>
            </w:pPr>
          </w:p>
          <w:p>
            <w:pPr>
              <w:pStyle w:val="TableParagraph"/>
              <w:ind w:left="108"/>
              <w:rPr>
                <w:rFonts w:ascii="Times New Roman"/>
                <w:b/>
                <w:sz w:val="24"/>
              </w:rPr>
            </w:pPr>
            <w:r>
              <w:rPr>
                <w:rFonts w:ascii="Times New Roman"/>
                <w:b/>
                <w:sz w:val="24"/>
              </w:rPr>
              <w:t>3</w:t>
            </w:r>
          </w:p>
        </w:tc>
        <w:tc>
          <w:tcPr>
            <w:tcW w:w="2062" w:type="dxa"/>
            <w:tcBorders>
              <w:bottom w:val="single" w:sz="4" w:space="0" w:color="000000"/>
            </w:tcBorders>
          </w:tcPr>
          <w:p>
            <w:pPr>
              <w:pStyle w:val="TableParagraph"/>
              <w:rPr>
                <w:b/>
                <w:sz w:val="24"/>
              </w:rPr>
            </w:pPr>
          </w:p>
          <w:p>
            <w:pPr>
              <w:pStyle w:val="TableParagraph"/>
              <w:spacing w:before="1"/>
              <w:rPr>
                <w:b/>
                <w:sz w:val="20"/>
              </w:rPr>
            </w:pPr>
          </w:p>
          <w:p>
            <w:pPr>
              <w:pStyle w:val="TableParagraph"/>
              <w:ind w:left="417"/>
              <w:rPr>
                <w:b/>
                <w:sz w:val="24"/>
              </w:rPr>
            </w:pPr>
            <w:r>
              <w:rPr>
                <w:b/>
                <w:w w:val="95"/>
                <w:sz w:val="24"/>
              </w:rPr>
              <w:t>保险金</w:t>
            </w:r>
            <w:r>
              <w:rPr>
                <w:b/>
                <w:w w:val="95"/>
                <w:sz w:val="24"/>
              </w:rPr>
              <w:t>的</w:t>
            </w:r>
            <w:r>
              <w:rPr>
                <w:b/>
                <w:w w:val="95"/>
                <w:sz w:val="24"/>
              </w:rPr>
              <w:t>申</w:t>
            </w:r>
            <w:r>
              <w:rPr>
                <w:b/>
                <w:spacing w:val="-10"/>
                <w:w w:val="95"/>
                <w:sz w:val="24"/>
              </w:rPr>
              <w:t>请</w:t>
            </w:r>
          </w:p>
        </w:tc>
        <w:tc>
          <w:tcPr>
            <w:tcW w:w="6393" w:type="dxa"/>
            <w:tcBorders>
              <w:bottom w:val="single" w:sz="4" w:space="0" w:color="000000"/>
            </w:tcBorders>
          </w:tcPr>
          <w:p>
            <w:pPr>
              <w:pStyle w:val="TableParagraph"/>
              <w:spacing w:line="247" w:lineRule="exact"/>
              <w:ind w:left="830"/>
              <w:rPr>
                <w:b/>
                <w:sz w:val="21"/>
              </w:rPr>
            </w:pPr>
            <w:r>
              <w:rPr>
                <w:spacing w:val="-2"/>
                <w:sz w:val="21"/>
              </w:rPr>
              <w:t>（</w:t>
            </w:r>
            <w:r>
              <w:rPr>
                <w:spacing w:val="-17"/>
                <w:sz w:val="21"/>
              </w:rPr>
              <w:t>见 </w:t>
            </w:r>
            <w:r>
              <w:rPr>
                <w:rFonts w:ascii="Times New Roman" w:eastAsia="Times New Roman"/>
                <w:spacing w:val="-2"/>
                <w:sz w:val="21"/>
              </w:rPr>
              <w:t>9.23</w:t>
            </w:r>
            <w:r>
              <w:rPr>
                <w:spacing w:val="-2"/>
                <w:sz w:val="21"/>
              </w:rPr>
              <w:t>）</w:t>
            </w:r>
            <w:r>
              <w:rPr>
                <w:b/>
                <w:spacing w:val="-3"/>
                <w:sz w:val="21"/>
              </w:rPr>
              <w:t>后产生的该药品费用。</w:t>
            </w:r>
          </w:p>
        </w:tc>
      </w:tr>
      <w:tr>
        <w:trPr>
          <w:trHeight w:val="619" w:hRule="atLeast"/>
        </w:trPr>
        <w:tc>
          <w:tcPr>
            <w:tcW w:w="790" w:type="dxa"/>
            <w:tcBorders>
              <w:top w:val="single" w:sz="4" w:space="0" w:color="000000"/>
            </w:tcBorders>
          </w:tcPr>
          <w:p>
            <w:pPr>
              <w:pStyle w:val="TableParagraph"/>
              <w:spacing w:before="3"/>
              <w:rPr>
                <w:b/>
                <w:sz w:val="18"/>
              </w:rPr>
            </w:pPr>
          </w:p>
          <w:p>
            <w:pPr>
              <w:pStyle w:val="TableParagraph"/>
              <w:ind w:left="108"/>
              <w:rPr>
                <w:rFonts w:ascii="Times New Roman"/>
                <w:sz w:val="21"/>
              </w:rPr>
            </w:pPr>
            <w:r>
              <w:rPr>
                <w:rFonts w:ascii="Times New Roman"/>
                <w:spacing w:val="-5"/>
                <w:sz w:val="21"/>
              </w:rPr>
              <w:t>3.1</w:t>
            </w:r>
          </w:p>
        </w:tc>
        <w:tc>
          <w:tcPr>
            <w:tcW w:w="2062" w:type="dxa"/>
            <w:tcBorders>
              <w:top w:val="single" w:sz="4" w:space="0" w:color="000000"/>
            </w:tcBorders>
          </w:tcPr>
          <w:p>
            <w:pPr>
              <w:pStyle w:val="TableParagraph"/>
              <w:spacing w:before="10"/>
              <w:rPr>
                <w:b/>
                <w:sz w:val="18"/>
              </w:rPr>
            </w:pPr>
          </w:p>
          <w:p>
            <w:pPr>
              <w:pStyle w:val="TableParagraph"/>
              <w:spacing w:before="1"/>
              <w:ind w:left="417"/>
              <w:rPr>
                <w:b/>
                <w:sz w:val="21"/>
              </w:rPr>
            </w:pPr>
            <w:r>
              <w:rPr>
                <w:b/>
                <w:spacing w:val="-4"/>
                <w:sz w:val="21"/>
              </w:rPr>
              <w:t>受益人</w:t>
            </w:r>
          </w:p>
        </w:tc>
        <w:tc>
          <w:tcPr>
            <w:tcW w:w="6393" w:type="dxa"/>
            <w:tcBorders>
              <w:top w:val="single" w:sz="4" w:space="0" w:color="000000"/>
            </w:tcBorders>
          </w:tcPr>
          <w:p>
            <w:pPr>
              <w:pStyle w:val="TableParagraph"/>
              <w:spacing w:before="10"/>
              <w:rPr>
                <w:b/>
                <w:sz w:val="18"/>
              </w:rPr>
            </w:pPr>
          </w:p>
          <w:p>
            <w:pPr>
              <w:pStyle w:val="TableParagraph"/>
              <w:spacing w:before="1"/>
              <w:ind w:left="198"/>
              <w:rPr>
                <w:sz w:val="21"/>
              </w:rPr>
            </w:pPr>
            <w:r>
              <w:rPr>
                <w:spacing w:val="-3"/>
                <w:sz w:val="21"/>
              </w:rPr>
              <w:t>除另有约定外，本合同受益人为被保险人本人。</w:t>
            </w:r>
          </w:p>
        </w:tc>
      </w:tr>
      <w:tr>
        <w:trPr>
          <w:trHeight w:val="680" w:hRule="atLeast"/>
        </w:trPr>
        <w:tc>
          <w:tcPr>
            <w:tcW w:w="790" w:type="dxa"/>
          </w:tcPr>
          <w:p>
            <w:pPr>
              <w:pStyle w:val="TableParagraph"/>
              <w:spacing w:before="130"/>
              <w:ind w:left="108"/>
              <w:rPr>
                <w:rFonts w:ascii="Times New Roman"/>
                <w:sz w:val="21"/>
              </w:rPr>
            </w:pPr>
            <w:r>
              <w:rPr>
                <w:rFonts w:ascii="Times New Roman"/>
                <w:spacing w:val="-5"/>
                <w:sz w:val="21"/>
              </w:rPr>
              <w:t>3.2</w:t>
            </w:r>
          </w:p>
        </w:tc>
        <w:tc>
          <w:tcPr>
            <w:tcW w:w="2062" w:type="dxa"/>
          </w:tcPr>
          <w:p>
            <w:pPr>
              <w:pStyle w:val="TableParagraph"/>
              <w:spacing w:before="138"/>
              <w:ind w:left="417"/>
              <w:rPr>
                <w:b/>
                <w:sz w:val="21"/>
              </w:rPr>
            </w:pPr>
            <w:r>
              <w:rPr>
                <w:b/>
                <w:spacing w:val="-2"/>
                <w:sz w:val="21"/>
              </w:rPr>
              <w:t>保险事故通知</w:t>
            </w:r>
          </w:p>
        </w:tc>
        <w:tc>
          <w:tcPr>
            <w:tcW w:w="6393" w:type="dxa"/>
          </w:tcPr>
          <w:p>
            <w:pPr>
              <w:pStyle w:val="TableParagraph"/>
              <w:spacing w:line="270" w:lineRule="atLeast" w:before="120"/>
              <w:ind w:left="198" w:right="102"/>
              <w:rPr>
                <w:b/>
                <w:sz w:val="21"/>
              </w:rPr>
            </w:pPr>
            <w:r>
              <w:rPr>
                <w:spacing w:val="-2"/>
                <w:sz w:val="21"/>
              </w:rPr>
              <w:t>您、被保险人或受益人知道或应当知道保险事故后应当在</w:t>
            </w:r>
            <w:r>
              <w:rPr>
                <w:rFonts w:ascii="Times New Roman" w:eastAsia="Times New Roman"/>
                <w:spacing w:val="-2"/>
                <w:sz w:val="21"/>
              </w:rPr>
              <w:t>10</w:t>
            </w:r>
            <w:r>
              <w:rPr>
                <w:spacing w:val="-2"/>
                <w:sz w:val="21"/>
              </w:rPr>
              <w:t>日内通</w:t>
            </w:r>
            <w:r>
              <w:rPr>
                <w:spacing w:val="-2"/>
                <w:sz w:val="21"/>
              </w:rPr>
              <w:t>知我们。</w:t>
            </w:r>
            <w:r>
              <w:rPr>
                <w:b/>
                <w:spacing w:val="-3"/>
                <w:sz w:val="21"/>
              </w:rPr>
              <w:t>如果您、被保险人或受益人故意或者因重大过失未及时通</w:t>
            </w:r>
          </w:p>
        </w:tc>
      </w:tr>
      <w:tr>
        <w:trPr>
          <w:trHeight w:val="272" w:hRule="atLeast"/>
        </w:trPr>
        <w:tc>
          <w:tcPr>
            <w:tcW w:w="790" w:type="dxa"/>
          </w:tcPr>
          <w:p>
            <w:pPr>
              <w:pStyle w:val="TableParagraph"/>
              <w:rPr>
                <w:rFonts w:ascii="Times New Roman"/>
                <w:sz w:val="20"/>
              </w:rPr>
            </w:pPr>
          </w:p>
        </w:tc>
        <w:tc>
          <w:tcPr>
            <w:tcW w:w="2062" w:type="dxa"/>
          </w:tcPr>
          <w:p>
            <w:pPr>
              <w:pStyle w:val="TableParagraph"/>
              <w:rPr>
                <w:rFonts w:ascii="Times New Roman"/>
                <w:sz w:val="20"/>
              </w:rPr>
            </w:pPr>
          </w:p>
        </w:tc>
        <w:tc>
          <w:tcPr>
            <w:tcW w:w="6393" w:type="dxa"/>
          </w:tcPr>
          <w:p>
            <w:pPr>
              <w:pStyle w:val="TableParagraph"/>
              <w:spacing w:line="250" w:lineRule="exact" w:before="2"/>
              <w:ind w:left="198"/>
              <w:rPr>
                <w:b/>
                <w:sz w:val="21"/>
              </w:rPr>
            </w:pPr>
            <w:r>
              <w:rPr>
                <w:b/>
                <w:spacing w:val="-3"/>
                <w:sz w:val="21"/>
              </w:rPr>
              <w:t>知，致使保险事故的性质、原因、损失程度等难以确定的，我们对</w:t>
            </w:r>
          </w:p>
        </w:tc>
      </w:tr>
      <w:tr>
        <w:trPr>
          <w:trHeight w:val="271" w:hRule="atLeast"/>
        </w:trPr>
        <w:tc>
          <w:tcPr>
            <w:tcW w:w="790" w:type="dxa"/>
          </w:tcPr>
          <w:p>
            <w:pPr>
              <w:pStyle w:val="TableParagraph"/>
              <w:rPr>
                <w:rFonts w:ascii="Times New Roman"/>
                <w:sz w:val="20"/>
              </w:rPr>
            </w:pPr>
          </w:p>
        </w:tc>
        <w:tc>
          <w:tcPr>
            <w:tcW w:w="2062" w:type="dxa"/>
          </w:tcPr>
          <w:p>
            <w:pPr>
              <w:pStyle w:val="TableParagraph"/>
              <w:rPr>
                <w:rFonts w:ascii="Times New Roman"/>
                <w:sz w:val="20"/>
              </w:rPr>
            </w:pPr>
          </w:p>
        </w:tc>
        <w:tc>
          <w:tcPr>
            <w:tcW w:w="6393" w:type="dxa"/>
          </w:tcPr>
          <w:p>
            <w:pPr>
              <w:pStyle w:val="TableParagraph"/>
              <w:spacing w:line="250" w:lineRule="exact" w:before="1"/>
              <w:ind w:left="198"/>
              <w:rPr>
                <w:sz w:val="21"/>
              </w:rPr>
            </w:pPr>
            <w:r>
              <w:rPr>
                <w:b/>
                <w:spacing w:val="-2"/>
                <w:sz w:val="21"/>
              </w:rPr>
              <w:t>无法确定的部分，不承担给付保险金的责任，</w:t>
            </w:r>
            <w:r>
              <w:rPr>
                <w:spacing w:val="-3"/>
                <w:sz w:val="21"/>
              </w:rPr>
              <w:t>但我们通过其他途径</w:t>
            </w:r>
          </w:p>
        </w:tc>
      </w:tr>
      <w:tr>
        <w:trPr>
          <w:trHeight w:val="272" w:hRule="atLeast"/>
        </w:trPr>
        <w:tc>
          <w:tcPr>
            <w:tcW w:w="790" w:type="dxa"/>
          </w:tcPr>
          <w:p>
            <w:pPr>
              <w:pStyle w:val="TableParagraph"/>
              <w:rPr>
                <w:rFonts w:ascii="Times New Roman"/>
                <w:sz w:val="20"/>
              </w:rPr>
            </w:pPr>
          </w:p>
        </w:tc>
        <w:tc>
          <w:tcPr>
            <w:tcW w:w="2062" w:type="dxa"/>
          </w:tcPr>
          <w:p>
            <w:pPr>
              <w:pStyle w:val="TableParagraph"/>
              <w:rPr>
                <w:rFonts w:ascii="Times New Roman"/>
                <w:sz w:val="20"/>
              </w:rPr>
            </w:pPr>
          </w:p>
        </w:tc>
        <w:tc>
          <w:tcPr>
            <w:tcW w:w="6393" w:type="dxa"/>
          </w:tcPr>
          <w:p>
            <w:pPr>
              <w:pStyle w:val="TableParagraph"/>
              <w:spacing w:line="251" w:lineRule="exact" w:before="1"/>
              <w:ind w:left="198"/>
              <w:rPr>
                <w:sz w:val="21"/>
              </w:rPr>
            </w:pPr>
            <w:r>
              <w:rPr>
                <w:spacing w:val="-1"/>
                <w:sz w:val="21"/>
              </w:rPr>
              <w:t>已经及时知道或者应当及时知道保险事故发生或者虽未及时通知</w:t>
            </w:r>
          </w:p>
        </w:tc>
      </w:tr>
      <w:tr>
        <w:trPr>
          <w:trHeight w:val="379" w:hRule="atLeast"/>
        </w:trPr>
        <w:tc>
          <w:tcPr>
            <w:tcW w:w="790" w:type="dxa"/>
          </w:tcPr>
          <w:p>
            <w:pPr>
              <w:pStyle w:val="TableParagraph"/>
              <w:rPr>
                <w:rFonts w:ascii="Times New Roman"/>
                <w:sz w:val="20"/>
              </w:rPr>
            </w:pPr>
          </w:p>
        </w:tc>
        <w:tc>
          <w:tcPr>
            <w:tcW w:w="2062" w:type="dxa"/>
          </w:tcPr>
          <w:p>
            <w:pPr>
              <w:pStyle w:val="TableParagraph"/>
              <w:rPr>
                <w:rFonts w:ascii="Times New Roman"/>
                <w:sz w:val="20"/>
              </w:rPr>
            </w:pPr>
          </w:p>
        </w:tc>
        <w:tc>
          <w:tcPr>
            <w:tcW w:w="6393" w:type="dxa"/>
          </w:tcPr>
          <w:p>
            <w:pPr>
              <w:pStyle w:val="TableParagraph"/>
              <w:spacing w:before="2"/>
              <w:ind w:left="198"/>
              <w:rPr>
                <w:sz w:val="21"/>
              </w:rPr>
            </w:pPr>
            <w:r>
              <w:rPr>
                <w:spacing w:val="-3"/>
                <w:sz w:val="21"/>
              </w:rPr>
              <w:t>但不影响我们确定保险事故的性质、原因、损失程度的除外。</w:t>
            </w:r>
          </w:p>
        </w:tc>
      </w:tr>
      <w:tr>
        <w:trPr>
          <w:trHeight w:val="392" w:hRule="atLeast"/>
        </w:trPr>
        <w:tc>
          <w:tcPr>
            <w:tcW w:w="790" w:type="dxa"/>
          </w:tcPr>
          <w:p>
            <w:pPr>
              <w:pStyle w:val="TableParagraph"/>
              <w:spacing w:before="129"/>
              <w:ind w:left="108"/>
              <w:rPr>
                <w:rFonts w:ascii="Times New Roman"/>
                <w:sz w:val="21"/>
              </w:rPr>
            </w:pPr>
            <w:r>
              <w:rPr>
                <w:rFonts w:ascii="Times New Roman"/>
                <w:spacing w:val="-5"/>
                <w:sz w:val="21"/>
              </w:rPr>
              <w:t>3.3</w:t>
            </w:r>
          </w:p>
        </w:tc>
        <w:tc>
          <w:tcPr>
            <w:tcW w:w="2062" w:type="dxa"/>
          </w:tcPr>
          <w:p>
            <w:pPr>
              <w:pStyle w:val="TableParagraph"/>
              <w:spacing w:line="236" w:lineRule="exact" w:before="137"/>
              <w:ind w:left="417"/>
              <w:rPr>
                <w:b/>
                <w:sz w:val="21"/>
              </w:rPr>
            </w:pPr>
            <w:r>
              <w:rPr>
                <w:b/>
                <w:spacing w:val="-2"/>
                <w:sz w:val="21"/>
              </w:rPr>
              <w:t>保险金的申请</w:t>
            </w:r>
          </w:p>
        </w:tc>
        <w:tc>
          <w:tcPr>
            <w:tcW w:w="6393" w:type="dxa"/>
          </w:tcPr>
          <w:p>
            <w:pPr>
              <w:pStyle w:val="TableParagraph"/>
              <w:spacing w:line="236" w:lineRule="exact" w:before="137"/>
              <w:ind w:left="198"/>
              <w:rPr>
                <w:sz w:val="21"/>
              </w:rPr>
            </w:pPr>
            <w:r>
              <w:rPr>
                <w:spacing w:val="-2"/>
                <w:sz w:val="21"/>
              </w:rPr>
              <w:t>受益人或者其他有权领取保险金的人（简称</w:t>
            </w:r>
            <w:r>
              <w:rPr>
                <w:rFonts w:ascii="Times New Roman" w:hAnsi="Times New Roman" w:eastAsia="Times New Roman"/>
                <w:spacing w:val="-2"/>
                <w:sz w:val="21"/>
              </w:rPr>
              <w:t>“</w:t>
            </w:r>
            <w:r>
              <w:rPr>
                <w:spacing w:val="-2"/>
                <w:sz w:val="21"/>
              </w:rPr>
              <w:t>保险金申请人</w:t>
            </w:r>
            <w:r>
              <w:rPr>
                <w:rFonts w:ascii="Times New Roman" w:hAnsi="Times New Roman" w:eastAsia="Times New Roman"/>
                <w:spacing w:val="-2"/>
                <w:sz w:val="21"/>
              </w:rPr>
              <w:t>”</w:t>
            </w:r>
            <w:r>
              <w:rPr>
                <w:spacing w:val="-2"/>
                <w:sz w:val="21"/>
              </w:rPr>
              <w:t>）</w:t>
            </w:r>
            <w:r>
              <w:rPr>
                <w:spacing w:val="-6"/>
                <w:sz w:val="21"/>
              </w:rPr>
              <w:t>可以</w:t>
            </w:r>
          </w:p>
        </w:tc>
      </w:tr>
    </w:tbl>
    <w:p>
      <w:pPr>
        <w:spacing w:after="0" w:line="236" w:lineRule="exact"/>
        <w:rPr>
          <w:sz w:val="21"/>
        </w:rPr>
        <w:sectPr>
          <w:pgSz w:w="11910" w:h="16840"/>
          <w:pgMar w:header="0" w:footer="879" w:top="1060" w:bottom="1060" w:left="1480" w:right="720"/>
        </w:sectPr>
      </w:pPr>
    </w:p>
    <w:p>
      <w:pPr>
        <w:pStyle w:val="BodyText"/>
        <w:spacing w:before="55"/>
        <w:ind w:left="3165"/>
      </w:pPr>
      <w:r>
        <w:rPr>
          <w:spacing w:val="-4"/>
        </w:rPr>
        <w:t>申请保险金。</w:t>
      </w:r>
    </w:p>
    <w:p>
      <w:pPr>
        <w:pStyle w:val="BodyText"/>
        <w:spacing w:before="6"/>
        <w:rPr>
          <w:sz w:val="11"/>
        </w:rPr>
      </w:pPr>
    </w:p>
    <w:p>
      <w:pPr>
        <w:spacing w:after="0"/>
        <w:rPr>
          <w:sz w:val="11"/>
        </w:rPr>
        <w:sectPr>
          <w:pgSz w:w="11910" w:h="16840"/>
          <w:pgMar w:header="0" w:footer="879" w:top="1060" w:bottom="1060" w:left="1480" w:right="720"/>
        </w:sectPr>
      </w:pPr>
    </w:p>
    <w:p>
      <w:pPr>
        <w:tabs>
          <w:tab w:pos="1321" w:val="left" w:leader="none"/>
        </w:tabs>
        <w:spacing w:line="242" w:lineRule="auto" w:before="95"/>
        <w:ind w:left="1321" w:right="0" w:hanging="1100"/>
        <w:jc w:val="both"/>
        <w:rPr>
          <w:b/>
          <w:sz w:val="21"/>
        </w:rPr>
      </w:pPr>
      <w:r>
        <w:rPr>
          <w:rFonts w:ascii="Times New Roman" w:eastAsia="Times New Roman"/>
          <w:spacing w:val="-2"/>
          <w:position w:val="2"/>
          <w:sz w:val="21"/>
        </w:rPr>
        <w:t>3.3.1</w:t>
      </w:r>
      <w:r>
        <w:rPr>
          <w:rFonts w:ascii="Times New Roman" w:eastAsia="Times New Roman"/>
          <w:position w:val="2"/>
          <w:sz w:val="21"/>
        </w:rPr>
        <w:tab/>
      </w:r>
      <w:r>
        <w:rPr>
          <w:b/>
          <w:spacing w:val="18"/>
          <w:sz w:val="21"/>
        </w:rPr>
        <w:t>恶性肿瘤特定药</w:t>
      </w:r>
      <w:r>
        <w:rPr>
          <w:b/>
          <w:spacing w:val="18"/>
          <w:sz w:val="21"/>
        </w:rPr>
        <w:t>品费用保险金的</w:t>
      </w:r>
      <w:r>
        <w:rPr>
          <w:b/>
          <w:spacing w:val="-6"/>
          <w:sz w:val="21"/>
        </w:rPr>
        <w:t>申请</w:t>
      </w:r>
    </w:p>
    <w:p>
      <w:pPr>
        <w:pStyle w:val="BodyText"/>
        <w:spacing w:line="242" w:lineRule="auto" w:before="101"/>
        <w:ind w:left="175" w:right="458"/>
      </w:pPr>
      <w:r>
        <w:rPr/>
        <w:br w:type="column"/>
      </w:r>
      <w:r>
        <w:rPr>
          <w:spacing w:val="3"/>
          <w:w w:val="100"/>
        </w:rPr>
        <w:t>保险金申请人须填写保险金给付申请书，并须提供下列证明和资料：</w:t>
      </w:r>
    </w:p>
    <w:p>
      <w:pPr>
        <w:pStyle w:val="ListParagraph"/>
        <w:numPr>
          <w:ilvl w:val="0"/>
          <w:numId w:val="8"/>
        </w:numPr>
        <w:tabs>
          <w:tab w:pos="705" w:val="left" w:leader="none"/>
        </w:tabs>
        <w:spacing w:line="240" w:lineRule="auto" w:before="1" w:after="0"/>
        <w:ind w:left="705" w:right="0" w:hanging="530"/>
        <w:jc w:val="left"/>
        <w:rPr>
          <w:sz w:val="21"/>
        </w:rPr>
      </w:pPr>
      <w:r>
        <w:rPr>
          <w:spacing w:val="-4"/>
          <w:sz w:val="21"/>
        </w:rPr>
        <w:t>保险合同；</w:t>
      </w:r>
    </w:p>
    <w:p>
      <w:pPr>
        <w:pStyle w:val="ListParagraph"/>
        <w:numPr>
          <w:ilvl w:val="0"/>
          <w:numId w:val="8"/>
        </w:numPr>
        <w:tabs>
          <w:tab w:pos="705" w:val="left" w:leader="none"/>
        </w:tabs>
        <w:spacing w:line="240" w:lineRule="auto" w:before="2" w:after="0"/>
        <w:ind w:left="705" w:right="0" w:hanging="530"/>
        <w:jc w:val="left"/>
        <w:rPr>
          <w:sz w:val="21"/>
        </w:rPr>
      </w:pPr>
      <w:r>
        <w:rPr>
          <w:spacing w:val="-2"/>
          <w:sz w:val="21"/>
        </w:rPr>
        <w:t>保险金申请人的</w:t>
      </w:r>
      <w:r>
        <w:rPr>
          <w:b/>
          <w:spacing w:val="-2"/>
          <w:sz w:val="21"/>
        </w:rPr>
        <w:t>有效身份证件</w:t>
      </w:r>
      <w:r>
        <w:rPr>
          <w:spacing w:val="-2"/>
          <w:sz w:val="21"/>
        </w:rPr>
        <w:t>（见</w:t>
      </w:r>
      <w:r>
        <w:rPr>
          <w:rFonts w:ascii="Times New Roman" w:eastAsia="Times New Roman"/>
          <w:spacing w:val="34"/>
          <w:sz w:val="21"/>
        </w:rPr>
        <w:t>9.24</w:t>
      </w:r>
      <w:r>
        <w:rPr>
          <w:spacing w:val="-74"/>
          <w:sz w:val="21"/>
        </w:rPr>
        <w:t>）；</w:t>
      </w:r>
    </w:p>
    <w:p>
      <w:pPr>
        <w:pStyle w:val="ListParagraph"/>
        <w:numPr>
          <w:ilvl w:val="0"/>
          <w:numId w:val="8"/>
        </w:numPr>
        <w:tabs>
          <w:tab w:pos="705" w:val="left" w:leader="none"/>
        </w:tabs>
        <w:spacing w:line="242" w:lineRule="auto" w:before="2" w:after="0"/>
        <w:ind w:left="701" w:right="344" w:hanging="526"/>
        <w:jc w:val="left"/>
        <w:rPr>
          <w:sz w:val="21"/>
        </w:rPr>
      </w:pPr>
      <w:r>
        <w:rPr>
          <w:spacing w:val="1"/>
          <w:w w:val="100"/>
          <w:sz w:val="21"/>
        </w:rPr>
        <w:t>医院出具的门、急诊医疗手册或病历，诊断证明、出院小结</w:t>
      </w:r>
      <w:r>
        <w:rPr>
          <w:spacing w:val="-4"/>
          <w:w w:val="100"/>
          <w:sz w:val="21"/>
        </w:rPr>
        <w:t>及住院病历，药品处方、与诊断证明相关的病理显微镜检查、</w:t>
      </w:r>
      <w:r>
        <w:rPr>
          <w:spacing w:val="1"/>
          <w:w w:val="100"/>
          <w:sz w:val="21"/>
        </w:rPr>
        <w:t>血液检验及其他科学方法检验报告、医疗费用原始收据或医</w:t>
      </w:r>
      <w:r>
        <w:rPr>
          <w:spacing w:val="-3"/>
          <w:w w:val="100"/>
          <w:sz w:val="21"/>
        </w:rPr>
        <w:t>疗保险分割单、医疗费用明细表；</w:t>
      </w:r>
    </w:p>
    <w:p>
      <w:pPr>
        <w:pStyle w:val="ListParagraph"/>
        <w:numPr>
          <w:ilvl w:val="0"/>
          <w:numId w:val="8"/>
        </w:numPr>
        <w:tabs>
          <w:tab w:pos="705" w:val="left" w:leader="none"/>
        </w:tabs>
        <w:spacing w:line="242" w:lineRule="auto" w:before="3" w:after="0"/>
        <w:ind w:left="701" w:right="450" w:hanging="526"/>
        <w:jc w:val="both"/>
        <w:rPr>
          <w:sz w:val="21"/>
        </w:rPr>
      </w:pPr>
      <w:r>
        <w:rPr>
          <w:spacing w:val="-2"/>
          <w:sz w:val="21"/>
        </w:rPr>
        <w:t>在医院外药店购买或领取药品的，须提供医院出具的门、急诊医疗手册或病历，诊断证明、出院小结及住院病历，药品处方、与诊断证明相关的病理显微镜检查、血液检验及其他科学方法检验报告、我们指定的药店出具的药品费用清单以</w:t>
      </w:r>
      <w:r>
        <w:rPr>
          <w:spacing w:val="-2"/>
          <w:sz w:val="21"/>
        </w:rPr>
        <w:t>及收据或发票；</w:t>
      </w:r>
    </w:p>
    <w:p>
      <w:pPr>
        <w:pStyle w:val="ListParagraph"/>
        <w:numPr>
          <w:ilvl w:val="0"/>
          <w:numId w:val="8"/>
        </w:numPr>
        <w:tabs>
          <w:tab w:pos="705" w:val="left" w:leader="none"/>
        </w:tabs>
        <w:spacing w:line="242" w:lineRule="auto" w:before="4" w:after="0"/>
        <w:ind w:left="701" w:right="450" w:hanging="526"/>
        <w:jc w:val="left"/>
        <w:rPr>
          <w:sz w:val="21"/>
        </w:rPr>
      </w:pPr>
      <w:r>
        <w:rPr>
          <w:spacing w:val="-2"/>
          <w:sz w:val="21"/>
        </w:rPr>
        <w:t>若已从其他途径获得了恶性肿瘤特定药品费用补偿，须提供</w:t>
      </w:r>
      <w:r>
        <w:rPr>
          <w:spacing w:val="-2"/>
          <w:sz w:val="21"/>
        </w:rPr>
        <w:t>从其他途径报销的凭证；</w:t>
      </w:r>
    </w:p>
    <w:p>
      <w:pPr>
        <w:pStyle w:val="ListParagraph"/>
        <w:numPr>
          <w:ilvl w:val="0"/>
          <w:numId w:val="8"/>
        </w:numPr>
        <w:tabs>
          <w:tab w:pos="705" w:val="left" w:leader="none"/>
        </w:tabs>
        <w:spacing w:line="242" w:lineRule="auto" w:before="2" w:after="0"/>
        <w:ind w:left="701" w:right="457" w:hanging="526"/>
        <w:jc w:val="left"/>
        <w:rPr>
          <w:sz w:val="21"/>
        </w:rPr>
      </w:pPr>
      <w:r>
        <w:rPr>
          <w:spacing w:val="-2"/>
          <w:sz w:val="21"/>
        </w:rPr>
        <w:t>所能提供的与确认保险事故的性质、原因等有关的其他证明</w:t>
      </w:r>
      <w:r>
        <w:rPr>
          <w:spacing w:val="-4"/>
          <w:sz w:val="21"/>
        </w:rPr>
        <w:t>和资料。</w:t>
      </w:r>
    </w:p>
    <w:p>
      <w:pPr>
        <w:pStyle w:val="BodyText"/>
        <w:spacing w:before="11"/>
        <w:rPr>
          <w:sz w:val="18"/>
        </w:rPr>
      </w:pPr>
    </w:p>
    <w:p>
      <w:pPr>
        <w:pStyle w:val="BodyText"/>
        <w:spacing w:line="244" w:lineRule="auto"/>
        <w:ind w:left="175" w:right="449"/>
      </w:pPr>
      <w:r>
        <w:rPr>
          <w:spacing w:val="-2"/>
        </w:rPr>
        <w:t>若以上申请资料和证明不完整的，我们将及时一次性通知保险金申</w:t>
      </w:r>
      <w:r>
        <w:rPr>
          <w:spacing w:val="-2"/>
        </w:rPr>
        <w:t>请人补充提供有关资料和证明。</w:t>
      </w:r>
    </w:p>
    <w:p>
      <w:pPr>
        <w:spacing w:after="0" w:line="244" w:lineRule="auto"/>
        <w:sectPr>
          <w:type w:val="continuous"/>
          <w:pgSz w:w="11910" w:h="16840"/>
          <w:pgMar w:header="0" w:footer="879" w:top="300" w:bottom="280" w:left="1480" w:right="720"/>
          <w:cols w:num="2" w:equalWidth="0">
            <w:col w:w="2950" w:space="40"/>
            <w:col w:w="6720"/>
          </w:cols>
        </w:sectPr>
      </w:pPr>
    </w:p>
    <w:p>
      <w:pPr>
        <w:pStyle w:val="BodyText"/>
        <w:spacing w:before="10"/>
        <w:rPr>
          <w:sz w:val="10"/>
        </w:rPr>
      </w:pPr>
    </w:p>
    <w:p>
      <w:pPr>
        <w:spacing w:after="0"/>
        <w:rPr>
          <w:sz w:val="10"/>
        </w:rPr>
        <w:sectPr>
          <w:type w:val="continuous"/>
          <w:pgSz w:w="11910" w:h="16840"/>
          <w:pgMar w:header="0" w:footer="879" w:top="300" w:bottom="280" w:left="1480" w:right="720"/>
        </w:sectPr>
      </w:pPr>
    </w:p>
    <w:p>
      <w:pPr>
        <w:pStyle w:val="ListParagraph"/>
        <w:numPr>
          <w:ilvl w:val="1"/>
          <w:numId w:val="9"/>
        </w:numPr>
        <w:tabs>
          <w:tab w:pos="1321" w:val="left" w:leader="none"/>
          <w:tab w:pos="1322" w:val="left" w:leader="none"/>
        </w:tabs>
        <w:spacing w:line="242" w:lineRule="auto" w:before="94" w:after="0"/>
        <w:ind w:left="1321" w:right="0" w:hanging="1100"/>
        <w:jc w:val="left"/>
        <w:rPr>
          <w:b/>
          <w:sz w:val="21"/>
        </w:rPr>
      </w:pPr>
      <w:r>
        <w:rPr>
          <w:b/>
          <w:spacing w:val="18"/>
          <w:sz w:val="21"/>
        </w:rPr>
        <w:t>院外药店购买或</w:t>
      </w:r>
      <w:r>
        <w:rPr>
          <w:b/>
          <w:spacing w:val="-2"/>
          <w:sz w:val="21"/>
        </w:rPr>
        <w:t>领取药品流程</w:t>
      </w:r>
    </w:p>
    <w:p>
      <w:pPr>
        <w:pStyle w:val="BodyText"/>
        <w:spacing w:line="242" w:lineRule="auto" w:before="100"/>
        <w:ind w:left="176" w:right="449"/>
        <w:jc w:val="both"/>
      </w:pPr>
      <w:r>
        <w:rPr/>
        <w:br w:type="column"/>
      </w:r>
      <w:r>
        <w:rPr>
          <w:spacing w:val="-4"/>
          <w:w w:val="100"/>
        </w:rPr>
        <w:t>在本合同有效期内，若被保险人在等待期后首次发病并经专科医生</w:t>
      </w:r>
      <w:r>
        <w:rPr>
          <w:spacing w:val="3"/>
          <w:w w:val="100"/>
        </w:rPr>
        <w:t>首次确诊患有任何一种符合本合同约定保障范围及定义的恶性肿</w:t>
      </w:r>
      <w:r>
        <w:rPr>
          <w:spacing w:val="2"/>
          <w:w w:val="100"/>
        </w:rPr>
        <w:t>瘤（无论一种或者多种</w:t>
      </w:r>
      <w:r>
        <w:rPr>
          <w:spacing w:val="-104"/>
          <w:w w:val="100"/>
        </w:rPr>
        <w:t>）</w:t>
      </w:r>
      <w:r>
        <w:rPr>
          <w:spacing w:val="2"/>
          <w:w w:val="100"/>
        </w:rPr>
        <w:t>，并经本合同约定的医院治疗的，如在治</w:t>
      </w:r>
      <w:r>
        <w:rPr>
          <w:spacing w:val="3"/>
          <w:w w:val="100"/>
        </w:rPr>
        <w:t>疗过程中专科医生向被保险人开具了用于治疗该恶性肿瘤的药品</w:t>
      </w:r>
      <w:r>
        <w:rPr>
          <w:spacing w:val="-3"/>
          <w:w w:val="100"/>
        </w:rPr>
        <w:t>处方，但被保险人须在非就诊医院药房购买或领取上述药品处方所</w:t>
      </w:r>
      <w:r>
        <w:rPr>
          <w:spacing w:val="-4"/>
          <w:w w:val="100"/>
        </w:rPr>
        <w:t>列药品，且上述药品属于附表《药品清单》中的一种或者多种，则</w:t>
      </w:r>
      <w:r>
        <w:rPr>
          <w:spacing w:val="3"/>
          <w:w w:val="100"/>
        </w:rPr>
        <w:t>恶性肿瘤特定药品费用保险金申请人应在购买或领取上述药品前</w:t>
      </w:r>
      <w:r>
        <w:rPr>
          <w:spacing w:val="-4"/>
          <w:w w:val="100"/>
        </w:rPr>
        <w:t>按照以下流程进行药品申请、药品处方审核、药品购买或领取及慈</w:t>
      </w:r>
      <w:r>
        <w:rPr>
          <w:spacing w:val="-3"/>
          <w:w w:val="100"/>
        </w:rPr>
        <w:t>善赠药申请：</w:t>
      </w:r>
    </w:p>
    <w:p>
      <w:pPr>
        <w:pStyle w:val="BodyText"/>
        <w:spacing w:before="4"/>
        <w:rPr>
          <w:sz w:val="19"/>
        </w:rPr>
      </w:pPr>
    </w:p>
    <w:p>
      <w:pPr>
        <w:pStyle w:val="ListParagraph"/>
        <w:numPr>
          <w:ilvl w:val="0"/>
          <w:numId w:val="10"/>
        </w:numPr>
        <w:tabs>
          <w:tab w:pos="706" w:val="left" w:leader="none"/>
        </w:tabs>
        <w:spacing w:line="240" w:lineRule="auto" w:before="0" w:after="0"/>
        <w:ind w:left="705" w:right="0" w:hanging="530"/>
        <w:jc w:val="left"/>
        <w:rPr>
          <w:sz w:val="21"/>
        </w:rPr>
      </w:pPr>
      <w:r>
        <w:rPr>
          <w:spacing w:val="-4"/>
          <w:sz w:val="21"/>
        </w:rPr>
        <w:t>药品申请</w:t>
      </w:r>
    </w:p>
    <w:p>
      <w:pPr>
        <w:pStyle w:val="BodyText"/>
        <w:spacing w:line="242" w:lineRule="auto" w:before="2"/>
        <w:ind w:left="176" w:right="442"/>
        <w:jc w:val="both"/>
      </w:pPr>
      <w:r>
        <w:rPr>
          <w:spacing w:val="-2"/>
        </w:rPr>
        <w:t>申请人须向我们提交恶性肿瘤特定药品申请，并按照要求提交相关</w:t>
      </w:r>
      <w:r>
        <w:rPr>
          <w:spacing w:val="-2"/>
        </w:rPr>
        <w:t>药品申请材料，主要包括与被保险人相关的个人信息，诊断证明，</w:t>
      </w:r>
      <w:r>
        <w:rPr>
          <w:spacing w:val="-2"/>
        </w:rPr>
        <w:t>与诊断证明相关的病理显微镜检查、血液检验及其他科学方法检验</w:t>
      </w:r>
      <w:r>
        <w:rPr>
          <w:spacing w:val="-2"/>
        </w:rPr>
        <w:t>报告，药品处方及其他所需要的医学材料。</w:t>
      </w:r>
    </w:p>
    <w:p>
      <w:pPr>
        <w:pStyle w:val="BodyText"/>
        <w:spacing w:before="2"/>
        <w:rPr>
          <w:sz w:val="19"/>
        </w:rPr>
      </w:pPr>
    </w:p>
    <w:p>
      <w:pPr>
        <w:spacing w:line="242" w:lineRule="auto" w:before="0"/>
        <w:ind w:left="176" w:right="452" w:firstLine="0"/>
        <w:jc w:val="left"/>
        <w:rPr>
          <w:b/>
          <w:sz w:val="21"/>
        </w:rPr>
      </w:pPr>
      <w:r>
        <w:rPr>
          <w:b/>
          <w:spacing w:val="-2"/>
          <w:sz w:val="21"/>
        </w:rPr>
        <w:t>若申请人未提交授权申请或者药品申请审核未通过，我们不承担给</w:t>
      </w:r>
      <w:r>
        <w:rPr>
          <w:b/>
          <w:spacing w:val="-2"/>
          <w:sz w:val="21"/>
        </w:rPr>
        <w:t>付保险金的责任。</w:t>
      </w:r>
    </w:p>
    <w:p>
      <w:pPr>
        <w:pStyle w:val="BodyText"/>
        <w:spacing w:before="10"/>
        <w:rPr>
          <w:b/>
          <w:sz w:val="18"/>
        </w:rPr>
      </w:pPr>
    </w:p>
    <w:p>
      <w:pPr>
        <w:pStyle w:val="ListParagraph"/>
        <w:numPr>
          <w:ilvl w:val="0"/>
          <w:numId w:val="10"/>
        </w:numPr>
        <w:tabs>
          <w:tab w:pos="706" w:val="left" w:leader="none"/>
        </w:tabs>
        <w:spacing w:line="240" w:lineRule="auto" w:before="0" w:after="0"/>
        <w:ind w:left="705" w:right="0" w:hanging="530"/>
        <w:jc w:val="left"/>
        <w:rPr>
          <w:sz w:val="21"/>
        </w:rPr>
      </w:pPr>
      <w:r>
        <w:rPr>
          <w:spacing w:val="-4"/>
          <w:sz w:val="21"/>
        </w:rPr>
        <w:t>药品处方审核</w:t>
      </w:r>
    </w:p>
    <w:p>
      <w:pPr>
        <w:pStyle w:val="BodyText"/>
        <w:spacing w:line="242" w:lineRule="auto" w:before="5"/>
        <w:ind w:left="176" w:right="451"/>
        <w:jc w:val="both"/>
      </w:pPr>
      <w:r>
        <w:rPr>
          <w:spacing w:val="-2"/>
        </w:rPr>
        <w:t>药品申请审核通过后，</w:t>
      </w:r>
      <w:r>
        <w:rPr>
          <w:b/>
          <w:spacing w:val="-2"/>
        </w:rPr>
        <w:t>我们指定的第三方服务商</w:t>
      </w:r>
      <w:r>
        <w:rPr>
          <w:spacing w:val="-2"/>
        </w:rPr>
        <w:t>（见</w:t>
      </w:r>
      <w:r>
        <w:rPr>
          <w:rFonts w:ascii="Times New Roman" w:eastAsia="Times New Roman"/>
          <w:spacing w:val="-2"/>
        </w:rPr>
        <w:t>9.25</w:t>
      </w:r>
      <w:r>
        <w:rPr>
          <w:spacing w:val="-2"/>
        </w:rPr>
        <w:t>）将进行</w:t>
      </w:r>
      <w:r>
        <w:rPr>
          <w:spacing w:val="-2"/>
        </w:rPr>
        <w:t>药品处方审核。对于药品处方审核中的下列特殊情况，我们有权要</w:t>
      </w:r>
      <w:r>
        <w:rPr>
          <w:spacing w:val="-2"/>
        </w:rPr>
        <w:t>求申请人补充其他与药品处方审核相关的医学材料：</w:t>
      </w:r>
    </w:p>
    <w:p>
      <w:pPr>
        <w:pStyle w:val="BodyText"/>
        <w:spacing w:line="244" w:lineRule="auto" w:before="1"/>
        <w:ind w:left="490" w:right="449" w:hanging="315"/>
      </w:pPr>
      <w:r>
        <w:rPr/>
        <w:t>① 申请人药品申请时提交的与被保险人相关的医学材料不足以支</w:t>
      </w:r>
      <w:r>
        <w:rPr>
          <w:spacing w:val="-2"/>
        </w:rPr>
        <w:t>持药品处方审核；</w:t>
      </w:r>
    </w:p>
    <w:p>
      <w:pPr>
        <w:pStyle w:val="BodyText"/>
        <w:spacing w:line="244" w:lineRule="auto"/>
        <w:ind w:left="490" w:right="452" w:hanging="315"/>
      </w:pPr>
      <w:r>
        <w:rPr/>
        <w:t>② 医学材料中相关的科学方法检验报告结果不支持药品处方开</w:t>
      </w:r>
      <w:r>
        <w:rPr>
          <w:spacing w:val="-6"/>
        </w:rPr>
        <w:t>具；</w:t>
      </w:r>
    </w:p>
    <w:p>
      <w:pPr>
        <w:pStyle w:val="BodyText"/>
        <w:spacing w:line="265" w:lineRule="exact"/>
        <w:ind w:left="176"/>
      </w:pPr>
      <w:r>
        <w:rPr>
          <w:spacing w:val="-3"/>
        </w:rPr>
        <w:t>③ 其他不足以支持药品处方审核或开具的情形。</w:t>
      </w:r>
    </w:p>
    <w:p>
      <w:pPr>
        <w:pStyle w:val="BodyText"/>
        <w:spacing w:before="10"/>
        <w:rPr>
          <w:sz w:val="18"/>
        </w:rPr>
      </w:pPr>
    </w:p>
    <w:p>
      <w:pPr>
        <w:spacing w:before="0"/>
        <w:ind w:left="176" w:right="0" w:firstLine="0"/>
        <w:jc w:val="left"/>
        <w:rPr>
          <w:b/>
          <w:sz w:val="21"/>
        </w:rPr>
      </w:pPr>
      <w:r>
        <w:rPr>
          <w:b/>
          <w:spacing w:val="-3"/>
          <w:sz w:val="21"/>
        </w:rPr>
        <w:t>若申请人的药品处方审核未通过，我们不承担给付保险金的责任。</w:t>
      </w:r>
    </w:p>
    <w:p>
      <w:pPr>
        <w:spacing w:after="0"/>
        <w:jc w:val="left"/>
        <w:rPr>
          <w:sz w:val="21"/>
        </w:rPr>
        <w:sectPr>
          <w:type w:val="continuous"/>
          <w:pgSz w:w="11910" w:h="16840"/>
          <w:pgMar w:header="0" w:footer="879" w:top="300" w:bottom="280" w:left="1480" w:right="720"/>
          <w:cols w:num="2" w:equalWidth="0">
            <w:col w:w="2949" w:space="40"/>
            <w:col w:w="6721"/>
          </w:cols>
        </w:sectPr>
      </w:pPr>
    </w:p>
    <w:p>
      <w:pPr>
        <w:pStyle w:val="ListParagraph"/>
        <w:numPr>
          <w:ilvl w:val="0"/>
          <w:numId w:val="10"/>
        </w:numPr>
        <w:tabs>
          <w:tab w:pos="3694" w:val="left" w:leader="none"/>
        </w:tabs>
        <w:spacing w:line="240" w:lineRule="auto" w:before="55" w:after="0"/>
        <w:ind w:left="3694" w:right="0" w:hanging="529"/>
        <w:jc w:val="left"/>
        <w:rPr>
          <w:sz w:val="21"/>
        </w:rPr>
      </w:pPr>
      <w:r>
        <w:rPr>
          <w:spacing w:val="-4"/>
          <w:sz w:val="21"/>
        </w:rPr>
        <w:t>药品购买或领取</w:t>
      </w:r>
    </w:p>
    <w:p>
      <w:pPr>
        <w:pStyle w:val="BodyText"/>
        <w:spacing w:line="242" w:lineRule="auto" w:before="5"/>
        <w:ind w:left="3165" w:right="449"/>
        <w:jc w:val="both"/>
      </w:pPr>
      <w:r>
        <w:rPr>
          <w:spacing w:val="-2"/>
        </w:rPr>
        <w:t>药品处方审核通过后，申请人须从我们指定的药店列表中选定购药</w:t>
      </w:r>
      <w:r>
        <w:rPr>
          <w:spacing w:val="-6"/>
        </w:rPr>
        <w:t>药店，我们指定的第三方服务商将会提供</w:t>
      </w:r>
      <w:r>
        <w:rPr>
          <w:b/>
          <w:spacing w:val="-6"/>
        </w:rPr>
        <w:t>购药凭证</w:t>
      </w:r>
      <w:r>
        <w:rPr>
          <w:spacing w:val="-6"/>
        </w:rPr>
        <w:t>（见</w:t>
      </w:r>
      <w:r>
        <w:rPr>
          <w:rFonts w:ascii="Times New Roman" w:eastAsia="Times New Roman"/>
          <w:spacing w:val="15"/>
        </w:rPr>
        <w:t>9.2</w:t>
      </w:r>
      <w:r>
        <w:rPr>
          <w:rFonts w:ascii="Times New Roman" w:eastAsia="Times New Roman"/>
          <w:spacing w:val="12"/>
        </w:rPr>
        <w:t>6</w:t>
      </w:r>
      <w:r>
        <w:rPr>
          <w:spacing w:val="-91"/>
        </w:rPr>
        <w:t>）</w:t>
      </w:r>
      <w:r>
        <w:rPr>
          <w:spacing w:val="-6"/>
        </w:rPr>
        <w:t>。申请</w:t>
      </w:r>
      <w:r>
        <w:rPr>
          <w:spacing w:val="-2"/>
        </w:rPr>
        <w:t>人须在购药凭证生成后的</w:t>
      </w:r>
      <w:r>
        <w:rPr>
          <w:rFonts w:ascii="Times New Roman" w:eastAsia="Times New Roman"/>
          <w:spacing w:val="-2"/>
        </w:rPr>
        <w:t>30</w:t>
      </w:r>
      <w:r>
        <w:rPr>
          <w:spacing w:val="-2"/>
        </w:rPr>
        <w:t>日内携带药品处方、购药凭证、被保险</w:t>
      </w:r>
      <w:r>
        <w:rPr>
          <w:spacing w:val="-2"/>
        </w:rPr>
        <w:t>人的有效身份证件及中华人民共和国社会保障卡（仅社保目录内药</w:t>
      </w:r>
      <w:r>
        <w:rPr/>
        <w:t>品 需提供）到选定的药店购买或领取药品。</w:t>
      </w:r>
    </w:p>
    <w:p>
      <w:pPr>
        <w:pStyle w:val="BodyText"/>
        <w:spacing w:before="1"/>
        <w:rPr>
          <w:sz w:val="19"/>
        </w:rPr>
      </w:pPr>
    </w:p>
    <w:p>
      <w:pPr>
        <w:pStyle w:val="ListParagraph"/>
        <w:numPr>
          <w:ilvl w:val="0"/>
          <w:numId w:val="10"/>
        </w:numPr>
        <w:tabs>
          <w:tab w:pos="3694" w:val="left" w:leader="none"/>
        </w:tabs>
        <w:spacing w:line="240" w:lineRule="auto" w:before="0" w:after="0"/>
        <w:ind w:left="3694" w:right="0" w:hanging="529"/>
        <w:jc w:val="left"/>
        <w:rPr>
          <w:sz w:val="21"/>
        </w:rPr>
      </w:pPr>
      <w:r>
        <w:rPr>
          <w:spacing w:val="-4"/>
          <w:sz w:val="21"/>
        </w:rPr>
        <w:t>慈善赠药</w:t>
      </w:r>
    </w:p>
    <w:p>
      <w:pPr>
        <w:pStyle w:val="BodyText"/>
        <w:spacing w:line="242" w:lineRule="auto" w:before="2"/>
        <w:ind w:left="3165" w:right="346"/>
        <w:jc w:val="both"/>
      </w:pPr>
      <w:r>
        <w:rPr>
          <w:w w:val="100"/>
        </w:rPr>
        <w:t>若被保险人用药时长符合</w:t>
      </w:r>
      <w:r>
        <w:rPr>
          <w:b/>
          <w:w w:val="100"/>
        </w:rPr>
        <w:t>我们认可的慈善机构</w:t>
      </w:r>
      <w:r>
        <w:rPr>
          <w:w w:val="100"/>
        </w:rPr>
        <w:t>（见</w:t>
      </w:r>
      <w:r>
        <w:rPr>
          <w:rFonts w:ascii="Times New Roman" w:eastAsia="Times New Roman"/>
          <w:spacing w:val="-3"/>
          <w:w w:val="100"/>
        </w:rPr>
        <w:t>9</w:t>
      </w:r>
      <w:r>
        <w:rPr>
          <w:rFonts w:ascii="Times New Roman" w:eastAsia="Times New Roman"/>
          <w:w w:val="100"/>
        </w:rPr>
        <w:t>.2</w:t>
      </w:r>
      <w:r>
        <w:rPr>
          <w:rFonts w:ascii="Times New Roman" w:eastAsia="Times New Roman"/>
          <w:spacing w:val="-1"/>
          <w:w w:val="100"/>
        </w:rPr>
        <w:t>7</w:t>
      </w:r>
      <w:r>
        <w:rPr>
          <w:w w:val="100"/>
        </w:rPr>
        <w:t>）援助项目</w:t>
      </w:r>
      <w:r>
        <w:rPr>
          <w:spacing w:val="-2"/>
          <w:w w:val="100"/>
        </w:rPr>
        <w:t>赠药</w:t>
      </w:r>
      <w:r>
        <w:rPr>
          <w:spacing w:val="-3"/>
          <w:w w:val="100"/>
        </w:rPr>
        <w:t>（以下简称慈善赠药）申请条件，我们将通知申请人并安排我</w:t>
      </w:r>
      <w:r>
        <w:rPr>
          <w:spacing w:val="-4"/>
          <w:w w:val="100"/>
        </w:rPr>
        <w:t>们指定的第三方服务商协助申请人准备材料。被保险人须提供申请援助项目合理且必需的材料。慈善赠药项目审核通过后，申请人应到慈善赠药项目的指定药店领取赠药。若慈善赠药项目申请未通过审核，申请人须按照上述第</w:t>
      </w:r>
      <w:r>
        <w:rPr>
          <w:w w:val="100"/>
        </w:rPr>
        <w:t>（</w:t>
      </w:r>
      <w:r>
        <w:rPr>
          <w:rFonts w:ascii="Times New Roman" w:eastAsia="Times New Roman"/>
          <w:w w:val="100"/>
        </w:rPr>
        <w:t>2</w:t>
      </w:r>
      <w:r>
        <w:rPr>
          <w:spacing w:val="-5"/>
          <w:w w:val="100"/>
        </w:rPr>
        <w:t>）</w:t>
      </w:r>
      <w:r>
        <w:rPr>
          <w:spacing w:val="-3"/>
          <w:w w:val="100"/>
        </w:rPr>
        <w:t>条的约定重新进行药品处方审核。</w:t>
      </w:r>
    </w:p>
    <w:p>
      <w:pPr>
        <w:pStyle w:val="BodyText"/>
        <w:spacing w:before="10"/>
        <w:rPr>
          <w:sz w:val="18"/>
        </w:rPr>
      </w:pPr>
    </w:p>
    <w:p>
      <w:pPr>
        <w:pStyle w:val="ListParagraph"/>
        <w:numPr>
          <w:ilvl w:val="1"/>
          <w:numId w:val="9"/>
        </w:numPr>
        <w:tabs>
          <w:tab w:pos="1321" w:val="left" w:leader="none"/>
          <w:tab w:pos="1322" w:val="left" w:leader="none"/>
        </w:tabs>
        <w:spacing w:line="240" w:lineRule="auto" w:before="0" w:after="0"/>
        <w:ind w:left="1321" w:right="0" w:hanging="1100"/>
        <w:jc w:val="both"/>
        <w:rPr>
          <w:rFonts w:ascii="Times New Roman" w:eastAsia="Times New Roman"/>
          <w:sz w:val="21"/>
        </w:rPr>
      </w:pPr>
      <w:r>
        <w:rPr>
          <w:b/>
          <w:spacing w:val="90"/>
          <w:sz w:val="21"/>
        </w:rPr>
        <w:t>保险金给付  </w:t>
      </w:r>
      <w:r>
        <w:rPr>
          <w:sz w:val="21"/>
        </w:rPr>
        <w:t>我们在收到保险金给付申请书及合同约定的证明和资料后，将在</w:t>
      </w:r>
      <w:r>
        <w:rPr>
          <w:rFonts w:ascii="Times New Roman" w:eastAsia="Times New Roman"/>
          <w:spacing w:val="-10"/>
          <w:sz w:val="21"/>
        </w:rPr>
        <w:t>5</w:t>
      </w:r>
    </w:p>
    <w:p>
      <w:pPr>
        <w:pStyle w:val="BodyText"/>
        <w:spacing w:line="242" w:lineRule="auto" w:before="3"/>
        <w:ind w:left="3165" w:right="449"/>
        <w:jc w:val="both"/>
      </w:pPr>
      <w:r>
        <w:rPr>
          <w:spacing w:val="-4"/>
          <w:w w:val="100"/>
        </w:rPr>
        <w:t>个工作日内作出核定；情形复杂的，在</w:t>
      </w:r>
      <w:r>
        <w:rPr>
          <w:rFonts w:ascii="Times New Roman" w:eastAsia="Times New Roman"/>
          <w:w w:val="100"/>
        </w:rPr>
        <w:t>3</w:t>
      </w:r>
      <w:r>
        <w:rPr>
          <w:rFonts w:ascii="Times New Roman" w:eastAsia="Times New Roman"/>
          <w:spacing w:val="-3"/>
          <w:w w:val="100"/>
        </w:rPr>
        <w:t>0</w:t>
      </w:r>
      <w:r>
        <w:rPr>
          <w:spacing w:val="-4"/>
          <w:w w:val="100"/>
        </w:rPr>
        <w:t>日内作出核定。对属于保</w:t>
      </w:r>
      <w:r>
        <w:rPr>
          <w:spacing w:val="4"/>
          <w:w w:val="100"/>
        </w:rPr>
        <w:t>险责任的，我们在与保险金申请人达成给付保险金的协议后</w:t>
      </w:r>
      <w:r>
        <w:rPr>
          <w:rFonts w:ascii="Times New Roman" w:eastAsia="Times New Roman"/>
          <w:w w:val="100"/>
        </w:rPr>
        <w:t>1</w:t>
      </w:r>
      <w:r>
        <w:rPr>
          <w:rFonts w:ascii="Times New Roman" w:eastAsia="Times New Roman"/>
          <w:spacing w:val="7"/>
          <w:w w:val="100"/>
        </w:rPr>
        <w:t>0</w:t>
      </w:r>
      <w:r>
        <w:rPr>
          <w:w w:val="100"/>
        </w:rPr>
        <w:t>日</w:t>
      </w:r>
      <w:r>
        <w:rPr>
          <w:spacing w:val="-3"/>
          <w:w w:val="100"/>
        </w:rPr>
        <w:t>内，履行给付保险金义务；若我们在收到保险金给付申请书及上述有关证明和资料后第</w:t>
      </w:r>
      <w:r>
        <w:rPr>
          <w:rFonts w:ascii="Times New Roman" w:eastAsia="Times New Roman"/>
          <w:w w:val="100"/>
        </w:rPr>
        <w:t>30</w:t>
      </w:r>
      <w:r>
        <w:rPr>
          <w:spacing w:val="-4"/>
          <w:w w:val="100"/>
        </w:rPr>
        <w:t>日仍未作出核定，除支付保险金外，我们将从第</w:t>
      </w:r>
      <w:r>
        <w:rPr>
          <w:rFonts w:ascii="Times New Roman" w:eastAsia="Times New Roman"/>
          <w:spacing w:val="-4"/>
          <w:w w:val="100"/>
        </w:rPr>
        <w:t>3</w:t>
      </w:r>
      <w:r>
        <w:rPr>
          <w:rFonts w:ascii="Times New Roman" w:eastAsia="Times New Roman"/>
          <w:spacing w:val="-3"/>
          <w:w w:val="100"/>
        </w:rPr>
        <w:t>1</w:t>
      </w:r>
      <w:r>
        <w:rPr>
          <w:spacing w:val="-4"/>
          <w:w w:val="100"/>
        </w:rPr>
        <w:t>日起按超过天数赔偿保险金申请人因此受到的利息损失。利</w:t>
      </w:r>
      <w:r>
        <w:rPr>
          <w:spacing w:val="3"/>
          <w:w w:val="100"/>
        </w:rPr>
        <w:t>息按照中国人民银行公布的同期金融机构人民币一年期定期存款</w:t>
      </w:r>
      <w:r>
        <w:rPr>
          <w:spacing w:val="-3"/>
          <w:w w:val="100"/>
        </w:rPr>
        <w:t>利率单利计算。若我们要求保险金申请人补充提供有关证明和资料的，则上述的</w:t>
      </w:r>
      <w:r>
        <w:rPr>
          <w:rFonts w:ascii="Times New Roman" w:eastAsia="Times New Roman"/>
          <w:spacing w:val="-3"/>
          <w:w w:val="100"/>
        </w:rPr>
        <w:t>3</w:t>
      </w:r>
      <w:r>
        <w:rPr>
          <w:rFonts w:ascii="Times New Roman" w:eastAsia="Times New Roman"/>
          <w:w w:val="100"/>
        </w:rPr>
        <w:t>0</w:t>
      </w:r>
      <w:r>
        <w:rPr>
          <w:spacing w:val="-4"/>
          <w:w w:val="100"/>
        </w:rPr>
        <w:t>日不包括补充提供有关证明和资料的期间。对不属</w:t>
      </w:r>
      <w:r>
        <w:rPr>
          <w:spacing w:val="2"/>
          <w:w w:val="100"/>
        </w:rPr>
        <w:t>于保险责任的，我们自作出核定之日起</w:t>
      </w:r>
      <w:r>
        <w:rPr>
          <w:rFonts w:ascii="Times New Roman" w:eastAsia="Times New Roman"/>
          <w:spacing w:val="2"/>
          <w:w w:val="100"/>
        </w:rPr>
        <w:t>3</w:t>
      </w:r>
      <w:r>
        <w:rPr>
          <w:spacing w:val="2"/>
          <w:w w:val="100"/>
        </w:rPr>
        <w:t>日内向保险金申请人发出</w:t>
      </w:r>
      <w:r>
        <w:rPr>
          <w:spacing w:val="-3"/>
          <w:w w:val="100"/>
        </w:rPr>
        <w:t>拒绝给付保险金通知书并说明理由。</w:t>
      </w:r>
    </w:p>
    <w:p>
      <w:pPr>
        <w:pStyle w:val="BodyText"/>
        <w:spacing w:before="5"/>
        <w:rPr>
          <w:sz w:val="19"/>
        </w:rPr>
      </w:pPr>
    </w:p>
    <w:p>
      <w:pPr>
        <w:pStyle w:val="BodyText"/>
        <w:spacing w:line="242" w:lineRule="auto"/>
        <w:ind w:left="3165" w:right="449"/>
        <w:jc w:val="both"/>
      </w:pPr>
      <w:r>
        <w:rPr>
          <w:spacing w:val="-2"/>
        </w:rPr>
        <w:t>我们在收到保险金给付申请书及有关证明和资料之日起</w:t>
      </w:r>
      <w:r>
        <w:rPr>
          <w:rFonts w:ascii="Times New Roman" w:eastAsia="Times New Roman"/>
          <w:spacing w:val="-2"/>
        </w:rPr>
        <w:t>60</w:t>
      </w:r>
      <w:r>
        <w:rPr>
          <w:spacing w:val="-2"/>
        </w:rPr>
        <w:t>日内，对</w:t>
      </w:r>
      <w:r>
        <w:rPr>
          <w:spacing w:val="-2"/>
        </w:rPr>
        <w:t>给付保险金的数额不能确定的，根据已有证明和资料可以确定的数</w:t>
      </w:r>
      <w:r>
        <w:rPr>
          <w:spacing w:val="-2"/>
        </w:rPr>
        <w:t>额先予支付；我们最终确定给付保险金的数额后，将支付相应的差</w:t>
      </w:r>
      <w:r>
        <w:rPr>
          <w:spacing w:val="-6"/>
        </w:rPr>
        <w:t>额。</w:t>
      </w:r>
    </w:p>
    <w:p>
      <w:pPr>
        <w:pStyle w:val="BodyText"/>
        <w:spacing w:before="6"/>
        <w:rPr>
          <w:sz w:val="18"/>
        </w:rPr>
      </w:pPr>
    </w:p>
    <w:p>
      <w:pPr>
        <w:pStyle w:val="ListParagraph"/>
        <w:numPr>
          <w:ilvl w:val="1"/>
          <w:numId w:val="9"/>
        </w:numPr>
        <w:tabs>
          <w:tab w:pos="1321" w:val="left" w:leader="none"/>
          <w:tab w:pos="1322" w:val="left" w:leader="none"/>
        </w:tabs>
        <w:spacing w:line="240" w:lineRule="auto" w:before="0" w:after="0"/>
        <w:ind w:left="1321" w:right="0" w:hanging="1100"/>
        <w:jc w:val="both"/>
        <w:rPr>
          <w:sz w:val="21"/>
        </w:rPr>
      </w:pPr>
      <w:r>
        <w:rPr>
          <w:b/>
          <w:sz w:val="21"/>
        </w:rPr>
        <w:t>诉讼时效</w:t>
      </w:r>
      <w:r>
        <w:rPr>
          <w:b/>
          <w:spacing w:val="852"/>
          <w:sz w:val="21"/>
        </w:rPr>
        <w:t> </w:t>
      </w:r>
      <w:r>
        <w:rPr>
          <w:spacing w:val="-3"/>
          <w:sz w:val="21"/>
        </w:rPr>
        <w:t>保险金申请人向我们请求给付保险金的诉讼时效期间为 </w:t>
      </w:r>
      <w:r>
        <w:rPr>
          <w:rFonts w:ascii="Times New Roman" w:eastAsia="Times New Roman"/>
          <w:sz w:val="21"/>
        </w:rPr>
        <w:t>2</w:t>
      </w:r>
      <w:r>
        <w:rPr>
          <w:rFonts w:ascii="Times New Roman" w:eastAsia="Times New Roman"/>
          <w:spacing w:val="-4"/>
          <w:sz w:val="21"/>
        </w:rPr>
        <w:t> </w:t>
      </w:r>
      <w:r>
        <w:rPr>
          <w:spacing w:val="-3"/>
          <w:sz w:val="21"/>
        </w:rPr>
        <w:t>年，自其</w:t>
      </w:r>
    </w:p>
    <w:p>
      <w:pPr>
        <w:pStyle w:val="BodyText"/>
        <w:spacing w:before="5"/>
        <w:ind w:left="3165"/>
      </w:pPr>
      <w:r>
        <w:rPr>
          <w:spacing w:val="-3"/>
        </w:rPr>
        <w:t>知道或者应当知道保险事故发生之日起计算。</w:t>
      </w:r>
    </w:p>
    <w:p>
      <w:pPr>
        <w:pStyle w:val="BodyText"/>
        <w:spacing w:before="10"/>
        <w:rPr>
          <w:sz w:val="24"/>
        </w:rPr>
      </w:pPr>
    </w:p>
    <w:p>
      <w:pPr>
        <w:pStyle w:val="Heading2"/>
        <w:numPr>
          <w:ilvl w:val="0"/>
          <w:numId w:val="11"/>
        </w:numPr>
        <w:tabs>
          <w:tab w:pos="1321" w:val="left" w:leader="none"/>
          <w:tab w:pos="1322" w:val="left" w:leader="none"/>
        </w:tabs>
        <w:spacing w:line="240" w:lineRule="auto" w:before="0" w:after="0"/>
        <w:ind w:left="1321" w:right="0" w:hanging="1100"/>
        <w:jc w:val="both"/>
      </w:pPr>
      <w:r>
        <w:rPr>
          <w:w w:val="95"/>
        </w:rPr>
        <w:t>保险费</w:t>
      </w:r>
      <w:r>
        <w:rPr>
          <w:w w:val="95"/>
        </w:rPr>
        <w:t>的</w:t>
      </w:r>
      <w:r>
        <w:rPr>
          <w:w w:val="95"/>
        </w:rPr>
        <w:t>支</w:t>
      </w:r>
      <w:r>
        <w:rPr>
          <w:spacing w:val="-10"/>
          <w:w w:val="95"/>
        </w:rPr>
        <w:t>付</w:t>
      </w:r>
    </w:p>
    <w:p>
      <w:pPr>
        <w:pStyle w:val="BodyText"/>
        <w:spacing w:before="1"/>
        <w:rPr>
          <w:b/>
          <w:sz w:val="4"/>
        </w:rPr>
      </w:pPr>
      <w:r>
        <w:rPr/>
        <w:drawing>
          <wp:anchor distT="0" distB="0" distL="0" distR="0" allowOverlap="1" layoutInCell="1" locked="0" behindDoc="0" simplePos="0" relativeHeight="4">
            <wp:simplePos x="0" y="0"/>
            <wp:positionH relativeFrom="page">
              <wp:posOffset>1012240</wp:posOffset>
            </wp:positionH>
            <wp:positionV relativeFrom="paragraph">
              <wp:posOffset>48910</wp:posOffset>
            </wp:positionV>
            <wp:extent cx="5869400" cy="6096"/>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5869400" cy="6096"/>
                    </a:xfrm>
                    <a:prstGeom prst="rect">
                      <a:avLst/>
                    </a:prstGeom>
                  </pic:spPr>
                </pic:pic>
              </a:graphicData>
            </a:graphic>
          </wp:anchor>
        </w:drawing>
      </w:r>
    </w:p>
    <w:p>
      <w:pPr>
        <w:pStyle w:val="BodyText"/>
        <w:spacing w:before="6"/>
        <w:rPr>
          <w:b/>
          <w:sz w:val="18"/>
        </w:rPr>
      </w:pPr>
    </w:p>
    <w:p>
      <w:pPr>
        <w:pStyle w:val="ListParagraph"/>
        <w:numPr>
          <w:ilvl w:val="1"/>
          <w:numId w:val="11"/>
        </w:numPr>
        <w:tabs>
          <w:tab w:pos="1321" w:val="left" w:leader="none"/>
          <w:tab w:pos="1322" w:val="left" w:leader="none"/>
        </w:tabs>
        <w:spacing w:line="240" w:lineRule="auto" w:before="1" w:after="0"/>
        <w:ind w:left="1321" w:right="0" w:hanging="1100"/>
        <w:jc w:val="both"/>
        <w:rPr>
          <w:sz w:val="21"/>
        </w:rPr>
      </w:pPr>
      <w:r>
        <w:rPr>
          <w:b/>
          <w:spacing w:val="64"/>
          <w:sz w:val="21"/>
        </w:rPr>
        <w:t>保险费的支付 </w:t>
      </w:r>
      <w:r>
        <w:rPr>
          <w:spacing w:val="-1"/>
          <w:sz w:val="21"/>
        </w:rPr>
        <w:t>本合同保险费的支付方式为一次性付清。</w:t>
      </w:r>
    </w:p>
    <w:p>
      <w:pPr>
        <w:pStyle w:val="BodyText"/>
        <w:spacing w:before="7"/>
        <w:rPr>
          <w:sz w:val="18"/>
        </w:rPr>
      </w:pPr>
    </w:p>
    <w:p>
      <w:pPr>
        <w:pStyle w:val="ListParagraph"/>
        <w:numPr>
          <w:ilvl w:val="1"/>
          <w:numId w:val="11"/>
        </w:numPr>
        <w:tabs>
          <w:tab w:pos="1321" w:val="left" w:leader="none"/>
          <w:tab w:pos="1322" w:val="left" w:leader="none"/>
        </w:tabs>
        <w:spacing w:line="240" w:lineRule="auto" w:before="0" w:after="0"/>
        <w:ind w:left="1321" w:right="0" w:hanging="1100"/>
        <w:jc w:val="both"/>
        <w:rPr>
          <w:sz w:val="21"/>
        </w:rPr>
      </w:pPr>
      <w:r>
        <w:rPr>
          <w:b/>
          <w:spacing w:val="64"/>
          <w:sz w:val="21"/>
        </w:rPr>
        <w:t>保险费率调整 </w:t>
      </w:r>
      <w:r>
        <w:rPr>
          <w:spacing w:val="-1"/>
          <w:sz w:val="21"/>
        </w:rPr>
        <w:t>我们保留调整保险费率的权利。</w:t>
      </w:r>
    </w:p>
    <w:p>
      <w:pPr>
        <w:pStyle w:val="BodyText"/>
        <w:spacing w:before="1"/>
        <w:rPr>
          <w:sz w:val="19"/>
        </w:rPr>
      </w:pPr>
    </w:p>
    <w:p>
      <w:pPr>
        <w:pStyle w:val="BodyText"/>
        <w:spacing w:line="242" w:lineRule="auto" w:before="1"/>
        <w:ind w:left="3165" w:right="348"/>
      </w:pPr>
      <w:r>
        <w:rPr>
          <w:spacing w:val="3"/>
          <w:w w:val="100"/>
        </w:rPr>
        <w:t>我们将根据本合同计算费率所用的计算基础与实际情况的偏差程</w:t>
      </w:r>
      <w:r>
        <w:rPr>
          <w:spacing w:val="-13"/>
          <w:w w:val="100"/>
        </w:rPr>
        <w:t>度，决定保险费率是否调整。保险费率的调整将针对所有被保险人，</w:t>
      </w:r>
      <w:r>
        <w:rPr>
          <w:spacing w:val="-6"/>
          <w:w w:val="100"/>
        </w:rPr>
        <w:t>或同一投保年龄、同一投保区域等某一类被保险人。</w:t>
      </w:r>
    </w:p>
    <w:p>
      <w:pPr>
        <w:pStyle w:val="BodyText"/>
        <w:rPr>
          <w:sz w:val="19"/>
        </w:rPr>
      </w:pPr>
    </w:p>
    <w:p>
      <w:pPr>
        <w:pStyle w:val="BodyText"/>
        <w:spacing w:line="242" w:lineRule="auto"/>
        <w:ind w:left="3165" w:right="451"/>
        <w:jc w:val="both"/>
      </w:pPr>
      <w:r>
        <w:rPr>
          <w:spacing w:val="-4"/>
          <w:w w:val="100"/>
        </w:rPr>
        <w:t>若我们调整保险费率，会在保险期间届满前通知您。我们进行保险</w:t>
      </w:r>
      <w:r>
        <w:rPr>
          <w:spacing w:val="-5"/>
          <w:w w:val="100"/>
        </w:rPr>
        <w:t>费率调整后，您续保时须按调整后的保险费率支付保险费，保险费</w:t>
      </w:r>
      <w:r>
        <w:rPr>
          <w:spacing w:val="3"/>
          <w:w w:val="100"/>
        </w:rPr>
        <w:t>率调整前您已经支付的保险费不受影响。若您不接受调整后的费</w:t>
      </w:r>
      <w:r>
        <w:rPr>
          <w:spacing w:val="-4"/>
          <w:w w:val="100"/>
        </w:rPr>
        <w:t>率，请您以书面形式或其他双方认可的形式通知我们，我们将不再</w:t>
      </w:r>
      <w:r>
        <w:rPr>
          <w:spacing w:val="-3"/>
          <w:w w:val="100"/>
        </w:rPr>
        <w:t>为您续保本合同。</w:t>
      </w:r>
    </w:p>
    <w:p>
      <w:pPr>
        <w:pStyle w:val="BodyText"/>
        <w:spacing w:before="10"/>
        <w:rPr>
          <w:sz w:val="24"/>
        </w:rPr>
      </w:pPr>
    </w:p>
    <w:p>
      <w:pPr>
        <w:pStyle w:val="Heading2"/>
        <w:numPr>
          <w:ilvl w:val="0"/>
          <w:numId w:val="11"/>
        </w:numPr>
        <w:tabs>
          <w:tab w:pos="1321" w:val="left" w:leader="none"/>
          <w:tab w:pos="1322" w:val="left" w:leader="none"/>
        </w:tabs>
        <w:spacing w:line="240" w:lineRule="auto" w:before="0" w:after="0"/>
        <w:ind w:left="1321" w:right="0" w:hanging="1100"/>
        <w:jc w:val="both"/>
      </w:pPr>
      <w:r>
        <w:rPr>
          <w:spacing w:val="-3"/>
          <w:w w:val="95"/>
        </w:rPr>
        <w:t>合同解除</w:t>
      </w:r>
    </w:p>
    <w:p>
      <w:pPr>
        <w:pStyle w:val="BodyText"/>
        <w:spacing w:before="1"/>
        <w:rPr>
          <w:b/>
          <w:sz w:val="4"/>
        </w:rPr>
      </w:pPr>
      <w:r>
        <w:rPr/>
        <w:drawing>
          <wp:anchor distT="0" distB="0" distL="0" distR="0" allowOverlap="1" layoutInCell="1" locked="0" behindDoc="0" simplePos="0" relativeHeight="5">
            <wp:simplePos x="0" y="0"/>
            <wp:positionH relativeFrom="page">
              <wp:posOffset>1012240</wp:posOffset>
            </wp:positionH>
            <wp:positionV relativeFrom="paragraph">
              <wp:posOffset>48418</wp:posOffset>
            </wp:positionV>
            <wp:extent cx="5869400" cy="6096"/>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5869400" cy="6096"/>
                    </a:xfrm>
                    <a:prstGeom prst="rect">
                      <a:avLst/>
                    </a:prstGeom>
                  </pic:spPr>
                </pic:pic>
              </a:graphicData>
            </a:graphic>
          </wp:anchor>
        </w:drawing>
      </w:r>
    </w:p>
    <w:p>
      <w:pPr>
        <w:spacing w:after="0"/>
        <w:rPr>
          <w:sz w:val="4"/>
        </w:rPr>
        <w:sectPr>
          <w:pgSz w:w="11910" w:h="16840"/>
          <w:pgMar w:header="0" w:footer="879" w:top="1060" w:bottom="1060" w:left="1480" w:right="720"/>
        </w:sect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2183"/>
        <w:gridCol w:w="6272"/>
      </w:tblGrid>
      <w:tr>
        <w:trPr>
          <w:trHeight w:val="1217" w:hRule="atLeast"/>
        </w:trPr>
        <w:tc>
          <w:tcPr>
            <w:tcW w:w="790" w:type="dxa"/>
          </w:tcPr>
          <w:p>
            <w:pPr>
              <w:pStyle w:val="TableParagraph"/>
              <w:spacing w:line="229" w:lineRule="exact"/>
              <w:ind w:left="108"/>
              <w:rPr>
                <w:rFonts w:ascii="Times New Roman"/>
                <w:sz w:val="21"/>
              </w:rPr>
            </w:pPr>
            <w:r>
              <w:rPr>
                <w:rFonts w:ascii="Times New Roman"/>
                <w:spacing w:val="-5"/>
                <w:sz w:val="21"/>
              </w:rPr>
              <w:t>5.1</w:t>
            </w:r>
          </w:p>
        </w:tc>
        <w:tc>
          <w:tcPr>
            <w:tcW w:w="2183" w:type="dxa"/>
          </w:tcPr>
          <w:p>
            <w:pPr>
              <w:pStyle w:val="TableParagraph"/>
              <w:spacing w:line="244" w:lineRule="auto"/>
              <w:ind w:left="417" w:right="137"/>
              <w:rPr>
                <w:b/>
                <w:sz w:val="21"/>
              </w:rPr>
            </w:pPr>
            <w:r>
              <w:rPr>
                <w:b/>
                <w:spacing w:val="18"/>
                <w:sz w:val="21"/>
              </w:rPr>
              <w:t>解除合同的手续</w:t>
            </w:r>
            <w:r>
              <w:rPr>
                <w:b/>
                <w:spacing w:val="-4"/>
                <w:sz w:val="21"/>
              </w:rPr>
              <w:t>及风险</w:t>
            </w:r>
          </w:p>
        </w:tc>
        <w:tc>
          <w:tcPr>
            <w:tcW w:w="6272" w:type="dxa"/>
          </w:tcPr>
          <w:p>
            <w:pPr>
              <w:pStyle w:val="TableParagraph"/>
              <w:spacing w:line="244" w:lineRule="auto"/>
              <w:ind w:left="77" w:right="102"/>
              <w:rPr>
                <w:sz w:val="21"/>
              </w:rPr>
            </w:pPr>
            <w:r>
              <w:rPr>
                <w:spacing w:val="-2"/>
                <w:sz w:val="21"/>
              </w:rPr>
              <w:t>如您申请解除本合同，请填写解除合同申请书并向我们提供下列资</w:t>
            </w:r>
            <w:r>
              <w:rPr>
                <w:spacing w:val="-6"/>
                <w:sz w:val="21"/>
              </w:rPr>
              <w:t>料：</w:t>
            </w:r>
          </w:p>
          <w:p>
            <w:pPr>
              <w:pStyle w:val="TableParagraph"/>
              <w:numPr>
                <w:ilvl w:val="0"/>
                <w:numId w:val="12"/>
              </w:numPr>
              <w:tabs>
                <w:tab w:pos="607" w:val="left" w:leader="none"/>
              </w:tabs>
              <w:spacing w:line="265" w:lineRule="exact" w:before="0" w:after="0"/>
              <w:ind w:left="606" w:right="0" w:hanging="530"/>
              <w:jc w:val="left"/>
              <w:rPr>
                <w:sz w:val="21"/>
              </w:rPr>
            </w:pPr>
            <w:r>
              <w:rPr>
                <w:spacing w:val="-4"/>
                <w:sz w:val="21"/>
              </w:rPr>
              <w:t>保险合同；</w:t>
            </w:r>
          </w:p>
          <w:p>
            <w:pPr>
              <w:pStyle w:val="TableParagraph"/>
              <w:numPr>
                <w:ilvl w:val="0"/>
                <w:numId w:val="12"/>
              </w:numPr>
              <w:tabs>
                <w:tab w:pos="607" w:val="left" w:leader="none"/>
              </w:tabs>
              <w:spacing w:line="240" w:lineRule="auto" w:before="0" w:after="0"/>
              <w:ind w:left="606" w:right="0" w:hanging="530"/>
              <w:jc w:val="left"/>
              <w:rPr>
                <w:sz w:val="21"/>
              </w:rPr>
            </w:pPr>
            <w:r>
              <w:rPr>
                <w:spacing w:val="-3"/>
                <w:sz w:val="21"/>
              </w:rPr>
              <w:t>您的有效身份证件。</w:t>
            </w:r>
          </w:p>
        </w:tc>
      </w:tr>
      <w:tr>
        <w:trPr>
          <w:trHeight w:val="384"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4" w:lineRule="exact" w:before="110"/>
              <w:ind w:left="77"/>
              <w:rPr>
                <w:sz w:val="21"/>
              </w:rPr>
            </w:pPr>
            <w:r>
              <w:rPr>
                <w:spacing w:val="-3"/>
                <w:sz w:val="21"/>
              </w:rPr>
              <w:t>自我们收到解除合同申请书时起，本合同效力终止。当您申请解除</w:t>
            </w:r>
          </w:p>
        </w:tc>
      </w:tr>
      <w:tr>
        <w:trPr>
          <w:trHeight w:val="269" w:hRule="atLeast"/>
        </w:trPr>
        <w:tc>
          <w:tcPr>
            <w:tcW w:w="790" w:type="dxa"/>
          </w:tcPr>
          <w:p>
            <w:pPr>
              <w:pStyle w:val="TableParagraph"/>
              <w:rPr>
                <w:rFonts w:ascii="Times New Roman"/>
                <w:sz w:val="18"/>
              </w:rPr>
            </w:pPr>
          </w:p>
        </w:tc>
        <w:tc>
          <w:tcPr>
            <w:tcW w:w="2183" w:type="dxa"/>
          </w:tcPr>
          <w:p>
            <w:pPr>
              <w:pStyle w:val="TableParagraph"/>
              <w:rPr>
                <w:rFonts w:ascii="Times New Roman"/>
                <w:sz w:val="18"/>
              </w:rPr>
            </w:pPr>
          </w:p>
        </w:tc>
        <w:tc>
          <w:tcPr>
            <w:tcW w:w="6272" w:type="dxa"/>
          </w:tcPr>
          <w:p>
            <w:pPr>
              <w:pStyle w:val="TableParagraph"/>
              <w:spacing w:line="249" w:lineRule="exact"/>
              <w:ind w:left="77"/>
              <w:rPr>
                <w:sz w:val="21"/>
              </w:rPr>
            </w:pPr>
            <w:r>
              <w:rPr>
                <w:spacing w:val="-3"/>
                <w:sz w:val="21"/>
              </w:rPr>
              <w:t>本合同时，若本合同尚未发生保险金赔付，我们在收到上述证明和</w:t>
            </w:r>
          </w:p>
        </w:tc>
      </w:tr>
      <w:tr>
        <w:trPr>
          <w:trHeight w:val="28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62" w:lineRule="exact" w:before="2"/>
              <w:ind w:left="77"/>
              <w:rPr>
                <w:sz w:val="21"/>
              </w:rPr>
            </w:pPr>
            <w:r>
              <w:rPr>
                <w:spacing w:val="-12"/>
                <w:sz w:val="21"/>
              </w:rPr>
              <w:t>资料之日起 </w:t>
            </w:r>
            <w:r>
              <w:rPr>
                <w:rFonts w:ascii="Times New Roman" w:eastAsia="Times New Roman"/>
                <w:spacing w:val="-6"/>
                <w:sz w:val="21"/>
              </w:rPr>
              <w:t>30</w:t>
            </w:r>
            <w:r>
              <w:rPr>
                <w:rFonts w:ascii="Times New Roman" w:eastAsia="Times New Roman"/>
                <w:spacing w:val="9"/>
                <w:sz w:val="21"/>
              </w:rPr>
              <w:t> </w:t>
            </w:r>
            <w:r>
              <w:rPr>
                <w:spacing w:val="-6"/>
                <w:sz w:val="21"/>
              </w:rPr>
              <w:t>日内向您退还</w:t>
            </w:r>
            <w:r>
              <w:rPr>
                <w:b/>
                <w:spacing w:val="-6"/>
                <w:sz w:val="21"/>
              </w:rPr>
              <w:t>未满期净保险费</w:t>
            </w:r>
            <w:r>
              <w:rPr>
                <w:spacing w:val="-6"/>
                <w:sz w:val="21"/>
              </w:rPr>
              <w:t>（</w:t>
            </w:r>
            <w:r>
              <w:rPr>
                <w:spacing w:val="-23"/>
                <w:sz w:val="21"/>
              </w:rPr>
              <w:t>见 </w:t>
            </w:r>
            <w:r>
              <w:rPr>
                <w:rFonts w:ascii="Times New Roman" w:eastAsia="Times New Roman"/>
                <w:spacing w:val="16"/>
                <w:sz w:val="21"/>
              </w:rPr>
              <w:t>9</w:t>
            </w:r>
            <w:r>
              <w:rPr>
                <w:rFonts w:ascii="Times New Roman" w:eastAsia="Times New Roman"/>
                <w:spacing w:val="13"/>
                <w:sz w:val="21"/>
              </w:rPr>
              <w:t>.2</w:t>
            </w:r>
            <w:r>
              <w:rPr>
                <w:rFonts w:ascii="Times New Roman" w:eastAsia="Times New Roman"/>
                <w:spacing w:val="15"/>
                <w:sz w:val="21"/>
              </w:rPr>
              <w:t>8</w:t>
            </w:r>
            <w:r>
              <w:rPr>
                <w:spacing w:val="-90"/>
                <w:sz w:val="21"/>
              </w:rPr>
              <w:t>）</w:t>
            </w:r>
            <w:r>
              <w:rPr>
                <w:spacing w:val="-7"/>
                <w:sz w:val="21"/>
              </w:rPr>
              <w:t>。若本合同</w:t>
            </w:r>
          </w:p>
        </w:tc>
      </w:tr>
      <w:tr>
        <w:trPr>
          <w:trHeight w:val="385"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8" w:lineRule="exact"/>
              <w:ind w:left="77"/>
              <w:rPr>
                <w:sz w:val="21"/>
              </w:rPr>
            </w:pPr>
            <w:r>
              <w:rPr>
                <w:spacing w:val="-3"/>
                <w:sz w:val="21"/>
              </w:rPr>
              <w:t>已发生保险金赔付，我们不退还未满期净保险费。</w:t>
            </w:r>
          </w:p>
        </w:tc>
      </w:tr>
      <w:tr>
        <w:trPr>
          <w:trHeight w:val="549"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before="119"/>
              <w:ind w:left="77"/>
              <w:rPr>
                <w:b/>
                <w:sz w:val="21"/>
              </w:rPr>
            </w:pPr>
            <w:r>
              <w:rPr>
                <w:b/>
                <w:spacing w:val="-3"/>
                <w:sz w:val="21"/>
              </w:rPr>
              <w:t>您解除合同会遭受一定损失。</w:t>
            </w:r>
          </w:p>
        </w:tc>
      </w:tr>
      <w:tr>
        <w:trPr>
          <w:trHeight w:val="545" w:hRule="atLeast"/>
        </w:trPr>
        <w:tc>
          <w:tcPr>
            <w:tcW w:w="790" w:type="dxa"/>
            <w:tcBorders>
              <w:bottom w:val="single" w:sz="4" w:space="0" w:color="000000"/>
            </w:tcBorders>
          </w:tcPr>
          <w:p>
            <w:pPr>
              <w:pStyle w:val="TableParagraph"/>
              <w:spacing w:before="171"/>
              <w:ind w:left="108"/>
              <w:rPr>
                <w:rFonts w:ascii="Times New Roman"/>
                <w:b/>
                <w:sz w:val="24"/>
              </w:rPr>
            </w:pPr>
            <w:r>
              <w:rPr>
                <w:rFonts w:ascii="Times New Roman"/>
                <w:b/>
                <w:sz w:val="24"/>
              </w:rPr>
              <w:t>6</w:t>
            </w:r>
          </w:p>
        </w:tc>
        <w:tc>
          <w:tcPr>
            <w:tcW w:w="2183" w:type="dxa"/>
            <w:tcBorders>
              <w:bottom w:val="single" w:sz="4" w:space="0" w:color="000000"/>
            </w:tcBorders>
          </w:tcPr>
          <w:p>
            <w:pPr>
              <w:pStyle w:val="TableParagraph"/>
              <w:spacing w:before="155"/>
              <w:ind w:left="417"/>
              <w:rPr>
                <w:b/>
                <w:sz w:val="24"/>
              </w:rPr>
            </w:pPr>
            <w:r>
              <w:rPr>
                <w:b/>
                <w:w w:val="95"/>
                <w:sz w:val="24"/>
              </w:rPr>
              <w:t>合同效</w:t>
            </w:r>
            <w:r>
              <w:rPr>
                <w:b/>
                <w:w w:val="95"/>
                <w:sz w:val="24"/>
              </w:rPr>
              <w:t>力</w:t>
            </w:r>
            <w:r>
              <w:rPr>
                <w:b/>
                <w:w w:val="95"/>
                <w:sz w:val="24"/>
              </w:rPr>
              <w:t>的</w:t>
            </w:r>
            <w:r>
              <w:rPr>
                <w:b/>
                <w:spacing w:val="-5"/>
                <w:w w:val="95"/>
                <w:sz w:val="24"/>
              </w:rPr>
              <w:t>终止</w:t>
            </w:r>
          </w:p>
        </w:tc>
        <w:tc>
          <w:tcPr>
            <w:tcW w:w="6272" w:type="dxa"/>
            <w:tcBorders>
              <w:bottom w:val="single" w:sz="4" w:space="0" w:color="000000"/>
            </w:tcBorders>
          </w:tcPr>
          <w:p>
            <w:pPr>
              <w:pStyle w:val="TableParagraph"/>
              <w:rPr>
                <w:rFonts w:ascii="Times New Roman"/>
                <w:sz w:val="20"/>
              </w:rPr>
            </w:pPr>
          </w:p>
        </w:tc>
      </w:tr>
      <w:tr>
        <w:trPr>
          <w:trHeight w:val="509" w:hRule="atLeast"/>
        </w:trPr>
        <w:tc>
          <w:tcPr>
            <w:tcW w:w="790" w:type="dxa"/>
            <w:tcBorders>
              <w:top w:val="single" w:sz="4" w:space="0" w:color="000000"/>
            </w:tcBorders>
          </w:tcPr>
          <w:p>
            <w:pPr>
              <w:pStyle w:val="TableParagraph"/>
              <w:rPr>
                <w:b/>
                <w:sz w:val="18"/>
              </w:rPr>
            </w:pPr>
          </w:p>
          <w:p>
            <w:pPr>
              <w:pStyle w:val="TableParagraph"/>
              <w:spacing w:before="1"/>
              <w:ind w:left="108"/>
              <w:rPr>
                <w:rFonts w:ascii="Times New Roman"/>
                <w:sz w:val="21"/>
              </w:rPr>
            </w:pPr>
            <w:r>
              <w:rPr>
                <w:rFonts w:ascii="Times New Roman"/>
                <w:spacing w:val="-5"/>
                <w:sz w:val="21"/>
              </w:rPr>
              <w:t>6.1</w:t>
            </w:r>
          </w:p>
        </w:tc>
        <w:tc>
          <w:tcPr>
            <w:tcW w:w="2183" w:type="dxa"/>
            <w:tcBorders>
              <w:top w:val="single" w:sz="4" w:space="0" w:color="000000"/>
            </w:tcBorders>
          </w:tcPr>
          <w:p>
            <w:pPr>
              <w:pStyle w:val="TableParagraph"/>
              <w:spacing w:before="8"/>
              <w:rPr>
                <w:b/>
                <w:sz w:val="18"/>
              </w:rPr>
            </w:pPr>
          </w:p>
          <w:p>
            <w:pPr>
              <w:pStyle w:val="TableParagraph"/>
              <w:spacing w:line="251" w:lineRule="exact"/>
              <w:ind w:left="417"/>
              <w:rPr>
                <w:b/>
                <w:sz w:val="21"/>
              </w:rPr>
            </w:pPr>
            <w:r>
              <w:rPr>
                <w:b/>
                <w:spacing w:val="-2"/>
                <w:sz w:val="21"/>
              </w:rPr>
              <w:t>合同效力的终止</w:t>
            </w:r>
          </w:p>
        </w:tc>
        <w:tc>
          <w:tcPr>
            <w:tcW w:w="6272" w:type="dxa"/>
            <w:tcBorders>
              <w:top w:val="single" w:sz="4" w:space="0" w:color="000000"/>
            </w:tcBorders>
          </w:tcPr>
          <w:p>
            <w:pPr>
              <w:pStyle w:val="TableParagraph"/>
              <w:spacing w:before="8"/>
              <w:rPr>
                <w:b/>
                <w:sz w:val="18"/>
              </w:rPr>
            </w:pPr>
          </w:p>
          <w:p>
            <w:pPr>
              <w:pStyle w:val="TableParagraph"/>
              <w:spacing w:line="251" w:lineRule="exact"/>
              <w:ind w:left="77"/>
              <w:rPr>
                <w:sz w:val="21"/>
              </w:rPr>
            </w:pPr>
            <w:r>
              <w:rPr>
                <w:spacing w:val="-3"/>
                <w:sz w:val="21"/>
              </w:rPr>
              <w:t>发生下列情况之一，本合同效力即时终止：</w:t>
            </w:r>
          </w:p>
        </w:tc>
      </w:tr>
      <w:tr>
        <w:trPr>
          <w:trHeight w:val="280"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60" w:lineRule="exact"/>
              <w:ind w:left="77"/>
              <w:rPr>
                <w:sz w:val="21"/>
              </w:rPr>
            </w:pPr>
            <w:r>
              <w:rPr>
                <w:spacing w:val="-2"/>
                <w:sz w:val="21"/>
              </w:rPr>
              <w:t>（</w:t>
            </w:r>
            <w:r>
              <w:rPr>
                <w:rFonts w:ascii="Times New Roman" w:eastAsia="Times New Roman"/>
                <w:spacing w:val="-2"/>
                <w:sz w:val="21"/>
              </w:rPr>
              <w:t>1</w:t>
            </w:r>
            <w:r>
              <w:rPr>
                <w:spacing w:val="-2"/>
                <w:sz w:val="21"/>
              </w:rPr>
              <w:t>）</w:t>
            </w:r>
            <w:r>
              <w:rPr>
                <w:spacing w:val="-3"/>
                <w:sz w:val="21"/>
              </w:rPr>
              <w:t>我们收到解除合同申请书；</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3" w:lineRule="exact"/>
              <w:ind w:left="77"/>
              <w:rPr>
                <w:sz w:val="21"/>
              </w:rPr>
            </w:pPr>
            <w:r>
              <w:rPr>
                <w:spacing w:val="-2"/>
                <w:sz w:val="21"/>
              </w:rPr>
              <w:t>（</w:t>
            </w:r>
            <w:r>
              <w:rPr>
                <w:rFonts w:ascii="Times New Roman" w:eastAsia="Times New Roman"/>
                <w:spacing w:val="-2"/>
                <w:sz w:val="21"/>
              </w:rPr>
              <w:t>2</w:t>
            </w:r>
            <w:r>
              <w:rPr>
                <w:spacing w:val="-2"/>
                <w:sz w:val="21"/>
              </w:rPr>
              <w:t>）</w:t>
            </w:r>
            <w:r>
              <w:rPr>
                <w:spacing w:val="-4"/>
                <w:sz w:val="21"/>
              </w:rPr>
              <w:t>被保险人身故；</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2" w:lineRule="exact"/>
              <w:ind w:left="77"/>
              <w:rPr>
                <w:sz w:val="21"/>
              </w:rPr>
            </w:pPr>
            <w:r>
              <w:rPr>
                <w:spacing w:val="-2"/>
                <w:sz w:val="21"/>
              </w:rPr>
              <w:t>（</w:t>
            </w:r>
            <w:r>
              <w:rPr>
                <w:rFonts w:ascii="Times New Roman" w:eastAsia="Times New Roman"/>
                <w:spacing w:val="-2"/>
                <w:sz w:val="21"/>
              </w:rPr>
              <w:t>3</w:t>
            </w:r>
            <w:r>
              <w:rPr>
                <w:spacing w:val="-2"/>
                <w:sz w:val="21"/>
              </w:rPr>
              <w:t>）</w:t>
            </w:r>
            <w:r>
              <w:rPr>
                <w:spacing w:val="-4"/>
                <w:sz w:val="21"/>
              </w:rPr>
              <w:t>保险期间届满；</w:t>
            </w:r>
          </w:p>
        </w:tc>
      </w:tr>
      <w:tr>
        <w:trPr>
          <w:trHeight w:val="429"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63" w:lineRule="exact"/>
              <w:ind w:left="77"/>
              <w:rPr>
                <w:sz w:val="21"/>
              </w:rPr>
            </w:pPr>
            <w:r>
              <w:rPr>
                <w:spacing w:val="-2"/>
                <w:sz w:val="21"/>
              </w:rPr>
              <w:t>（</w:t>
            </w:r>
            <w:r>
              <w:rPr>
                <w:rFonts w:ascii="Times New Roman" w:eastAsia="Times New Roman"/>
                <w:spacing w:val="-2"/>
                <w:sz w:val="21"/>
              </w:rPr>
              <w:t>4</w:t>
            </w:r>
            <w:r>
              <w:rPr>
                <w:spacing w:val="-2"/>
                <w:sz w:val="21"/>
              </w:rPr>
              <w:t>）</w:t>
            </w:r>
            <w:r>
              <w:rPr>
                <w:spacing w:val="-3"/>
                <w:sz w:val="21"/>
              </w:rPr>
              <w:t>因本合同其他条款约定情形而终止。</w:t>
            </w:r>
          </w:p>
        </w:tc>
      </w:tr>
      <w:tr>
        <w:trPr>
          <w:trHeight w:val="533" w:hRule="atLeast"/>
        </w:trPr>
        <w:tc>
          <w:tcPr>
            <w:tcW w:w="790" w:type="dxa"/>
            <w:tcBorders>
              <w:bottom w:val="single" w:sz="4" w:space="0" w:color="000000"/>
            </w:tcBorders>
          </w:tcPr>
          <w:p>
            <w:pPr>
              <w:pStyle w:val="TableParagraph"/>
              <w:spacing w:before="162"/>
              <w:ind w:left="108"/>
              <w:rPr>
                <w:rFonts w:ascii="Times New Roman"/>
                <w:b/>
                <w:sz w:val="24"/>
              </w:rPr>
            </w:pPr>
            <w:r>
              <w:rPr>
                <w:rFonts w:ascii="Times New Roman"/>
                <w:b/>
                <w:sz w:val="24"/>
              </w:rPr>
              <w:t>7</w:t>
            </w:r>
          </w:p>
        </w:tc>
        <w:tc>
          <w:tcPr>
            <w:tcW w:w="2183" w:type="dxa"/>
            <w:tcBorders>
              <w:bottom w:val="single" w:sz="4" w:space="0" w:color="000000"/>
            </w:tcBorders>
          </w:tcPr>
          <w:p>
            <w:pPr>
              <w:pStyle w:val="TableParagraph"/>
              <w:spacing w:before="146"/>
              <w:ind w:left="417"/>
              <w:rPr>
                <w:b/>
                <w:sz w:val="24"/>
              </w:rPr>
            </w:pPr>
            <w:r>
              <w:rPr>
                <w:b/>
                <w:spacing w:val="-3"/>
                <w:w w:val="95"/>
                <w:sz w:val="24"/>
              </w:rPr>
              <w:t>如实告知</w:t>
            </w:r>
          </w:p>
        </w:tc>
        <w:tc>
          <w:tcPr>
            <w:tcW w:w="6272" w:type="dxa"/>
            <w:tcBorders>
              <w:bottom w:val="single" w:sz="4" w:space="0" w:color="000000"/>
            </w:tcBorders>
          </w:tcPr>
          <w:p>
            <w:pPr>
              <w:pStyle w:val="TableParagraph"/>
              <w:rPr>
                <w:rFonts w:ascii="Times New Roman"/>
                <w:sz w:val="20"/>
              </w:rPr>
            </w:pPr>
          </w:p>
        </w:tc>
      </w:tr>
      <w:tr>
        <w:trPr>
          <w:trHeight w:val="513" w:hRule="atLeast"/>
        </w:trPr>
        <w:tc>
          <w:tcPr>
            <w:tcW w:w="790" w:type="dxa"/>
            <w:tcBorders>
              <w:top w:val="single" w:sz="4" w:space="0" w:color="000000"/>
            </w:tcBorders>
          </w:tcPr>
          <w:p>
            <w:pPr>
              <w:pStyle w:val="TableParagraph"/>
              <w:rPr>
                <w:b/>
                <w:sz w:val="18"/>
              </w:rPr>
            </w:pPr>
          </w:p>
          <w:p>
            <w:pPr>
              <w:pStyle w:val="TableParagraph"/>
              <w:spacing w:before="1"/>
              <w:ind w:left="108"/>
              <w:rPr>
                <w:rFonts w:ascii="Times New Roman"/>
                <w:sz w:val="21"/>
              </w:rPr>
            </w:pPr>
            <w:r>
              <w:rPr>
                <w:rFonts w:ascii="Times New Roman"/>
                <w:spacing w:val="-5"/>
                <w:sz w:val="21"/>
              </w:rPr>
              <w:t>7.1</w:t>
            </w:r>
          </w:p>
        </w:tc>
        <w:tc>
          <w:tcPr>
            <w:tcW w:w="2183" w:type="dxa"/>
            <w:tcBorders>
              <w:top w:val="single" w:sz="4" w:space="0" w:color="000000"/>
            </w:tcBorders>
          </w:tcPr>
          <w:p>
            <w:pPr>
              <w:pStyle w:val="TableParagraph"/>
              <w:spacing w:before="8"/>
              <w:rPr>
                <w:b/>
                <w:sz w:val="18"/>
              </w:rPr>
            </w:pPr>
          </w:p>
          <w:p>
            <w:pPr>
              <w:pStyle w:val="TableParagraph"/>
              <w:spacing w:line="254" w:lineRule="exact"/>
              <w:ind w:left="417"/>
              <w:rPr>
                <w:b/>
                <w:sz w:val="21"/>
              </w:rPr>
            </w:pPr>
            <w:r>
              <w:rPr>
                <w:b/>
                <w:spacing w:val="18"/>
                <w:sz w:val="21"/>
              </w:rPr>
              <w:t>明确说明与如实</w:t>
            </w:r>
          </w:p>
        </w:tc>
        <w:tc>
          <w:tcPr>
            <w:tcW w:w="6272" w:type="dxa"/>
            <w:tcBorders>
              <w:top w:val="single" w:sz="4" w:space="0" w:color="000000"/>
            </w:tcBorders>
          </w:tcPr>
          <w:p>
            <w:pPr>
              <w:pStyle w:val="TableParagraph"/>
              <w:spacing w:before="8"/>
              <w:rPr>
                <w:b/>
                <w:sz w:val="18"/>
              </w:rPr>
            </w:pPr>
          </w:p>
          <w:p>
            <w:pPr>
              <w:pStyle w:val="TableParagraph"/>
              <w:spacing w:line="254" w:lineRule="exact"/>
              <w:ind w:left="77"/>
              <w:rPr>
                <w:sz w:val="21"/>
              </w:rPr>
            </w:pPr>
            <w:r>
              <w:rPr>
                <w:spacing w:val="-3"/>
                <w:sz w:val="21"/>
              </w:rPr>
              <w:t>订立本合同时，我们应向您说明本合同的内容。</w:t>
            </w:r>
          </w:p>
        </w:tc>
      </w:tr>
      <w:tr>
        <w:trPr>
          <w:trHeight w:val="513" w:hRule="atLeast"/>
        </w:trPr>
        <w:tc>
          <w:tcPr>
            <w:tcW w:w="790" w:type="dxa"/>
          </w:tcPr>
          <w:p>
            <w:pPr>
              <w:pStyle w:val="TableParagraph"/>
              <w:rPr>
                <w:rFonts w:ascii="Times New Roman"/>
                <w:sz w:val="20"/>
              </w:rPr>
            </w:pPr>
          </w:p>
        </w:tc>
        <w:tc>
          <w:tcPr>
            <w:tcW w:w="2183" w:type="dxa"/>
          </w:tcPr>
          <w:p>
            <w:pPr>
              <w:pStyle w:val="TableParagraph"/>
              <w:spacing w:line="266" w:lineRule="exact"/>
              <w:ind w:left="417"/>
              <w:rPr>
                <w:b/>
                <w:sz w:val="21"/>
              </w:rPr>
            </w:pPr>
            <w:r>
              <w:rPr>
                <w:b/>
                <w:spacing w:val="-5"/>
                <w:sz w:val="21"/>
              </w:rPr>
              <w:t>告知</w:t>
            </w:r>
          </w:p>
        </w:tc>
        <w:tc>
          <w:tcPr>
            <w:tcW w:w="6272" w:type="dxa"/>
          </w:tcPr>
          <w:p>
            <w:pPr>
              <w:pStyle w:val="TableParagraph"/>
              <w:spacing w:before="9"/>
              <w:rPr>
                <w:b/>
                <w:sz w:val="18"/>
              </w:rPr>
            </w:pPr>
          </w:p>
          <w:p>
            <w:pPr>
              <w:pStyle w:val="TableParagraph"/>
              <w:spacing w:line="254" w:lineRule="exact"/>
              <w:ind w:left="77"/>
              <w:rPr>
                <w:sz w:val="21"/>
              </w:rPr>
            </w:pPr>
            <w:r>
              <w:rPr>
                <w:spacing w:val="-3"/>
                <w:sz w:val="21"/>
              </w:rPr>
              <w:t>对保险条款中免除我们责任的条款，我们在订立合同时应当在投保</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2" w:lineRule="exact"/>
              <w:ind w:left="77"/>
              <w:rPr>
                <w:sz w:val="21"/>
              </w:rPr>
            </w:pPr>
            <w:r>
              <w:rPr>
                <w:spacing w:val="-3"/>
                <w:sz w:val="21"/>
              </w:rPr>
              <w:t>单、保险单或者其他保险凭证上作出足以引起您注意的提示，并对</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2" w:lineRule="exact"/>
              <w:ind w:left="77"/>
              <w:rPr>
                <w:sz w:val="21"/>
              </w:rPr>
            </w:pPr>
            <w:r>
              <w:rPr>
                <w:spacing w:val="-3"/>
                <w:sz w:val="21"/>
              </w:rPr>
              <w:t>该条款的内容以书面或者口头形式向您作出明确说明，未作提示或</w:t>
            </w:r>
          </w:p>
        </w:tc>
      </w:tr>
      <w:tr>
        <w:trPr>
          <w:trHeight w:val="39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66" w:lineRule="exact"/>
              <w:ind w:left="77"/>
              <w:rPr>
                <w:sz w:val="21"/>
              </w:rPr>
            </w:pPr>
            <w:r>
              <w:rPr>
                <w:spacing w:val="-3"/>
                <w:sz w:val="21"/>
              </w:rPr>
              <w:t>者明确说明的，该条款不产生效力。</w:t>
            </w:r>
          </w:p>
        </w:tc>
      </w:tr>
      <w:tr>
        <w:trPr>
          <w:trHeight w:val="51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before="118"/>
              <w:ind w:left="77"/>
              <w:rPr>
                <w:sz w:val="21"/>
              </w:rPr>
            </w:pPr>
            <w:r>
              <w:rPr>
                <w:spacing w:val="-3"/>
                <w:sz w:val="21"/>
              </w:rPr>
              <w:t>我们就您和被保险人的有关情况提出询问，您应当如实告知。</w:t>
            </w:r>
          </w:p>
        </w:tc>
      </w:tr>
      <w:tr>
        <w:trPr>
          <w:trHeight w:val="39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5" w:lineRule="exact" w:before="118"/>
              <w:ind w:left="77"/>
              <w:rPr>
                <w:b/>
                <w:sz w:val="21"/>
              </w:rPr>
            </w:pPr>
            <w:r>
              <w:rPr>
                <w:b/>
                <w:spacing w:val="-3"/>
                <w:sz w:val="21"/>
              </w:rPr>
              <w:t>如果您故意或者因重大过失未履行前款规定的如实告知义务，足以</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2" w:lineRule="exact"/>
              <w:ind w:left="77"/>
              <w:rPr>
                <w:b/>
                <w:sz w:val="21"/>
              </w:rPr>
            </w:pPr>
            <w:r>
              <w:rPr>
                <w:b/>
                <w:spacing w:val="-3"/>
                <w:sz w:val="21"/>
              </w:rPr>
              <w:t>影响我们决定是否同意承保或者提高保险费率的，我们有权解除本</w:t>
            </w:r>
          </w:p>
        </w:tc>
      </w:tr>
      <w:tr>
        <w:trPr>
          <w:trHeight w:val="39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66" w:lineRule="exact"/>
              <w:ind w:left="77"/>
              <w:rPr>
                <w:b/>
                <w:sz w:val="21"/>
              </w:rPr>
            </w:pPr>
            <w:r>
              <w:rPr>
                <w:b/>
                <w:spacing w:val="-4"/>
                <w:sz w:val="21"/>
              </w:rPr>
              <w:t>合同。</w:t>
            </w:r>
          </w:p>
        </w:tc>
      </w:tr>
      <w:tr>
        <w:trPr>
          <w:trHeight w:val="39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5" w:lineRule="exact" w:before="118"/>
              <w:ind w:left="77"/>
              <w:rPr>
                <w:b/>
                <w:sz w:val="21"/>
              </w:rPr>
            </w:pPr>
            <w:r>
              <w:rPr>
                <w:b/>
                <w:spacing w:val="-3"/>
                <w:sz w:val="21"/>
              </w:rPr>
              <w:t>如果您故意不履行如实告知义务，对于本合同解除前发生的保险事</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2" w:lineRule="exact"/>
              <w:ind w:left="77"/>
              <w:rPr>
                <w:b/>
                <w:sz w:val="21"/>
              </w:rPr>
            </w:pPr>
            <w:r>
              <w:rPr>
                <w:b/>
                <w:spacing w:val="-3"/>
                <w:sz w:val="21"/>
              </w:rPr>
              <w:t>故，我们不承担给付保险金的责任，并不退还保险费。如果您因重</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2" w:lineRule="exact"/>
              <w:ind w:left="77"/>
              <w:rPr>
                <w:b/>
                <w:sz w:val="21"/>
              </w:rPr>
            </w:pPr>
            <w:r>
              <w:rPr>
                <w:b/>
                <w:spacing w:val="-3"/>
                <w:sz w:val="21"/>
              </w:rPr>
              <w:t>大过失未履行如实告知义务，对保险事故的发生有严重影响的，对</w:t>
            </w:r>
          </w:p>
        </w:tc>
      </w:tr>
      <w:tr>
        <w:trPr>
          <w:trHeight w:val="27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2" w:lineRule="exact"/>
              <w:ind w:left="77"/>
              <w:rPr>
                <w:b/>
                <w:sz w:val="21"/>
              </w:rPr>
            </w:pPr>
            <w:r>
              <w:rPr>
                <w:b/>
                <w:spacing w:val="-3"/>
                <w:sz w:val="21"/>
              </w:rPr>
              <w:t>于本合同解除前发生的保险事故，我们不承担给付保险金的责任，</w:t>
            </w:r>
          </w:p>
        </w:tc>
      </w:tr>
      <w:tr>
        <w:trPr>
          <w:trHeight w:val="392"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66" w:lineRule="exact"/>
              <w:ind w:left="77"/>
              <w:rPr>
                <w:b/>
                <w:sz w:val="21"/>
              </w:rPr>
            </w:pPr>
            <w:r>
              <w:rPr>
                <w:b/>
                <w:spacing w:val="-2"/>
                <w:sz w:val="21"/>
              </w:rPr>
              <w:t>但应当退还保险费。</w:t>
            </w:r>
          </w:p>
        </w:tc>
      </w:tr>
      <w:tr>
        <w:trPr>
          <w:trHeight w:val="393"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55" w:lineRule="exact" w:before="118"/>
              <w:ind w:left="77"/>
              <w:rPr>
                <w:sz w:val="21"/>
              </w:rPr>
            </w:pPr>
            <w:r>
              <w:rPr>
                <w:spacing w:val="-3"/>
                <w:sz w:val="21"/>
              </w:rPr>
              <w:t>我们在合同订立时已经知道您未如实告知的情况的，我们不得解除</w:t>
            </w:r>
          </w:p>
        </w:tc>
      </w:tr>
      <w:tr>
        <w:trPr>
          <w:trHeight w:val="379" w:hRule="atLeast"/>
        </w:trPr>
        <w:tc>
          <w:tcPr>
            <w:tcW w:w="790" w:type="dxa"/>
          </w:tcPr>
          <w:p>
            <w:pPr>
              <w:pStyle w:val="TableParagraph"/>
              <w:rPr>
                <w:rFonts w:ascii="Times New Roman"/>
                <w:sz w:val="20"/>
              </w:rPr>
            </w:pPr>
          </w:p>
        </w:tc>
        <w:tc>
          <w:tcPr>
            <w:tcW w:w="2183" w:type="dxa"/>
          </w:tcPr>
          <w:p>
            <w:pPr>
              <w:pStyle w:val="TableParagraph"/>
              <w:rPr>
                <w:rFonts w:ascii="Times New Roman"/>
                <w:sz w:val="20"/>
              </w:rPr>
            </w:pPr>
          </w:p>
        </w:tc>
        <w:tc>
          <w:tcPr>
            <w:tcW w:w="6272" w:type="dxa"/>
          </w:tcPr>
          <w:p>
            <w:pPr>
              <w:pStyle w:val="TableParagraph"/>
              <w:spacing w:line="268" w:lineRule="exact"/>
              <w:ind w:left="77"/>
              <w:rPr>
                <w:sz w:val="21"/>
              </w:rPr>
            </w:pPr>
            <w:r>
              <w:rPr>
                <w:spacing w:val="-3"/>
                <w:sz w:val="21"/>
              </w:rPr>
              <w:t>合同；发生保险事故的，我们承担给付保险金的责任。</w:t>
            </w:r>
          </w:p>
        </w:tc>
      </w:tr>
      <w:tr>
        <w:trPr>
          <w:trHeight w:val="414" w:hRule="atLeast"/>
        </w:trPr>
        <w:tc>
          <w:tcPr>
            <w:tcW w:w="790" w:type="dxa"/>
          </w:tcPr>
          <w:p>
            <w:pPr>
              <w:pStyle w:val="TableParagraph"/>
              <w:spacing w:before="125"/>
              <w:ind w:left="108"/>
              <w:rPr>
                <w:rFonts w:ascii="Times New Roman"/>
                <w:sz w:val="21"/>
              </w:rPr>
            </w:pPr>
            <w:r>
              <w:rPr>
                <w:rFonts w:ascii="Times New Roman"/>
                <w:spacing w:val="-5"/>
                <w:sz w:val="21"/>
              </w:rPr>
              <w:t>7.2</w:t>
            </w:r>
          </w:p>
        </w:tc>
        <w:tc>
          <w:tcPr>
            <w:tcW w:w="2183" w:type="dxa"/>
          </w:tcPr>
          <w:p>
            <w:pPr>
              <w:pStyle w:val="TableParagraph"/>
              <w:spacing w:line="262" w:lineRule="exact" w:before="133"/>
              <w:ind w:left="417"/>
              <w:rPr>
                <w:b/>
                <w:sz w:val="21"/>
              </w:rPr>
            </w:pPr>
            <w:r>
              <w:rPr>
                <w:b/>
                <w:spacing w:val="18"/>
                <w:sz w:val="21"/>
              </w:rPr>
              <w:t>本公司合同解除</w:t>
            </w:r>
          </w:p>
        </w:tc>
        <w:tc>
          <w:tcPr>
            <w:tcW w:w="6272" w:type="dxa"/>
          </w:tcPr>
          <w:p>
            <w:pPr>
              <w:pStyle w:val="TableParagraph"/>
              <w:spacing w:line="262" w:lineRule="exact" w:before="133"/>
              <w:ind w:left="77"/>
              <w:rPr>
                <w:sz w:val="21"/>
              </w:rPr>
            </w:pPr>
            <w:r>
              <w:rPr>
                <w:spacing w:val="-2"/>
                <w:sz w:val="21"/>
              </w:rPr>
              <w:t>前条规定的合同解除权，自我们知道有解除事由之日起，超过</w:t>
            </w:r>
            <w:r>
              <w:rPr>
                <w:rFonts w:ascii="Times New Roman" w:eastAsia="Times New Roman"/>
                <w:spacing w:val="-2"/>
                <w:sz w:val="21"/>
              </w:rPr>
              <w:t>30</w:t>
            </w:r>
            <w:r>
              <w:rPr>
                <w:spacing w:val="-10"/>
                <w:sz w:val="21"/>
              </w:rPr>
              <w:t>日</w:t>
            </w:r>
          </w:p>
        </w:tc>
      </w:tr>
      <w:tr>
        <w:trPr>
          <w:trHeight w:val="233" w:hRule="atLeast"/>
        </w:trPr>
        <w:tc>
          <w:tcPr>
            <w:tcW w:w="790" w:type="dxa"/>
          </w:tcPr>
          <w:p>
            <w:pPr>
              <w:pStyle w:val="TableParagraph"/>
              <w:rPr>
                <w:rFonts w:ascii="Times New Roman"/>
                <w:sz w:val="16"/>
              </w:rPr>
            </w:pPr>
          </w:p>
        </w:tc>
        <w:tc>
          <w:tcPr>
            <w:tcW w:w="2183" w:type="dxa"/>
          </w:tcPr>
          <w:p>
            <w:pPr>
              <w:pStyle w:val="TableParagraph"/>
              <w:spacing w:line="213" w:lineRule="exact"/>
              <w:ind w:left="417"/>
              <w:rPr>
                <w:b/>
                <w:sz w:val="21"/>
              </w:rPr>
            </w:pPr>
            <w:r>
              <w:rPr>
                <w:b/>
                <w:spacing w:val="-3"/>
                <w:sz w:val="21"/>
              </w:rPr>
              <w:t>权的限制</w:t>
            </w:r>
          </w:p>
        </w:tc>
        <w:tc>
          <w:tcPr>
            <w:tcW w:w="6272" w:type="dxa"/>
          </w:tcPr>
          <w:p>
            <w:pPr>
              <w:pStyle w:val="TableParagraph"/>
              <w:spacing w:line="213" w:lineRule="exact"/>
              <w:ind w:left="77"/>
              <w:rPr>
                <w:sz w:val="21"/>
              </w:rPr>
            </w:pPr>
            <w:r>
              <w:rPr>
                <w:spacing w:val="-4"/>
                <w:sz w:val="21"/>
              </w:rPr>
              <w:t>不行使而消灭。</w:t>
            </w:r>
          </w:p>
        </w:tc>
      </w:tr>
    </w:tbl>
    <w:p>
      <w:pPr>
        <w:pStyle w:val="BodyText"/>
        <w:rPr>
          <w:b/>
          <w:sz w:val="22"/>
        </w:rPr>
      </w:pPr>
    </w:p>
    <w:p>
      <w:pPr>
        <w:pStyle w:val="ListParagraph"/>
        <w:numPr>
          <w:ilvl w:val="0"/>
          <w:numId w:val="13"/>
        </w:numPr>
        <w:tabs>
          <w:tab w:pos="1321" w:val="left" w:leader="none"/>
          <w:tab w:pos="1322" w:val="left" w:leader="none"/>
        </w:tabs>
        <w:spacing w:line="240" w:lineRule="auto" w:before="74" w:after="0"/>
        <w:ind w:left="1321" w:right="0" w:hanging="1100"/>
        <w:jc w:val="left"/>
        <w:rPr>
          <w:b/>
          <w:sz w:val="24"/>
        </w:rPr>
      </w:pPr>
      <w:r>
        <w:rPr>
          <w:b/>
          <w:w w:val="95"/>
          <w:sz w:val="24"/>
        </w:rPr>
        <w:t>其他需</w:t>
      </w:r>
      <w:r>
        <w:rPr>
          <w:b/>
          <w:w w:val="95"/>
          <w:sz w:val="24"/>
        </w:rPr>
        <w:t>要</w:t>
      </w:r>
      <w:r>
        <w:rPr>
          <w:b/>
          <w:w w:val="95"/>
          <w:sz w:val="24"/>
        </w:rPr>
        <w:t>关</w:t>
      </w:r>
      <w:r>
        <w:rPr>
          <w:b/>
          <w:spacing w:val="-3"/>
          <w:w w:val="95"/>
          <w:sz w:val="24"/>
        </w:rPr>
        <w:t>注的事项</w:t>
      </w:r>
    </w:p>
    <w:p>
      <w:pPr>
        <w:pStyle w:val="BodyText"/>
        <w:spacing w:before="1"/>
        <w:rPr>
          <w:b/>
          <w:sz w:val="4"/>
        </w:rPr>
      </w:pPr>
      <w:r>
        <w:rPr/>
        <w:drawing>
          <wp:anchor distT="0" distB="0" distL="0" distR="0" allowOverlap="1" layoutInCell="1" locked="0" behindDoc="0" simplePos="0" relativeHeight="6">
            <wp:simplePos x="0" y="0"/>
            <wp:positionH relativeFrom="page">
              <wp:posOffset>1012240</wp:posOffset>
            </wp:positionH>
            <wp:positionV relativeFrom="paragraph">
              <wp:posOffset>49038</wp:posOffset>
            </wp:positionV>
            <wp:extent cx="5870133" cy="6096"/>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5870133" cy="6096"/>
                    </a:xfrm>
                    <a:prstGeom prst="rect">
                      <a:avLst/>
                    </a:prstGeom>
                  </pic:spPr>
                </pic:pic>
              </a:graphicData>
            </a:graphic>
          </wp:anchor>
        </w:drawing>
      </w:r>
    </w:p>
    <w:p>
      <w:pPr>
        <w:pStyle w:val="BodyText"/>
        <w:spacing w:before="4"/>
        <w:rPr>
          <w:b/>
          <w:sz w:val="18"/>
        </w:rPr>
      </w:pPr>
    </w:p>
    <w:p>
      <w:pPr>
        <w:pStyle w:val="ListParagraph"/>
        <w:numPr>
          <w:ilvl w:val="1"/>
          <w:numId w:val="13"/>
        </w:numPr>
        <w:tabs>
          <w:tab w:pos="1321" w:val="left" w:leader="none"/>
          <w:tab w:pos="1322" w:val="left" w:leader="none"/>
          <w:tab w:pos="3164" w:val="left" w:leader="none"/>
        </w:tabs>
        <w:spacing w:line="240" w:lineRule="auto" w:before="0" w:after="0"/>
        <w:ind w:left="1321" w:right="0" w:hanging="1100"/>
        <w:jc w:val="left"/>
        <w:rPr>
          <w:sz w:val="21"/>
        </w:rPr>
      </w:pPr>
      <w:r>
        <w:rPr>
          <w:b/>
          <w:sz w:val="21"/>
        </w:rPr>
        <w:t>年龄错</w:t>
      </w:r>
      <w:r>
        <w:rPr>
          <w:b/>
          <w:spacing w:val="-10"/>
          <w:sz w:val="21"/>
        </w:rPr>
        <w:t>误</w:t>
      </w:r>
      <w:r>
        <w:rPr>
          <w:b/>
          <w:sz w:val="21"/>
        </w:rPr>
        <w:tab/>
      </w:r>
      <w:r>
        <w:rPr>
          <w:sz w:val="21"/>
        </w:rPr>
        <w:t>本合同中被保险人的投保年龄以有效身份证件登记的周岁年龄</w:t>
      </w:r>
      <w:r>
        <w:rPr>
          <w:spacing w:val="-10"/>
          <w:sz w:val="21"/>
        </w:rPr>
        <w:t>为</w:t>
      </w:r>
    </w:p>
    <w:p>
      <w:pPr>
        <w:pStyle w:val="BodyText"/>
        <w:spacing w:before="5"/>
        <w:ind w:left="3165"/>
      </w:pPr>
      <w:r>
        <w:rPr>
          <w:spacing w:val="-3"/>
        </w:rPr>
        <w:t>准，如果发生错误按照下列方式办理：</w:t>
      </w:r>
    </w:p>
    <w:p>
      <w:pPr>
        <w:pStyle w:val="ListParagraph"/>
        <w:numPr>
          <w:ilvl w:val="2"/>
          <w:numId w:val="13"/>
        </w:numPr>
        <w:tabs>
          <w:tab w:pos="3699" w:val="left" w:leader="none"/>
        </w:tabs>
        <w:spacing w:line="240" w:lineRule="auto" w:before="2" w:after="0"/>
        <w:ind w:left="3698" w:right="0" w:hanging="534"/>
        <w:jc w:val="left"/>
        <w:rPr>
          <w:b/>
          <w:sz w:val="21"/>
        </w:rPr>
      </w:pPr>
      <w:r>
        <w:rPr>
          <w:b/>
          <w:spacing w:val="-1"/>
          <w:sz w:val="21"/>
        </w:rPr>
        <w:t>您申报的被保险人年龄不真实，并且其真实年龄不符合本合</w:t>
      </w:r>
    </w:p>
    <w:p>
      <w:pPr>
        <w:spacing w:after="0" w:line="240" w:lineRule="auto"/>
        <w:jc w:val="left"/>
        <w:rPr>
          <w:sz w:val="21"/>
        </w:rPr>
        <w:sectPr>
          <w:pgSz w:w="11910" w:h="16840"/>
          <w:pgMar w:header="0" w:footer="879" w:top="1120" w:bottom="1060" w:left="1480" w:right="720"/>
        </w:sectPr>
      </w:pPr>
    </w:p>
    <w:p>
      <w:pPr>
        <w:spacing w:line="242" w:lineRule="auto" w:before="55"/>
        <w:ind w:left="3690" w:right="451" w:firstLine="0"/>
        <w:jc w:val="both"/>
        <w:rPr>
          <w:sz w:val="21"/>
        </w:rPr>
      </w:pPr>
      <w:r>
        <w:rPr>
          <w:b/>
          <w:spacing w:val="-2"/>
          <w:sz w:val="21"/>
        </w:rPr>
        <w:t>同约定投保年龄限制的，我们有权解除合同，并向您退还本</w:t>
      </w:r>
      <w:r>
        <w:rPr>
          <w:b/>
          <w:spacing w:val="-2"/>
          <w:sz w:val="21"/>
        </w:rPr>
        <w:t>合同的未满期净保险费。</w:t>
      </w:r>
      <w:r>
        <w:rPr>
          <w:spacing w:val="-2"/>
          <w:sz w:val="21"/>
        </w:rPr>
        <w:t>我们行使合同解除权适用</w:t>
      </w:r>
      <w:r>
        <w:rPr>
          <w:rFonts w:ascii="Times New Roman" w:hAnsi="Times New Roman" w:eastAsia="Times New Roman"/>
          <w:spacing w:val="-2"/>
          <w:sz w:val="21"/>
        </w:rPr>
        <w:t>“</w:t>
      </w:r>
      <w:r>
        <w:rPr>
          <w:spacing w:val="-2"/>
          <w:sz w:val="21"/>
        </w:rPr>
        <w:t>本公司合</w:t>
      </w:r>
      <w:r>
        <w:rPr>
          <w:spacing w:val="-2"/>
          <w:sz w:val="21"/>
        </w:rPr>
        <w:t>同解除权的限制</w:t>
      </w:r>
      <w:r>
        <w:rPr>
          <w:rFonts w:ascii="Times New Roman" w:hAnsi="Times New Roman" w:eastAsia="Times New Roman"/>
          <w:spacing w:val="-2"/>
          <w:sz w:val="21"/>
        </w:rPr>
        <w:t>”</w:t>
      </w:r>
      <w:r>
        <w:rPr>
          <w:spacing w:val="-2"/>
          <w:sz w:val="21"/>
        </w:rPr>
        <w:t>的规定；</w:t>
      </w:r>
    </w:p>
    <w:p>
      <w:pPr>
        <w:pStyle w:val="ListParagraph"/>
        <w:numPr>
          <w:ilvl w:val="2"/>
          <w:numId w:val="13"/>
        </w:numPr>
        <w:tabs>
          <w:tab w:pos="3701" w:val="left" w:leader="none"/>
        </w:tabs>
        <w:spacing w:line="242" w:lineRule="auto" w:before="4" w:after="0"/>
        <w:ind w:left="3690" w:right="450" w:hanging="526"/>
        <w:jc w:val="both"/>
        <w:rPr>
          <w:b/>
          <w:sz w:val="21"/>
        </w:rPr>
      </w:pPr>
      <w:r>
        <w:rPr>
          <w:spacing w:val="-2"/>
          <w:sz w:val="21"/>
        </w:rPr>
        <w:t>您申报的被保险人年龄不真实，致使您实付保险费少于应付</w:t>
      </w:r>
      <w:r>
        <w:rPr>
          <w:spacing w:val="-2"/>
          <w:sz w:val="21"/>
        </w:rPr>
        <w:t>保险费的，我们有权更正并要求您补付保险费。</w:t>
      </w:r>
      <w:r>
        <w:rPr>
          <w:b/>
          <w:spacing w:val="-2"/>
          <w:sz w:val="21"/>
        </w:rPr>
        <w:t>若已经发生保险事故，在给付保险金时按实付保险费和应付保险费的比</w:t>
      </w:r>
      <w:r>
        <w:rPr>
          <w:b/>
          <w:spacing w:val="-4"/>
          <w:sz w:val="21"/>
        </w:rPr>
        <w:t>例给付；</w:t>
      </w:r>
    </w:p>
    <w:p>
      <w:pPr>
        <w:pStyle w:val="ListParagraph"/>
        <w:numPr>
          <w:ilvl w:val="2"/>
          <w:numId w:val="13"/>
        </w:numPr>
        <w:tabs>
          <w:tab w:pos="3701" w:val="left" w:leader="none"/>
        </w:tabs>
        <w:spacing w:line="242" w:lineRule="auto" w:before="2" w:after="0"/>
        <w:ind w:left="3690" w:right="450" w:hanging="526"/>
        <w:jc w:val="left"/>
        <w:rPr>
          <w:sz w:val="21"/>
        </w:rPr>
      </w:pPr>
      <w:r>
        <w:rPr>
          <w:spacing w:val="-2"/>
          <w:sz w:val="21"/>
        </w:rPr>
        <w:t>您申报的被保险人年龄不真实，致使您实付保险费多于应付</w:t>
      </w:r>
      <w:r>
        <w:rPr>
          <w:spacing w:val="-2"/>
          <w:sz w:val="21"/>
        </w:rPr>
        <w:t>保险费的，我们会将多收的保险费退还给您。</w:t>
      </w:r>
    </w:p>
    <w:p>
      <w:pPr>
        <w:pStyle w:val="BodyText"/>
        <w:spacing w:before="5"/>
        <w:rPr>
          <w:sz w:val="18"/>
        </w:rPr>
      </w:pPr>
    </w:p>
    <w:p>
      <w:pPr>
        <w:pStyle w:val="ListParagraph"/>
        <w:numPr>
          <w:ilvl w:val="1"/>
          <w:numId w:val="13"/>
        </w:numPr>
        <w:tabs>
          <w:tab w:pos="1321" w:val="left" w:leader="none"/>
          <w:tab w:pos="1322" w:val="left" w:leader="none"/>
          <w:tab w:pos="3164" w:val="left" w:leader="none"/>
        </w:tabs>
        <w:spacing w:line="240" w:lineRule="auto" w:before="0" w:after="0"/>
        <w:ind w:left="1321" w:right="0" w:hanging="1100"/>
        <w:jc w:val="left"/>
        <w:rPr>
          <w:sz w:val="21"/>
        </w:rPr>
      </w:pPr>
      <w:r>
        <w:rPr>
          <w:b/>
          <w:sz w:val="21"/>
        </w:rPr>
        <w:t>合同内容变</w:t>
      </w:r>
      <w:r>
        <w:rPr>
          <w:b/>
          <w:spacing w:val="-10"/>
          <w:sz w:val="21"/>
        </w:rPr>
        <w:t>更</w:t>
      </w:r>
      <w:r>
        <w:rPr>
          <w:b/>
          <w:sz w:val="21"/>
        </w:rPr>
        <w:tab/>
      </w:r>
      <w:r>
        <w:rPr>
          <w:spacing w:val="-2"/>
          <w:sz w:val="21"/>
        </w:rPr>
        <w:t>在</w:t>
      </w:r>
      <w:r>
        <w:rPr>
          <w:spacing w:val="-2"/>
          <w:sz w:val="21"/>
        </w:rPr>
        <w:t>本</w:t>
      </w:r>
      <w:r>
        <w:rPr>
          <w:spacing w:val="-2"/>
          <w:sz w:val="21"/>
        </w:rPr>
        <w:t>合同有效期内，经您</w:t>
      </w:r>
      <w:r>
        <w:rPr>
          <w:spacing w:val="-2"/>
          <w:sz w:val="21"/>
        </w:rPr>
        <w:t>与</w:t>
      </w:r>
      <w:r>
        <w:rPr>
          <w:spacing w:val="-2"/>
          <w:sz w:val="21"/>
        </w:rPr>
        <w:t>我</w:t>
      </w:r>
      <w:r>
        <w:rPr>
          <w:spacing w:val="-2"/>
          <w:sz w:val="21"/>
        </w:rPr>
        <w:t>们协商一致，可以变</w:t>
      </w:r>
      <w:r>
        <w:rPr>
          <w:spacing w:val="-2"/>
          <w:sz w:val="21"/>
        </w:rPr>
        <w:t>更</w:t>
      </w:r>
      <w:r>
        <w:rPr>
          <w:spacing w:val="-2"/>
          <w:sz w:val="21"/>
        </w:rPr>
        <w:t>本</w:t>
      </w:r>
      <w:r>
        <w:rPr>
          <w:spacing w:val="-2"/>
          <w:sz w:val="21"/>
        </w:rPr>
        <w:t>合同的</w:t>
      </w:r>
      <w:r>
        <w:rPr>
          <w:spacing w:val="-2"/>
          <w:sz w:val="21"/>
        </w:rPr>
        <w:t>有</w:t>
      </w:r>
      <w:r>
        <w:rPr>
          <w:spacing w:val="-10"/>
          <w:sz w:val="21"/>
        </w:rPr>
        <w:t>关</w:t>
      </w:r>
    </w:p>
    <w:p>
      <w:pPr>
        <w:pStyle w:val="BodyText"/>
        <w:spacing w:line="242" w:lineRule="auto" w:before="5"/>
        <w:ind w:left="3165" w:right="449"/>
      </w:pPr>
      <w:r>
        <w:rPr>
          <w:spacing w:val="-2"/>
        </w:rPr>
        <w:t>内容。变更本合同的，应当由我们在保险单或者其他保险凭证上批</w:t>
      </w:r>
      <w:r>
        <w:rPr>
          <w:spacing w:val="-2"/>
        </w:rPr>
        <w:t>注或者附贴批单，或者由您与我们订立书面的变更协议。</w:t>
      </w:r>
    </w:p>
    <w:p>
      <w:pPr>
        <w:pStyle w:val="BodyText"/>
        <w:spacing w:before="4"/>
        <w:rPr>
          <w:sz w:val="18"/>
        </w:rPr>
      </w:pPr>
    </w:p>
    <w:p>
      <w:pPr>
        <w:pStyle w:val="ListParagraph"/>
        <w:numPr>
          <w:ilvl w:val="1"/>
          <w:numId w:val="13"/>
        </w:numPr>
        <w:tabs>
          <w:tab w:pos="1321" w:val="left" w:leader="none"/>
          <w:tab w:pos="1322" w:val="left" w:leader="none"/>
        </w:tabs>
        <w:spacing w:line="240" w:lineRule="auto" w:before="0" w:after="0"/>
        <w:ind w:left="1321" w:right="0" w:hanging="1100"/>
        <w:jc w:val="both"/>
        <w:rPr>
          <w:sz w:val="21"/>
        </w:rPr>
      </w:pPr>
      <w:r>
        <w:rPr>
          <w:b/>
          <w:spacing w:val="61"/>
          <w:sz w:val="21"/>
        </w:rPr>
        <w:t>联系方式变更 </w:t>
      </w:r>
      <w:r>
        <w:rPr>
          <w:spacing w:val="-1"/>
          <w:sz w:val="21"/>
        </w:rPr>
        <w:t>为了保障您的合法权益，您的住所、通讯地址、电子邮件或电话变</w:t>
      </w:r>
    </w:p>
    <w:p>
      <w:pPr>
        <w:spacing w:line="242" w:lineRule="auto" w:before="5"/>
        <w:ind w:left="3165" w:right="452" w:firstLine="0"/>
        <w:jc w:val="both"/>
        <w:rPr>
          <w:b/>
          <w:sz w:val="21"/>
        </w:rPr>
      </w:pPr>
      <w:r>
        <w:rPr>
          <w:spacing w:val="-2"/>
          <w:sz w:val="21"/>
        </w:rPr>
        <w:t>更时，请及时以书面形式或双方认可的其他形式通知我们。</w:t>
      </w:r>
      <w:r>
        <w:rPr>
          <w:b/>
          <w:spacing w:val="-2"/>
          <w:sz w:val="21"/>
        </w:rPr>
        <w:t>否则我</w:t>
      </w:r>
      <w:r>
        <w:rPr>
          <w:b/>
          <w:spacing w:val="-2"/>
          <w:sz w:val="21"/>
        </w:rPr>
        <w:t>们按本合同载明的最后住所、通讯地址、电子邮件或电话发送的有</w:t>
      </w:r>
      <w:r>
        <w:rPr>
          <w:b/>
          <w:spacing w:val="-2"/>
          <w:sz w:val="21"/>
        </w:rPr>
        <w:t>关通知，均视为已送达给您。</w:t>
      </w:r>
    </w:p>
    <w:p>
      <w:pPr>
        <w:pStyle w:val="BodyText"/>
        <w:spacing w:before="7"/>
        <w:rPr>
          <w:b/>
          <w:sz w:val="18"/>
        </w:rPr>
      </w:pPr>
    </w:p>
    <w:p>
      <w:pPr>
        <w:pStyle w:val="ListParagraph"/>
        <w:numPr>
          <w:ilvl w:val="1"/>
          <w:numId w:val="13"/>
        </w:numPr>
        <w:tabs>
          <w:tab w:pos="1321" w:val="left" w:leader="none"/>
          <w:tab w:pos="1322" w:val="left" w:leader="none"/>
          <w:tab w:pos="3164" w:val="left" w:leader="none"/>
        </w:tabs>
        <w:spacing w:line="240" w:lineRule="auto" w:before="0" w:after="0"/>
        <w:ind w:left="1321" w:right="0" w:hanging="1100"/>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同争议解决方式由当</w:t>
      </w:r>
      <w:r>
        <w:rPr>
          <w:spacing w:val="-2"/>
          <w:sz w:val="21"/>
        </w:rPr>
        <w:t>事</w:t>
      </w:r>
      <w:r>
        <w:rPr>
          <w:spacing w:val="-2"/>
          <w:sz w:val="21"/>
        </w:rPr>
        <w:t>人</w:t>
      </w:r>
      <w:r>
        <w:rPr>
          <w:spacing w:val="-2"/>
          <w:sz w:val="21"/>
        </w:rPr>
        <w:t>约定从下列二种方式</w:t>
      </w:r>
      <w:r>
        <w:rPr>
          <w:spacing w:val="-2"/>
          <w:sz w:val="21"/>
        </w:rPr>
        <w:t>中</w:t>
      </w:r>
      <w:r>
        <w:rPr>
          <w:spacing w:val="-2"/>
          <w:sz w:val="21"/>
        </w:rPr>
        <w:t>选</w:t>
      </w:r>
      <w:r>
        <w:rPr>
          <w:spacing w:val="-2"/>
          <w:sz w:val="21"/>
        </w:rPr>
        <w:t>择一种</w:t>
      </w:r>
      <w:r>
        <w:rPr>
          <w:spacing w:val="-10"/>
          <w:sz w:val="21"/>
        </w:rPr>
        <w:t>：</w:t>
      </w:r>
    </w:p>
    <w:p>
      <w:pPr>
        <w:pStyle w:val="ListParagraph"/>
        <w:numPr>
          <w:ilvl w:val="0"/>
          <w:numId w:val="14"/>
        </w:numPr>
        <w:tabs>
          <w:tab w:pos="3694" w:val="left" w:leader="none"/>
        </w:tabs>
        <w:spacing w:line="244" w:lineRule="auto" w:before="2" w:after="0"/>
        <w:ind w:left="3690" w:right="346" w:hanging="526"/>
        <w:jc w:val="left"/>
        <w:rPr>
          <w:sz w:val="21"/>
        </w:rPr>
      </w:pPr>
      <w:r>
        <w:rPr>
          <w:spacing w:val="-2"/>
          <w:sz w:val="21"/>
        </w:rPr>
        <w:t>因履行本合同发生的争议，由当事人协商解决，协商不成的，</w:t>
      </w:r>
      <w:r>
        <w:rPr>
          <w:spacing w:val="-2"/>
          <w:sz w:val="21"/>
        </w:rPr>
        <w:t>提交双方共同选择的仲裁委员会仲裁；</w:t>
      </w:r>
    </w:p>
    <w:p>
      <w:pPr>
        <w:pStyle w:val="ListParagraph"/>
        <w:numPr>
          <w:ilvl w:val="0"/>
          <w:numId w:val="14"/>
        </w:numPr>
        <w:tabs>
          <w:tab w:pos="3694" w:val="left" w:leader="none"/>
        </w:tabs>
        <w:spacing w:line="265" w:lineRule="exact" w:before="0" w:after="33"/>
        <w:ind w:left="3694" w:right="0" w:hanging="529"/>
        <w:jc w:val="left"/>
        <w:rPr>
          <w:sz w:val="21"/>
        </w:rPr>
      </w:pPr>
      <w:r>
        <w:rPr>
          <w:spacing w:val="-3"/>
          <w:sz w:val="21"/>
        </w:rPr>
        <w:t>因履行本合同发生的争议，由当事人协商解决，协商不成的，</w:t>
      </w: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1762"/>
        <w:gridCol w:w="6693"/>
      </w:tblGrid>
      <w:tr>
        <w:trPr>
          <w:trHeight w:val="393" w:hRule="atLeast"/>
        </w:trPr>
        <w:tc>
          <w:tcPr>
            <w:tcW w:w="2552" w:type="dxa"/>
            <w:gridSpan w:val="2"/>
          </w:tcPr>
          <w:p>
            <w:pPr>
              <w:pStyle w:val="TableParagraph"/>
              <w:rPr>
                <w:rFonts w:ascii="Times New Roman"/>
                <w:sz w:val="20"/>
              </w:rPr>
            </w:pPr>
          </w:p>
        </w:tc>
        <w:tc>
          <w:tcPr>
            <w:tcW w:w="6693" w:type="dxa"/>
          </w:tcPr>
          <w:p>
            <w:pPr>
              <w:pStyle w:val="TableParagraph"/>
              <w:spacing w:line="241" w:lineRule="exact"/>
              <w:ind w:left="1024"/>
              <w:rPr>
                <w:sz w:val="21"/>
              </w:rPr>
            </w:pPr>
            <w:r>
              <w:rPr>
                <w:spacing w:val="-3"/>
                <w:sz w:val="21"/>
              </w:rPr>
              <w:t>依法向人民法院起诉。</w:t>
            </w:r>
          </w:p>
        </w:tc>
      </w:tr>
      <w:tr>
        <w:trPr>
          <w:trHeight w:val="532" w:hRule="atLeast"/>
        </w:trPr>
        <w:tc>
          <w:tcPr>
            <w:tcW w:w="790" w:type="dxa"/>
            <w:tcBorders>
              <w:bottom w:val="single" w:sz="4" w:space="0" w:color="000000"/>
            </w:tcBorders>
          </w:tcPr>
          <w:p>
            <w:pPr>
              <w:pStyle w:val="TableParagraph"/>
              <w:spacing w:before="171"/>
              <w:ind w:left="108"/>
              <w:rPr>
                <w:rFonts w:ascii="Times New Roman"/>
                <w:b/>
                <w:sz w:val="24"/>
              </w:rPr>
            </w:pPr>
            <w:r>
              <w:rPr>
                <w:rFonts w:ascii="Times New Roman"/>
                <w:b/>
                <w:sz w:val="24"/>
              </w:rPr>
              <w:t>9</w:t>
            </w:r>
          </w:p>
        </w:tc>
        <w:tc>
          <w:tcPr>
            <w:tcW w:w="1762" w:type="dxa"/>
            <w:tcBorders>
              <w:bottom w:val="single" w:sz="4" w:space="0" w:color="000000"/>
            </w:tcBorders>
          </w:tcPr>
          <w:p>
            <w:pPr>
              <w:pStyle w:val="TableParagraph"/>
              <w:spacing w:before="155"/>
              <w:ind w:left="417"/>
              <w:rPr>
                <w:b/>
                <w:sz w:val="24"/>
              </w:rPr>
            </w:pPr>
            <w:r>
              <w:rPr>
                <w:b/>
                <w:w w:val="95"/>
                <w:sz w:val="24"/>
              </w:rPr>
              <w:t>释</w:t>
            </w:r>
            <w:r>
              <w:rPr>
                <w:b/>
                <w:spacing w:val="-10"/>
                <w:sz w:val="24"/>
              </w:rPr>
              <w:t>义</w:t>
            </w:r>
          </w:p>
        </w:tc>
        <w:tc>
          <w:tcPr>
            <w:tcW w:w="6693" w:type="dxa"/>
            <w:tcBorders>
              <w:bottom w:val="single" w:sz="4" w:space="0" w:color="000000"/>
            </w:tcBorders>
          </w:tcPr>
          <w:p>
            <w:pPr>
              <w:pStyle w:val="TableParagraph"/>
              <w:rPr>
                <w:rFonts w:ascii="Times New Roman"/>
                <w:sz w:val="20"/>
              </w:rPr>
            </w:pPr>
          </w:p>
        </w:tc>
      </w:tr>
      <w:tr>
        <w:trPr>
          <w:trHeight w:val="509" w:hRule="atLeast"/>
        </w:trPr>
        <w:tc>
          <w:tcPr>
            <w:tcW w:w="790" w:type="dxa"/>
            <w:tcBorders>
              <w:top w:val="single" w:sz="4" w:space="0" w:color="000000"/>
            </w:tcBorders>
          </w:tcPr>
          <w:p>
            <w:pPr>
              <w:pStyle w:val="TableParagraph"/>
              <w:spacing w:before="5"/>
              <w:rPr>
                <w:sz w:val="18"/>
              </w:rPr>
            </w:pPr>
          </w:p>
          <w:p>
            <w:pPr>
              <w:pStyle w:val="TableParagraph"/>
              <w:ind w:left="108"/>
              <w:rPr>
                <w:rFonts w:ascii="Times New Roman"/>
                <w:sz w:val="21"/>
              </w:rPr>
            </w:pPr>
            <w:r>
              <w:rPr>
                <w:rFonts w:ascii="Times New Roman"/>
                <w:spacing w:val="-5"/>
                <w:sz w:val="21"/>
              </w:rPr>
              <w:t>9.1</w:t>
            </w:r>
          </w:p>
        </w:tc>
        <w:tc>
          <w:tcPr>
            <w:tcW w:w="1762" w:type="dxa"/>
            <w:tcBorders>
              <w:top w:val="single" w:sz="4" w:space="0" w:color="000000"/>
            </w:tcBorders>
          </w:tcPr>
          <w:p>
            <w:pPr>
              <w:pStyle w:val="TableParagraph"/>
              <w:spacing w:before="12"/>
              <w:rPr>
                <w:sz w:val="18"/>
              </w:rPr>
            </w:pPr>
          </w:p>
          <w:p>
            <w:pPr>
              <w:pStyle w:val="TableParagraph"/>
              <w:spacing w:line="246" w:lineRule="exact"/>
              <w:ind w:left="417"/>
              <w:rPr>
                <w:b/>
                <w:sz w:val="21"/>
              </w:rPr>
            </w:pPr>
            <w:r>
              <w:rPr>
                <w:b/>
                <w:spacing w:val="-5"/>
                <w:sz w:val="21"/>
              </w:rPr>
              <w:t>周岁</w:t>
            </w:r>
          </w:p>
        </w:tc>
        <w:tc>
          <w:tcPr>
            <w:tcW w:w="6693" w:type="dxa"/>
            <w:tcBorders>
              <w:top w:val="single" w:sz="4" w:space="0" w:color="000000"/>
            </w:tcBorders>
          </w:tcPr>
          <w:p>
            <w:pPr>
              <w:pStyle w:val="TableParagraph"/>
              <w:spacing w:before="12"/>
              <w:rPr>
                <w:sz w:val="18"/>
              </w:rPr>
            </w:pPr>
          </w:p>
          <w:p>
            <w:pPr>
              <w:pStyle w:val="TableParagraph"/>
              <w:spacing w:line="246" w:lineRule="exact"/>
              <w:ind w:left="498"/>
              <w:rPr>
                <w:sz w:val="21"/>
              </w:rPr>
            </w:pPr>
            <w:r>
              <w:rPr>
                <w:spacing w:val="-3"/>
                <w:sz w:val="21"/>
              </w:rPr>
              <w:t>指按有效身份证件文件中记载的出生日期计算的年龄，自出生之日</w:t>
            </w:r>
          </w:p>
        </w:tc>
      </w:tr>
      <w:tr>
        <w:trPr>
          <w:trHeight w:val="389"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before="5"/>
              <w:ind w:left="498"/>
              <w:rPr>
                <w:sz w:val="21"/>
              </w:rPr>
            </w:pPr>
            <w:r>
              <w:rPr>
                <w:spacing w:val="-2"/>
                <w:sz w:val="21"/>
              </w:rPr>
              <w:t>起为零周岁，每经过</w:t>
            </w:r>
            <w:r>
              <w:rPr>
                <w:rFonts w:ascii="Times New Roman" w:eastAsia="Times New Roman"/>
                <w:spacing w:val="-2"/>
                <w:sz w:val="21"/>
              </w:rPr>
              <w:t>1</w:t>
            </w:r>
            <w:r>
              <w:rPr>
                <w:spacing w:val="-2"/>
                <w:sz w:val="21"/>
              </w:rPr>
              <w:t>年增加</w:t>
            </w:r>
            <w:r>
              <w:rPr>
                <w:rFonts w:ascii="Times New Roman" w:eastAsia="Times New Roman"/>
                <w:spacing w:val="-2"/>
                <w:sz w:val="21"/>
              </w:rPr>
              <w:t>1</w:t>
            </w:r>
            <w:r>
              <w:rPr>
                <w:spacing w:val="-2"/>
                <w:sz w:val="21"/>
              </w:rPr>
              <w:t>岁，不足</w:t>
            </w:r>
            <w:r>
              <w:rPr>
                <w:rFonts w:ascii="Times New Roman" w:eastAsia="Times New Roman"/>
                <w:spacing w:val="-2"/>
                <w:sz w:val="21"/>
              </w:rPr>
              <w:t>1</w:t>
            </w:r>
            <w:r>
              <w:rPr>
                <w:spacing w:val="-4"/>
                <w:sz w:val="21"/>
              </w:rPr>
              <w:t>年的不计。</w:t>
            </w:r>
          </w:p>
        </w:tc>
      </w:tr>
      <w:tr>
        <w:trPr>
          <w:trHeight w:val="399" w:hRule="atLeast"/>
        </w:trPr>
        <w:tc>
          <w:tcPr>
            <w:tcW w:w="790" w:type="dxa"/>
          </w:tcPr>
          <w:p>
            <w:pPr>
              <w:pStyle w:val="TableParagraph"/>
              <w:spacing w:before="121"/>
              <w:ind w:left="108"/>
              <w:rPr>
                <w:rFonts w:ascii="Times New Roman"/>
                <w:sz w:val="21"/>
              </w:rPr>
            </w:pPr>
            <w:r>
              <w:rPr>
                <w:rFonts w:ascii="Times New Roman"/>
                <w:spacing w:val="-5"/>
                <w:sz w:val="21"/>
              </w:rPr>
              <w:t>9.2</w:t>
            </w:r>
          </w:p>
        </w:tc>
        <w:tc>
          <w:tcPr>
            <w:tcW w:w="1762" w:type="dxa"/>
          </w:tcPr>
          <w:p>
            <w:pPr>
              <w:pStyle w:val="TableParagraph"/>
              <w:spacing w:line="251" w:lineRule="exact" w:before="129"/>
              <w:ind w:left="417"/>
              <w:rPr>
                <w:b/>
                <w:sz w:val="21"/>
              </w:rPr>
            </w:pPr>
            <w:r>
              <w:rPr>
                <w:b/>
                <w:spacing w:val="-3"/>
                <w:sz w:val="21"/>
              </w:rPr>
              <w:t>恶性肿瘤</w:t>
            </w:r>
          </w:p>
        </w:tc>
        <w:tc>
          <w:tcPr>
            <w:tcW w:w="6693" w:type="dxa"/>
          </w:tcPr>
          <w:p>
            <w:pPr>
              <w:pStyle w:val="TableParagraph"/>
              <w:spacing w:line="251" w:lineRule="exact" w:before="129"/>
              <w:ind w:left="498"/>
              <w:rPr>
                <w:sz w:val="21"/>
              </w:rPr>
            </w:pPr>
            <w:r>
              <w:rPr>
                <w:spacing w:val="-3"/>
                <w:sz w:val="21"/>
              </w:rPr>
              <w:t>指恶性细胞不受控制的进行性增长和扩散，浸润和破坏周围正常组</w:t>
            </w:r>
          </w:p>
        </w:tc>
      </w:tr>
      <w:tr>
        <w:trPr>
          <w:trHeight w:val="272"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line="250" w:lineRule="exact" w:before="2"/>
              <w:ind w:left="498"/>
              <w:rPr>
                <w:sz w:val="21"/>
              </w:rPr>
            </w:pPr>
            <w:r>
              <w:rPr>
                <w:spacing w:val="-3"/>
                <w:sz w:val="21"/>
              </w:rPr>
              <w:t>织，可以经血管、淋巴管和体腔扩散转移到身体其它部位的疾病。</w:t>
            </w:r>
          </w:p>
        </w:tc>
      </w:tr>
      <w:tr>
        <w:trPr>
          <w:trHeight w:val="269" w:hRule="atLeast"/>
        </w:trPr>
        <w:tc>
          <w:tcPr>
            <w:tcW w:w="790" w:type="dxa"/>
          </w:tcPr>
          <w:p>
            <w:pPr>
              <w:pStyle w:val="TableParagraph"/>
              <w:rPr>
                <w:rFonts w:ascii="Times New Roman"/>
                <w:sz w:val="18"/>
              </w:rPr>
            </w:pPr>
          </w:p>
        </w:tc>
        <w:tc>
          <w:tcPr>
            <w:tcW w:w="1762" w:type="dxa"/>
          </w:tcPr>
          <w:p>
            <w:pPr>
              <w:pStyle w:val="TableParagraph"/>
              <w:rPr>
                <w:rFonts w:ascii="Times New Roman"/>
                <w:sz w:val="18"/>
              </w:rPr>
            </w:pPr>
          </w:p>
        </w:tc>
        <w:tc>
          <w:tcPr>
            <w:tcW w:w="6693" w:type="dxa"/>
          </w:tcPr>
          <w:p>
            <w:pPr>
              <w:pStyle w:val="TableParagraph"/>
              <w:spacing w:line="248" w:lineRule="exact" w:before="1"/>
              <w:ind w:left="498"/>
              <w:rPr>
                <w:b/>
                <w:sz w:val="21"/>
              </w:rPr>
            </w:pPr>
            <w:r>
              <w:rPr>
                <w:spacing w:val="-2"/>
                <w:sz w:val="21"/>
              </w:rPr>
              <w:t>经病理学检查结果明确诊断，临床诊断属于世界卫生组织</w:t>
            </w:r>
            <w:r>
              <w:rPr>
                <w:b/>
                <w:spacing w:val="-4"/>
                <w:sz w:val="21"/>
              </w:rPr>
              <w:t>《疾病和</w:t>
            </w:r>
          </w:p>
        </w:tc>
      </w:tr>
      <w:tr>
        <w:trPr>
          <w:trHeight w:val="283"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line="258" w:lineRule="exact" w:before="6"/>
              <w:ind w:left="498"/>
              <w:rPr>
                <w:sz w:val="21"/>
              </w:rPr>
            </w:pPr>
            <w:r>
              <w:rPr>
                <w:b/>
                <w:spacing w:val="-6"/>
                <w:sz w:val="21"/>
              </w:rPr>
              <w:t>有关健康问题的国际统计分类</w:t>
            </w:r>
            <w:r>
              <w:rPr>
                <w:b/>
                <w:spacing w:val="-168"/>
                <w:sz w:val="21"/>
              </w:rPr>
              <w:t>》</w:t>
            </w:r>
            <w:r>
              <w:rPr>
                <w:spacing w:val="-6"/>
                <w:sz w:val="21"/>
              </w:rPr>
              <w:t>（</w:t>
            </w:r>
            <w:r>
              <w:rPr>
                <w:rFonts w:ascii="Times New Roman" w:eastAsia="Times New Roman"/>
                <w:spacing w:val="-6"/>
                <w:sz w:val="21"/>
              </w:rPr>
              <w:t>ICD-10</w:t>
            </w:r>
            <w:r>
              <w:rPr>
                <w:spacing w:val="-6"/>
                <w:sz w:val="21"/>
              </w:rPr>
              <w:t>，见</w:t>
            </w:r>
            <w:r>
              <w:rPr>
                <w:rFonts w:ascii="Times New Roman" w:eastAsia="Times New Roman"/>
                <w:spacing w:val="-6"/>
                <w:sz w:val="21"/>
              </w:rPr>
              <w:t>9.29</w:t>
            </w:r>
            <w:r>
              <w:rPr>
                <w:spacing w:val="-6"/>
                <w:sz w:val="21"/>
              </w:rPr>
              <w:t>）</w:t>
            </w:r>
            <w:r>
              <w:rPr>
                <w:spacing w:val="-7"/>
                <w:sz w:val="21"/>
              </w:rPr>
              <w:t>的恶性肿瘤范畴。</w:t>
            </w:r>
          </w:p>
        </w:tc>
      </w:tr>
      <w:tr>
        <w:trPr>
          <w:trHeight w:val="261" w:hRule="atLeast"/>
        </w:trPr>
        <w:tc>
          <w:tcPr>
            <w:tcW w:w="790" w:type="dxa"/>
          </w:tcPr>
          <w:p>
            <w:pPr>
              <w:pStyle w:val="TableParagraph"/>
              <w:rPr>
                <w:rFonts w:ascii="Times New Roman"/>
                <w:sz w:val="18"/>
              </w:rPr>
            </w:pPr>
          </w:p>
        </w:tc>
        <w:tc>
          <w:tcPr>
            <w:tcW w:w="1762" w:type="dxa"/>
          </w:tcPr>
          <w:p>
            <w:pPr>
              <w:pStyle w:val="TableParagraph"/>
              <w:rPr>
                <w:rFonts w:ascii="Times New Roman"/>
                <w:sz w:val="18"/>
              </w:rPr>
            </w:pPr>
          </w:p>
        </w:tc>
        <w:tc>
          <w:tcPr>
            <w:tcW w:w="6693" w:type="dxa"/>
          </w:tcPr>
          <w:p>
            <w:pPr>
              <w:pStyle w:val="TableParagraph"/>
              <w:spacing w:line="241" w:lineRule="exact"/>
              <w:ind w:left="498"/>
              <w:rPr>
                <w:sz w:val="21"/>
              </w:rPr>
            </w:pPr>
            <w:r>
              <w:rPr>
                <w:b/>
                <w:spacing w:val="-2"/>
                <w:sz w:val="21"/>
              </w:rPr>
              <w:t>下列疾病不在保障范围内</w:t>
            </w:r>
            <w:r>
              <w:rPr>
                <w:spacing w:val="-10"/>
                <w:sz w:val="21"/>
              </w:rPr>
              <w:t>：</w:t>
            </w:r>
          </w:p>
        </w:tc>
      </w:tr>
      <w:tr>
        <w:trPr>
          <w:trHeight w:val="280"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line="254" w:lineRule="exact" w:before="6"/>
              <w:ind w:left="498"/>
              <w:rPr>
                <w:b/>
                <w:sz w:val="21"/>
              </w:rPr>
            </w:pPr>
            <w:r>
              <w:rPr>
                <w:b/>
                <w:spacing w:val="-2"/>
                <w:sz w:val="21"/>
              </w:rPr>
              <w:t>（</w:t>
            </w:r>
            <w:r>
              <w:rPr>
                <w:rFonts w:ascii="Times New Roman" w:eastAsia="Times New Roman"/>
                <w:b/>
                <w:spacing w:val="-2"/>
                <w:sz w:val="21"/>
              </w:rPr>
              <w:t>1</w:t>
            </w:r>
            <w:r>
              <w:rPr>
                <w:b/>
                <w:spacing w:val="-2"/>
                <w:sz w:val="21"/>
              </w:rPr>
              <w:t>）</w:t>
            </w:r>
            <w:r>
              <w:rPr>
                <w:b/>
                <w:spacing w:val="-5"/>
                <w:sz w:val="21"/>
              </w:rPr>
              <w:t>原位癌；</w:t>
            </w:r>
          </w:p>
        </w:tc>
      </w:tr>
      <w:tr>
        <w:trPr>
          <w:trHeight w:val="272"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line="252" w:lineRule="exact"/>
              <w:ind w:left="498"/>
              <w:rPr>
                <w:b/>
                <w:sz w:val="21"/>
              </w:rPr>
            </w:pPr>
            <w:r>
              <w:rPr>
                <w:b/>
                <w:spacing w:val="-2"/>
                <w:sz w:val="21"/>
              </w:rPr>
              <w:t>（</w:t>
            </w:r>
            <w:r>
              <w:rPr>
                <w:rFonts w:ascii="Times New Roman" w:eastAsia="Times New Roman"/>
                <w:b/>
                <w:spacing w:val="-2"/>
                <w:sz w:val="21"/>
              </w:rPr>
              <w:t>2</w:t>
            </w:r>
            <w:r>
              <w:rPr>
                <w:b/>
                <w:spacing w:val="-2"/>
                <w:sz w:val="21"/>
              </w:rPr>
              <w:t>）相当于</w:t>
            </w:r>
            <w:r>
              <w:rPr>
                <w:rFonts w:ascii="Times New Roman" w:eastAsia="Times New Roman"/>
                <w:b/>
                <w:spacing w:val="-2"/>
                <w:sz w:val="21"/>
              </w:rPr>
              <w:t>Binet</w:t>
            </w:r>
            <w:r>
              <w:rPr>
                <w:b/>
                <w:spacing w:val="-2"/>
                <w:sz w:val="21"/>
              </w:rPr>
              <w:t>分期方案</w:t>
            </w:r>
            <w:r>
              <w:rPr>
                <w:rFonts w:ascii="Times New Roman" w:eastAsia="Times New Roman"/>
                <w:b/>
                <w:spacing w:val="-2"/>
                <w:sz w:val="21"/>
              </w:rPr>
              <w:t>A</w:t>
            </w:r>
            <w:r>
              <w:rPr>
                <w:b/>
                <w:spacing w:val="-3"/>
                <w:sz w:val="21"/>
              </w:rPr>
              <w:t>期程度的慢性淋巴细胞白血病；</w:t>
            </w:r>
          </w:p>
        </w:tc>
      </w:tr>
      <w:tr>
        <w:trPr>
          <w:trHeight w:val="272"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line="252" w:lineRule="exact"/>
              <w:ind w:left="498"/>
              <w:rPr>
                <w:b/>
                <w:sz w:val="21"/>
              </w:rPr>
            </w:pPr>
            <w:r>
              <w:rPr>
                <w:b/>
                <w:spacing w:val="-2"/>
                <w:sz w:val="21"/>
              </w:rPr>
              <w:t>（</w:t>
            </w:r>
            <w:r>
              <w:rPr>
                <w:rFonts w:ascii="Times New Roman" w:eastAsia="Times New Roman"/>
                <w:b/>
                <w:spacing w:val="-2"/>
                <w:sz w:val="21"/>
              </w:rPr>
              <w:t>3</w:t>
            </w:r>
            <w:r>
              <w:rPr>
                <w:b/>
                <w:spacing w:val="-2"/>
                <w:sz w:val="21"/>
              </w:rPr>
              <w:t>）相当于</w:t>
            </w:r>
            <w:r>
              <w:rPr>
                <w:rFonts w:ascii="Times New Roman" w:eastAsia="Times New Roman"/>
                <w:b/>
                <w:spacing w:val="-2"/>
                <w:sz w:val="21"/>
              </w:rPr>
              <w:t>Ann</w:t>
            </w:r>
            <w:r>
              <w:rPr>
                <w:rFonts w:ascii="Times New Roman" w:eastAsia="Times New Roman"/>
                <w:b/>
                <w:spacing w:val="25"/>
                <w:sz w:val="21"/>
              </w:rPr>
              <w:t> </w:t>
            </w:r>
            <w:r>
              <w:rPr>
                <w:rFonts w:ascii="Times New Roman" w:eastAsia="Times New Roman"/>
                <w:b/>
                <w:spacing w:val="-2"/>
                <w:sz w:val="21"/>
              </w:rPr>
              <w:t>Arbor</w:t>
            </w:r>
            <w:r>
              <w:rPr>
                <w:b/>
                <w:spacing w:val="-2"/>
                <w:sz w:val="21"/>
              </w:rPr>
              <w:t>分期方案</w:t>
            </w:r>
            <w:r>
              <w:rPr>
                <w:rFonts w:ascii="Times New Roman" w:eastAsia="Times New Roman"/>
                <w:b/>
                <w:spacing w:val="-2"/>
                <w:sz w:val="21"/>
              </w:rPr>
              <w:t>I</w:t>
            </w:r>
            <w:r>
              <w:rPr>
                <w:b/>
                <w:spacing w:val="-3"/>
                <w:sz w:val="21"/>
              </w:rPr>
              <w:t>期程度的何杰金氏病；</w:t>
            </w:r>
          </w:p>
        </w:tc>
      </w:tr>
      <w:tr>
        <w:trPr>
          <w:trHeight w:val="272"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line="252" w:lineRule="exact"/>
              <w:ind w:left="498"/>
              <w:rPr>
                <w:b/>
                <w:sz w:val="21"/>
              </w:rPr>
            </w:pPr>
            <w:r>
              <w:rPr>
                <w:b/>
                <w:spacing w:val="-2"/>
                <w:sz w:val="21"/>
              </w:rPr>
              <w:t>（</w:t>
            </w:r>
            <w:r>
              <w:rPr>
                <w:rFonts w:ascii="Times New Roman" w:eastAsia="Times New Roman"/>
                <w:b/>
                <w:spacing w:val="-2"/>
                <w:sz w:val="21"/>
              </w:rPr>
              <w:t>4</w:t>
            </w:r>
            <w:r>
              <w:rPr>
                <w:b/>
                <w:spacing w:val="-2"/>
                <w:sz w:val="21"/>
              </w:rPr>
              <w:t>）皮肤癌（不包括恶性黑色素瘤及已发生转移的皮肤癌</w:t>
            </w:r>
            <w:r>
              <w:rPr>
                <w:b/>
                <w:spacing w:val="-111"/>
                <w:sz w:val="21"/>
              </w:rPr>
              <w:t>）</w:t>
            </w:r>
            <w:r>
              <w:rPr>
                <w:b/>
                <w:spacing w:val="-5"/>
                <w:sz w:val="21"/>
              </w:rPr>
              <w:t>；</w:t>
            </w:r>
          </w:p>
        </w:tc>
      </w:tr>
      <w:tr>
        <w:trPr>
          <w:trHeight w:val="653"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numPr>
                <w:ilvl w:val="0"/>
                <w:numId w:val="15"/>
              </w:numPr>
              <w:tabs>
                <w:tab w:pos="1028" w:val="left" w:leader="none"/>
              </w:tabs>
              <w:spacing w:line="267" w:lineRule="exact" w:before="0" w:after="0"/>
              <w:ind w:left="1027" w:right="0" w:hanging="530"/>
              <w:jc w:val="left"/>
              <w:rPr>
                <w:b/>
                <w:sz w:val="21"/>
              </w:rPr>
            </w:pPr>
            <w:r>
              <w:rPr>
                <w:rFonts w:ascii="Times New Roman" w:eastAsia="Times New Roman"/>
                <w:b/>
                <w:w w:val="95"/>
                <w:sz w:val="21"/>
              </w:rPr>
              <w:t>TNM</w:t>
            </w:r>
            <w:r>
              <w:rPr>
                <w:b/>
                <w:w w:val="95"/>
                <w:sz w:val="21"/>
              </w:rPr>
              <w:t>分</w:t>
            </w:r>
            <w:r>
              <w:rPr>
                <w:b/>
                <w:w w:val="95"/>
                <w:sz w:val="21"/>
              </w:rPr>
              <w:t>期</w:t>
            </w:r>
            <w:r>
              <w:rPr>
                <w:b/>
                <w:w w:val="95"/>
                <w:sz w:val="21"/>
              </w:rPr>
              <w:t>为</w:t>
            </w:r>
            <w:r>
              <w:rPr>
                <w:rFonts w:ascii="Times New Roman" w:eastAsia="Times New Roman"/>
                <w:b/>
                <w:w w:val="95"/>
                <w:sz w:val="21"/>
              </w:rPr>
              <w:t>T</w:t>
            </w:r>
            <w:r>
              <w:rPr>
                <w:rFonts w:ascii="Times New Roman" w:eastAsia="Times New Roman"/>
                <w:b/>
                <w:w w:val="95"/>
                <w:sz w:val="21"/>
                <w:vertAlign w:val="subscript"/>
              </w:rPr>
              <w:t>1</w:t>
            </w:r>
            <w:r>
              <w:rPr>
                <w:rFonts w:ascii="Times New Roman" w:eastAsia="Times New Roman"/>
                <w:b/>
                <w:w w:val="95"/>
                <w:sz w:val="21"/>
                <w:vertAlign w:val="baseline"/>
              </w:rPr>
              <w:t>N</w:t>
            </w:r>
            <w:r>
              <w:rPr>
                <w:rFonts w:ascii="Times New Roman" w:eastAsia="Times New Roman"/>
                <w:b/>
                <w:w w:val="95"/>
                <w:sz w:val="21"/>
                <w:vertAlign w:val="subscript"/>
              </w:rPr>
              <w:t>0</w:t>
            </w:r>
            <w:r>
              <w:rPr>
                <w:rFonts w:ascii="Times New Roman" w:eastAsia="Times New Roman"/>
                <w:b/>
                <w:w w:val="95"/>
                <w:sz w:val="21"/>
                <w:vertAlign w:val="baseline"/>
              </w:rPr>
              <w:t>M</w:t>
            </w:r>
            <w:r>
              <w:rPr>
                <w:rFonts w:ascii="Times New Roman" w:eastAsia="Times New Roman"/>
                <w:b/>
                <w:w w:val="95"/>
                <w:sz w:val="21"/>
                <w:vertAlign w:val="subscript"/>
              </w:rPr>
              <w:t>0</w:t>
            </w:r>
            <w:r>
              <w:rPr>
                <w:b/>
                <w:w w:val="95"/>
                <w:sz w:val="21"/>
                <w:vertAlign w:val="baseline"/>
              </w:rPr>
              <w:t>期</w:t>
            </w:r>
            <w:r>
              <w:rPr>
                <w:b/>
                <w:w w:val="95"/>
                <w:sz w:val="21"/>
                <w:vertAlign w:val="baseline"/>
              </w:rPr>
              <w:t>或</w:t>
            </w:r>
            <w:r>
              <w:rPr>
                <w:b/>
                <w:w w:val="95"/>
                <w:sz w:val="21"/>
                <w:vertAlign w:val="baseline"/>
              </w:rPr>
              <w:t>更</w:t>
            </w:r>
            <w:r>
              <w:rPr>
                <w:b/>
                <w:w w:val="95"/>
                <w:sz w:val="21"/>
                <w:vertAlign w:val="baseline"/>
              </w:rPr>
              <w:t>轻</w:t>
            </w:r>
            <w:r>
              <w:rPr>
                <w:b/>
                <w:w w:val="95"/>
                <w:sz w:val="21"/>
                <w:vertAlign w:val="baseline"/>
              </w:rPr>
              <w:t>分</w:t>
            </w:r>
            <w:r>
              <w:rPr>
                <w:b/>
                <w:w w:val="95"/>
                <w:sz w:val="21"/>
                <w:vertAlign w:val="baseline"/>
              </w:rPr>
              <w:t>期</w:t>
            </w:r>
            <w:r>
              <w:rPr>
                <w:b/>
                <w:w w:val="95"/>
                <w:sz w:val="21"/>
                <w:vertAlign w:val="baseline"/>
              </w:rPr>
              <w:t>的</w:t>
            </w:r>
            <w:r>
              <w:rPr>
                <w:b/>
                <w:w w:val="95"/>
                <w:sz w:val="21"/>
                <w:vertAlign w:val="baseline"/>
              </w:rPr>
              <w:t>前</w:t>
            </w:r>
            <w:r>
              <w:rPr>
                <w:b/>
                <w:spacing w:val="-3"/>
                <w:w w:val="95"/>
                <w:sz w:val="21"/>
                <w:vertAlign w:val="baseline"/>
              </w:rPr>
              <w:t>列腺癌；</w:t>
            </w:r>
          </w:p>
          <w:p>
            <w:pPr>
              <w:pStyle w:val="TableParagraph"/>
              <w:numPr>
                <w:ilvl w:val="0"/>
                <w:numId w:val="15"/>
              </w:numPr>
              <w:tabs>
                <w:tab w:pos="1028" w:val="left" w:leader="none"/>
              </w:tabs>
              <w:spacing w:line="240" w:lineRule="auto" w:before="2" w:after="0"/>
              <w:ind w:left="1027" w:right="0" w:hanging="530"/>
              <w:jc w:val="left"/>
              <w:rPr>
                <w:b/>
                <w:sz w:val="21"/>
              </w:rPr>
            </w:pPr>
            <w:r>
              <w:rPr>
                <w:b/>
                <w:spacing w:val="-3"/>
                <w:sz w:val="21"/>
              </w:rPr>
              <w:t>感染艾滋病病毒或患艾滋病期间所患恶性肿瘤。</w:t>
            </w:r>
          </w:p>
        </w:tc>
      </w:tr>
      <w:tr>
        <w:trPr>
          <w:trHeight w:val="400" w:hRule="atLeast"/>
        </w:trPr>
        <w:tc>
          <w:tcPr>
            <w:tcW w:w="790" w:type="dxa"/>
          </w:tcPr>
          <w:p>
            <w:pPr>
              <w:pStyle w:val="TableParagraph"/>
              <w:spacing w:before="121"/>
              <w:ind w:left="108"/>
              <w:rPr>
                <w:rFonts w:ascii="Times New Roman"/>
                <w:sz w:val="21"/>
              </w:rPr>
            </w:pPr>
            <w:r>
              <w:rPr>
                <w:rFonts w:ascii="Times New Roman"/>
                <w:spacing w:val="-5"/>
                <w:sz w:val="21"/>
              </w:rPr>
              <w:t>9.3</w:t>
            </w:r>
          </w:p>
        </w:tc>
        <w:tc>
          <w:tcPr>
            <w:tcW w:w="1762" w:type="dxa"/>
          </w:tcPr>
          <w:p>
            <w:pPr>
              <w:pStyle w:val="TableParagraph"/>
              <w:spacing w:line="251" w:lineRule="exact" w:before="129"/>
              <w:ind w:left="417"/>
              <w:rPr>
                <w:b/>
                <w:sz w:val="21"/>
              </w:rPr>
            </w:pPr>
            <w:r>
              <w:rPr>
                <w:b/>
                <w:spacing w:val="-3"/>
                <w:sz w:val="21"/>
              </w:rPr>
              <w:t>意外伤害</w:t>
            </w:r>
          </w:p>
        </w:tc>
        <w:tc>
          <w:tcPr>
            <w:tcW w:w="6693" w:type="dxa"/>
          </w:tcPr>
          <w:p>
            <w:pPr>
              <w:pStyle w:val="TableParagraph"/>
              <w:spacing w:line="251" w:lineRule="exact" w:before="129"/>
              <w:ind w:left="498"/>
              <w:rPr>
                <w:sz w:val="21"/>
              </w:rPr>
            </w:pPr>
            <w:r>
              <w:rPr>
                <w:spacing w:val="-3"/>
                <w:sz w:val="21"/>
              </w:rPr>
              <w:t>指遭受外来的、突发的、非本意的、非疾病的客观事件直接致使身</w:t>
            </w:r>
          </w:p>
        </w:tc>
      </w:tr>
      <w:tr>
        <w:trPr>
          <w:trHeight w:val="379"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before="3"/>
              <w:ind w:left="498"/>
              <w:rPr>
                <w:sz w:val="21"/>
              </w:rPr>
            </w:pPr>
            <w:r>
              <w:rPr>
                <w:spacing w:val="-2"/>
                <w:sz w:val="21"/>
              </w:rPr>
              <w:t>体受到的伤害，</w:t>
            </w:r>
            <w:r>
              <w:rPr>
                <w:b/>
                <w:spacing w:val="-2"/>
                <w:sz w:val="21"/>
              </w:rPr>
              <w:t>猝死不属于意外伤害</w:t>
            </w:r>
            <w:r>
              <w:rPr>
                <w:spacing w:val="-10"/>
                <w:sz w:val="21"/>
              </w:rPr>
              <w:t>。</w:t>
            </w:r>
          </w:p>
        </w:tc>
      </w:tr>
      <w:tr>
        <w:trPr>
          <w:trHeight w:val="406" w:hRule="atLeast"/>
        </w:trPr>
        <w:tc>
          <w:tcPr>
            <w:tcW w:w="790" w:type="dxa"/>
          </w:tcPr>
          <w:p>
            <w:pPr>
              <w:pStyle w:val="TableParagraph"/>
              <w:spacing w:before="129"/>
              <w:ind w:left="108"/>
              <w:rPr>
                <w:rFonts w:ascii="Times New Roman"/>
                <w:sz w:val="21"/>
              </w:rPr>
            </w:pPr>
            <w:r>
              <w:rPr>
                <w:rFonts w:ascii="Times New Roman"/>
                <w:spacing w:val="-5"/>
                <w:sz w:val="21"/>
              </w:rPr>
              <w:t>9.4</w:t>
            </w:r>
          </w:p>
        </w:tc>
        <w:tc>
          <w:tcPr>
            <w:tcW w:w="1762" w:type="dxa"/>
          </w:tcPr>
          <w:p>
            <w:pPr>
              <w:pStyle w:val="TableParagraph"/>
              <w:spacing w:line="250" w:lineRule="exact" w:before="137"/>
              <w:ind w:left="417"/>
              <w:rPr>
                <w:b/>
                <w:sz w:val="21"/>
              </w:rPr>
            </w:pPr>
            <w:r>
              <w:rPr>
                <w:b/>
                <w:spacing w:val="-5"/>
                <w:sz w:val="21"/>
              </w:rPr>
              <w:t>发病</w:t>
            </w:r>
          </w:p>
        </w:tc>
        <w:tc>
          <w:tcPr>
            <w:tcW w:w="6693" w:type="dxa"/>
          </w:tcPr>
          <w:p>
            <w:pPr>
              <w:pStyle w:val="TableParagraph"/>
              <w:spacing w:line="250" w:lineRule="exact" w:before="137"/>
              <w:ind w:left="498"/>
              <w:rPr>
                <w:sz w:val="21"/>
              </w:rPr>
            </w:pPr>
            <w:r>
              <w:rPr>
                <w:spacing w:val="-3"/>
                <w:sz w:val="21"/>
              </w:rPr>
              <w:t>发病是指出现疾病的前兆和异常的身体状况，该疾病的前兆或异常</w:t>
            </w:r>
          </w:p>
        </w:tc>
      </w:tr>
      <w:tr>
        <w:trPr>
          <w:trHeight w:val="272"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line="251" w:lineRule="exact" w:before="1"/>
              <w:ind w:left="498"/>
              <w:rPr>
                <w:sz w:val="21"/>
              </w:rPr>
            </w:pPr>
            <w:r>
              <w:rPr>
                <w:spacing w:val="-3"/>
                <w:sz w:val="21"/>
              </w:rPr>
              <w:t>的身体状况足以引起注意或应当引起注意并寻求检查、诊断、治疗</w:t>
            </w:r>
          </w:p>
        </w:tc>
      </w:tr>
      <w:tr>
        <w:trPr>
          <w:trHeight w:val="258" w:hRule="atLeast"/>
        </w:trPr>
        <w:tc>
          <w:tcPr>
            <w:tcW w:w="790" w:type="dxa"/>
          </w:tcPr>
          <w:p>
            <w:pPr>
              <w:pStyle w:val="TableParagraph"/>
              <w:rPr>
                <w:rFonts w:ascii="Times New Roman"/>
                <w:sz w:val="18"/>
              </w:rPr>
            </w:pPr>
          </w:p>
        </w:tc>
        <w:tc>
          <w:tcPr>
            <w:tcW w:w="1762" w:type="dxa"/>
          </w:tcPr>
          <w:p>
            <w:pPr>
              <w:pStyle w:val="TableParagraph"/>
              <w:rPr>
                <w:rFonts w:ascii="Times New Roman"/>
                <w:sz w:val="18"/>
              </w:rPr>
            </w:pPr>
          </w:p>
        </w:tc>
        <w:tc>
          <w:tcPr>
            <w:tcW w:w="6693" w:type="dxa"/>
          </w:tcPr>
          <w:p>
            <w:pPr>
              <w:pStyle w:val="TableParagraph"/>
              <w:spacing w:line="236" w:lineRule="exact" w:before="2"/>
              <w:ind w:left="498"/>
              <w:rPr>
                <w:sz w:val="21"/>
              </w:rPr>
            </w:pPr>
            <w:r>
              <w:rPr>
                <w:spacing w:val="-4"/>
                <w:sz w:val="21"/>
              </w:rPr>
              <w:t>或护理。</w:t>
            </w:r>
          </w:p>
        </w:tc>
      </w:tr>
      <w:tr>
        <w:trPr>
          <w:trHeight w:val="286" w:hRule="atLeast"/>
        </w:trPr>
        <w:tc>
          <w:tcPr>
            <w:tcW w:w="790" w:type="dxa"/>
          </w:tcPr>
          <w:p>
            <w:pPr>
              <w:pStyle w:val="TableParagraph"/>
              <w:spacing w:before="8"/>
              <w:ind w:left="108"/>
              <w:rPr>
                <w:rFonts w:ascii="Times New Roman"/>
                <w:sz w:val="21"/>
              </w:rPr>
            </w:pPr>
            <w:r>
              <w:rPr>
                <w:rFonts w:ascii="Times New Roman"/>
                <w:spacing w:val="-5"/>
                <w:sz w:val="21"/>
              </w:rPr>
              <w:t>9.5</w:t>
            </w:r>
          </w:p>
        </w:tc>
        <w:tc>
          <w:tcPr>
            <w:tcW w:w="1762" w:type="dxa"/>
          </w:tcPr>
          <w:p>
            <w:pPr>
              <w:pStyle w:val="TableParagraph"/>
              <w:spacing w:line="251" w:lineRule="exact" w:before="15"/>
              <w:ind w:left="417"/>
              <w:rPr>
                <w:b/>
                <w:sz w:val="21"/>
              </w:rPr>
            </w:pPr>
            <w:r>
              <w:rPr>
                <w:b/>
                <w:spacing w:val="-3"/>
                <w:sz w:val="21"/>
              </w:rPr>
              <w:t>首次发病</w:t>
            </w:r>
          </w:p>
        </w:tc>
        <w:tc>
          <w:tcPr>
            <w:tcW w:w="6693" w:type="dxa"/>
          </w:tcPr>
          <w:p>
            <w:pPr>
              <w:pStyle w:val="TableParagraph"/>
              <w:spacing w:line="251" w:lineRule="exact" w:before="15"/>
              <w:ind w:left="498"/>
              <w:rPr>
                <w:b/>
                <w:sz w:val="21"/>
              </w:rPr>
            </w:pPr>
            <w:r>
              <w:rPr>
                <w:spacing w:val="-2"/>
                <w:sz w:val="21"/>
              </w:rPr>
              <w:t>指自被保险人出生之日起第一次发病，</w:t>
            </w:r>
            <w:r>
              <w:rPr>
                <w:b/>
                <w:spacing w:val="-3"/>
                <w:sz w:val="21"/>
              </w:rPr>
              <w:t>而不是指自本合同生效之后</w:t>
            </w:r>
          </w:p>
        </w:tc>
      </w:tr>
      <w:tr>
        <w:trPr>
          <w:trHeight w:val="379" w:hRule="atLeast"/>
        </w:trPr>
        <w:tc>
          <w:tcPr>
            <w:tcW w:w="790" w:type="dxa"/>
          </w:tcPr>
          <w:p>
            <w:pPr>
              <w:pStyle w:val="TableParagraph"/>
              <w:rPr>
                <w:rFonts w:ascii="Times New Roman"/>
                <w:sz w:val="20"/>
              </w:rPr>
            </w:pPr>
          </w:p>
        </w:tc>
        <w:tc>
          <w:tcPr>
            <w:tcW w:w="1762" w:type="dxa"/>
          </w:tcPr>
          <w:p>
            <w:pPr>
              <w:pStyle w:val="TableParagraph"/>
              <w:rPr>
                <w:rFonts w:ascii="Times New Roman"/>
                <w:sz w:val="20"/>
              </w:rPr>
            </w:pPr>
          </w:p>
        </w:tc>
        <w:tc>
          <w:tcPr>
            <w:tcW w:w="6693" w:type="dxa"/>
          </w:tcPr>
          <w:p>
            <w:pPr>
              <w:pStyle w:val="TableParagraph"/>
              <w:spacing w:before="2"/>
              <w:ind w:left="498"/>
              <w:rPr>
                <w:b/>
                <w:sz w:val="21"/>
              </w:rPr>
            </w:pPr>
            <w:r>
              <w:rPr>
                <w:b/>
                <w:spacing w:val="-2"/>
                <w:sz w:val="21"/>
              </w:rPr>
              <w:t>第一次发病。</w:t>
            </w:r>
          </w:p>
        </w:tc>
      </w:tr>
      <w:tr>
        <w:trPr>
          <w:trHeight w:val="403" w:hRule="atLeast"/>
        </w:trPr>
        <w:tc>
          <w:tcPr>
            <w:tcW w:w="790" w:type="dxa"/>
          </w:tcPr>
          <w:p>
            <w:pPr>
              <w:pStyle w:val="TableParagraph"/>
              <w:spacing w:before="129"/>
              <w:ind w:left="108"/>
              <w:rPr>
                <w:rFonts w:ascii="Times New Roman"/>
                <w:sz w:val="21"/>
              </w:rPr>
            </w:pPr>
            <w:r>
              <w:rPr>
                <w:rFonts w:ascii="Times New Roman"/>
                <w:spacing w:val="-5"/>
                <w:sz w:val="21"/>
              </w:rPr>
              <w:t>9.6</w:t>
            </w:r>
          </w:p>
        </w:tc>
        <w:tc>
          <w:tcPr>
            <w:tcW w:w="1762" w:type="dxa"/>
          </w:tcPr>
          <w:p>
            <w:pPr>
              <w:pStyle w:val="TableParagraph"/>
              <w:spacing w:line="246" w:lineRule="exact" w:before="137"/>
              <w:ind w:left="417"/>
              <w:rPr>
                <w:b/>
                <w:sz w:val="21"/>
              </w:rPr>
            </w:pPr>
            <w:r>
              <w:rPr>
                <w:b/>
                <w:spacing w:val="-3"/>
                <w:sz w:val="21"/>
              </w:rPr>
              <w:t>专科医生</w:t>
            </w:r>
          </w:p>
        </w:tc>
        <w:tc>
          <w:tcPr>
            <w:tcW w:w="6693" w:type="dxa"/>
          </w:tcPr>
          <w:p>
            <w:pPr>
              <w:pStyle w:val="TableParagraph"/>
              <w:spacing w:line="246" w:lineRule="exact" w:before="137"/>
              <w:ind w:left="498"/>
              <w:rPr>
                <w:sz w:val="21"/>
              </w:rPr>
            </w:pPr>
            <w:r>
              <w:rPr>
                <w:spacing w:val="-3"/>
                <w:sz w:val="21"/>
              </w:rPr>
              <w:t>专科医生应当同时满足以下四项资格条件：</w:t>
            </w:r>
          </w:p>
        </w:tc>
      </w:tr>
      <w:tr>
        <w:trPr>
          <w:trHeight w:val="260" w:hRule="atLeast"/>
        </w:trPr>
        <w:tc>
          <w:tcPr>
            <w:tcW w:w="790" w:type="dxa"/>
          </w:tcPr>
          <w:p>
            <w:pPr>
              <w:pStyle w:val="TableParagraph"/>
              <w:rPr>
                <w:rFonts w:ascii="Times New Roman"/>
                <w:sz w:val="18"/>
              </w:rPr>
            </w:pPr>
          </w:p>
        </w:tc>
        <w:tc>
          <w:tcPr>
            <w:tcW w:w="1762" w:type="dxa"/>
          </w:tcPr>
          <w:p>
            <w:pPr>
              <w:pStyle w:val="TableParagraph"/>
              <w:rPr>
                <w:rFonts w:ascii="Times New Roman"/>
                <w:sz w:val="18"/>
              </w:rPr>
            </w:pPr>
          </w:p>
        </w:tc>
        <w:tc>
          <w:tcPr>
            <w:tcW w:w="6693" w:type="dxa"/>
          </w:tcPr>
          <w:p>
            <w:pPr>
              <w:pStyle w:val="TableParagraph"/>
              <w:spacing w:line="236" w:lineRule="exact" w:before="5"/>
              <w:ind w:left="498"/>
              <w:rPr>
                <w:sz w:val="21"/>
              </w:rPr>
            </w:pPr>
            <w:r>
              <w:rPr>
                <w:spacing w:val="-2"/>
                <w:sz w:val="21"/>
              </w:rPr>
              <w:t>（</w:t>
            </w:r>
            <w:r>
              <w:rPr>
                <w:rFonts w:ascii="Times New Roman" w:eastAsia="Times New Roman"/>
                <w:spacing w:val="-2"/>
                <w:sz w:val="21"/>
              </w:rPr>
              <w:t>1</w:t>
            </w:r>
            <w:r>
              <w:rPr>
                <w:spacing w:val="-2"/>
                <w:sz w:val="21"/>
              </w:rPr>
              <w:t>）</w:t>
            </w:r>
            <w:r>
              <w:rPr>
                <w:spacing w:val="-9"/>
                <w:sz w:val="21"/>
              </w:rPr>
              <w:t>具有有效的中华人民共和国《医师资格证书》；</w:t>
            </w:r>
          </w:p>
        </w:tc>
      </w:tr>
    </w:tbl>
    <w:p>
      <w:pPr>
        <w:spacing w:after="0" w:line="236" w:lineRule="exact"/>
        <w:rPr>
          <w:sz w:val="21"/>
        </w:rPr>
        <w:sectPr>
          <w:pgSz w:w="11910" w:h="16840"/>
          <w:pgMar w:header="0" w:footer="879" w:top="1060" w:bottom="1060" w:left="1480" w:right="720"/>
        </w:sectPr>
      </w:pPr>
    </w:p>
    <w:p>
      <w:pPr>
        <w:pStyle w:val="ListParagraph"/>
        <w:numPr>
          <w:ilvl w:val="0"/>
          <w:numId w:val="16"/>
        </w:numPr>
        <w:tabs>
          <w:tab w:pos="3694" w:val="left" w:leader="none"/>
        </w:tabs>
        <w:spacing w:line="244" w:lineRule="auto" w:before="55" w:after="0"/>
        <w:ind w:left="3690" w:right="449" w:hanging="526"/>
        <w:jc w:val="left"/>
        <w:rPr>
          <w:sz w:val="21"/>
        </w:rPr>
      </w:pPr>
      <w:r>
        <w:rPr>
          <w:spacing w:val="-8"/>
          <w:sz w:val="21"/>
        </w:rPr>
        <w:t>具有有效的中华人民共和国《医师执业证书》，并按期到相关</w:t>
      </w:r>
      <w:r>
        <w:rPr>
          <w:spacing w:val="-2"/>
          <w:sz w:val="21"/>
        </w:rPr>
        <w:t>部门登记注册；</w:t>
      </w:r>
    </w:p>
    <w:p>
      <w:pPr>
        <w:pStyle w:val="ListParagraph"/>
        <w:numPr>
          <w:ilvl w:val="0"/>
          <w:numId w:val="16"/>
        </w:numPr>
        <w:tabs>
          <w:tab w:pos="3694" w:val="left" w:leader="none"/>
        </w:tabs>
        <w:spacing w:line="265" w:lineRule="exact" w:before="0" w:after="0"/>
        <w:ind w:left="3694" w:right="0" w:hanging="529"/>
        <w:jc w:val="left"/>
        <w:rPr>
          <w:sz w:val="21"/>
        </w:rPr>
      </w:pPr>
      <w:r>
        <w:rPr>
          <w:spacing w:val="-1"/>
          <w:sz w:val="21"/>
        </w:rPr>
        <w:t>具有有效的中华人民共和国主治医师或主治医师以上职称的</w:t>
      </w:r>
    </w:p>
    <w:p>
      <w:pPr>
        <w:pStyle w:val="BodyText"/>
        <w:spacing w:before="5"/>
        <w:ind w:left="3690"/>
      </w:pPr>
      <w:r>
        <w:rPr>
          <w:spacing w:val="-15"/>
        </w:rPr>
        <w:t>《医师职称证书》；</w:t>
      </w:r>
    </w:p>
    <w:p>
      <w:pPr>
        <w:pStyle w:val="ListParagraph"/>
        <w:numPr>
          <w:ilvl w:val="0"/>
          <w:numId w:val="16"/>
        </w:numPr>
        <w:tabs>
          <w:tab w:pos="3694" w:val="left" w:leader="none"/>
        </w:tabs>
        <w:spacing w:line="240" w:lineRule="auto" w:before="2" w:after="0"/>
        <w:ind w:left="3694" w:right="0" w:hanging="529"/>
        <w:jc w:val="left"/>
        <w:rPr>
          <w:sz w:val="21"/>
        </w:rPr>
      </w:pPr>
      <w:r>
        <w:rPr>
          <w:spacing w:val="-3"/>
          <w:sz w:val="21"/>
        </w:rPr>
        <w:t>在二级或二级以上医院的相应科室从事临床工作三年以上。</w:t>
      </w:r>
    </w:p>
    <w:p>
      <w:pPr>
        <w:pStyle w:val="BodyText"/>
        <w:spacing w:before="8"/>
        <w:rPr>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首次确</w:t>
      </w:r>
      <w:r>
        <w:rPr>
          <w:b/>
          <w:spacing w:val="-10"/>
          <w:sz w:val="21"/>
        </w:rPr>
        <w:t>诊</w:t>
      </w:r>
      <w:r>
        <w:rPr>
          <w:b/>
          <w:sz w:val="21"/>
        </w:rPr>
        <w:tab/>
      </w:r>
      <w:r>
        <w:rPr>
          <w:sz w:val="21"/>
        </w:rPr>
        <w:t>指自被保险人出生之日起第一次经医院确诊患有本合同所约定</w:t>
      </w:r>
      <w:r>
        <w:rPr>
          <w:spacing w:val="-10"/>
          <w:sz w:val="21"/>
        </w:rPr>
        <w:t>的</w:t>
      </w:r>
    </w:p>
    <w:p>
      <w:pPr>
        <w:spacing w:line="242" w:lineRule="auto" w:before="4"/>
        <w:ind w:left="3165" w:right="452" w:firstLine="0"/>
        <w:jc w:val="left"/>
        <w:rPr>
          <w:b/>
          <w:sz w:val="21"/>
        </w:rPr>
      </w:pPr>
      <w:r>
        <w:rPr>
          <w:spacing w:val="-2"/>
          <w:sz w:val="21"/>
        </w:rPr>
        <w:t>某种疾病，</w:t>
      </w:r>
      <w:r>
        <w:rPr>
          <w:b/>
          <w:spacing w:val="-2"/>
          <w:sz w:val="21"/>
        </w:rPr>
        <w:t>而不是指自本合同生效之后第一次经医院确诊患有本合</w:t>
      </w:r>
      <w:r>
        <w:rPr>
          <w:b/>
          <w:spacing w:val="-2"/>
          <w:sz w:val="21"/>
        </w:rPr>
        <w:t>同所约定的某种疾病。</w:t>
      </w:r>
    </w:p>
    <w:p>
      <w:pPr>
        <w:pStyle w:val="BodyText"/>
        <w:spacing w:before="7"/>
        <w:rPr>
          <w:b/>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处</w:t>
      </w:r>
      <w:r>
        <w:rPr>
          <w:b/>
          <w:spacing w:val="-10"/>
          <w:sz w:val="21"/>
        </w:rPr>
        <w:t>方</w:t>
      </w:r>
      <w:r>
        <w:rPr>
          <w:b/>
          <w:sz w:val="21"/>
        </w:rPr>
        <w:tab/>
      </w:r>
      <w:r>
        <w:rPr>
          <w:spacing w:val="-2"/>
          <w:sz w:val="21"/>
        </w:rPr>
        <w:t>指</w:t>
      </w:r>
      <w:r>
        <w:rPr>
          <w:spacing w:val="-2"/>
          <w:sz w:val="21"/>
        </w:rPr>
        <w:t>由</w:t>
      </w:r>
      <w:r>
        <w:rPr>
          <w:spacing w:val="-2"/>
          <w:sz w:val="21"/>
        </w:rPr>
        <w:t>注册的执业医师和助</w:t>
      </w:r>
      <w:r>
        <w:rPr>
          <w:spacing w:val="-2"/>
          <w:sz w:val="21"/>
        </w:rPr>
        <w:t>理</w:t>
      </w:r>
      <w:r>
        <w:rPr>
          <w:spacing w:val="-2"/>
          <w:sz w:val="21"/>
        </w:rPr>
        <w:t>在</w:t>
      </w:r>
      <w:r>
        <w:rPr>
          <w:spacing w:val="-2"/>
          <w:sz w:val="21"/>
        </w:rPr>
        <w:t>诊疗活动中为患者开</w:t>
      </w:r>
      <w:r>
        <w:rPr>
          <w:spacing w:val="-2"/>
          <w:sz w:val="21"/>
        </w:rPr>
        <w:t>具</w:t>
      </w:r>
      <w:r>
        <w:rPr>
          <w:spacing w:val="-2"/>
          <w:sz w:val="21"/>
        </w:rPr>
        <w:t>的</w:t>
      </w:r>
      <w:r>
        <w:rPr>
          <w:spacing w:val="-2"/>
          <w:sz w:val="21"/>
        </w:rPr>
        <w:t>、由取得</w:t>
      </w:r>
      <w:r>
        <w:rPr>
          <w:spacing w:val="-10"/>
          <w:sz w:val="21"/>
        </w:rPr>
        <w:t>药</w:t>
      </w:r>
    </w:p>
    <w:p>
      <w:pPr>
        <w:pStyle w:val="BodyText"/>
        <w:spacing w:line="242" w:lineRule="auto" w:before="3"/>
        <w:ind w:left="3165" w:right="445"/>
      </w:pPr>
      <w:r>
        <w:rPr>
          <w:spacing w:val="-2"/>
        </w:rPr>
        <w:t>学专业技术职务任职资格的药学专业人员审核、调配、核对，并作</w:t>
      </w:r>
      <w:r>
        <w:rPr>
          <w:spacing w:val="-3"/>
        </w:rPr>
        <w:t>为患者用药凭证的医疗文书。处方包括医疗机构病区用药医嘱单。</w:t>
      </w:r>
    </w:p>
    <w:p>
      <w:pPr>
        <w:pStyle w:val="BodyText"/>
        <w:spacing w:before="6"/>
        <w:rPr>
          <w:sz w:val="18"/>
        </w:rPr>
      </w:pPr>
    </w:p>
    <w:p>
      <w:pPr>
        <w:pStyle w:val="ListParagraph"/>
        <w:numPr>
          <w:ilvl w:val="1"/>
          <w:numId w:val="17"/>
        </w:numPr>
        <w:tabs>
          <w:tab w:pos="1321" w:val="left" w:leader="none"/>
          <w:tab w:pos="1322" w:val="left" w:leader="none"/>
          <w:tab w:pos="3164" w:val="left" w:leader="none"/>
        </w:tabs>
        <w:spacing w:line="240" w:lineRule="auto" w:before="1" w:after="0"/>
        <w:ind w:left="1321" w:right="0" w:hanging="1100"/>
        <w:jc w:val="left"/>
        <w:rPr>
          <w:sz w:val="21"/>
        </w:rPr>
      </w:pPr>
      <w:r>
        <w:rPr>
          <w:b/>
          <w:sz w:val="21"/>
        </w:rPr>
        <w:t>医</w:t>
      </w:r>
      <w:r>
        <w:rPr>
          <w:b/>
          <w:spacing w:val="-10"/>
          <w:sz w:val="21"/>
        </w:rPr>
        <w:t>院</w:t>
      </w:r>
      <w:r>
        <w:rPr>
          <w:b/>
          <w:sz w:val="21"/>
        </w:rPr>
        <w:tab/>
      </w:r>
      <w:r>
        <w:rPr>
          <w:spacing w:val="-2"/>
          <w:sz w:val="21"/>
        </w:rPr>
        <w:t>指</w:t>
      </w:r>
      <w:r>
        <w:rPr>
          <w:spacing w:val="-2"/>
          <w:sz w:val="21"/>
        </w:rPr>
        <w:t>中</w:t>
      </w:r>
      <w:r>
        <w:rPr>
          <w:spacing w:val="-2"/>
          <w:sz w:val="21"/>
        </w:rPr>
        <w:t>华人民共和国卫生部</w:t>
      </w:r>
      <w:r>
        <w:rPr>
          <w:spacing w:val="-2"/>
          <w:sz w:val="21"/>
        </w:rPr>
        <w:t>医</w:t>
      </w:r>
      <w:r>
        <w:rPr>
          <w:spacing w:val="-2"/>
          <w:sz w:val="21"/>
        </w:rPr>
        <w:t>院</w:t>
      </w:r>
      <w:r>
        <w:rPr>
          <w:spacing w:val="-2"/>
          <w:sz w:val="21"/>
        </w:rPr>
        <w:t>等级分类中的二级或</w:t>
      </w:r>
      <w:r>
        <w:rPr>
          <w:spacing w:val="-2"/>
          <w:sz w:val="21"/>
        </w:rPr>
        <w:t>二</w:t>
      </w:r>
      <w:r>
        <w:rPr>
          <w:spacing w:val="-2"/>
          <w:sz w:val="21"/>
        </w:rPr>
        <w:t>级</w:t>
      </w:r>
      <w:r>
        <w:rPr>
          <w:spacing w:val="-2"/>
          <w:sz w:val="21"/>
        </w:rPr>
        <w:t>以上的</w:t>
      </w:r>
      <w:r>
        <w:rPr>
          <w:spacing w:val="-10"/>
          <w:sz w:val="21"/>
        </w:rPr>
        <w:t>公</w:t>
      </w:r>
    </w:p>
    <w:p>
      <w:pPr>
        <w:spacing w:line="242" w:lineRule="auto" w:before="2"/>
        <w:ind w:left="3165" w:right="428" w:firstLine="0"/>
        <w:jc w:val="left"/>
        <w:rPr>
          <w:sz w:val="21"/>
        </w:rPr>
      </w:pPr>
      <w:r>
        <w:rPr>
          <w:spacing w:val="-2"/>
          <w:sz w:val="21"/>
        </w:rPr>
        <w:t>立医院普通部</w:t>
      </w:r>
      <w:r>
        <w:rPr>
          <w:b/>
          <w:spacing w:val="-2"/>
          <w:sz w:val="21"/>
        </w:rPr>
        <w:t>（不包括其附属的国际医疗、特需医疗、外宾医疗、</w:t>
      </w:r>
      <w:r>
        <w:rPr>
          <w:b/>
          <w:spacing w:val="-2"/>
          <w:sz w:val="21"/>
        </w:rPr>
        <w:t>干部病房等</w:t>
      </w:r>
      <w:r>
        <w:rPr>
          <w:b/>
          <w:spacing w:val="-106"/>
          <w:sz w:val="21"/>
        </w:rPr>
        <w:t>）</w:t>
      </w:r>
      <w:r>
        <w:rPr>
          <w:b/>
          <w:spacing w:val="-2"/>
          <w:sz w:val="21"/>
        </w:rPr>
        <w:t>，不包括精神病院和以康复、护理、疗养、戒酒、戒</w:t>
      </w:r>
      <w:r>
        <w:rPr>
          <w:b/>
          <w:spacing w:val="-2"/>
          <w:sz w:val="21"/>
        </w:rPr>
        <w:t>毒或类似功能为主要功能的医疗机构</w:t>
      </w:r>
      <w:r>
        <w:rPr>
          <w:spacing w:val="-2"/>
          <w:sz w:val="21"/>
        </w:rPr>
        <w:t>。</w:t>
      </w:r>
    </w:p>
    <w:p>
      <w:pPr>
        <w:pStyle w:val="BodyText"/>
        <w:spacing w:before="7"/>
        <w:rPr>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合理且必</w:t>
      </w:r>
      <w:r>
        <w:rPr>
          <w:b/>
          <w:spacing w:val="-10"/>
          <w:sz w:val="21"/>
        </w:rPr>
        <w:t>需</w:t>
      </w:r>
      <w:r>
        <w:rPr>
          <w:b/>
          <w:sz w:val="21"/>
        </w:rPr>
        <w:tab/>
      </w:r>
      <w:r>
        <w:rPr>
          <w:spacing w:val="-2"/>
          <w:sz w:val="21"/>
        </w:rPr>
        <w:t>指</w:t>
      </w:r>
      <w:r>
        <w:rPr>
          <w:spacing w:val="-2"/>
          <w:sz w:val="21"/>
        </w:rPr>
        <w:t>符</w:t>
      </w:r>
      <w:r>
        <w:rPr>
          <w:spacing w:val="-2"/>
          <w:sz w:val="21"/>
        </w:rPr>
        <w:t>合下列所有条件</w:t>
      </w:r>
      <w:r>
        <w:rPr>
          <w:spacing w:val="-10"/>
          <w:sz w:val="21"/>
        </w:rPr>
        <w:t>：</w:t>
      </w:r>
    </w:p>
    <w:p>
      <w:pPr>
        <w:pStyle w:val="ListParagraph"/>
        <w:numPr>
          <w:ilvl w:val="2"/>
          <w:numId w:val="17"/>
        </w:numPr>
        <w:tabs>
          <w:tab w:pos="3694" w:val="left" w:leader="none"/>
        </w:tabs>
        <w:spacing w:line="242" w:lineRule="auto" w:before="4" w:after="0"/>
        <w:ind w:left="3690" w:right="457" w:hanging="526"/>
        <w:jc w:val="left"/>
        <w:rPr>
          <w:sz w:val="21"/>
        </w:rPr>
      </w:pPr>
      <w:r>
        <w:rPr>
          <w:spacing w:val="-2"/>
          <w:sz w:val="21"/>
        </w:rPr>
        <w:t>与接受治疗当地通行治疗规范、通行治疗方法、平均医疗费</w:t>
      </w:r>
      <w:r>
        <w:rPr>
          <w:spacing w:val="-2"/>
          <w:sz w:val="21"/>
        </w:rPr>
        <w:t>用价格水平一致；</w:t>
      </w:r>
    </w:p>
    <w:p>
      <w:pPr>
        <w:pStyle w:val="ListParagraph"/>
        <w:numPr>
          <w:ilvl w:val="2"/>
          <w:numId w:val="17"/>
        </w:numPr>
        <w:tabs>
          <w:tab w:pos="3694" w:val="left" w:leader="none"/>
        </w:tabs>
        <w:spacing w:line="240" w:lineRule="auto" w:before="2" w:after="0"/>
        <w:ind w:left="3694" w:right="0" w:hanging="529"/>
        <w:jc w:val="left"/>
        <w:rPr>
          <w:sz w:val="21"/>
        </w:rPr>
      </w:pPr>
      <w:r>
        <w:rPr>
          <w:spacing w:val="-3"/>
          <w:sz w:val="21"/>
        </w:rPr>
        <w:t>医生处方要求且对治疗意外伤害或疾病合适且必需；</w:t>
      </w:r>
    </w:p>
    <w:p>
      <w:pPr>
        <w:pStyle w:val="ListParagraph"/>
        <w:numPr>
          <w:ilvl w:val="2"/>
          <w:numId w:val="17"/>
        </w:numPr>
        <w:tabs>
          <w:tab w:pos="3694" w:val="left" w:leader="none"/>
        </w:tabs>
        <w:spacing w:line="240" w:lineRule="auto" w:before="2" w:after="0"/>
        <w:ind w:left="3694" w:right="0" w:hanging="529"/>
        <w:jc w:val="left"/>
        <w:rPr>
          <w:sz w:val="21"/>
        </w:rPr>
      </w:pPr>
      <w:r>
        <w:rPr>
          <w:spacing w:val="-3"/>
          <w:sz w:val="21"/>
        </w:rPr>
        <w:t>与接受治疗当地医疗专业实践标准一致；</w:t>
      </w:r>
    </w:p>
    <w:p>
      <w:pPr>
        <w:pStyle w:val="ListParagraph"/>
        <w:numPr>
          <w:ilvl w:val="2"/>
          <w:numId w:val="17"/>
        </w:numPr>
        <w:tabs>
          <w:tab w:pos="3694" w:val="left" w:leader="none"/>
        </w:tabs>
        <w:spacing w:line="240" w:lineRule="auto" w:before="2" w:after="0"/>
        <w:ind w:left="3694" w:right="0" w:hanging="529"/>
        <w:jc w:val="left"/>
        <w:rPr>
          <w:sz w:val="21"/>
        </w:rPr>
      </w:pPr>
      <w:r>
        <w:rPr>
          <w:spacing w:val="-3"/>
          <w:sz w:val="21"/>
        </w:rPr>
        <w:t>不违背安全、足量治疗原则；</w:t>
      </w:r>
    </w:p>
    <w:p>
      <w:pPr>
        <w:pStyle w:val="ListParagraph"/>
        <w:numPr>
          <w:ilvl w:val="2"/>
          <w:numId w:val="17"/>
        </w:numPr>
        <w:tabs>
          <w:tab w:pos="3694" w:val="left" w:leader="none"/>
        </w:tabs>
        <w:spacing w:line="240" w:lineRule="auto" w:before="4" w:after="0"/>
        <w:ind w:left="3694" w:right="0" w:hanging="529"/>
        <w:jc w:val="left"/>
        <w:rPr>
          <w:sz w:val="21"/>
        </w:rPr>
      </w:pPr>
      <w:r>
        <w:rPr>
          <w:spacing w:val="-3"/>
          <w:sz w:val="21"/>
        </w:rPr>
        <w:t>非试验性或研究性。</w:t>
      </w:r>
    </w:p>
    <w:p>
      <w:pPr>
        <w:pStyle w:val="BodyText"/>
        <w:spacing w:line="242" w:lineRule="auto" w:before="3"/>
        <w:ind w:left="3165" w:right="449"/>
        <w:jc w:val="both"/>
      </w:pPr>
      <w:r>
        <w:rPr>
          <w:spacing w:val="-2"/>
        </w:rPr>
        <w:t>对医疗费用是否合理且必需由本公司理赔人员根据客观、审慎、合</w:t>
      </w:r>
      <w:r>
        <w:rPr>
          <w:spacing w:val="-2"/>
        </w:rPr>
        <w:t>理的原则进行审核；如果被保险人对审核结果有不同意见，可由双</w:t>
      </w:r>
      <w:r>
        <w:rPr>
          <w:spacing w:val="-2"/>
        </w:rPr>
        <w:t>方认同的权威医学机构或者权威医学专家进行审核鉴定。</w:t>
      </w:r>
    </w:p>
    <w:p>
      <w:pPr>
        <w:pStyle w:val="BodyText"/>
        <w:spacing w:before="6"/>
        <w:rPr>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我们指定的药</w:t>
      </w:r>
      <w:r>
        <w:rPr>
          <w:b/>
          <w:spacing w:val="-10"/>
          <w:sz w:val="21"/>
        </w:rPr>
        <w:t>店</w:t>
      </w:r>
      <w:r>
        <w:rPr>
          <w:b/>
          <w:sz w:val="21"/>
        </w:rPr>
        <w:tab/>
      </w:r>
      <w:r>
        <w:rPr>
          <w:spacing w:val="-2"/>
          <w:sz w:val="21"/>
        </w:rPr>
        <w:t>指</w:t>
      </w:r>
      <w:r>
        <w:rPr>
          <w:spacing w:val="-2"/>
          <w:sz w:val="21"/>
        </w:rPr>
        <w:t>为</w:t>
      </w:r>
      <w:r>
        <w:rPr>
          <w:spacing w:val="-2"/>
          <w:sz w:val="21"/>
        </w:rPr>
        <w:t>被保险人提供药品处</w:t>
      </w:r>
      <w:r>
        <w:rPr>
          <w:spacing w:val="-2"/>
          <w:sz w:val="21"/>
        </w:rPr>
        <w:t>方</w:t>
      </w:r>
      <w:r>
        <w:rPr>
          <w:spacing w:val="-2"/>
          <w:sz w:val="21"/>
        </w:rPr>
        <w:t>审</w:t>
      </w:r>
      <w:r>
        <w:rPr>
          <w:spacing w:val="-2"/>
          <w:sz w:val="21"/>
        </w:rPr>
        <w:t>核、购药或配送服务</w:t>
      </w:r>
      <w:r>
        <w:rPr>
          <w:spacing w:val="-2"/>
          <w:sz w:val="21"/>
        </w:rPr>
        <w:t>的</w:t>
      </w:r>
      <w:r>
        <w:rPr>
          <w:spacing w:val="-2"/>
          <w:sz w:val="21"/>
        </w:rPr>
        <w:t>药</w:t>
      </w:r>
      <w:r>
        <w:rPr>
          <w:spacing w:val="-2"/>
          <w:sz w:val="21"/>
        </w:rPr>
        <w:t>店，具体</w:t>
      </w:r>
      <w:r>
        <w:rPr>
          <w:spacing w:val="-10"/>
          <w:sz w:val="21"/>
        </w:rPr>
        <w:t>以</w:t>
      </w:r>
    </w:p>
    <w:p>
      <w:pPr>
        <w:pStyle w:val="BodyText"/>
        <w:spacing w:line="242" w:lineRule="auto" w:before="5"/>
        <w:ind w:left="3165" w:right="449"/>
      </w:pPr>
      <w:r>
        <w:rPr>
          <w:spacing w:val="-2"/>
        </w:rPr>
        <w:t>我们提供的清单为准。您可以通过本公司服务热线或服务场所工作</w:t>
      </w:r>
      <w:r>
        <w:rPr>
          <w:spacing w:val="-2"/>
        </w:rPr>
        <w:t>人员查询。</w:t>
      </w:r>
    </w:p>
    <w:p>
      <w:pPr>
        <w:spacing w:before="1"/>
        <w:ind w:left="3165" w:right="0" w:firstLine="0"/>
        <w:jc w:val="left"/>
        <w:rPr>
          <w:b/>
          <w:sz w:val="21"/>
        </w:rPr>
      </w:pPr>
      <w:r>
        <w:rPr>
          <w:b/>
          <w:spacing w:val="-3"/>
          <w:sz w:val="21"/>
        </w:rPr>
        <w:t>我们保留对上述合作的药店名单做出适当调整的权利。</w:t>
      </w:r>
    </w:p>
    <w:p>
      <w:pPr>
        <w:pStyle w:val="BodyText"/>
        <w:spacing w:before="8"/>
        <w:rPr>
          <w:b/>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基本医疗保</w:t>
      </w:r>
      <w:r>
        <w:rPr>
          <w:b/>
          <w:spacing w:val="-10"/>
          <w:sz w:val="21"/>
        </w:rPr>
        <w:t>险</w:t>
      </w:r>
      <w:r>
        <w:rPr>
          <w:b/>
          <w:sz w:val="21"/>
        </w:rPr>
        <w:tab/>
      </w:r>
      <w:r>
        <w:rPr>
          <w:spacing w:val="-2"/>
          <w:sz w:val="21"/>
        </w:rPr>
        <w:t>包</w:t>
      </w:r>
      <w:r>
        <w:rPr>
          <w:spacing w:val="-2"/>
          <w:sz w:val="21"/>
        </w:rPr>
        <w:t>括</w:t>
      </w:r>
      <w:r>
        <w:rPr>
          <w:spacing w:val="-2"/>
          <w:sz w:val="21"/>
        </w:rPr>
        <w:t>城镇职工基本医疗保险、城镇居民基本医疗保险、新型农村</w:t>
      </w:r>
      <w:r>
        <w:rPr>
          <w:spacing w:val="-10"/>
          <w:sz w:val="21"/>
        </w:rPr>
        <w:t>合</w:t>
      </w:r>
    </w:p>
    <w:p>
      <w:pPr>
        <w:pStyle w:val="BodyText"/>
        <w:spacing w:before="2"/>
        <w:ind w:left="3165"/>
      </w:pPr>
      <w:r>
        <w:rPr>
          <w:spacing w:val="-3"/>
        </w:rPr>
        <w:t>作医疗等政府举办的基本医疗保障项目。</w:t>
      </w:r>
    </w:p>
    <w:p>
      <w:pPr>
        <w:pStyle w:val="BodyText"/>
        <w:spacing w:before="10"/>
        <w:rPr>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公费医</w:t>
      </w:r>
      <w:r>
        <w:rPr>
          <w:b/>
          <w:spacing w:val="-10"/>
          <w:sz w:val="21"/>
        </w:rPr>
        <w:t>疗</w:t>
      </w:r>
      <w:r>
        <w:rPr>
          <w:b/>
          <w:sz w:val="21"/>
        </w:rPr>
        <w:tab/>
      </w:r>
      <w:r>
        <w:rPr>
          <w:spacing w:val="-2"/>
          <w:sz w:val="21"/>
        </w:rPr>
        <w:t>指</w:t>
      </w:r>
      <w:r>
        <w:rPr>
          <w:spacing w:val="-2"/>
          <w:sz w:val="21"/>
        </w:rPr>
        <w:t>国</w:t>
      </w:r>
      <w:r>
        <w:rPr>
          <w:spacing w:val="-2"/>
          <w:sz w:val="21"/>
        </w:rPr>
        <w:t>家为保障国家工作人</w:t>
      </w:r>
      <w:r>
        <w:rPr>
          <w:spacing w:val="-2"/>
          <w:sz w:val="21"/>
        </w:rPr>
        <w:t>员</w:t>
      </w:r>
      <w:r>
        <w:rPr>
          <w:spacing w:val="-2"/>
          <w:sz w:val="21"/>
        </w:rPr>
        <w:t>身</w:t>
      </w:r>
      <w:r>
        <w:rPr>
          <w:spacing w:val="-2"/>
          <w:sz w:val="21"/>
        </w:rPr>
        <w:t>体健康而实行的一项</w:t>
      </w:r>
      <w:r>
        <w:rPr>
          <w:spacing w:val="-2"/>
          <w:sz w:val="21"/>
        </w:rPr>
        <w:t>社</w:t>
      </w:r>
      <w:r>
        <w:rPr>
          <w:spacing w:val="-2"/>
          <w:sz w:val="21"/>
        </w:rPr>
        <w:t>会</w:t>
      </w:r>
      <w:r>
        <w:rPr>
          <w:spacing w:val="-2"/>
          <w:sz w:val="21"/>
        </w:rPr>
        <w:t>保障制</w:t>
      </w:r>
      <w:r>
        <w:rPr>
          <w:spacing w:val="-2"/>
          <w:sz w:val="21"/>
        </w:rPr>
        <w:t>度</w:t>
      </w:r>
      <w:r>
        <w:rPr>
          <w:spacing w:val="-10"/>
          <w:sz w:val="21"/>
        </w:rPr>
        <w:t>。</w:t>
      </w:r>
    </w:p>
    <w:p>
      <w:pPr>
        <w:pStyle w:val="BodyText"/>
        <w:spacing w:line="244" w:lineRule="auto" w:before="3"/>
        <w:ind w:left="3165" w:right="458"/>
      </w:pPr>
      <w:r>
        <w:rPr>
          <w:spacing w:val="3"/>
          <w:w w:val="100"/>
        </w:rPr>
        <w:t>国家通过医疗卫生部门向享受人员提供制度规定范围内的免费医疗。</w:t>
      </w:r>
    </w:p>
    <w:p>
      <w:pPr>
        <w:pStyle w:val="BodyText"/>
        <w:spacing w:before="10"/>
        <w:rPr>
          <w:sz w:val="10"/>
        </w:rPr>
      </w:pPr>
    </w:p>
    <w:p>
      <w:pPr>
        <w:spacing w:after="0"/>
        <w:rPr>
          <w:sz w:val="10"/>
        </w:rPr>
        <w:sectPr>
          <w:pgSz w:w="11910" w:h="16840"/>
          <w:pgMar w:header="0" w:footer="879" w:top="1060" w:bottom="1060" w:left="1480" w:right="720"/>
        </w:sectPr>
      </w:pPr>
    </w:p>
    <w:p>
      <w:pPr>
        <w:pStyle w:val="ListParagraph"/>
        <w:numPr>
          <w:ilvl w:val="1"/>
          <w:numId w:val="17"/>
        </w:numPr>
        <w:tabs>
          <w:tab w:pos="1321" w:val="left" w:leader="none"/>
          <w:tab w:pos="1322" w:val="left" w:leader="none"/>
        </w:tabs>
        <w:spacing w:line="242" w:lineRule="auto" w:before="94" w:after="0"/>
        <w:ind w:left="1321" w:right="38" w:hanging="1100"/>
        <w:jc w:val="left"/>
        <w:rPr>
          <w:b/>
          <w:sz w:val="21"/>
        </w:rPr>
      </w:pPr>
      <w:r>
        <w:rPr>
          <w:b/>
          <w:spacing w:val="-2"/>
          <w:sz w:val="21"/>
        </w:rPr>
        <w:t>城乡居民大病保</w:t>
      </w:r>
      <w:r>
        <w:rPr>
          <w:b/>
          <w:spacing w:val="-10"/>
          <w:sz w:val="21"/>
        </w:rPr>
        <w:t>险</w:t>
      </w:r>
    </w:p>
    <w:p>
      <w:pPr>
        <w:pStyle w:val="BodyText"/>
        <w:spacing w:line="242" w:lineRule="auto" w:before="100"/>
        <w:ind w:left="222" w:right="449"/>
        <w:jc w:val="both"/>
      </w:pPr>
      <w:r>
        <w:rPr/>
        <w:br w:type="column"/>
      </w:r>
      <w:r>
        <w:rPr>
          <w:spacing w:val="-2"/>
        </w:rPr>
        <w:t>城乡居民大病保险是基本医疗保障制度的拓展和延伸，是对大病患</w:t>
      </w:r>
      <w:r>
        <w:rPr>
          <w:spacing w:val="-2"/>
        </w:rPr>
        <w:t>者发生的高额医疗费用给予进一步保障的一项新的制度性安排。主</w:t>
      </w:r>
      <w:r>
        <w:rPr>
          <w:spacing w:val="-2"/>
        </w:rPr>
        <w:t>要保障对象为城镇居民基本医疗保险、新型农村合作医疗或者城乡</w:t>
      </w:r>
      <w:r>
        <w:rPr>
          <w:spacing w:val="-2"/>
        </w:rPr>
        <w:t>居民基本医疗保险的参保（合）人以及部分地区建立的覆盖城镇职</w:t>
      </w:r>
      <w:r>
        <w:rPr>
          <w:spacing w:val="-2"/>
        </w:rPr>
        <w:t>工、城镇居民、农村居民的统一的大病保险制度参保人。</w:t>
      </w:r>
    </w:p>
    <w:p>
      <w:pPr>
        <w:spacing w:after="0" w:line="242" w:lineRule="auto"/>
        <w:jc w:val="both"/>
        <w:sectPr>
          <w:type w:val="continuous"/>
          <w:pgSz w:w="11910" w:h="16840"/>
          <w:pgMar w:header="0" w:footer="879" w:top="300" w:bottom="280" w:left="1480" w:right="720"/>
          <w:cols w:num="2" w:equalWidth="0">
            <w:col w:w="2840" w:space="103"/>
            <w:col w:w="6767"/>
          </w:cols>
        </w:sectPr>
      </w:pPr>
    </w:p>
    <w:p>
      <w:pPr>
        <w:pStyle w:val="BodyText"/>
        <w:spacing w:before="4"/>
        <w:rPr>
          <w:sz w:val="11"/>
        </w:rPr>
      </w:pPr>
    </w:p>
    <w:p>
      <w:pPr>
        <w:spacing w:after="0"/>
        <w:rPr>
          <w:sz w:val="11"/>
        </w:rPr>
        <w:sectPr>
          <w:type w:val="continuous"/>
          <w:pgSz w:w="11910" w:h="16840"/>
          <w:pgMar w:header="0" w:footer="879" w:top="300" w:bottom="280" w:left="1480" w:right="720"/>
        </w:sectPr>
      </w:pPr>
    </w:p>
    <w:p>
      <w:pPr>
        <w:pStyle w:val="ListParagraph"/>
        <w:numPr>
          <w:ilvl w:val="1"/>
          <w:numId w:val="17"/>
        </w:numPr>
        <w:tabs>
          <w:tab w:pos="1321" w:val="left" w:leader="none"/>
          <w:tab w:pos="1322" w:val="left" w:leader="none"/>
        </w:tabs>
        <w:spacing w:line="242" w:lineRule="auto" w:before="94" w:after="0"/>
        <w:ind w:left="1321" w:right="38" w:hanging="1100"/>
        <w:jc w:val="left"/>
        <w:rPr>
          <w:b/>
          <w:sz w:val="21"/>
        </w:rPr>
      </w:pPr>
      <w:r>
        <w:rPr>
          <w:b/>
          <w:spacing w:val="-2"/>
          <w:sz w:val="21"/>
        </w:rPr>
        <w:t>社保目录内药品</w:t>
      </w:r>
      <w:r>
        <w:rPr>
          <w:b/>
          <w:spacing w:val="-6"/>
          <w:sz w:val="21"/>
        </w:rPr>
        <w:t>费用</w:t>
      </w:r>
    </w:p>
    <w:p>
      <w:pPr>
        <w:pStyle w:val="BodyText"/>
        <w:spacing w:line="242" w:lineRule="auto" w:before="100"/>
        <w:ind w:left="222" w:right="452"/>
      </w:pPr>
      <w:r>
        <w:rPr/>
        <w:br w:type="column"/>
      </w:r>
      <w:r>
        <w:rPr>
          <w:spacing w:val="-2"/>
        </w:rPr>
        <w:t>指药品费用中被纳入《国家基本医疗保险、工伤保险和生育保险药</w:t>
      </w:r>
      <w:r>
        <w:rPr>
          <w:spacing w:val="-28"/>
        </w:rPr>
        <w:t>品目录》</w:t>
      </w:r>
      <w:r>
        <w:rPr>
          <w:spacing w:val="-2"/>
        </w:rPr>
        <w:t>（以药品处方开具时的有效版本为准）的药品所发生的费</w:t>
      </w:r>
      <w:r>
        <w:rPr>
          <w:spacing w:val="-6"/>
        </w:rPr>
        <w:t>用。</w:t>
      </w:r>
    </w:p>
    <w:p>
      <w:pPr>
        <w:spacing w:after="0" w:line="242" w:lineRule="auto"/>
        <w:sectPr>
          <w:type w:val="continuous"/>
          <w:pgSz w:w="11910" w:h="16840"/>
          <w:pgMar w:header="0" w:footer="879" w:top="300" w:bottom="280" w:left="1480" w:right="720"/>
          <w:cols w:num="2" w:equalWidth="0">
            <w:col w:w="2840" w:space="103"/>
            <w:col w:w="6767"/>
          </w:cols>
        </w:sectPr>
      </w:pPr>
    </w:p>
    <w:p>
      <w:pPr>
        <w:pStyle w:val="BodyText"/>
        <w:spacing w:before="2"/>
        <w:rPr>
          <w:sz w:val="11"/>
        </w:rPr>
      </w:pPr>
    </w:p>
    <w:p>
      <w:pPr>
        <w:spacing w:after="0"/>
        <w:rPr>
          <w:sz w:val="11"/>
        </w:rPr>
        <w:sectPr>
          <w:type w:val="continuous"/>
          <w:pgSz w:w="11910" w:h="16840"/>
          <w:pgMar w:header="0" w:footer="879" w:top="300" w:bottom="280" w:left="1480" w:right="720"/>
        </w:sectPr>
      </w:pPr>
    </w:p>
    <w:p>
      <w:pPr>
        <w:pStyle w:val="ListParagraph"/>
        <w:numPr>
          <w:ilvl w:val="1"/>
          <w:numId w:val="17"/>
        </w:numPr>
        <w:tabs>
          <w:tab w:pos="1321" w:val="left" w:leader="none"/>
          <w:tab w:pos="1322" w:val="left" w:leader="none"/>
        </w:tabs>
        <w:spacing w:line="242" w:lineRule="auto" w:before="94" w:after="0"/>
        <w:ind w:left="1321" w:right="38" w:hanging="1100"/>
        <w:jc w:val="left"/>
        <w:rPr>
          <w:b/>
          <w:sz w:val="21"/>
        </w:rPr>
      </w:pPr>
      <w:r>
        <w:rPr>
          <w:b/>
          <w:spacing w:val="-2"/>
          <w:sz w:val="21"/>
        </w:rPr>
        <w:t>社保目录外药品</w:t>
      </w:r>
      <w:r>
        <w:rPr>
          <w:b/>
          <w:spacing w:val="-6"/>
          <w:sz w:val="21"/>
        </w:rPr>
        <w:t>费用</w:t>
      </w:r>
    </w:p>
    <w:p>
      <w:pPr>
        <w:pStyle w:val="BodyText"/>
        <w:spacing w:line="242" w:lineRule="auto" w:before="100"/>
        <w:ind w:left="222" w:right="451"/>
      </w:pPr>
      <w:r>
        <w:rPr/>
        <w:br w:type="column"/>
      </w:r>
      <w:r>
        <w:rPr>
          <w:spacing w:val="-2"/>
        </w:rPr>
        <w:t>指药品费用中未被纳入《国家基本医疗保险、工伤保险和生育保险</w:t>
      </w:r>
      <w:r>
        <w:rPr>
          <w:spacing w:val="-24"/>
        </w:rPr>
        <w:t>药品目录》</w:t>
      </w:r>
      <w:r>
        <w:rPr>
          <w:spacing w:val="-2"/>
        </w:rPr>
        <w:t>（以药品处方开具时的有效版本为准）的药品所发生的</w:t>
      </w:r>
    </w:p>
    <w:p>
      <w:pPr>
        <w:spacing w:after="0" w:line="242" w:lineRule="auto"/>
        <w:sectPr>
          <w:type w:val="continuous"/>
          <w:pgSz w:w="11910" w:h="16840"/>
          <w:pgMar w:header="0" w:footer="879" w:top="300" w:bottom="280" w:left="1480" w:right="720"/>
          <w:cols w:num="2" w:equalWidth="0">
            <w:col w:w="2840" w:space="103"/>
            <w:col w:w="6767"/>
          </w:cols>
        </w:sectPr>
      </w:pPr>
    </w:p>
    <w:p>
      <w:pPr>
        <w:pStyle w:val="BodyText"/>
        <w:spacing w:before="55"/>
        <w:ind w:left="3165"/>
      </w:pPr>
      <w:r>
        <w:rPr>
          <w:spacing w:val="-4"/>
        </w:rPr>
        <w:t>费用。</w:t>
      </w:r>
    </w:p>
    <w:p>
      <w:pPr>
        <w:pStyle w:val="BodyText"/>
        <w:spacing w:before="11"/>
        <w:rPr>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医</w:t>
      </w:r>
      <w:r>
        <w:rPr>
          <w:b/>
          <w:spacing w:val="-10"/>
          <w:sz w:val="21"/>
        </w:rPr>
        <w:t>师</w:t>
      </w:r>
      <w:r>
        <w:rPr>
          <w:b/>
          <w:sz w:val="21"/>
        </w:rPr>
        <w:tab/>
      </w:r>
      <w:r>
        <w:rPr>
          <w:spacing w:val="-2"/>
          <w:sz w:val="21"/>
        </w:rPr>
        <w:t>指</w:t>
      </w:r>
      <w:r>
        <w:rPr>
          <w:spacing w:val="-2"/>
          <w:sz w:val="21"/>
        </w:rPr>
        <w:t>在</w:t>
      </w:r>
      <w:r>
        <w:rPr>
          <w:spacing w:val="-2"/>
          <w:sz w:val="21"/>
        </w:rPr>
        <w:t>医院内行医并拥有处</w:t>
      </w:r>
      <w:r>
        <w:rPr>
          <w:spacing w:val="-2"/>
          <w:sz w:val="21"/>
        </w:rPr>
        <w:t>方</w:t>
      </w:r>
      <w:r>
        <w:rPr>
          <w:spacing w:val="-2"/>
          <w:sz w:val="21"/>
        </w:rPr>
        <w:t>权</w:t>
      </w:r>
      <w:r>
        <w:rPr>
          <w:spacing w:val="-2"/>
          <w:sz w:val="21"/>
        </w:rPr>
        <w:t>的医师，亦指在被保</w:t>
      </w:r>
      <w:r>
        <w:rPr>
          <w:spacing w:val="-2"/>
          <w:sz w:val="21"/>
        </w:rPr>
        <w:t>险</w:t>
      </w:r>
      <w:r>
        <w:rPr>
          <w:spacing w:val="-2"/>
          <w:sz w:val="21"/>
        </w:rPr>
        <w:t>人</w:t>
      </w:r>
      <w:r>
        <w:rPr>
          <w:spacing w:val="-2"/>
          <w:sz w:val="21"/>
        </w:rPr>
        <w:t>接受诊</w:t>
      </w:r>
      <w:r>
        <w:rPr>
          <w:spacing w:val="-2"/>
          <w:sz w:val="21"/>
        </w:rPr>
        <w:t>断</w:t>
      </w:r>
      <w:r>
        <w:rPr>
          <w:spacing w:val="-10"/>
          <w:sz w:val="21"/>
        </w:rPr>
        <w:t>、</w:t>
      </w:r>
    </w:p>
    <w:p>
      <w:pPr>
        <w:spacing w:line="244" w:lineRule="auto" w:before="2"/>
        <w:ind w:left="3165" w:right="452" w:firstLine="0"/>
        <w:jc w:val="left"/>
        <w:rPr>
          <w:b/>
          <w:sz w:val="21"/>
        </w:rPr>
      </w:pPr>
      <w:r>
        <w:rPr>
          <w:spacing w:val="-2"/>
          <w:sz w:val="21"/>
        </w:rPr>
        <w:t>医疗、处方或手术的地区内合法注册且有行医资格的医师。</w:t>
      </w:r>
      <w:r>
        <w:rPr>
          <w:b/>
          <w:spacing w:val="-2"/>
          <w:sz w:val="21"/>
        </w:rPr>
        <w:t>不包括</w:t>
      </w:r>
      <w:r>
        <w:rPr>
          <w:b/>
          <w:spacing w:val="-2"/>
          <w:sz w:val="21"/>
        </w:rPr>
        <w:t>投保人、受益人、被保险人本人及其近亲属。</w:t>
      </w:r>
    </w:p>
    <w:p>
      <w:pPr>
        <w:pStyle w:val="BodyText"/>
        <w:spacing w:before="2"/>
        <w:rPr>
          <w:b/>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毒</w:t>
      </w:r>
      <w:r>
        <w:rPr>
          <w:b/>
          <w:spacing w:val="-10"/>
          <w:sz w:val="21"/>
        </w:rPr>
        <w:t>品</w:t>
      </w:r>
      <w:r>
        <w:rPr>
          <w:b/>
          <w:sz w:val="21"/>
        </w:rPr>
        <w:tab/>
      </w:r>
      <w:r>
        <w:rPr>
          <w:spacing w:val="-2"/>
          <w:sz w:val="21"/>
        </w:rPr>
        <w:t>指</w:t>
      </w:r>
      <w:r>
        <w:rPr>
          <w:spacing w:val="-2"/>
          <w:sz w:val="21"/>
        </w:rPr>
        <w:t>《</w:t>
      </w:r>
      <w:r>
        <w:rPr>
          <w:spacing w:val="-2"/>
          <w:sz w:val="21"/>
        </w:rPr>
        <w:t>中</w:t>
      </w:r>
      <w:r>
        <w:rPr>
          <w:spacing w:val="-2"/>
          <w:sz w:val="21"/>
        </w:rPr>
        <w:t>华人民共和国刑法》</w:t>
      </w:r>
      <w:r>
        <w:rPr>
          <w:spacing w:val="-2"/>
          <w:sz w:val="21"/>
        </w:rPr>
        <w:t>规</w:t>
      </w:r>
      <w:r>
        <w:rPr>
          <w:spacing w:val="-2"/>
          <w:sz w:val="21"/>
        </w:rPr>
        <w:t>定</w:t>
      </w:r>
      <w:r>
        <w:rPr>
          <w:spacing w:val="-2"/>
          <w:sz w:val="21"/>
        </w:rPr>
        <w:t>的</w:t>
      </w:r>
      <w:r>
        <w:rPr>
          <w:spacing w:val="-2"/>
          <w:sz w:val="21"/>
        </w:rPr>
        <w:t>鸦</w:t>
      </w:r>
      <w:r>
        <w:rPr>
          <w:spacing w:val="-2"/>
          <w:sz w:val="21"/>
        </w:rPr>
        <w:t>片</w:t>
      </w:r>
      <w:r>
        <w:rPr>
          <w:spacing w:val="-2"/>
          <w:sz w:val="21"/>
        </w:rPr>
        <w:t>、海洛因、</w:t>
      </w:r>
      <w:r>
        <w:rPr>
          <w:spacing w:val="-2"/>
          <w:sz w:val="21"/>
        </w:rPr>
        <w:t>甲</w:t>
      </w:r>
      <w:r>
        <w:rPr>
          <w:spacing w:val="-2"/>
          <w:sz w:val="21"/>
        </w:rPr>
        <w:t>基</w:t>
      </w:r>
      <w:r>
        <w:rPr>
          <w:spacing w:val="-2"/>
          <w:sz w:val="21"/>
        </w:rPr>
        <w:t>苯丙胺（</w:t>
      </w:r>
      <w:r>
        <w:rPr>
          <w:spacing w:val="-10"/>
          <w:sz w:val="21"/>
        </w:rPr>
        <w:t>冰</w:t>
      </w:r>
    </w:p>
    <w:p>
      <w:pPr>
        <w:pStyle w:val="BodyText"/>
        <w:spacing w:line="242" w:lineRule="auto" w:before="2"/>
        <w:ind w:left="3165" w:right="449"/>
      </w:pPr>
      <w:r>
        <w:rPr>
          <w:spacing w:val="-2"/>
        </w:rPr>
        <w:t>毒</w:t>
      </w:r>
      <w:r>
        <w:rPr>
          <w:spacing w:val="-106"/>
        </w:rPr>
        <w:t>）</w:t>
      </w:r>
      <w:r>
        <w:rPr>
          <w:spacing w:val="-2"/>
        </w:rPr>
        <w:t>、吗啡、大麻、可卡因以及国家规定管制的其他能够使人形成</w:t>
      </w:r>
      <w:r>
        <w:rPr>
          <w:spacing w:val="-2"/>
        </w:rPr>
        <w:t>瘾癖的麻醉药品和精神药品，但不包括由医师开具并遵医嘱用于治</w:t>
      </w:r>
      <w:r>
        <w:rPr>
          <w:spacing w:val="-2"/>
        </w:rPr>
        <w:t>疗疾病的含有毒品成分的处方药品。</w:t>
      </w:r>
    </w:p>
    <w:p>
      <w:pPr>
        <w:pStyle w:val="BodyText"/>
        <w:spacing w:before="2"/>
        <w:rPr>
          <w:sz w:val="11"/>
        </w:rPr>
      </w:pPr>
    </w:p>
    <w:p>
      <w:pPr>
        <w:spacing w:after="0"/>
        <w:rPr>
          <w:sz w:val="11"/>
        </w:rPr>
        <w:sectPr>
          <w:pgSz w:w="11910" w:h="16840"/>
          <w:pgMar w:header="0" w:footer="879" w:top="1060" w:bottom="1060" w:left="1480" w:right="720"/>
        </w:sectPr>
      </w:pPr>
    </w:p>
    <w:p>
      <w:pPr>
        <w:pStyle w:val="ListParagraph"/>
        <w:numPr>
          <w:ilvl w:val="1"/>
          <w:numId w:val="17"/>
        </w:numPr>
        <w:tabs>
          <w:tab w:pos="1321" w:val="left" w:leader="none"/>
          <w:tab w:pos="1322" w:val="left" w:leader="none"/>
        </w:tabs>
        <w:spacing w:line="244" w:lineRule="auto" w:before="94" w:after="0"/>
        <w:ind w:left="1321" w:right="38" w:hanging="1100"/>
        <w:jc w:val="left"/>
        <w:rPr>
          <w:b/>
          <w:sz w:val="21"/>
        </w:rPr>
      </w:pPr>
      <w:r>
        <w:rPr>
          <w:b/>
          <w:spacing w:val="-2"/>
          <w:sz w:val="21"/>
        </w:rPr>
        <w:t>感染艾滋病病毒</w:t>
      </w:r>
      <w:r>
        <w:rPr>
          <w:b/>
          <w:spacing w:val="-2"/>
          <w:sz w:val="21"/>
        </w:rPr>
        <w:t>或患艾滋病</w:t>
      </w:r>
    </w:p>
    <w:p>
      <w:pPr>
        <w:pStyle w:val="BodyText"/>
        <w:spacing w:line="242" w:lineRule="auto" w:before="100"/>
        <w:ind w:left="222" w:right="449"/>
      </w:pPr>
      <w:r>
        <w:rPr/>
        <w:br w:type="column"/>
      </w:r>
      <w:r>
        <w:rPr>
          <w:spacing w:val="-2"/>
        </w:rPr>
        <w:t>艾滋病病毒指人类免疫缺陷病毒，英文缩写为</w:t>
      </w:r>
      <w:r>
        <w:rPr>
          <w:rFonts w:ascii="Times New Roman" w:eastAsia="Times New Roman"/>
          <w:spacing w:val="-2"/>
        </w:rPr>
        <w:t>HIV</w:t>
      </w:r>
      <w:r>
        <w:rPr>
          <w:spacing w:val="-2"/>
        </w:rPr>
        <w:t>。艾滋病指人类</w:t>
      </w:r>
      <w:r>
        <w:rPr>
          <w:spacing w:val="-2"/>
        </w:rPr>
        <w:t>免疫缺陷病毒引起的获得性免疫缺陷综合征，英文缩写为</w:t>
      </w:r>
      <w:r>
        <w:rPr>
          <w:rFonts w:ascii="Times New Roman" w:eastAsia="Times New Roman"/>
          <w:spacing w:val="-2"/>
        </w:rPr>
        <w:t>AIDS</w:t>
      </w:r>
      <w:r>
        <w:rPr>
          <w:spacing w:val="-2"/>
        </w:rPr>
        <w:t>。</w:t>
      </w:r>
      <w:r>
        <w:rPr>
          <w:spacing w:val="-2"/>
        </w:rPr>
        <w:t>在人体血液或其他样本中检测到艾滋病病毒或其抗体呈阳性，没有</w:t>
      </w:r>
      <w:r>
        <w:rPr>
          <w:spacing w:val="-2"/>
        </w:rPr>
        <w:t>出现临床症状或体征的，为感染艾滋病病毒；如果同时出现了明显</w:t>
      </w:r>
      <w:r>
        <w:rPr>
          <w:spacing w:val="-2"/>
        </w:rPr>
        <w:t>临床症状或体征的，为患艾滋病。</w:t>
      </w:r>
    </w:p>
    <w:p>
      <w:pPr>
        <w:spacing w:after="0" w:line="242" w:lineRule="auto"/>
        <w:sectPr>
          <w:type w:val="continuous"/>
          <w:pgSz w:w="11910" w:h="16840"/>
          <w:pgMar w:header="0" w:footer="879" w:top="300" w:bottom="280" w:left="1480" w:right="720"/>
          <w:cols w:num="2" w:equalWidth="0">
            <w:col w:w="2840" w:space="103"/>
            <w:col w:w="6767"/>
          </w:cols>
        </w:sectPr>
      </w:pPr>
    </w:p>
    <w:p>
      <w:pPr>
        <w:pStyle w:val="BodyText"/>
        <w:spacing w:before="4"/>
        <w:rPr>
          <w:sz w:val="11"/>
        </w:rPr>
      </w:pPr>
    </w:p>
    <w:p>
      <w:pPr>
        <w:pStyle w:val="ListParagraph"/>
        <w:numPr>
          <w:ilvl w:val="1"/>
          <w:numId w:val="17"/>
        </w:numPr>
        <w:tabs>
          <w:tab w:pos="1321" w:val="left" w:leader="none"/>
          <w:tab w:pos="1322" w:val="left" w:leader="none"/>
          <w:tab w:pos="3164" w:val="left" w:leader="none"/>
        </w:tabs>
        <w:spacing w:line="240" w:lineRule="auto" w:before="94" w:after="0"/>
        <w:ind w:left="1321" w:right="0" w:hanging="1100"/>
        <w:jc w:val="left"/>
        <w:rPr>
          <w:sz w:val="21"/>
        </w:rPr>
      </w:pPr>
      <w:r>
        <w:rPr>
          <w:b/>
          <w:sz w:val="21"/>
        </w:rPr>
        <w:t>遗传性疾</w:t>
      </w:r>
      <w:r>
        <w:rPr>
          <w:b/>
          <w:spacing w:val="-10"/>
          <w:sz w:val="21"/>
        </w:rPr>
        <w:t>病</w:t>
      </w:r>
      <w:r>
        <w:rPr>
          <w:b/>
          <w:sz w:val="21"/>
        </w:rPr>
        <w:tab/>
      </w:r>
      <w:r>
        <w:rPr>
          <w:spacing w:val="-2"/>
          <w:sz w:val="21"/>
        </w:rPr>
        <w:t>指</w:t>
      </w:r>
      <w:r>
        <w:rPr>
          <w:spacing w:val="-2"/>
          <w:sz w:val="21"/>
        </w:rPr>
        <w:t>生</w:t>
      </w:r>
      <w:r>
        <w:rPr>
          <w:spacing w:val="-2"/>
          <w:sz w:val="21"/>
        </w:rPr>
        <w:t>殖细胞或受精卵的遗</w:t>
      </w:r>
      <w:r>
        <w:rPr>
          <w:spacing w:val="-2"/>
          <w:sz w:val="21"/>
        </w:rPr>
        <w:t>传</w:t>
      </w:r>
      <w:r>
        <w:rPr>
          <w:spacing w:val="-2"/>
          <w:sz w:val="21"/>
        </w:rPr>
        <w:t>物</w:t>
      </w:r>
      <w:r>
        <w:rPr>
          <w:spacing w:val="-2"/>
          <w:sz w:val="21"/>
        </w:rPr>
        <w:t>质（染色体和基因）</w:t>
      </w:r>
      <w:r>
        <w:rPr>
          <w:spacing w:val="-2"/>
          <w:sz w:val="21"/>
        </w:rPr>
        <w:t>发</w:t>
      </w:r>
      <w:r>
        <w:rPr>
          <w:spacing w:val="-2"/>
          <w:sz w:val="21"/>
        </w:rPr>
        <w:t>生</w:t>
      </w:r>
      <w:r>
        <w:rPr>
          <w:spacing w:val="-2"/>
          <w:sz w:val="21"/>
        </w:rPr>
        <w:t>突变或</w:t>
      </w:r>
      <w:r>
        <w:rPr>
          <w:spacing w:val="-2"/>
          <w:sz w:val="21"/>
        </w:rPr>
        <w:t>畸</w:t>
      </w:r>
      <w:r>
        <w:rPr>
          <w:spacing w:val="-10"/>
          <w:sz w:val="21"/>
        </w:rPr>
        <w:t>变</w:t>
      </w:r>
    </w:p>
    <w:p>
      <w:pPr>
        <w:pStyle w:val="BodyText"/>
        <w:spacing w:before="5"/>
        <w:ind w:left="3165"/>
      </w:pPr>
      <w:r>
        <w:rPr>
          <w:spacing w:val="-3"/>
        </w:rPr>
        <w:t>所引起的疾病，通常具有由亲代传至后代的垂直传递的特征。</w:t>
      </w:r>
    </w:p>
    <w:p>
      <w:pPr>
        <w:pStyle w:val="BodyText"/>
        <w:spacing w:before="3"/>
        <w:rPr>
          <w:sz w:val="11"/>
        </w:rPr>
      </w:pPr>
    </w:p>
    <w:p>
      <w:pPr>
        <w:spacing w:after="0"/>
        <w:rPr>
          <w:sz w:val="11"/>
        </w:rPr>
        <w:sectPr>
          <w:type w:val="continuous"/>
          <w:pgSz w:w="11910" w:h="16840"/>
          <w:pgMar w:header="0" w:footer="879" w:top="300" w:bottom="280" w:left="1480" w:right="720"/>
        </w:sectPr>
      </w:pPr>
    </w:p>
    <w:p>
      <w:pPr>
        <w:pStyle w:val="ListParagraph"/>
        <w:numPr>
          <w:ilvl w:val="1"/>
          <w:numId w:val="17"/>
        </w:numPr>
        <w:tabs>
          <w:tab w:pos="1321" w:val="left" w:leader="none"/>
          <w:tab w:pos="1322" w:val="left" w:leader="none"/>
        </w:tabs>
        <w:spacing w:line="242" w:lineRule="auto" w:before="94" w:after="0"/>
        <w:ind w:left="1321" w:right="0" w:hanging="1100"/>
        <w:jc w:val="left"/>
        <w:rPr>
          <w:b/>
          <w:sz w:val="21"/>
        </w:rPr>
      </w:pPr>
      <w:r>
        <w:rPr>
          <w:b/>
          <w:spacing w:val="-10"/>
          <w:sz w:val="21"/>
        </w:rPr>
        <w:t>先天性畸形、变形</w:t>
      </w:r>
      <w:r>
        <w:rPr>
          <w:b/>
          <w:spacing w:val="-2"/>
          <w:sz w:val="21"/>
        </w:rPr>
        <w:t>或染色体异常</w:t>
      </w:r>
    </w:p>
    <w:p>
      <w:pPr>
        <w:pStyle w:val="BodyText"/>
        <w:spacing w:line="242" w:lineRule="auto" w:before="100"/>
        <w:ind w:left="174" w:right="346"/>
      </w:pPr>
      <w:r>
        <w:rPr/>
        <w:br w:type="column"/>
      </w:r>
      <w:r>
        <w:rPr>
          <w:spacing w:val="-9"/>
        </w:rPr>
        <w:t>指被保险人出生时就具有的畸形、变形或染色体异常。先天性畸形、</w:t>
      </w:r>
      <w:r>
        <w:rPr>
          <w:spacing w:val="-2"/>
        </w:rPr>
        <w:t>变形和染色体异常依照世界卫生组织《疾病和有关健康问题的国际</w:t>
      </w:r>
      <w:r>
        <w:rPr>
          <w:spacing w:val="-24"/>
        </w:rPr>
        <w:t>统计分类》</w:t>
      </w:r>
      <w:r>
        <w:rPr>
          <w:spacing w:val="-2"/>
        </w:rPr>
        <w:t>（</w:t>
      </w:r>
      <w:r>
        <w:rPr>
          <w:rFonts w:ascii="Times New Roman" w:eastAsia="Times New Roman"/>
          <w:spacing w:val="-2"/>
        </w:rPr>
        <w:t>ICD-10</w:t>
      </w:r>
      <w:r>
        <w:rPr>
          <w:spacing w:val="-2"/>
        </w:rPr>
        <w:t>）确定。</w:t>
      </w:r>
    </w:p>
    <w:p>
      <w:pPr>
        <w:spacing w:after="0" w:line="242" w:lineRule="auto"/>
        <w:sectPr>
          <w:type w:val="continuous"/>
          <w:pgSz w:w="11910" w:h="16840"/>
          <w:pgMar w:header="0" w:footer="879" w:top="300" w:bottom="280" w:left="1480" w:right="720"/>
          <w:cols w:num="2" w:equalWidth="0">
            <w:col w:w="2951" w:space="40"/>
            <w:col w:w="6719"/>
          </w:cols>
        </w:sectPr>
      </w:pPr>
    </w:p>
    <w:p>
      <w:pPr>
        <w:pStyle w:val="BodyText"/>
        <w:spacing w:before="2"/>
        <w:rPr>
          <w:sz w:val="11"/>
        </w:rPr>
      </w:pPr>
    </w:p>
    <w:p>
      <w:pPr>
        <w:pStyle w:val="ListParagraph"/>
        <w:numPr>
          <w:ilvl w:val="1"/>
          <w:numId w:val="17"/>
        </w:numPr>
        <w:tabs>
          <w:tab w:pos="1321" w:val="left" w:leader="none"/>
          <w:tab w:pos="1322" w:val="left" w:leader="none"/>
          <w:tab w:pos="3164" w:val="left" w:leader="none"/>
        </w:tabs>
        <w:spacing w:line="240" w:lineRule="auto" w:before="94" w:after="0"/>
        <w:ind w:left="1321" w:right="0" w:hanging="1100"/>
        <w:jc w:val="left"/>
        <w:rPr>
          <w:sz w:val="21"/>
        </w:rPr>
      </w:pPr>
      <w:r>
        <w:rPr>
          <w:b/>
          <w:sz w:val="21"/>
        </w:rPr>
        <w:t>既往</w:t>
      </w:r>
      <w:r>
        <w:rPr>
          <w:b/>
          <w:spacing w:val="-10"/>
          <w:sz w:val="21"/>
        </w:rPr>
        <w:t>症</w:t>
      </w:r>
      <w:r>
        <w:rPr>
          <w:b/>
          <w:sz w:val="21"/>
        </w:rPr>
        <w:tab/>
      </w:r>
      <w:r>
        <w:rPr>
          <w:spacing w:val="-2"/>
          <w:sz w:val="21"/>
        </w:rPr>
        <w:t>指</w:t>
      </w:r>
      <w:r>
        <w:rPr>
          <w:spacing w:val="-2"/>
          <w:sz w:val="21"/>
        </w:rPr>
        <w:t>在</w:t>
      </w:r>
      <w:r>
        <w:rPr>
          <w:spacing w:val="-2"/>
          <w:sz w:val="21"/>
        </w:rPr>
        <w:t>本合同生效日之前被</w:t>
      </w:r>
      <w:r>
        <w:rPr>
          <w:spacing w:val="-2"/>
          <w:sz w:val="21"/>
        </w:rPr>
        <w:t>保</w:t>
      </w:r>
      <w:r>
        <w:rPr>
          <w:spacing w:val="-2"/>
          <w:sz w:val="21"/>
        </w:rPr>
        <w:t>险</w:t>
      </w:r>
      <w:r>
        <w:rPr>
          <w:spacing w:val="-2"/>
          <w:sz w:val="21"/>
        </w:rPr>
        <w:t>人已患的疾病或者已</w:t>
      </w:r>
      <w:r>
        <w:rPr>
          <w:spacing w:val="-2"/>
          <w:sz w:val="21"/>
        </w:rPr>
        <w:t>有</w:t>
      </w:r>
      <w:r>
        <w:rPr>
          <w:spacing w:val="-2"/>
          <w:sz w:val="21"/>
        </w:rPr>
        <w:t>的</w:t>
      </w:r>
      <w:r>
        <w:rPr>
          <w:spacing w:val="-2"/>
          <w:sz w:val="21"/>
        </w:rPr>
        <w:t>症</w:t>
      </w:r>
      <w:r>
        <w:rPr>
          <w:spacing w:val="-2"/>
          <w:sz w:val="21"/>
        </w:rPr>
        <w:t>状</w:t>
      </w:r>
      <w:r>
        <w:rPr>
          <w:spacing w:val="-10"/>
          <w:sz w:val="21"/>
        </w:rPr>
        <w:t>。</w:t>
      </w:r>
    </w:p>
    <w:p>
      <w:pPr>
        <w:pStyle w:val="BodyText"/>
        <w:spacing w:before="8"/>
        <w:rPr>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耐</w:t>
      </w:r>
      <w:r>
        <w:rPr>
          <w:b/>
          <w:spacing w:val="-10"/>
          <w:sz w:val="21"/>
        </w:rPr>
        <w:t>药</w:t>
      </w:r>
      <w:r>
        <w:rPr>
          <w:b/>
          <w:sz w:val="21"/>
        </w:rPr>
        <w:tab/>
      </w:r>
      <w:r>
        <w:rPr>
          <w:spacing w:val="-2"/>
          <w:sz w:val="21"/>
        </w:rPr>
        <w:t>指</w:t>
      </w:r>
      <w:r>
        <w:rPr>
          <w:spacing w:val="-2"/>
          <w:sz w:val="21"/>
        </w:rPr>
        <w:t>以</w:t>
      </w:r>
      <w:r>
        <w:rPr>
          <w:spacing w:val="-2"/>
          <w:sz w:val="21"/>
        </w:rPr>
        <w:t>下两种情况之一</w:t>
      </w:r>
      <w:r>
        <w:rPr>
          <w:spacing w:val="-10"/>
          <w:sz w:val="21"/>
        </w:rPr>
        <w:t>：</w:t>
      </w:r>
    </w:p>
    <w:p>
      <w:pPr>
        <w:pStyle w:val="ListParagraph"/>
        <w:numPr>
          <w:ilvl w:val="0"/>
          <w:numId w:val="18"/>
        </w:numPr>
        <w:tabs>
          <w:tab w:pos="3694" w:val="left" w:leader="none"/>
        </w:tabs>
        <w:spacing w:line="240" w:lineRule="auto" w:before="2" w:after="0"/>
        <w:ind w:left="3694" w:right="0" w:hanging="529"/>
        <w:jc w:val="left"/>
        <w:rPr>
          <w:sz w:val="21"/>
        </w:rPr>
      </w:pPr>
      <w:r>
        <w:rPr>
          <w:spacing w:val="2"/>
          <w:sz w:val="21"/>
        </w:rPr>
        <w:t>实体肿瘤病灶按照 </w:t>
      </w:r>
      <w:r>
        <w:rPr>
          <w:rFonts w:ascii="Times New Roman" w:eastAsia="Times New Roman"/>
          <w:b/>
          <w:sz w:val="21"/>
        </w:rPr>
        <w:t>RECIST</w:t>
      </w:r>
      <w:r>
        <w:rPr>
          <w:sz w:val="21"/>
        </w:rPr>
        <w:t>（</w:t>
      </w:r>
      <w:r>
        <w:rPr>
          <w:spacing w:val="-1"/>
          <w:sz w:val="21"/>
        </w:rPr>
        <w:t>实体瘤治疗疗效评价标准，见</w:t>
      </w:r>
    </w:p>
    <w:p>
      <w:pPr>
        <w:pStyle w:val="BodyText"/>
        <w:spacing w:before="5"/>
        <w:ind w:left="3690"/>
      </w:pPr>
      <w:r>
        <w:rPr>
          <w:rFonts w:ascii="Times New Roman" w:eastAsia="Times New Roman"/>
          <w:spacing w:val="-2"/>
        </w:rPr>
        <w:t>9.30</w:t>
      </w:r>
      <w:r>
        <w:rPr>
          <w:spacing w:val="-2"/>
        </w:rPr>
        <w:t>）</w:t>
      </w:r>
      <w:r>
        <w:rPr>
          <w:spacing w:val="-3"/>
        </w:rPr>
        <w:t>出现疾病进展，即定义为耐药；</w:t>
      </w:r>
    </w:p>
    <w:p>
      <w:pPr>
        <w:pStyle w:val="ListParagraph"/>
        <w:numPr>
          <w:ilvl w:val="0"/>
          <w:numId w:val="18"/>
        </w:numPr>
        <w:tabs>
          <w:tab w:pos="3694" w:val="left" w:leader="none"/>
        </w:tabs>
        <w:spacing w:line="242" w:lineRule="auto" w:before="2" w:after="0"/>
        <w:ind w:left="3690" w:right="346" w:hanging="526"/>
        <w:jc w:val="left"/>
        <w:rPr>
          <w:sz w:val="21"/>
        </w:rPr>
      </w:pPr>
      <w:r>
        <w:rPr>
          <w:spacing w:val="2"/>
          <w:w w:val="100"/>
          <w:sz w:val="21"/>
        </w:rPr>
        <w:t>非实体肿瘤（</w:t>
      </w:r>
      <w:r>
        <w:rPr>
          <w:spacing w:val="1"/>
          <w:w w:val="100"/>
          <w:sz w:val="21"/>
        </w:rPr>
        <w:t>包含白血病、多发性骨髓瘤、骨髓纤维化、淋</w:t>
      </w:r>
      <w:r>
        <w:rPr>
          <w:spacing w:val="2"/>
          <w:w w:val="100"/>
          <w:sz w:val="21"/>
        </w:rPr>
        <w:t>巴瘤等血液系统恶性肿瘤）</w:t>
      </w:r>
      <w:r>
        <w:rPr>
          <w:spacing w:val="1"/>
          <w:w w:val="100"/>
          <w:sz w:val="21"/>
        </w:rPr>
        <w:t>在临床上常无明确的肿块或者肿</w:t>
      </w:r>
      <w:r>
        <w:rPr>
          <w:spacing w:val="-4"/>
          <w:w w:val="100"/>
          <w:sz w:val="21"/>
        </w:rPr>
        <w:t>块较小难以发现，经规范治疗后，按</w:t>
      </w:r>
      <w:r>
        <w:rPr>
          <w:b/>
          <w:spacing w:val="-2"/>
          <w:w w:val="100"/>
          <w:sz w:val="21"/>
        </w:rPr>
        <w:t>相关专业机构</w:t>
      </w:r>
      <w:r>
        <w:rPr>
          <w:w w:val="100"/>
          <w:sz w:val="21"/>
        </w:rPr>
        <w:t>（见</w:t>
      </w:r>
      <w:r>
        <w:rPr>
          <w:spacing w:val="-53"/>
          <w:sz w:val="21"/>
        </w:rPr>
        <w:t> </w:t>
      </w:r>
      <w:r>
        <w:rPr>
          <w:rFonts w:ascii="Times New Roman" w:eastAsia="Times New Roman"/>
          <w:spacing w:val="-3"/>
          <w:w w:val="100"/>
          <w:sz w:val="21"/>
        </w:rPr>
        <w:t>9.3</w:t>
      </w:r>
      <w:r>
        <w:rPr>
          <w:rFonts w:ascii="Times New Roman" w:eastAsia="Times New Roman"/>
          <w:spacing w:val="-6"/>
          <w:w w:val="100"/>
          <w:sz w:val="21"/>
        </w:rPr>
        <w:t>1</w:t>
      </w:r>
      <w:r>
        <w:rPr>
          <w:spacing w:val="-3"/>
          <w:w w:val="100"/>
          <w:sz w:val="21"/>
        </w:rPr>
        <w:t>）</w:t>
      </w:r>
      <w:r>
        <w:rPr>
          <w:spacing w:val="1"/>
          <w:w w:val="100"/>
          <w:sz w:val="21"/>
        </w:rPr>
        <w:t>的指南规范，对患者的骨髓形态学、流式细胞、特定基因检测等结果进行综合评价，得出疾病进展的结论，即定义为耐药。</w:t>
      </w:r>
    </w:p>
    <w:p>
      <w:pPr>
        <w:pStyle w:val="BodyText"/>
        <w:spacing w:before="10"/>
        <w:rPr>
          <w:sz w:val="18"/>
        </w:rPr>
      </w:pPr>
    </w:p>
    <w:p>
      <w:pPr>
        <w:pStyle w:val="ListParagraph"/>
        <w:numPr>
          <w:ilvl w:val="1"/>
          <w:numId w:val="17"/>
        </w:numPr>
        <w:tabs>
          <w:tab w:pos="1321" w:val="left" w:leader="none"/>
          <w:tab w:pos="1322" w:val="left" w:leader="none"/>
          <w:tab w:pos="3164" w:val="left" w:leader="none"/>
        </w:tabs>
        <w:spacing w:line="240" w:lineRule="auto" w:before="0" w:after="0"/>
        <w:ind w:left="1321" w:right="0" w:hanging="1100"/>
        <w:jc w:val="left"/>
        <w:rPr>
          <w:sz w:val="21"/>
        </w:rPr>
      </w:pPr>
      <w:r>
        <w:rPr>
          <w:b/>
          <w:sz w:val="21"/>
        </w:rPr>
        <w:t>有效身份证</w:t>
      </w:r>
      <w:r>
        <w:rPr>
          <w:b/>
          <w:spacing w:val="-10"/>
          <w:sz w:val="21"/>
        </w:rPr>
        <w:t>件</w:t>
      </w:r>
      <w:r>
        <w:rPr>
          <w:b/>
          <w:sz w:val="21"/>
        </w:rPr>
        <w:tab/>
      </w:r>
      <w:r>
        <w:rPr>
          <w:spacing w:val="-2"/>
          <w:sz w:val="21"/>
        </w:rPr>
        <w:t>指</w:t>
      </w:r>
      <w:r>
        <w:rPr>
          <w:spacing w:val="-2"/>
          <w:sz w:val="21"/>
        </w:rPr>
        <w:t>依</w:t>
      </w:r>
      <w:r>
        <w:rPr>
          <w:spacing w:val="-2"/>
          <w:sz w:val="21"/>
        </w:rPr>
        <w:t>据法律规定，由有权</w:t>
      </w:r>
      <w:r>
        <w:rPr>
          <w:spacing w:val="-2"/>
          <w:sz w:val="21"/>
        </w:rPr>
        <w:t>机</w:t>
      </w:r>
      <w:r>
        <w:rPr>
          <w:spacing w:val="-2"/>
          <w:sz w:val="21"/>
        </w:rPr>
        <w:t>构</w:t>
      </w:r>
      <w:r>
        <w:rPr>
          <w:spacing w:val="-2"/>
          <w:sz w:val="21"/>
        </w:rPr>
        <w:t>制作颁发的证明身份</w:t>
      </w:r>
      <w:r>
        <w:rPr>
          <w:spacing w:val="-2"/>
          <w:sz w:val="21"/>
        </w:rPr>
        <w:t>的</w:t>
      </w:r>
      <w:r>
        <w:rPr>
          <w:spacing w:val="-2"/>
          <w:sz w:val="21"/>
        </w:rPr>
        <w:t>证</w:t>
      </w:r>
      <w:r>
        <w:rPr>
          <w:spacing w:val="-2"/>
          <w:sz w:val="21"/>
        </w:rPr>
        <w:t>件，如：</w:t>
      </w:r>
      <w:r>
        <w:rPr>
          <w:spacing w:val="-10"/>
          <w:sz w:val="21"/>
        </w:rPr>
        <w:t>居</w:t>
      </w:r>
    </w:p>
    <w:p>
      <w:pPr>
        <w:pStyle w:val="BodyText"/>
        <w:spacing w:before="2"/>
        <w:ind w:left="3165"/>
      </w:pPr>
      <w:r>
        <w:rPr>
          <w:spacing w:val="-3"/>
        </w:rPr>
        <w:t>民身份证、户口簿、护照、军人证等。</w:t>
      </w:r>
    </w:p>
    <w:p>
      <w:pPr>
        <w:pStyle w:val="BodyText"/>
        <w:spacing w:before="4"/>
        <w:rPr>
          <w:sz w:val="11"/>
        </w:rPr>
      </w:pPr>
    </w:p>
    <w:p>
      <w:pPr>
        <w:spacing w:after="0"/>
        <w:rPr>
          <w:sz w:val="11"/>
        </w:rPr>
        <w:sectPr>
          <w:type w:val="continuous"/>
          <w:pgSz w:w="11910" w:h="16840"/>
          <w:pgMar w:header="0" w:footer="879" w:top="300" w:bottom="280" w:left="1480" w:right="720"/>
        </w:sectPr>
      </w:pPr>
    </w:p>
    <w:p>
      <w:pPr>
        <w:pStyle w:val="ListParagraph"/>
        <w:numPr>
          <w:ilvl w:val="1"/>
          <w:numId w:val="17"/>
        </w:numPr>
        <w:tabs>
          <w:tab w:pos="1321" w:val="left" w:leader="none"/>
          <w:tab w:pos="1322" w:val="left" w:leader="none"/>
        </w:tabs>
        <w:spacing w:line="244" w:lineRule="auto" w:before="94" w:after="0"/>
        <w:ind w:left="1321" w:right="38" w:hanging="1100"/>
        <w:jc w:val="left"/>
        <w:rPr>
          <w:b/>
          <w:sz w:val="21"/>
        </w:rPr>
      </w:pPr>
      <w:r>
        <w:rPr>
          <w:b/>
          <w:spacing w:val="-2"/>
          <w:sz w:val="21"/>
        </w:rPr>
        <w:t>我们指定的第三</w:t>
      </w:r>
      <w:r>
        <w:rPr>
          <w:b/>
          <w:spacing w:val="-4"/>
          <w:sz w:val="21"/>
        </w:rPr>
        <w:t>方服务商</w:t>
      </w:r>
    </w:p>
    <w:p>
      <w:pPr>
        <w:pStyle w:val="BodyText"/>
        <w:spacing w:before="100"/>
        <w:ind w:left="222"/>
      </w:pPr>
      <w:r>
        <w:rPr/>
        <w:br w:type="column"/>
      </w:r>
      <w:r>
        <w:rPr>
          <w:spacing w:val="-3"/>
        </w:rPr>
        <w:t>指我们授权的为申请人提供处方审核及药事服务的机构。</w:t>
      </w:r>
    </w:p>
    <w:p>
      <w:pPr>
        <w:spacing w:after="0"/>
        <w:sectPr>
          <w:type w:val="continuous"/>
          <w:pgSz w:w="11910" w:h="16840"/>
          <w:pgMar w:header="0" w:footer="879" w:top="300" w:bottom="280" w:left="1480" w:right="720"/>
          <w:cols w:num="2" w:equalWidth="0">
            <w:col w:w="2841" w:space="102"/>
            <w:col w:w="6767"/>
          </w:cols>
        </w:sectPr>
      </w:pPr>
    </w:p>
    <w:p>
      <w:pPr>
        <w:pStyle w:val="BodyText"/>
        <w:spacing w:before="4"/>
        <w:rPr>
          <w:sz w:val="8"/>
        </w:rPr>
      </w:pPr>
    </w:p>
    <w:p>
      <w:pPr>
        <w:pStyle w:val="ListParagraph"/>
        <w:numPr>
          <w:ilvl w:val="1"/>
          <w:numId w:val="17"/>
        </w:numPr>
        <w:tabs>
          <w:tab w:pos="1321" w:val="left" w:leader="none"/>
          <w:tab w:pos="1322" w:val="left" w:leader="none"/>
          <w:tab w:pos="3164" w:val="left" w:leader="none"/>
        </w:tabs>
        <w:spacing w:line="240" w:lineRule="auto" w:before="94" w:after="0"/>
        <w:ind w:left="1321" w:right="0" w:hanging="1100"/>
        <w:jc w:val="left"/>
        <w:rPr>
          <w:sz w:val="21"/>
        </w:rPr>
      </w:pPr>
      <w:r>
        <w:rPr>
          <w:b/>
          <w:sz w:val="21"/>
        </w:rPr>
        <w:t>购药凭</w:t>
      </w:r>
      <w:r>
        <w:rPr>
          <w:b/>
          <w:spacing w:val="-10"/>
          <w:sz w:val="21"/>
        </w:rPr>
        <w:t>证</w:t>
      </w:r>
      <w:r>
        <w:rPr>
          <w:b/>
          <w:sz w:val="21"/>
        </w:rPr>
        <w:tab/>
      </w:r>
      <w:r>
        <w:rPr>
          <w:spacing w:val="-2"/>
          <w:sz w:val="21"/>
        </w:rPr>
        <w:t>药</w:t>
      </w:r>
      <w:r>
        <w:rPr>
          <w:spacing w:val="-2"/>
          <w:sz w:val="21"/>
        </w:rPr>
        <w:t>品</w:t>
      </w:r>
      <w:r>
        <w:rPr>
          <w:spacing w:val="-2"/>
          <w:sz w:val="21"/>
        </w:rPr>
        <w:t>处方审核通</w:t>
      </w:r>
      <w:r>
        <w:rPr>
          <w:spacing w:val="-2"/>
          <w:sz w:val="21"/>
        </w:rPr>
        <w:t>过</w:t>
      </w:r>
      <w:r>
        <w:rPr>
          <w:spacing w:val="-2"/>
          <w:sz w:val="21"/>
        </w:rPr>
        <w:t>后</w:t>
      </w:r>
      <w:r>
        <w:rPr>
          <w:spacing w:val="-2"/>
          <w:sz w:val="21"/>
        </w:rPr>
        <w:t>，我</w:t>
      </w:r>
      <w:r>
        <w:rPr>
          <w:spacing w:val="-2"/>
          <w:sz w:val="21"/>
        </w:rPr>
        <w:t>们</w:t>
      </w:r>
      <w:r>
        <w:rPr>
          <w:spacing w:val="-2"/>
          <w:sz w:val="21"/>
        </w:rPr>
        <w:t>指</w:t>
      </w:r>
      <w:r>
        <w:rPr>
          <w:spacing w:val="-2"/>
          <w:sz w:val="21"/>
        </w:rPr>
        <w:t>定的第三方服务商派</w:t>
      </w:r>
      <w:r>
        <w:rPr>
          <w:spacing w:val="-2"/>
          <w:sz w:val="21"/>
        </w:rPr>
        <w:t>发</w:t>
      </w:r>
      <w:r>
        <w:rPr>
          <w:spacing w:val="-2"/>
          <w:sz w:val="21"/>
        </w:rPr>
        <w:t>给</w:t>
      </w:r>
      <w:r>
        <w:rPr>
          <w:spacing w:val="-2"/>
          <w:sz w:val="21"/>
        </w:rPr>
        <w:t>申请人</w:t>
      </w:r>
      <w:r>
        <w:rPr>
          <w:spacing w:val="-2"/>
          <w:sz w:val="21"/>
        </w:rPr>
        <w:t>可</w:t>
      </w:r>
      <w:r>
        <w:rPr>
          <w:spacing w:val="-10"/>
          <w:sz w:val="21"/>
        </w:rPr>
        <w:t>用</w:t>
      </w:r>
    </w:p>
    <w:p>
      <w:pPr>
        <w:pStyle w:val="BodyText"/>
        <w:spacing w:before="5"/>
        <w:ind w:left="3165"/>
      </w:pPr>
      <w:r>
        <w:rPr>
          <w:spacing w:val="-3"/>
        </w:rPr>
        <w:t>于我们指定的药店购买或领取药品的凭证。</w:t>
      </w:r>
    </w:p>
    <w:p>
      <w:pPr>
        <w:pStyle w:val="BodyText"/>
        <w:spacing w:before="4"/>
        <w:rPr>
          <w:sz w:val="11"/>
        </w:rPr>
      </w:pPr>
    </w:p>
    <w:p>
      <w:pPr>
        <w:spacing w:after="0"/>
        <w:rPr>
          <w:sz w:val="11"/>
        </w:rPr>
        <w:sectPr>
          <w:type w:val="continuous"/>
          <w:pgSz w:w="11910" w:h="16840"/>
          <w:pgMar w:header="0" w:footer="879" w:top="300" w:bottom="280" w:left="1480" w:right="720"/>
        </w:sectPr>
      </w:pPr>
    </w:p>
    <w:p>
      <w:pPr>
        <w:pStyle w:val="ListParagraph"/>
        <w:numPr>
          <w:ilvl w:val="1"/>
          <w:numId w:val="17"/>
        </w:numPr>
        <w:tabs>
          <w:tab w:pos="1321" w:val="left" w:leader="none"/>
          <w:tab w:pos="1322" w:val="left" w:leader="none"/>
        </w:tabs>
        <w:spacing w:line="242" w:lineRule="auto" w:before="94" w:after="0"/>
        <w:ind w:left="1321" w:right="38" w:hanging="1100"/>
        <w:jc w:val="left"/>
        <w:rPr>
          <w:b/>
          <w:sz w:val="21"/>
        </w:rPr>
      </w:pPr>
      <w:r>
        <w:rPr>
          <w:b/>
          <w:spacing w:val="-2"/>
          <w:sz w:val="21"/>
        </w:rPr>
        <w:t>我们认可的慈善</w:t>
      </w:r>
      <w:r>
        <w:rPr>
          <w:b/>
          <w:spacing w:val="-6"/>
          <w:sz w:val="21"/>
        </w:rPr>
        <w:t>机构</w:t>
      </w:r>
    </w:p>
    <w:p>
      <w:pPr>
        <w:pStyle w:val="BodyText"/>
        <w:spacing w:line="242" w:lineRule="auto" w:before="100"/>
        <w:ind w:left="222" w:right="449"/>
        <w:jc w:val="both"/>
      </w:pPr>
      <w:r>
        <w:rPr/>
        <w:br w:type="column"/>
      </w:r>
      <w:r>
        <w:rPr>
          <w:spacing w:val="-2"/>
        </w:rPr>
        <w:t>慈善机构指依法成立、符合《中华人民共和国慈善法》规定，以面</w:t>
      </w:r>
      <w:r>
        <w:rPr>
          <w:spacing w:val="-2"/>
        </w:rPr>
        <w:t>向社会开展慈善活动为宗旨的非营利性组织机构。慈善机构可以采</w:t>
      </w:r>
      <w:r>
        <w:rPr>
          <w:spacing w:val="-2"/>
        </w:rPr>
        <w:t>取基金会、社会团体、社会服务机构等组织形式。</w:t>
      </w:r>
    </w:p>
    <w:p>
      <w:pPr>
        <w:spacing w:after="0" w:line="242" w:lineRule="auto"/>
        <w:jc w:val="both"/>
        <w:sectPr>
          <w:type w:val="continuous"/>
          <w:pgSz w:w="11910" w:h="16840"/>
          <w:pgMar w:header="0" w:footer="879" w:top="300" w:bottom="280" w:left="1480" w:right="720"/>
          <w:cols w:num="2" w:equalWidth="0">
            <w:col w:w="2840" w:space="103"/>
            <w:col w:w="6767"/>
          </w:cols>
        </w:sectPr>
      </w:pPr>
    </w:p>
    <w:p>
      <w:pPr>
        <w:pStyle w:val="BodyText"/>
        <w:spacing w:before="2"/>
        <w:rPr>
          <w:sz w:val="11"/>
        </w:rPr>
      </w:pPr>
    </w:p>
    <w:p>
      <w:pPr>
        <w:pStyle w:val="ListParagraph"/>
        <w:numPr>
          <w:ilvl w:val="1"/>
          <w:numId w:val="17"/>
        </w:numPr>
        <w:tabs>
          <w:tab w:pos="1321" w:val="left" w:leader="none"/>
          <w:tab w:pos="1322" w:val="left" w:leader="none"/>
          <w:tab w:pos="3164" w:val="left" w:leader="none"/>
        </w:tabs>
        <w:spacing w:line="240" w:lineRule="auto" w:before="94" w:after="0"/>
        <w:ind w:left="1321" w:right="0" w:hanging="1100"/>
        <w:jc w:val="left"/>
        <w:rPr>
          <w:sz w:val="21"/>
        </w:rPr>
      </w:pPr>
      <w:r>
        <w:rPr>
          <w:b/>
          <w:sz w:val="21"/>
        </w:rPr>
        <w:t>未满期净保险</w:t>
      </w:r>
      <w:r>
        <w:rPr>
          <w:b/>
          <w:spacing w:val="-10"/>
          <w:sz w:val="21"/>
        </w:rPr>
        <w:t>费</w:t>
      </w:r>
      <w:r>
        <w:rPr>
          <w:b/>
          <w:sz w:val="21"/>
        </w:rPr>
        <w:tab/>
      </w:r>
      <w:r>
        <w:rPr>
          <w:spacing w:val="-2"/>
          <w:sz w:val="21"/>
        </w:rPr>
        <w:t>其</w:t>
      </w:r>
      <w:r>
        <w:rPr>
          <w:spacing w:val="-2"/>
          <w:sz w:val="21"/>
        </w:rPr>
        <w:t>计</w:t>
      </w:r>
      <w:r>
        <w:rPr>
          <w:spacing w:val="-2"/>
          <w:sz w:val="21"/>
        </w:rPr>
        <w:t>算公式为：未满期净</w:t>
      </w:r>
      <w:r>
        <w:rPr>
          <w:spacing w:val="-2"/>
          <w:sz w:val="21"/>
        </w:rPr>
        <w:t>保</w:t>
      </w:r>
      <w:r>
        <w:rPr>
          <w:spacing w:val="-2"/>
          <w:sz w:val="21"/>
        </w:rPr>
        <w:t>险</w:t>
      </w:r>
      <w:r>
        <w:rPr>
          <w:spacing w:val="-2"/>
          <w:sz w:val="21"/>
        </w:rPr>
        <w:t>费</w:t>
      </w:r>
      <w:r>
        <w:rPr>
          <w:rFonts w:ascii="Times New Roman" w:hAnsi="Times New Roman" w:eastAsia="Times New Roman"/>
          <w:spacing w:val="-2"/>
          <w:sz w:val="21"/>
        </w:rPr>
        <w:t>=</w:t>
      </w:r>
      <w:r>
        <w:rPr>
          <w:spacing w:val="-2"/>
          <w:sz w:val="21"/>
        </w:rPr>
        <w:t>最后一期已付保险</w:t>
      </w:r>
      <w:r>
        <w:rPr>
          <w:spacing w:val="-2"/>
          <w:sz w:val="21"/>
        </w:rPr>
        <w:t>费</w:t>
      </w:r>
      <w:r>
        <w:rPr>
          <w:spacing w:val="-2"/>
          <w:sz w:val="21"/>
        </w:rPr>
        <w:t>×（</w:t>
      </w:r>
      <w:r>
        <w:rPr>
          <w:rFonts w:ascii="Times New Roman" w:hAnsi="Times New Roman" w:eastAsia="Times New Roman"/>
          <w:spacing w:val="-2"/>
          <w:sz w:val="21"/>
        </w:rPr>
        <w:t>1-</w:t>
      </w:r>
      <w:r>
        <w:rPr>
          <w:rFonts w:ascii="Times New Roman" w:hAnsi="Times New Roman" w:eastAsia="Times New Roman"/>
          <w:spacing w:val="-4"/>
          <w:sz w:val="21"/>
        </w:rPr>
        <w:t>35%</w:t>
      </w:r>
      <w:r>
        <w:rPr>
          <w:spacing w:val="-4"/>
          <w:sz w:val="21"/>
        </w:rPr>
        <w:t>）</w:t>
      </w:r>
    </w:p>
    <w:p>
      <w:pPr>
        <w:pStyle w:val="BodyText"/>
        <w:spacing w:line="187" w:lineRule="exact" w:before="20"/>
        <w:ind w:left="3165"/>
      </w:pPr>
      <w:r>
        <w:rPr>
          <w:spacing w:val="-3"/>
          <w:position w:val="-7"/>
        </w:rPr>
        <w:t>×</w:t>
      </w:r>
      <w:r>
        <w:rPr>
          <w:rFonts w:ascii="Symbol" w:hAnsi="Symbol" w:eastAsia="Symbol"/>
          <w:spacing w:val="-3"/>
        </w:rPr>
        <w:t></w:t>
      </w:r>
      <w:r>
        <w:rPr>
          <w:rFonts w:ascii="Times New Roman" w:hAnsi="Times New Roman" w:eastAsia="Times New Roman"/>
          <w:spacing w:val="-3"/>
          <w:position w:val="-11"/>
        </w:rPr>
        <w:t>1</w:t>
      </w:r>
      <w:r>
        <w:rPr>
          <w:rFonts w:ascii="Symbol" w:hAnsi="Symbol" w:eastAsia="Symbol"/>
          <w:spacing w:val="-3"/>
          <w:position w:val="-11"/>
        </w:rPr>
        <w:t></w:t>
      </w:r>
      <w:r>
        <w:rPr>
          <w:rFonts w:ascii="Times New Roman" w:hAnsi="Times New Roman" w:eastAsia="Times New Roman"/>
          <w:position w:val="-11"/>
        </w:rPr>
        <w:t> </w:t>
      </w:r>
      <w:r>
        <w:rPr>
          <w:spacing w:val="-3"/>
        </w:rPr>
        <w:t>该保险费所保障的已经过天数</w:t>
      </w:r>
      <w:r>
        <w:rPr>
          <w:rFonts w:ascii="Symbol" w:hAnsi="Symbol" w:eastAsia="Symbol"/>
          <w:spacing w:val="-3"/>
        </w:rPr>
        <w:t></w:t>
      </w:r>
      <w:r>
        <w:rPr>
          <w:rFonts w:ascii="Times New Roman" w:hAnsi="Times New Roman" w:eastAsia="Times New Roman"/>
          <w:spacing w:val="-10"/>
        </w:rPr>
        <w:t> </w:t>
      </w:r>
      <w:r>
        <w:rPr>
          <w:spacing w:val="-4"/>
          <w:position w:val="-7"/>
        </w:rPr>
        <w:t>，经过天数不足一天的按一天</w:t>
      </w:r>
    </w:p>
    <w:p>
      <w:pPr>
        <w:pStyle w:val="BodyText"/>
        <w:tabs>
          <w:tab w:pos="879" w:val="left" w:leader="none"/>
          <w:tab w:pos="3258" w:val="left" w:leader="none"/>
        </w:tabs>
        <w:spacing w:line="133" w:lineRule="exact"/>
        <w:ind w:left="216"/>
        <w:jc w:val="center"/>
        <w:rPr>
          <w:rFonts w:ascii="Symbol" w:hAnsi="Symbol"/>
        </w:rPr>
      </w:pPr>
      <w:r>
        <w:rPr/>
        <w:drawing>
          <wp:anchor distT="0" distB="0" distL="0" distR="0" allowOverlap="1" layoutInCell="1" locked="0" behindDoc="0" simplePos="0" relativeHeight="15732224">
            <wp:simplePos x="0" y="0"/>
            <wp:positionH relativeFrom="page">
              <wp:posOffset>3322292</wp:posOffset>
            </wp:positionH>
            <wp:positionV relativeFrom="paragraph">
              <wp:posOffset>59309</wp:posOffset>
            </wp:positionV>
            <wp:extent cx="1689308" cy="6342"/>
            <wp:effectExtent l="0" t="0" r="0" b="0"/>
            <wp:wrapNone/>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1689308" cy="6342"/>
                    </a:xfrm>
                    <a:prstGeom prst="rect">
                      <a:avLst/>
                    </a:prstGeom>
                  </pic:spPr>
                </pic:pic>
              </a:graphicData>
            </a:graphic>
          </wp:anchor>
        </w:drawing>
      </w:r>
      <w:r>
        <w:rPr>
          <w:rFonts w:ascii="Symbol" w:hAnsi="Symbol"/>
          <w:spacing w:val="-10"/>
          <w:position w:val="10"/>
        </w:rPr>
        <w:t></w:t>
      </w:r>
      <w:r>
        <w:rPr>
          <w:rFonts w:ascii="Times New Roman" w:hAnsi="Times New Roman"/>
          <w:position w:val="10"/>
        </w:rPr>
        <w:tab/>
      </w:r>
      <w:r>
        <w:rPr>
          <w:spacing w:val="-8"/>
        </w:rPr>
        <w:t>该</w:t>
      </w:r>
      <w:r>
        <w:rPr>
          <w:spacing w:val="-8"/>
        </w:rPr>
        <w:t>保</w:t>
      </w:r>
      <w:r>
        <w:rPr>
          <w:spacing w:val="-8"/>
        </w:rPr>
        <w:t>险</w:t>
      </w:r>
      <w:r>
        <w:rPr>
          <w:spacing w:val="-8"/>
        </w:rPr>
        <w:t>费</w:t>
      </w:r>
      <w:r>
        <w:rPr>
          <w:spacing w:val="-8"/>
        </w:rPr>
        <w:t>所</w:t>
      </w:r>
      <w:r>
        <w:rPr>
          <w:spacing w:val="-8"/>
        </w:rPr>
        <w:t>保</w:t>
      </w:r>
      <w:r>
        <w:rPr>
          <w:spacing w:val="-8"/>
        </w:rPr>
        <w:t>障</w:t>
      </w:r>
      <w:r>
        <w:rPr>
          <w:spacing w:val="-8"/>
        </w:rPr>
        <w:t>的</w:t>
      </w:r>
      <w:r>
        <w:rPr>
          <w:spacing w:val="-8"/>
        </w:rPr>
        <w:t>天</w:t>
      </w:r>
      <w:r>
        <w:rPr>
          <w:spacing w:val="-12"/>
        </w:rPr>
        <w:t>数</w:t>
      </w:r>
      <w:r>
        <w:rPr/>
        <w:tab/>
      </w:r>
      <w:r>
        <w:rPr>
          <w:rFonts w:ascii="Symbol" w:hAnsi="Symbol"/>
          <w:spacing w:val="-10"/>
          <w:position w:val="10"/>
        </w:rPr>
        <w:t></w:t>
      </w:r>
    </w:p>
    <w:p>
      <w:pPr>
        <w:tabs>
          <w:tab w:pos="3258" w:val="left" w:leader="none"/>
        </w:tabs>
        <w:spacing w:line="256" w:lineRule="exact" w:before="0"/>
        <w:ind w:left="216" w:right="0" w:firstLine="0"/>
        <w:jc w:val="center"/>
        <w:rPr>
          <w:rFonts w:ascii="Symbol" w:hAnsi="Symbol"/>
          <w:sz w:val="21"/>
        </w:rPr>
      </w:pPr>
      <w:r>
        <w:rPr>
          <w:rFonts w:ascii="Symbol" w:hAnsi="Symbol"/>
          <w:spacing w:val="-10"/>
          <w:sz w:val="21"/>
        </w:rPr>
        <w:t></w:t>
      </w:r>
      <w:r>
        <w:rPr>
          <w:rFonts w:ascii="Times New Roman" w:hAnsi="Times New Roman"/>
          <w:sz w:val="21"/>
        </w:rPr>
        <w:tab/>
      </w:r>
      <w:r>
        <w:rPr>
          <w:rFonts w:ascii="Symbol" w:hAnsi="Symbol"/>
          <w:spacing w:val="-10"/>
          <w:sz w:val="21"/>
        </w:rPr>
        <w:t></w:t>
      </w:r>
    </w:p>
    <w:p>
      <w:pPr>
        <w:pStyle w:val="BodyText"/>
        <w:spacing w:before="20"/>
        <w:ind w:left="3165"/>
      </w:pPr>
      <w:r>
        <w:rPr>
          <w:spacing w:val="-4"/>
        </w:rPr>
        <w:t>计算。</w:t>
      </w:r>
    </w:p>
    <w:p>
      <w:pPr>
        <w:spacing w:after="0"/>
        <w:sectPr>
          <w:type w:val="continuous"/>
          <w:pgSz w:w="11910" w:h="16840"/>
          <w:pgMar w:header="0" w:footer="879" w:top="300" w:bottom="280" w:left="1480" w:right="720"/>
        </w:sectPr>
      </w:pPr>
    </w:p>
    <w:p>
      <w:pPr>
        <w:pStyle w:val="ListParagraph"/>
        <w:numPr>
          <w:ilvl w:val="1"/>
          <w:numId w:val="17"/>
        </w:numPr>
        <w:tabs>
          <w:tab w:pos="1321" w:val="left" w:leader="none"/>
          <w:tab w:pos="1322" w:val="left" w:leader="none"/>
        </w:tabs>
        <w:spacing w:line="242" w:lineRule="auto" w:before="69" w:after="0"/>
        <w:ind w:left="1321" w:right="0" w:hanging="1100"/>
        <w:jc w:val="left"/>
        <w:rPr>
          <w:b/>
          <w:sz w:val="21"/>
        </w:rPr>
      </w:pPr>
      <w:r>
        <w:rPr>
          <w:b/>
          <w:spacing w:val="-2"/>
          <w:sz w:val="21"/>
        </w:rPr>
        <w:t>《疾病和有关健</w:t>
      </w:r>
      <w:r>
        <w:rPr>
          <w:b/>
          <w:spacing w:val="-2"/>
          <w:sz w:val="21"/>
        </w:rPr>
        <w:t> </w:t>
      </w:r>
      <w:r>
        <w:rPr>
          <w:b/>
          <w:spacing w:val="-2"/>
          <w:sz w:val="21"/>
        </w:rPr>
        <w:t>康问题的国际统</w:t>
      </w:r>
      <w:r>
        <w:rPr>
          <w:b/>
          <w:spacing w:val="-2"/>
          <w:sz w:val="21"/>
        </w:rPr>
        <w:t> </w:t>
      </w:r>
      <w:r>
        <w:rPr>
          <w:b/>
          <w:spacing w:val="-2"/>
          <w:sz w:val="21"/>
        </w:rPr>
        <w:t>计分类</w:t>
      </w:r>
      <w:r>
        <w:rPr>
          <w:b/>
          <w:spacing w:val="-200"/>
          <w:sz w:val="21"/>
        </w:rPr>
        <w:t>》</w:t>
      </w:r>
      <w:r>
        <w:rPr>
          <w:b/>
          <w:spacing w:val="-2"/>
          <w:sz w:val="21"/>
        </w:rPr>
        <w:t>（</w:t>
      </w:r>
      <w:r>
        <w:rPr>
          <w:rFonts w:ascii="Times New Roman" w:eastAsia="Times New Roman"/>
          <w:b/>
          <w:spacing w:val="-2"/>
          <w:sz w:val="21"/>
        </w:rPr>
        <w:t>ICD-10</w:t>
      </w:r>
      <w:r>
        <w:rPr>
          <w:b/>
          <w:spacing w:val="-2"/>
          <w:sz w:val="21"/>
        </w:rPr>
        <w:t>）</w:t>
      </w:r>
    </w:p>
    <w:p>
      <w:pPr>
        <w:pStyle w:val="BodyText"/>
        <w:spacing w:line="242" w:lineRule="auto" w:before="75"/>
        <w:ind w:left="70" w:right="449"/>
        <w:jc w:val="both"/>
      </w:pPr>
      <w:r>
        <w:rPr/>
        <w:br w:type="column"/>
      </w:r>
      <w:r>
        <w:rPr>
          <w:spacing w:val="-4"/>
        </w:rPr>
        <w:t>指世界卫生组织（</w:t>
      </w:r>
      <w:r>
        <w:rPr>
          <w:rFonts w:ascii="Times New Roman" w:eastAsia="Times New Roman"/>
          <w:spacing w:val="-4"/>
        </w:rPr>
        <w:t>WHO</w:t>
      </w:r>
      <w:r>
        <w:rPr>
          <w:spacing w:val="-4"/>
        </w:rPr>
        <w:t>）指定的国际统一疾病分类方法，它根据疾</w:t>
      </w:r>
      <w:r>
        <w:rPr>
          <w:spacing w:val="-2"/>
        </w:rPr>
        <w:t>病的病因、病理、临床表现和解剖部位等特性，用一种系统有序的</w:t>
      </w:r>
      <w:r>
        <w:rPr/>
        <w:t>组合编码的方法对疾病进行分类。目前，</w:t>
      </w:r>
      <w:r>
        <w:rPr>
          <w:rFonts w:ascii="Times New Roman" w:eastAsia="Times New Roman"/>
        </w:rPr>
        <w:t>ICD-10 </w:t>
      </w:r>
      <w:r>
        <w:rPr/>
        <w:t>是世界通用的第</w:t>
      </w:r>
      <w:r>
        <w:rPr/>
        <w:t> </w:t>
      </w:r>
      <w:r>
        <w:rPr>
          <w:rFonts w:ascii="Times New Roman" w:eastAsia="Times New Roman"/>
        </w:rPr>
        <w:t>10 </w:t>
      </w:r>
      <w:r>
        <w:rPr/>
        <w:t>次修订本《疾病和有关健康问题的国际统计分类》的简称。</w:t>
      </w:r>
    </w:p>
    <w:p>
      <w:pPr>
        <w:spacing w:after="0" w:line="242" w:lineRule="auto"/>
        <w:jc w:val="both"/>
        <w:sectPr>
          <w:pgSz w:w="11910" w:h="16840"/>
          <w:pgMar w:header="0" w:footer="879" w:top="1040" w:bottom="1060" w:left="1480" w:right="720"/>
          <w:cols w:num="2" w:equalWidth="0">
            <w:col w:w="3055" w:space="40"/>
            <w:col w:w="6615"/>
          </w:cols>
        </w:sectPr>
      </w:pPr>
    </w:p>
    <w:p>
      <w:pPr>
        <w:pStyle w:val="BodyText"/>
        <w:spacing w:before="5"/>
        <w:rPr>
          <w:sz w:val="11"/>
        </w:rPr>
      </w:pPr>
    </w:p>
    <w:p>
      <w:pPr>
        <w:pStyle w:val="ListParagraph"/>
        <w:numPr>
          <w:ilvl w:val="1"/>
          <w:numId w:val="17"/>
        </w:numPr>
        <w:tabs>
          <w:tab w:pos="1321" w:val="left" w:leader="none"/>
          <w:tab w:pos="1322" w:val="left" w:leader="none"/>
          <w:tab w:pos="3164" w:val="left" w:leader="none"/>
        </w:tabs>
        <w:spacing w:line="240" w:lineRule="auto" w:before="94" w:after="0"/>
        <w:ind w:left="1321" w:right="0" w:hanging="1100"/>
        <w:jc w:val="both"/>
        <w:rPr>
          <w:sz w:val="21"/>
        </w:rPr>
      </w:pPr>
      <w:r>
        <w:rPr>
          <w:rFonts w:ascii="Times New Roman" w:eastAsia="Times New Roman"/>
          <w:b/>
          <w:spacing w:val="-2"/>
          <w:position w:val="2"/>
          <w:sz w:val="21"/>
        </w:rPr>
        <w:t>RECIST</w:t>
      </w:r>
      <w:r>
        <w:rPr>
          <w:rFonts w:ascii="Times New Roman" w:eastAsia="Times New Roman"/>
          <w:b/>
          <w:position w:val="2"/>
          <w:sz w:val="21"/>
        </w:rPr>
        <w:tab/>
      </w:r>
      <w:r>
        <w:rPr>
          <w:spacing w:val="-3"/>
          <w:sz w:val="21"/>
        </w:rPr>
        <w:t>指以影像学、解剖学为基础的肿瘤负荷评价标准，由临床研究者、</w:t>
      </w:r>
    </w:p>
    <w:p>
      <w:pPr>
        <w:pStyle w:val="BodyText"/>
        <w:spacing w:line="242" w:lineRule="auto" w:before="2"/>
        <w:ind w:left="3165" w:right="451"/>
        <w:jc w:val="both"/>
      </w:pPr>
      <w:r>
        <w:rPr>
          <w:spacing w:val="-6"/>
        </w:rPr>
        <w:t>制药行业、影像学专家、美国国立癌症研究所</w:t>
      </w:r>
      <w:r>
        <w:rPr>
          <w:spacing w:val="13"/>
        </w:rPr>
        <w:t>（</w:t>
      </w:r>
      <w:r>
        <w:rPr>
          <w:rFonts w:ascii="Times New Roman" w:eastAsia="Times New Roman"/>
          <w:spacing w:val="14"/>
        </w:rPr>
        <w:t>N</w:t>
      </w:r>
      <w:r>
        <w:rPr>
          <w:rFonts w:ascii="Times New Roman" w:eastAsia="Times New Roman"/>
          <w:spacing w:val="16"/>
        </w:rPr>
        <w:t>C</w:t>
      </w:r>
      <w:r>
        <w:rPr>
          <w:rFonts w:ascii="Times New Roman" w:eastAsia="Times New Roman"/>
          <w:spacing w:val="13"/>
        </w:rPr>
        <w:t>I</w:t>
      </w:r>
      <w:r>
        <w:rPr>
          <w:spacing w:val="-90"/>
        </w:rPr>
        <w:t>）</w:t>
      </w:r>
      <w:r>
        <w:rPr>
          <w:spacing w:val="-6"/>
        </w:rPr>
        <w:t>、加拿大国立</w:t>
      </w:r>
      <w:r>
        <w:rPr>
          <w:spacing w:val="-8"/>
        </w:rPr>
        <w:t>癌症研究所</w:t>
      </w:r>
      <w:r>
        <w:rPr>
          <w:spacing w:val="8"/>
        </w:rPr>
        <w:t>（</w:t>
      </w:r>
      <w:r>
        <w:rPr>
          <w:rFonts w:ascii="Times New Roman" w:eastAsia="Times New Roman"/>
          <w:spacing w:val="9"/>
        </w:rPr>
        <w:t>N</w:t>
      </w:r>
      <w:r>
        <w:rPr>
          <w:rFonts w:ascii="Times New Roman" w:eastAsia="Times New Roman"/>
          <w:spacing w:val="11"/>
        </w:rPr>
        <w:t>C</w:t>
      </w:r>
      <w:r>
        <w:rPr>
          <w:rFonts w:ascii="Times New Roman" w:eastAsia="Times New Roman"/>
          <w:spacing w:val="7"/>
        </w:rPr>
        <w:t>I</w:t>
      </w:r>
      <w:r>
        <w:rPr>
          <w:rFonts w:ascii="Times New Roman" w:eastAsia="Times New Roman"/>
          <w:spacing w:val="12"/>
        </w:rPr>
        <w:t>C</w:t>
      </w:r>
      <w:r>
        <w:rPr>
          <w:spacing w:val="-95"/>
        </w:rPr>
        <w:t>）</w:t>
      </w:r>
      <w:r>
        <w:rPr>
          <w:spacing w:val="-8"/>
        </w:rPr>
        <w:t>、英国癌症研究网络</w:t>
      </w:r>
      <w:r>
        <w:rPr>
          <w:spacing w:val="7"/>
        </w:rPr>
        <w:t>（</w:t>
      </w:r>
      <w:r>
        <w:rPr>
          <w:rFonts w:ascii="Times New Roman" w:eastAsia="Times New Roman"/>
          <w:spacing w:val="8"/>
        </w:rPr>
        <w:t>N</w:t>
      </w:r>
      <w:r>
        <w:rPr>
          <w:rFonts w:ascii="Times New Roman" w:eastAsia="Times New Roman"/>
          <w:spacing w:val="10"/>
        </w:rPr>
        <w:t>C</w:t>
      </w:r>
      <w:r>
        <w:rPr>
          <w:rFonts w:ascii="Times New Roman" w:eastAsia="Times New Roman"/>
          <w:spacing w:val="8"/>
        </w:rPr>
        <w:t>R</w:t>
      </w:r>
      <w:r>
        <w:rPr>
          <w:rFonts w:ascii="Times New Roman" w:eastAsia="Times New Roman"/>
          <w:spacing w:val="12"/>
        </w:rPr>
        <w:t>N</w:t>
      </w:r>
      <w:r>
        <w:rPr>
          <w:spacing w:val="-98"/>
        </w:rPr>
        <w:t>）</w:t>
      </w:r>
      <w:r>
        <w:rPr>
          <w:spacing w:val="-8"/>
        </w:rPr>
        <w:t>、欧洲癌症研究</w:t>
      </w:r>
      <w:r>
        <w:rPr>
          <w:spacing w:val="-4"/>
        </w:rPr>
        <w:t>和治疗组织（</w:t>
      </w:r>
      <w:r>
        <w:rPr>
          <w:rFonts w:ascii="Times New Roman" w:eastAsia="Times New Roman"/>
          <w:spacing w:val="-4"/>
        </w:rPr>
        <w:t>EORTC</w:t>
      </w:r>
      <w:r>
        <w:rPr>
          <w:spacing w:val="-4"/>
        </w:rPr>
        <w:t>）共同制定，为国际通行的针对实体肿瘤的疗</w:t>
      </w:r>
      <w:r>
        <w:rPr>
          <w:spacing w:val="-2"/>
        </w:rPr>
        <w:t>效评价的标准。</w:t>
      </w:r>
    </w:p>
    <w:p>
      <w:pPr>
        <w:pStyle w:val="BodyText"/>
        <w:spacing w:before="8"/>
        <w:rPr>
          <w:sz w:val="18"/>
        </w:rPr>
      </w:pPr>
    </w:p>
    <w:p>
      <w:pPr>
        <w:pStyle w:val="ListParagraph"/>
        <w:numPr>
          <w:ilvl w:val="1"/>
          <w:numId w:val="17"/>
        </w:numPr>
        <w:tabs>
          <w:tab w:pos="1321" w:val="left" w:leader="none"/>
          <w:tab w:pos="1322" w:val="left" w:leader="none"/>
        </w:tabs>
        <w:spacing w:line="240" w:lineRule="auto" w:before="0" w:after="0"/>
        <w:ind w:left="1321" w:right="0" w:hanging="1100"/>
        <w:jc w:val="both"/>
        <w:rPr>
          <w:sz w:val="21"/>
        </w:rPr>
      </w:pPr>
      <w:r>
        <w:rPr>
          <w:b/>
          <w:sz w:val="21"/>
        </w:rPr>
        <w:t>相关专业机构</w:t>
      </w:r>
      <w:r>
        <w:rPr>
          <w:b/>
          <w:spacing w:val="40"/>
          <w:w w:val="150"/>
          <w:sz w:val="21"/>
        </w:rPr>
        <w:t>  </w:t>
      </w:r>
      <w:r>
        <w:rPr>
          <w:sz w:val="21"/>
        </w:rPr>
        <w:t>包括：中国临床肿瘤学会</w:t>
      </w:r>
      <w:r>
        <w:rPr>
          <w:spacing w:val="17"/>
          <w:sz w:val="21"/>
        </w:rPr>
        <w:t>（</w:t>
      </w:r>
      <w:r>
        <w:rPr>
          <w:rFonts w:ascii="Times New Roman" w:eastAsia="Times New Roman"/>
          <w:spacing w:val="16"/>
          <w:sz w:val="21"/>
        </w:rPr>
        <w:t>C</w:t>
      </w:r>
      <w:r>
        <w:rPr>
          <w:rFonts w:ascii="Times New Roman" w:eastAsia="Times New Roman"/>
          <w:spacing w:val="18"/>
          <w:sz w:val="21"/>
        </w:rPr>
        <w:t>S</w:t>
      </w:r>
      <w:r>
        <w:rPr>
          <w:rFonts w:ascii="Times New Roman" w:eastAsia="Times New Roman"/>
          <w:spacing w:val="16"/>
          <w:sz w:val="21"/>
        </w:rPr>
        <w:t>C</w:t>
      </w:r>
      <w:r>
        <w:rPr>
          <w:rFonts w:ascii="Times New Roman" w:eastAsia="Times New Roman"/>
          <w:spacing w:val="19"/>
          <w:sz w:val="21"/>
        </w:rPr>
        <w:t>O</w:t>
      </w:r>
      <w:r>
        <w:rPr>
          <w:spacing w:val="-90"/>
          <w:sz w:val="21"/>
        </w:rPr>
        <w:t>）</w:t>
      </w:r>
      <w:r>
        <w:rPr>
          <w:spacing w:val="-1"/>
          <w:sz w:val="21"/>
        </w:rPr>
        <w:t>、中华医学会血液分会、中国抗</w:t>
      </w:r>
    </w:p>
    <w:p>
      <w:pPr>
        <w:pStyle w:val="BodyText"/>
        <w:spacing w:before="2"/>
        <w:ind w:left="3165"/>
      </w:pPr>
      <w:r>
        <w:rPr>
          <w:spacing w:val="-3"/>
        </w:rPr>
        <w:t>癌协会血液肿瘤专业委员会、国家卫计委、美国国家综合癌症网络</w:t>
      </w:r>
    </w:p>
    <w:p>
      <w:pPr>
        <w:pStyle w:val="BodyText"/>
        <w:spacing w:before="5"/>
        <w:ind w:left="3165"/>
      </w:pPr>
      <w:r>
        <w:rPr>
          <w:spacing w:val="-2"/>
        </w:rPr>
        <w:t>（</w:t>
      </w:r>
      <w:r>
        <w:rPr>
          <w:rFonts w:ascii="Times New Roman" w:eastAsia="Times New Roman"/>
          <w:spacing w:val="-2"/>
        </w:rPr>
        <w:t>NCCN</w:t>
      </w:r>
      <w:r>
        <w:rPr>
          <w:spacing w:val="-2"/>
        </w:rPr>
        <w:t>）</w:t>
      </w:r>
      <w:r>
        <w:rPr>
          <w:spacing w:val="-6"/>
        </w:rPr>
        <w:t>等。</w:t>
      </w:r>
    </w:p>
    <w:p>
      <w:pPr>
        <w:spacing w:after="0"/>
        <w:sectPr>
          <w:type w:val="continuous"/>
          <w:pgSz w:w="11910" w:h="16840"/>
          <w:pgMar w:header="0" w:footer="879" w:top="300" w:bottom="280" w:left="1480" w:right="720"/>
        </w:sectPr>
      </w:pPr>
    </w:p>
    <w:p>
      <w:pPr>
        <w:pStyle w:val="BodyText"/>
        <w:spacing w:before="55"/>
        <w:ind w:left="222"/>
      </w:pPr>
      <w:r>
        <w:rPr>
          <w:spacing w:val="-4"/>
        </w:rPr>
        <w:t>附表：药品清单</w:t>
      </w:r>
    </w:p>
    <w:p>
      <w:pPr>
        <w:pStyle w:val="BodyText"/>
        <w:spacing w:before="2" w:after="1"/>
        <w:rPr>
          <w:sz w:val="19"/>
        </w:rPr>
      </w:pPr>
    </w:p>
    <w:tbl>
      <w:tblPr>
        <w:tblW w:w="0" w:type="auto"/>
        <w:jc w:val="left"/>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73"/>
        <w:gridCol w:w="1134"/>
        <w:gridCol w:w="3198"/>
        <w:gridCol w:w="3529"/>
      </w:tblGrid>
      <w:tr>
        <w:trPr>
          <w:trHeight w:val="398" w:hRule="atLeast"/>
        </w:trPr>
        <w:tc>
          <w:tcPr>
            <w:tcW w:w="773" w:type="dxa"/>
          </w:tcPr>
          <w:p>
            <w:pPr>
              <w:pStyle w:val="TableParagraph"/>
              <w:spacing w:before="109"/>
              <w:ind w:left="160" w:right="151"/>
              <w:jc w:val="center"/>
              <w:rPr>
                <w:b/>
                <w:sz w:val="21"/>
              </w:rPr>
            </w:pPr>
            <w:r>
              <w:rPr>
                <w:b/>
                <w:spacing w:val="-5"/>
                <w:sz w:val="21"/>
              </w:rPr>
              <w:t>序号</w:t>
            </w:r>
          </w:p>
        </w:tc>
        <w:tc>
          <w:tcPr>
            <w:tcW w:w="1134" w:type="dxa"/>
          </w:tcPr>
          <w:p>
            <w:pPr>
              <w:pStyle w:val="TableParagraph"/>
              <w:spacing w:before="109"/>
              <w:ind w:left="233" w:right="230"/>
              <w:jc w:val="center"/>
              <w:rPr>
                <w:b/>
                <w:sz w:val="21"/>
              </w:rPr>
            </w:pPr>
            <w:r>
              <w:rPr>
                <w:b/>
                <w:spacing w:val="-4"/>
                <w:sz w:val="21"/>
              </w:rPr>
              <w:t>商品名</w:t>
            </w:r>
          </w:p>
        </w:tc>
        <w:tc>
          <w:tcPr>
            <w:tcW w:w="3198" w:type="dxa"/>
          </w:tcPr>
          <w:p>
            <w:pPr>
              <w:pStyle w:val="TableParagraph"/>
              <w:spacing w:before="109"/>
              <w:ind w:left="230" w:right="224"/>
              <w:jc w:val="center"/>
              <w:rPr>
                <w:b/>
                <w:sz w:val="21"/>
              </w:rPr>
            </w:pPr>
            <w:r>
              <w:rPr>
                <w:b/>
                <w:spacing w:val="-4"/>
                <w:sz w:val="21"/>
              </w:rPr>
              <w:t>通用名</w:t>
            </w:r>
          </w:p>
        </w:tc>
        <w:tc>
          <w:tcPr>
            <w:tcW w:w="3529" w:type="dxa"/>
          </w:tcPr>
          <w:p>
            <w:pPr>
              <w:pStyle w:val="TableParagraph"/>
              <w:spacing w:before="109"/>
              <w:ind w:left="113" w:right="113"/>
              <w:jc w:val="center"/>
              <w:rPr>
                <w:b/>
                <w:sz w:val="21"/>
              </w:rPr>
            </w:pPr>
            <w:r>
              <w:rPr>
                <w:b/>
                <w:spacing w:val="-4"/>
                <w:sz w:val="21"/>
              </w:rPr>
              <w:t>适应症</w:t>
            </w:r>
          </w:p>
        </w:tc>
      </w:tr>
      <w:tr>
        <w:trPr>
          <w:trHeight w:val="400" w:hRule="atLeast"/>
        </w:trPr>
        <w:tc>
          <w:tcPr>
            <w:tcW w:w="773" w:type="dxa"/>
          </w:tcPr>
          <w:p>
            <w:pPr>
              <w:pStyle w:val="TableParagraph"/>
              <w:spacing w:before="125"/>
              <w:ind w:left="9"/>
              <w:jc w:val="center"/>
              <w:rPr>
                <w:rFonts w:ascii="Times New Roman"/>
                <w:sz w:val="21"/>
              </w:rPr>
            </w:pPr>
            <w:r>
              <w:rPr>
                <w:rFonts w:ascii="Times New Roman"/>
                <w:w w:val="100"/>
                <w:sz w:val="21"/>
              </w:rPr>
              <w:t>1</w:t>
            </w:r>
          </w:p>
        </w:tc>
        <w:tc>
          <w:tcPr>
            <w:tcW w:w="1134" w:type="dxa"/>
          </w:tcPr>
          <w:p>
            <w:pPr>
              <w:pStyle w:val="TableParagraph"/>
              <w:spacing w:before="111"/>
              <w:ind w:left="233" w:right="230"/>
              <w:jc w:val="center"/>
              <w:rPr>
                <w:sz w:val="21"/>
              </w:rPr>
            </w:pPr>
            <w:r>
              <w:rPr>
                <w:spacing w:val="-4"/>
                <w:sz w:val="21"/>
              </w:rPr>
              <w:t>可瑞达</w:t>
            </w:r>
          </w:p>
        </w:tc>
        <w:tc>
          <w:tcPr>
            <w:tcW w:w="3198" w:type="dxa"/>
          </w:tcPr>
          <w:p>
            <w:pPr>
              <w:pStyle w:val="TableParagraph"/>
              <w:spacing w:before="111"/>
              <w:ind w:left="233" w:right="224"/>
              <w:jc w:val="center"/>
              <w:rPr>
                <w:sz w:val="21"/>
              </w:rPr>
            </w:pPr>
            <w:r>
              <w:rPr>
                <w:spacing w:val="-3"/>
                <w:sz w:val="21"/>
              </w:rPr>
              <w:t>帕博利珠单抗注射液</w:t>
            </w:r>
          </w:p>
        </w:tc>
        <w:tc>
          <w:tcPr>
            <w:tcW w:w="3529" w:type="dxa"/>
          </w:tcPr>
          <w:p>
            <w:pPr>
              <w:pStyle w:val="TableParagraph"/>
              <w:spacing w:before="111"/>
              <w:ind w:left="118" w:right="113"/>
              <w:jc w:val="center"/>
              <w:rPr>
                <w:sz w:val="21"/>
              </w:rPr>
            </w:pPr>
            <w:r>
              <w:rPr>
                <w:spacing w:val="-10"/>
                <w:sz w:val="21"/>
              </w:rPr>
              <w:t>黑色素瘤、非鳞状细胞非小细胞肺癌</w:t>
            </w:r>
          </w:p>
        </w:tc>
      </w:tr>
      <w:tr>
        <w:trPr>
          <w:trHeight w:val="400" w:hRule="atLeast"/>
        </w:trPr>
        <w:tc>
          <w:tcPr>
            <w:tcW w:w="773" w:type="dxa"/>
          </w:tcPr>
          <w:p>
            <w:pPr>
              <w:pStyle w:val="TableParagraph"/>
              <w:spacing w:before="123"/>
              <w:ind w:left="9"/>
              <w:jc w:val="center"/>
              <w:rPr>
                <w:rFonts w:ascii="Times New Roman"/>
                <w:sz w:val="21"/>
              </w:rPr>
            </w:pPr>
            <w:r>
              <w:rPr>
                <w:rFonts w:ascii="Times New Roman"/>
                <w:w w:val="100"/>
                <w:sz w:val="21"/>
              </w:rPr>
              <w:t>2</w:t>
            </w:r>
          </w:p>
        </w:tc>
        <w:tc>
          <w:tcPr>
            <w:tcW w:w="1134" w:type="dxa"/>
          </w:tcPr>
          <w:p>
            <w:pPr>
              <w:pStyle w:val="TableParagraph"/>
              <w:spacing w:before="111"/>
              <w:ind w:left="233" w:right="230"/>
              <w:jc w:val="center"/>
              <w:rPr>
                <w:sz w:val="21"/>
              </w:rPr>
            </w:pPr>
            <w:r>
              <w:rPr>
                <w:spacing w:val="-4"/>
                <w:sz w:val="21"/>
              </w:rPr>
              <w:t>安圣莎</w:t>
            </w:r>
          </w:p>
        </w:tc>
        <w:tc>
          <w:tcPr>
            <w:tcW w:w="3198" w:type="dxa"/>
          </w:tcPr>
          <w:p>
            <w:pPr>
              <w:pStyle w:val="TableParagraph"/>
              <w:spacing w:before="111"/>
              <w:ind w:left="233" w:right="224"/>
              <w:jc w:val="center"/>
              <w:rPr>
                <w:sz w:val="21"/>
              </w:rPr>
            </w:pPr>
            <w:r>
              <w:rPr>
                <w:spacing w:val="-4"/>
                <w:sz w:val="21"/>
              </w:rPr>
              <w:t>盐酸阿来替尼胶囊</w:t>
            </w:r>
          </w:p>
        </w:tc>
        <w:tc>
          <w:tcPr>
            <w:tcW w:w="3529" w:type="dxa"/>
          </w:tcPr>
          <w:p>
            <w:pPr>
              <w:pStyle w:val="TableParagraph"/>
              <w:spacing w:before="111"/>
              <w:ind w:left="118" w:right="113"/>
              <w:jc w:val="center"/>
              <w:rPr>
                <w:sz w:val="21"/>
              </w:rPr>
            </w:pPr>
            <w:r>
              <w:rPr>
                <w:spacing w:val="-4"/>
                <w:sz w:val="21"/>
              </w:rPr>
              <w:t>非小细胞肺癌</w:t>
            </w:r>
          </w:p>
        </w:tc>
      </w:tr>
      <w:tr>
        <w:trPr>
          <w:trHeight w:val="719" w:hRule="atLeast"/>
        </w:trPr>
        <w:tc>
          <w:tcPr>
            <w:tcW w:w="773" w:type="dxa"/>
          </w:tcPr>
          <w:p>
            <w:pPr>
              <w:pStyle w:val="TableParagraph"/>
              <w:spacing w:before="1"/>
              <w:rPr>
                <w:sz w:val="22"/>
              </w:rPr>
            </w:pPr>
          </w:p>
          <w:p>
            <w:pPr>
              <w:pStyle w:val="TableParagraph"/>
              <w:spacing w:before="1"/>
              <w:ind w:left="9"/>
              <w:jc w:val="center"/>
              <w:rPr>
                <w:rFonts w:ascii="Times New Roman"/>
                <w:sz w:val="21"/>
              </w:rPr>
            </w:pPr>
            <w:r>
              <w:rPr>
                <w:rFonts w:ascii="Times New Roman"/>
                <w:w w:val="100"/>
                <w:sz w:val="21"/>
              </w:rPr>
              <w:t>3</w:t>
            </w:r>
          </w:p>
        </w:tc>
        <w:tc>
          <w:tcPr>
            <w:tcW w:w="1134" w:type="dxa"/>
          </w:tcPr>
          <w:p>
            <w:pPr>
              <w:pStyle w:val="TableParagraph"/>
              <w:rPr>
                <w:sz w:val="21"/>
              </w:rPr>
            </w:pPr>
          </w:p>
          <w:p>
            <w:pPr>
              <w:pStyle w:val="TableParagraph"/>
              <w:ind w:left="233" w:right="230"/>
              <w:jc w:val="center"/>
              <w:rPr>
                <w:sz w:val="21"/>
              </w:rPr>
            </w:pPr>
            <w:r>
              <w:rPr>
                <w:spacing w:val="-4"/>
                <w:sz w:val="21"/>
              </w:rPr>
              <w:t>利普卓</w:t>
            </w:r>
          </w:p>
        </w:tc>
        <w:tc>
          <w:tcPr>
            <w:tcW w:w="3198" w:type="dxa"/>
          </w:tcPr>
          <w:p>
            <w:pPr>
              <w:pStyle w:val="TableParagraph"/>
              <w:rPr>
                <w:sz w:val="21"/>
              </w:rPr>
            </w:pPr>
          </w:p>
          <w:p>
            <w:pPr>
              <w:pStyle w:val="TableParagraph"/>
              <w:ind w:left="233" w:right="224"/>
              <w:jc w:val="center"/>
              <w:rPr>
                <w:sz w:val="21"/>
              </w:rPr>
            </w:pPr>
            <w:r>
              <w:rPr>
                <w:spacing w:val="-4"/>
                <w:sz w:val="21"/>
              </w:rPr>
              <w:t>奥拉帕利片</w:t>
            </w:r>
          </w:p>
        </w:tc>
        <w:tc>
          <w:tcPr>
            <w:tcW w:w="3529" w:type="dxa"/>
          </w:tcPr>
          <w:p>
            <w:pPr>
              <w:pStyle w:val="TableParagraph"/>
              <w:spacing w:line="360" w:lineRule="exact"/>
              <w:ind w:left="1234" w:right="98" w:hanging="1128"/>
              <w:rPr>
                <w:sz w:val="21"/>
              </w:rPr>
            </w:pPr>
            <w:r>
              <w:rPr>
                <w:spacing w:val="-4"/>
                <w:sz w:val="21"/>
              </w:rPr>
              <w:t>复发性上皮性卵巢癌、输卵管癌、原</w:t>
            </w:r>
            <w:r>
              <w:rPr>
                <w:spacing w:val="-4"/>
                <w:sz w:val="21"/>
              </w:rPr>
              <w:t>发性腹膜癌</w:t>
            </w:r>
          </w:p>
        </w:tc>
      </w:tr>
      <w:tr>
        <w:trPr>
          <w:trHeight w:val="400" w:hRule="atLeast"/>
        </w:trPr>
        <w:tc>
          <w:tcPr>
            <w:tcW w:w="773" w:type="dxa"/>
          </w:tcPr>
          <w:p>
            <w:pPr>
              <w:pStyle w:val="TableParagraph"/>
              <w:spacing w:before="122"/>
              <w:ind w:left="9"/>
              <w:jc w:val="center"/>
              <w:rPr>
                <w:rFonts w:ascii="Times New Roman"/>
                <w:sz w:val="21"/>
              </w:rPr>
            </w:pPr>
            <w:r>
              <w:rPr>
                <w:rFonts w:ascii="Times New Roman"/>
                <w:w w:val="100"/>
                <w:sz w:val="21"/>
              </w:rPr>
              <w:t>4</w:t>
            </w:r>
          </w:p>
        </w:tc>
        <w:tc>
          <w:tcPr>
            <w:tcW w:w="1134" w:type="dxa"/>
          </w:tcPr>
          <w:p>
            <w:pPr>
              <w:pStyle w:val="TableParagraph"/>
              <w:spacing w:before="111"/>
              <w:ind w:left="233" w:right="230"/>
              <w:jc w:val="center"/>
              <w:rPr>
                <w:sz w:val="21"/>
              </w:rPr>
            </w:pPr>
            <w:r>
              <w:rPr>
                <w:spacing w:val="-4"/>
                <w:sz w:val="21"/>
              </w:rPr>
              <w:t>欧狄沃</w:t>
            </w:r>
          </w:p>
        </w:tc>
        <w:tc>
          <w:tcPr>
            <w:tcW w:w="3198" w:type="dxa"/>
          </w:tcPr>
          <w:p>
            <w:pPr>
              <w:pStyle w:val="TableParagraph"/>
              <w:spacing w:before="111"/>
              <w:ind w:left="233" w:right="224"/>
              <w:jc w:val="center"/>
              <w:rPr>
                <w:sz w:val="21"/>
              </w:rPr>
            </w:pPr>
            <w:r>
              <w:rPr>
                <w:spacing w:val="-3"/>
                <w:sz w:val="21"/>
              </w:rPr>
              <w:t>纳武利尤单抗注射液</w:t>
            </w:r>
          </w:p>
        </w:tc>
        <w:tc>
          <w:tcPr>
            <w:tcW w:w="3529" w:type="dxa"/>
          </w:tcPr>
          <w:p>
            <w:pPr>
              <w:pStyle w:val="TableParagraph"/>
              <w:spacing w:before="111"/>
              <w:ind w:left="118" w:right="113"/>
              <w:jc w:val="center"/>
              <w:rPr>
                <w:sz w:val="21"/>
              </w:rPr>
            </w:pPr>
            <w:r>
              <w:rPr>
                <w:spacing w:val="-3"/>
                <w:sz w:val="21"/>
              </w:rPr>
              <w:t>淋巴瘤、非小细胞肺癌</w:t>
            </w:r>
          </w:p>
        </w:tc>
      </w:tr>
      <w:tr>
        <w:trPr>
          <w:trHeight w:val="400" w:hRule="atLeast"/>
        </w:trPr>
        <w:tc>
          <w:tcPr>
            <w:tcW w:w="773" w:type="dxa"/>
          </w:tcPr>
          <w:p>
            <w:pPr>
              <w:pStyle w:val="TableParagraph"/>
              <w:spacing w:before="123"/>
              <w:ind w:left="9"/>
              <w:jc w:val="center"/>
              <w:rPr>
                <w:rFonts w:ascii="Times New Roman"/>
                <w:sz w:val="21"/>
              </w:rPr>
            </w:pPr>
            <w:r>
              <w:rPr>
                <w:rFonts w:ascii="Times New Roman"/>
                <w:w w:val="100"/>
                <w:sz w:val="21"/>
              </w:rPr>
              <w:t>5</w:t>
            </w:r>
          </w:p>
        </w:tc>
        <w:tc>
          <w:tcPr>
            <w:tcW w:w="1134" w:type="dxa"/>
          </w:tcPr>
          <w:p>
            <w:pPr>
              <w:pStyle w:val="TableParagraph"/>
              <w:spacing w:before="111"/>
              <w:ind w:left="233" w:right="230"/>
              <w:jc w:val="center"/>
              <w:rPr>
                <w:sz w:val="21"/>
              </w:rPr>
            </w:pPr>
            <w:r>
              <w:rPr>
                <w:spacing w:val="-4"/>
                <w:sz w:val="21"/>
              </w:rPr>
              <w:t>乐卫玛</w:t>
            </w:r>
          </w:p>
        </w:tc>
        <w:tc>
          <w:tcPr>
            <w:tcW w:w="3198" w:type="dxa"/>
          </w:tcPr>
          <w:p>
            <w:pPr>
              <w:pStyle w:val="TableParagraph"/>
              <w:spacing w:before="111"/>
              <w:ind w:left="233" w:right="224"/>
              <w:jc w:val="center"/>
              <w:rPr>
                <w:sz w:val="21"/>
              </w:rPr>
            </w:pPr>
            <w:r>
              <w:rPr>
                <w:spacing w:val="-3"/>
                <w:sz w:val="21"/>
              </w:rPr>
              <w:t>甲磺酸仑伐替尼胶囊</w:t>
            </w:r>
          </w:p>
        </w:tc>
        <w:tc>
          <w:tcPr>
            <w:tcW w:w="3529" w:type="dxa"/>
          </w:tcPr>
          <w:p>
            <w:pPr>
              <w:pStyle w:val="TableParagraph"/>
              <w:spacing w:before="111"/>
              <w:ind w:left="115" w:right="113"/>
              <w:jc w:val="center"/>
              <w:rPr>
                <w:sz w:val="21"/>
              </w:rPr>
            </w:pPr>
            <w:r>
              <w:rPr>
                <w:spacing w:val="-4"/>
                <w:sz w:val="21"/>
              </w:rPr>
              <w:t>肝细胞癌</w:t>
            </w:r>
          </w:p>
        </w:tc>
      </w:tr>
      <w:tr>
        <w:trPr>
          <w:trHeight w:val="719" w:hRule="atLeast"/>
        </w:trPr>
        <w:tc>
          <w:tcPr>
            <w:tcW w:w="773" w:type="dxa"/>
          </w:tcPr>
          <w:p>
            <w:pPr>
              <w:pStyle w:val="TableParagraph"/>
              <w:spacing w:before="1"/>
              <w:rPr>
                <w:sz w:val="22"/>
              </w:rPr>
            </w:pPr>
          </w:p>
          <w:p>
            <w:pPr>
              <w:pStyle w:val="TableParagraph"/>
              <w:spacing w:before="1"/>
              <w:ind w:left="9"/>
              <w:jc w:val="center"/>
              <w:rPr>
                <w:rFonts w:ascii="Times New Roman"/>
                <w:sz w:val="21"/>
              </w:rPr>
            </w:pPr>
            <w:r>
              <w:rPr>
                <w:rFonts w:ascii="Times New Roman"/>
                <w:w w:val="100"/>
                <w:sz w:val="21"/>
              </w:rPr>
              <w:t>6</w:t>
            </w:r>
          </w:p>
        </w:tc>
        <w:tc>
          <w:tcPr>
            <w:tcW w:w="1134" w:type="dxa"/>
          </w:tcPr>
          <w:p>
            <w:pPr>
              <w:pStyle w:val="TableParagraph"/>
              <w:rPr>
                <w:sz w:val="21"/>
              </w:rPr>
            </w:pPr>
          </w:p>
          <w:p>
            <w:pPr>
              <w:pStyle w:val="TableParagraph"/>
              <w:ind w:left="233" w:right="230"/>
              <w:jc w:val="center"/>
              <w:rPr>
                <w:sz w:val="21"/>
              </w:rPr>
            </w:pPr>
            <w:r>
              <w:rPr>
                <w:spacing w:val="-4"/>
                <w:sz w:val="21"/>
              </w:rPr>
              <w:t>捷恪卫</w:t>
            </w:r>
          </w:p>
        </w:tc>
        <w:tc>
          <w:tcPr>
            <w:tcW w:w="3198" w:type="dxa"/>
          </w:tcPr>
          <w:p>
            <w:pPr>
              <w:pStyle w:val="TableParagraph"/>
              <w:spacing w:line="360" w:lineRule="exact"/>
              <w:ind w:left="106" w:right="-15" w:firstLine="88"/>
              <w:rPr>
                <w:sz w:val="21"/>
              </w:rPr>
            </w:pPr>
            <w:r>
              <w:rPr>
                <w:spacing w:val="-2"/>
                <w:sz w:val="21"/>
              </w:rPr>
              <w:t>磷酸芦可替尼片</w:t>
            </w:r>
            <w:r>
              <w:rPr>
                <w:rFonts w:ascii="Times New Roman" w:eastAsia="Times New Roman"/>
                <w:spacing w:val="-2"/>
                <w:sz w:val="21"/>
              </w:rPr>
              <w:t>(</w:t>
            </w:r>
            <w:r>
              <w:rPr>
                <w:spacing w:val="-2"/>
                <w:sz w:val="21"/>
              </w:rPr>
              <w:t>又被称作鲁索</w:t>
            </w:r>
            <w:r>
              <w:rPr>
                <w:spacing w:val="-2"/>
                <w:sz w:val="21"/>
              </w:rPr>
              <w:t> </w:t>
            </w:r>
            <w:r>
              <w:rPr>
                <w:spacing w:val="-6"/>
                <w:sz w:val="21"/>
              </w:rPr>
              <w:t>替尼、鲁索利替尼、鲁可替尼等）</w:t>
            </w:r>
          </w:p>
        </w:tc>
        <w:tc>
          <w:tcPr>
            <w:tcW w:w="3529" w:type="dxa"/>
          </w:tcPr>
          <w:p>
            <w:pPr>
              <w:pStyle w:val="TableParagraph"/>
              <w:rPr>
                <w:sz w:val="21"/>
              </w:rPr>
            </w:pPr>
          </w:p>
          <w:p>
            <w:pPr>
              <w:pStyle w:val="TableParagraph"/>
              <w:ind w:left="115" w:right="113"/>
              <w:jc w:val="center"/>
              <w:rPr>
                <w:sz w:val="21"/>
              </w:rPr>
            </w:pPr>
            <w:r>
              <w:rPr>
                <w:spacing w:val="-4"/>
                <w:sz w:val="21"/>
              </w:rPr>
              <w:t>骨髓纤维化</w:t>
            </w:r>
          </w:p>
        </w:tc>
      </w:tr>
      <w:tr>
        <w:trPr>
          <w:trHeight w:val="398" w:hRule="atLeast"/>
        </w:trPr>
        <w:tc>
          <w:tcPr>
            <w:tcW w:w="773" w:type="dxa"/>
            <w:tcBorders>
              <w:bottom w:val="single" w:sz="6" w:space="0" w:color="000000"/>
            </w:tcBorders>
          </w:tcPr>
          <w:p>
            <w:pPr>
              <w:pStyle w:val="TableParagraph"/>
              <w:spacing w:before="122"/>
              <w:ind w:left="9"/>
              <w:jc w:val="center"/>
              <w:rPr>
                <w:rFonts w:ascii="Times New Roman"/>
                <w:sz w:val="21"/>
              </w:rPr>
            </w:pPr>
            <w:r>
              <w:rPr>
                <w:rFonts w:ascii="Times New Roman"/>
                <w:w w:val="100"/>
                <w:sz w:val="21"/>
              </w:rPr>
              <w:t>7</w:t>
            </w:r>
          </w:p>
        </w:tc>
        <w:tc>
          <w:tcPr>
            <w:tcW w:w="1134" w:type="dxa"/>
            <w:tcBorders>
              <w:bottom w:val="single" w:sz="6" w:space="0" w:color="000000"/>
            </w:tcBorders>
          </w:tcPr>
          <w:p>
            <w:pPr>
              <w:pStyle w:val="TableParagraph"/>
              <w:spacing w:line="267" w:lineRule="exact" w:before="111"/>
              <w:ind w:left="233" w:right="230"/>
              <w:jc w:val="center"/>
              <w:rPr>
                <w:sz w:val="21"/>
              </w:rPr>
            </w:pPr>
            <w:r>
              <w:rPr>
                <w:spacing w:val="-4"/>
                <w:sz w:val="21"/>
              </w:rPr>
              <w:t>艾瑞妮</w:t>
            </w:r>
          </w:p>
        </w:tc>
        <w:tc>
          <w:tcPr>
            <w:tcW w:w="3198" w:type="dxa"/>
            <w:tcBorders>
              <w:bottom w:val="single" w:sz="6" w:space="0" w:color="000000"/>
            </w:tcBorders>
          </w:tcPr>
          <w:p>
            <w:pPr>
              <w:pStyle w:val="TableParagraph"/>
              <w:spacing w:line="267" w:lineRule="exact" w:before="111"/>
              <w:ind w:left="233" w:right="224"/>
              <w:jc w:val="center"/>
              <w:rPr>
                <w:sz w:val="21"/>
              </w:rPr>
            </w:pPr>
            <w:r>
              <w:rPr>
                <w:spacing w:val="-4"/>
                <w:sz w:val="21"/>
              </w:rPr>
              <w:t>马来酸吡咯替尼片</w:t>
            </w:r>
          </w:p>
        </w:tc>
        <w:tc>
          <w:tcPr>
            <w:tcW w:w="3529" w:type="dxa"/>
            <w:tcBorders>
              <w:bottom w:val="single" w:sz="6" w:space="0" w:color="000000"/>
            </w:tcBorders>
          </w:tcPr>
          <w:p>
            <w:pPr>
              <w:pStyle w:val="TableParagraph"/>
              <w:spacing w:line="267" w:lineRule="exact" w:before="111"/>
              <w:ind w:left="118" w:right="113"/>
              <w:jc w:val="center"/>
              <w:rPr>
                <w:sz w:val="21"/>
              </w:rPr>
            </w:pPr>
            <w:r>
              <w:rPr>
                <w:spacing w:val="-4"/>
                <w:sz w:val="21"/>
              </w:rPr>
              <w:t>乳腺癌</w:t>
            </w:r>
          </w:p>
        </w:tc>
      </w:tr>
      <w:tr>
        <w:trPr>
          <w:trHeight w:val="398" w:hRule="atLeast"/>
        </w:trPr>
        <w:tc>
          <w:tcPr>
            <w:tcW w:w="773" w:type="dxa"/>
            <w:tcBorders>
              <w:top w:val="single" w:sz="6" w:space="0" w:color="000000"/>
            </w:tcBorders>
          </w:tcPr>
          <w:p>
            <w:pPr>
              <w:pStyle w:val="TableParagraph"/>
              <w:spacing w:before="120"/>
              <w:ind w:left="9"/>
              <w:jc w:val="center"/>
              <w:rPr>
                <w:rFonts w:ascii="Times New Roman"/>
                <w:sz w:val="21"/>
              </w:rPr>
            </w:pPr>
            <w:r>
              <w:rPr>
                <w:rFonts w:ascii="Times New Roman"/>
                <w:w w:val="100"/>
                <w:sz w:val="21"/>
              </w:rPr>
              <w:t>8</w:t>
            </w:r>
          </w:p>
        </w:tc>
        <w:tc>
          <w:tcPr>
            <w:tcW w:w="1134" w:type="dxa"/>
            <w:tcBorders>
              <w:top w:val="single" w:sz="6" w:space="0" w:color="000000"/>
            </w:tcBorders>
          </w:tcPr>
          <w:p>
            <w:pPr>
              <w:pStyle w:val="TableParagraph"/>
              <w:spacing w:before="106"/>
              <w:ind w:left="233" w:right="230"/>
              <w:jc w:val="center"/>
              <w:rPr>
                <w:sz w:val="21"/>
              </w:rPr>
            </w:pPr>
            <w:r>
              <w:rPr>
                <w:spacing w:val="-4"/>
                <w:sz w:val="21"/>
              </w:rPr>
              <w:t>爱博新</w:t>
            </w:r>
          </w:p>
        </w:tc>
        <w:tc>
          <w:tcPr>
            <w:tcW w:w="3198" w:type="dxa"/>
            <w:tcBorders>
              <w:top w:val="single" w:sz="6" w:space="0" w:color="000000"/>
            </w:tcBorders>
          </w:tcPr>
          <w:p>
            <w:pPr>
              <w:pStyle w:val="TableParagraph"/>
              <w:spacing w:before="106"/>
              <w:ind w:left="230" w:right="224"/>
              <w:jc w:val="center"/>
              <w:rPr>
                <w:sz w:val="21"/>
              </w:rPr>
            </w:pPr>
            <w:r>
              <w:rPr>
                <w:spacing w:val="-4"/>
                <w:sz w:val="21"/>
              </w:rPr>
              <w:t>哌柏西利胶囊</w:t>
            </w:r>
          </w:p>
        </w:tc>
        <w:tc>
          <w:tcPr>
            <w:tcW w:w="3529" w:type="dxa"/>
            <w:tcBorders>
              <w:top w:val="single" w:sz="6" w:space="0" w:color="000000"/>
            </w:tcBorders>
          </w:tcPr>
          <w:p>
            <w:pPr>
              <w:pStyle w:val="TableParagraph"/>
              <w:spacing w:before="106"/>
              <w:ind w:left="118" w:right="113"/>
              <w:jc w:val="center"/>
              <w:rPr>
                <w:sz w:val="21"/>
              </w:rPr>
            </w:pPr>
            <w:r>
              <w:rPr>
                <w:spacing w:val="-4"/>
                <w:sz w:val="21"/>
              </w:rPr>
              <w:t>乳腺癌</w:t>
            </w:r>
          </w:p>
        </w:tc>
      </w:tr>
      <w:tr>
        <w:trPr>
          <w:trHeight w:val="400" w:hRule="atLeast"/>
        </w:trPr>
        <w:tc>
          <w:tcPr>
            <w:tcW w:w="773" w:type="dxa"/>
          </w:tcPr>
          <w:p>
            <w:pPr>
              <w:pStyle w:val="TableParagraph"/>
              <w:spacing w:before="123"/>
              <w:ind w:left="9"/>
              <w:jc w:val="center"/>
              <w:rPr>
                <w:rFonts w:ascii="Times New Roman"/>
                <w:sz w:val="21"/>
              </w:rPr>
            </w:pPr>
            <w:r>
              <w:rPr>
                <w:rFonts w:ascii="Times New Roman"/>
                <w:w w:val="100"/>
                <w:sz w:val="21"/>
              </w:rPr>
              <w:t>9</w:t>
            </w:r>
          </w:p>
        </w:tc>
        <w:tc>
          <w:tcPr>
            <w:tcW w:w="1134" w:type="dxa"/>
          </w:tcPr>
          <w:p>
            <w:pPr>
              <w:pStyle w:val="TableParagraph"/>
              <w:spacing w:before="109"/>
              <w:ind w:left="233" w:right="230"/>
              <w:jc w:val="center"/>
              <w:rPr>
                <w:sz w:val="21"/>
              </w:rPr>
            </w:pPr>
            <w:r>
              <w:rPr>
                <w:spacing w:val="-4"/>
                <w:sz w:val="21"/>
              </w:rPr>
              <w:t>帕捷特</w:t>
            </w:r>
          </w:p>
        </w:tc>
        <w:tc>
          <w:tcPr>
            <w:tcW w:w="3198" w:type="dxa"/>
          </w:tcPr>
          <w:p>
            <w:pPr>
              <w:pStyle w:val="TableParagraph"/>
              <w:spacing w:before="109"/>
              <w:ind w:left="233" w:right="224"/>
              <w:jc w:val="center"/>
              <w:rPr>
                <w:sz w:val="21"/>
              </w:rPr>
            </w:pPr>
            <w:r>
              <w:rPr>
                <w:spacing w:val="-4"/>
                <w:sz w:val="21"/>
              </w:rPr>
              <w:t>帕妥珠单抗注射液</w:t>
            </w:r>
          </w:p>
        </w:tc>
        <w:tc>
          <w:tcPr>
            <w:tcW w:w="3529" w:type="dxa"/>
          </w:tcPr>
          <w:p>
            <w:pPr>
              <w:pStyle w:val="TableParagraph"/>
              <w:spacing w:before="109"/>
              <w:ind w:left="118" w:right="113"/>
              <w:jc w:val="center"/>
              <w:rPr>
                <w:sz w:val="21"/>
              </w:rPr>
            </w:pPr>
            <w:r>
              <w:rPr>
                <w:spacing w:val="-4"/>
                <w:sz w:val="21"/>
              </w:rPr>
              <w:t>乳腺癌</w:t>
            </w:r>
          </w:p>
        </w:tc>
      </w:tr>
      <w:tr>
        <w:trPr>
          <w:trHeight w:val="398" w:hRule="atLeast"/>
        </w:trPr>
        <w:tc>
          <w:tcPr>
            <w:tcW w:w="773" w:type="dxa"/>
          </w:tcPr>
          <w:p>
            <w:pPr>
              <w:pStyle w:val="TableParagraph"/>
              <w:spacing w:before="123"/>
              <w:ind w:left="160" w:right="151"/>
              <w:jc w:val="center"/>
              <w:rPr>
                <w:rFonts w:ascii="Times New Roman"/>
                <w:sz w:val="21"/>
              </w:rPr>
            </w:pPr>
            <w:r>
              <w:rPr>
                <w:rFonts w:ascii="Times New Roman"/>
                <w:spacing w:val="-5"/>
                <w:sz w:val="21"/>
              </w:rPr>
              <w:t>10</w:t>
            </w:r>
          </w:p>
        </w:tc>
        <w:tc>
          <w:tcPr>
            <w:tcW w:w="1134" w:type="dxa"/>
          </w:tcPr>
          <w:p>
            <w:pPr>
              <w:pStyle w:val="TableParagraph"/>
              <w:spacing w:before="109"/>
              <w:ind w:left="233" w:right="230"/>
              <w:jc w:val="center"/>
              <w:rPr>
                <w:sz w:val="21"/>
              </w:rPr>
            </w:pPr>
            <w:r>
              <w:rPr>
                <w:spacing w:val="-4"/>
                <w:sz w:val="21"/>
              </w:rPr>
              <w:t>爱优特</w:t>
            </w:r>
          </w:p>
        </w:tc>
        <w:tc>
          <w:tcPr>
            <w:tcW w:w="3198" w:type="dxa"/>
          </w:tcPr>
          <w:p>
            <w:pPr>
              <w:pStyle w:val="TableParagraph"/>
              <w:spacing w:before="109"/>
              <w:ind w:left="233" w:right="224"/>
              <w:jc w:val="center"/>
              <w:rPr>
                <w:sz w:val="21"/>
              </w:rPr>
            </w:pPr>
            <w:r>
              <w:rPr>
                <w:spacing w:val="-4"/>
                <w:sz w:val="21"/>
              </w:rPr>
              <w:t>呋喹替尼</w:t>
            </w:r>
          </w:p>
        </w:tc>
        <w:tc>
          <w:tcPr>
            <w:tcW w:w="3529" w:type="dxa"/>
          </w:tcPr>
          <w:p>
            <w:pPr>
              <w:pStyle w:val="TableParagraph"/>
              <w:spacing w:before="109"/>
              <w:ind w:left="115" w:right="113"/>
              <w:jc w:val="center"/>
              <w:rPr>
                <w:sz w:val="21"/>
              </w:rPr>
            </w:pPr>
            <w:r>
              <w:rPr>
                <w:spacing w:val="-4"/>
                <w:sz w:val="21"/>
              </w:rPr>
              <w:t>结直肠癌</w:t>
            </w:r>
          </w:p>
        </w:tc>
      </w:tr>
      <w:tr>
        <w:trPr>
          <w:trHeight w:val="400" w:hRule="atLeast"/>
        </w:trPr>
        <w:tc>
          <w:tcPr>
            <w:tcW w:w="773" w:type="dxa"/>
          </w:tcPr>
          <w:p>
            <w:pPr>
              <w:pStyle w:val="TableParagraph"/>
              <w:spacing w:before="125"/>
              <w:ind w:left="155" w:right="151"/>
              <w:jc w:val="center"/>
              <w:rPr>
                <w:rFonts w:ascii="Times New Roman"/>
                <w:sz w:val="21"/>
              </w:rPr>
            </w:pPr>
            <w:r>
              <w:rPr>
                <w:rFonts w:ascii="Times New Roman"/>
                <w:spacing w:val="-5"/>
                <w:sz w:val="21"/>
              </w:rPr>
              <w:t>11</w:t>
            </w:r>
          </w:p>
        </w:tc>
        <w:tc>
          <w:tcPr>
            <w:tcW w:w="1134" w:type="dxa"/>
          </w:tcPr>
          <w:p>
            <w:pPr>
              <w:pStyle w:val="TableParagraph"/>
              <w:spacing w:before="111"/>
              <w:ind w:left="233" w:right="230"/>
              <w:jc w:val="center"/>
              <w:rPr>
                <w:sz w:val="21"/>
              </w:rPr>
            </w:pPr>
            <w:r>
              <w:rPr>
                <w:spacing w:val="-5"/>
                <w:sz w:val="21"/>
              </w:rPr>
              <w:t>拓益</w:t>
            </w:r>
          </w:p>
        </w:tc>
        <w:tc>
          <w:tcPr>
            <w:tcW w:w="3198" w:type="dxa"/>
          </w:tcPr>
          <w:p>
            <w:pPr>
              <w:pStyle w:val="TableParagraph"/>
              <w:spacing w:before="111"/>
              <w:ind w:left="233" w:right="224"/>
              <w:jc w:val="center"/>
              <w:rPr>
                <w:sz w:val="21"/>
              </w:rPr>
            </w:pPr>
            <w:r>
              <w:rPr>
                <w:spacing w:val="-3"/>
                <w:sz w:val="21"/>
              </w:rPr>
              <w:t>特瑞普利单抗注射液</w:t>
            </w:r>
          </w:p>
        </w:tc>
        <w:tc>
          <w:tcPr>
            <w:tcW w:w="3529" w:type="dxa"/>
          </w:tcPr>
          <w:p>
            <w:pPr>
              <w:pStyle w:val="TableParagraph"/>
              <w:spacing w:before="111"/>
              <w:ind w:left="115" w:right="113"/>
              <w:jc w:val="center"/>
              <w:rPr>
                <w:sz w:val="21"/>
              </w:rPr>
            </w:pPr>
            <w:r>
              <w:rPr>
                <w:spacing w:val="-4"/>
                <w:sz w:val="21"/>
              </w:rPr>
              <w:t>黑色素瘤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12</w:t>
            </w:r>
          </w:p>
        </w:tc>
        <w:tc>
          <w:tcPr>
            <w:tcW w:w="1134" w:type="dxa"/>
          </w:tcPr>
          <w:p>
            <w:pPr>
              <w:pStyle w:val="TableParagraph"/>
              <w:spacing w:before="111"/>
              <w:ind w:left="233" w:right="230"/>
              <w:jc w:val="center"/>
              <w:rPr>
                <w:sz w:val="21"/>
              </w:rPr>
            </w:pPr>
            <w:r>
              <w:rPr>
                <w:spacing w:val="-4"/>
                <w:sz w:val="21"/>
              </w:rPr>
              <w:t>达伯舒</w:t>
            </w:r>
          </w:p>
        </w:tc>
        <w:tc>
          <w:tcPr>
            <w:tcW w:w="3198" w:type="dxa"/>
          </w:tcPr>
          <w:p>
            <w:pPr>
              <w:pStyle w:val="TableParagraph"/>
              <w:spacing w:before="111"/>
              <w:ind w:left="233" w:right="224"/>
              <w:jc w:val="center"/>
              <w:rPr>
                <w:sz w:val="21"/>
              </w:rPr>
            </w:pPr>
            <w:r>
              <w:rPr>
                <w:spacing w:val="-4"/>
                <w:sz w:val="21"/>
              </w:rPr>
              <w:t>信迪利单抗注射液</w:t>
            </w:r>
          </w:p>
        </w:tc>
        <w:tc>
          <w:tcPr>
            <w:tcW w:w="3529" w:type="dxa"/>
          </w:tcPr>
          <w:p>
            <w:pPr>
              <w:pStyle w:val="TableParagraph"/>
              <w:spacing w:before="111"/>
              <w:ind w:left="116" w:right="113"/>
              <w:jc w:val="center"/>
              <w:rPr>
                <w:sz w:val="21"/>
              </w:rPr>
            </w:pPr>
            <w:r>
              <w:rPr>
                <w:spacing w:val="-3"/>
                <w:sz w:val="21"/>
              </w:rPr>
              <w:t>经典型霍奇金淋巴瘤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13</w:t>
            </w:r>
          </w:p>
        </w:tc>
        <w:tc>
          <w:tcPr>
            <w:tcW w:w="1134" w:type="dxa"/>
          </w:tcPr>
          <w:p>
            <w:pPr>
              <w:pStyle w:val="TableParagraph"/>
              <w:spacing w:before="111"/>
              <w:ind w:left="233" w:right="230"/>
              <w:jc w:val="center"/>
              <w:rPr>
                <w:sz w:val="21"/>
              </w:rPr>
            </w:pPr>
            <w:r>
              <w:rPr>
                <w:spacing w:val="-4"/>
                <w:sz w:val="21"/>
              </w:rPr>
              <w:t>多泽润</w:t>
            </w:r>
          </w:p>
        </w:tc>
        <w:tc>
          <w:tcPr>
            <w:tcW w:w="3198" w:type="dxa"/>
          </w:tcPr>
          <w:p>
            <w:pPr>
              <w:pStyle w:val="TableParagraph"/>
              <w:spacing w:before="111"/>
              <w:ind w:left="233" w:right="224"/>
              <w:jc w:val="center"/>
              <w:rPr>
                <w:sz w:val="21"/>
              </w:rPr>
            </w:pPr>
            <w:r>
              <w:rPr>
                <w:spacing w:val="-4"/>
                <w:sz w:val="21"/>
              </w:rPr>
              <w:t>达可替尼</w:t>
            </w:r>
          </w:p>
        </w:tc>
        <w:tc>
          <w:tcPr>
            <w:tcW w:w="3529" w:type="dxa"/>
          </w:tcPr>
          <w:p>
            <w:pPr>
              <w:pStyle w:val="TableParagraph"/>
              <w:spacing w:before="111"/>
              <w:ind w:left="118" w:right="113"/>
              <w:jc w:val="center"/>
              <w:rPr>
                <w:sz w:val="21"/>
              </w:rPr>
            </w:pPr>
            <w:r>
              <w:rPr>
                <w:spacing w:val="-4"/>
                <w:sz w:val="21"/>
              </w:rPr>
              <w:t>非小细胞肺癌</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14</w:t>
            </w:r>
          </w:p>
        </w:tc>
        <w:tc>
          <w:tcPr>
            <w:tcW w:w="1134" w:type="dxa"/>
          </w:tcPr>
          <w:p>
            <w:pPr>
              <w:pStyle w:val="TableParagraph"/>
              <w:spacing w:before="109"/>
              <w:ind w:left="233" w:right="230"/>
              <w:jc w:val="center"/>
              <w:rPr>
                <w:sz w:val="21"/>
              </w:rPr>
            </w:pPr>
            <w:r>
              <w:rPr>
                <w:spacing w:val="-4"/>
                <w:sz w:val="21"/>
              </w:rPr>
              <w:t>艾瑞卡</w:t>
            </w:r>
          </w:p>
        </w:tc>
        <w:tc>
          <w:tcPr>
            <w:tcW w:w="3198" w:type="dxa"/>
          </w:tcPr>
          <w:p>
            <w:pPr>
              <w:pStyle w:val="TableParagraph"/>
              <w:spacing w:before="109"/>
              <w:ind w:left="233" w:right="224"/>
              <w:jc w:val="center"/>
              <w:rPr>
                <w:sz w:val="21"/>
              </w:rPr>
            </w:pPr>
            <w:r>
              <w:rPr>
                <w:spacing w:val="-3"/>
                <w:sz w:val="21"/>
              </w:rPr>
              <w:t>注射用卡瑞利珠单抗</w:t>
            </w:r>
          </w:p>
        </w:tc>
        <w:tc>
          <w:tcPr>
            <w:tcW w:w="3529" w:type="dxa"/>
          </w:tcPr>
          <w:p>
            <w:pPr>
              <w:pStyle w:val="TableParagraph"/>
              <w:spacing w:before="109"/>
              <w:ind w:left="116" w:right="113"/>
              <w:jc w:val="center"/>
              <w:rPr>
                <w:sz w:val="21"/>
              </w:rPr>
            </w:pPr>
            <w:r>
              <w:rPr>
                <w:spacing w:val="-3"/>
                <w:sz w:val="21"/>
              </w:rPr>
              <w:t>经典型霍奇金淋巴瘤</w:t>
            </w:r>
          </w:p>
        </w:tc>
      </w:tr>
      <w:tr>
        <w:trPr>
          <w:trHeight w:val="719" w:hRule="atLeast"/>
        </w:trPr>
        <w:tc>
          <w:tcPr>
            <w:tcW w:w="773" w:type="dxa"/>
          </w:tcPr>
          <w:p>
            <w:pPr>
              <w:pStyle w:val="TableParagraph"/>
              <w:spacing w:before="1"/>
              <w:rPr>
                <w:sz w:val="22"/>
              </w:rPr>
            </w:pPr>
          </w:p>
          <w:p>
            <w:pPr>
              <w:pStyle w:val="TableParagraph"/>
              <w:spacing w:before="1"/>
              <w:ind w:left="160" w:right="151"/>
              <w:jc w:val="center"/>
              <w:rPr>
                <w:rFonts w:ascii="Times New Roman"/>
                <w:sz w:val="21"/>
              </w:rPr>
            </w:pPr>
            <w:r>
              <w:rPr>
                <w:rFonts w:ascii="Times New Roman"/>
                <w:spacing w:val="-5"/>
                <w:sz w:val="21"/>
              </w:rPr>
              <w:t>15</w:t>
            </w:r>
          </w:p>
        </w:tc>
        <w:tc>
          <w:tcPr>
            <w:tcW w:w="1134" w:type="dxa"/>
          </w:tcPr>
          <w:p>
            <w:pPr>
              <w:pStyle w:val="TableParagraph"/>
              <w:rPr>
                <w:sz w:val="21"/>
              </w:rPr>
            </w:pPr>
          </w:p>
          <w:p>
            <w:pPr>
              <w:pStyle w:val="TableParagraph"/>
              <w:ind w:left="233" w:right="230"/>
              <w:jc w:val="center"/>
              <w:rPr>
                <w:sz w:val="21"/>
              </w:rPr>
            </w:pPr>
            <w:r>
              <w:rPr>
                <w:spacing w:val="-5"/>
                <w:sz w:val="21"/>
              </w:rPr>
              <w:t>亿珂</w:t>
            </w:r>
          </w:p>
        </w:tc>
        <w:tc>
          <w:tcPr>
            <w:tcW w:w="3198" w:type="dxa"/>
          </w:tcPr>
          <w:p>
            <w:pPr>
              <w:pStyle w:val="TableParagraph"/>
              <w:rPr>
                <w:sz w:val="21"/>
              </w:rPr>
            </w:pPr>
          </w:p>
          <w:p>
            <w:pPr>
              <w:pStyle w:val="TableParagraph"/>
              <w:ind w:left="230" w:right="224"/>
              <w:jc w:val="center"/>
              <w:rPr>
                <w:sz w:val="21"/>
              </w:rPr>
            </w:pPr>
            <w:r>
              <w:rPr>
                <w:spacing w:val="-4"/>
                <w:sz w:val="21"/>
              </w:rPr>
              <w:t>伊布替尼胶囊</w:t>
            </w:r>
          </w:p>
        </w:tc>
        <w:tc>
          <w:tcPr>
            <w:tcW w:w="3529" w:type="dxa"/>
          </w:tcPr>
          <w:p>
            <w:pPr>
              <w:pStyle w:val="TableParagraph"/>
              <w:spacing w:line="360" w:lineRule="exact"/>
              <w:ind w:left="710" w:right="177" w:hanging="526"/>
              <w:rPr>
                <w:sz w:val="21"/>
              </w:rPr>
            </w:pPr>
            <w:r>
              <w:rPr>
                <w:spacing w:val="-2"/>
                <w:sz w:val="21"/>
              </w:rPr>
              <w:t>套细胞淋巴瘤、慢性淋巴细胞白血</w:t>
            </w:r>
            <w:r>
              <w:rPr>
                <w:spacing w:val="-2"/>
                <w:sz w:val="21"/>
              </w:rPr>
              <w:t>病、小淋巴细胞淋巴瘤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16</w:t>
            </w:r>
          </w:p>
        </w:tc>
        <w:tc>
          <w:tcPr>
            <w:tcW w:w="1134" w:type="dxa"/>
          </w:tcPr>
          <w:p>
            <w:pPr>
              <w:pStyle w:val="TableParagraph"/>
              <w:spacing w:before="109"/>
              <w:ind w:left="233" w:right="230"/>
              <w:jc w:val="center"/>
              <w:rPr>
                <w:sz w:val="21"/>
              </w:rPr>
            </w:pPr>
            <w:r>
              <w:rPr>
                <w:spacing w:val="-4"/>
                <w:sz w:val="21"/>
              </w:rPr>
              <w:t>佐博伏</w:t>
            </w:r>
          </w:p>
        </w:tc>
        <w:tc>
          <w:tcPr>
            <w:tcW w:w="3198" w:type="dxa"/>
          </w:tcPr>
          <w:p>
            <w:pPr>
              <w:pStyle w:val="TableParagraph"/>
              <w:spacing w:before="109"/>
              <w:ind w:left="233" w:right="224"/>
              <w:jc w:val="center"/>
              <w:rPr>
                <w:sz w:val="21"/>
              </w:rPr>
            </w:pPr>
            <w:r>
              <w:rPr>
                <w:spacing w:val="-4"/>
                <w:sz w:val="21"/>
              </w:rPr>
              <w:t>维莫非尼片</w:t>
            </w:r>
          </w:p>
        </w:tc>
        <w:tc>
          <w:tcPr>
            <w:tcW w:w="3529" w:type="dxa"/>
          </w:tcPr>
          <w:p>
            <w:pPr>
              <w:pStyle w:val="TableParagraph"/>
              <w:spacing w:before="109"/>
              <w:ind w:left="115" w:right="113"/>
              <w:jc w:val="center"/>
              <w:rPr>
                <w:sz w:val="21"/>
              </w:rPr>
            </w:pPr>
            <w:r>
              <w:rPr>
                <w:spacing w:val="-4"/>
                <w:sz w:val="21"/>
              </w:rPr>
              <w:t>黑色素瘤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17</w:t>
            </w:r>
          </w:p>
        </w:tc>
        <w:tc>
          <w:tcPr>
            <w:tcW w:w="1134" w:type="dxa"/>
          </w:tcPr>
          <w:p>
            <w:pPr>
              <w:pStyle w:val="TableParagraph"/>
              <w:spacing w:before="109"/>
              <w:ind w:left="233" w:right="230"/>
              <w:jc w:val="center"/>
              <w:rPr>
                <w:sz w:val="21"/>
              </w:rPr>
            </w:pPr>
            <w:r>
              <w:rPr>
                <w:spacing w:val="-5"/>
                <w:sz w:val="21"/>
              </w:rPr>
              <w:t>万珂</w:t>
            </w:r>
          </w:p>
        </w:tc>
        <w:tc>
          <w:tcPr>
            <w:tcW w:w="3198" w:type="dxa"/>
          </w:tcPr>
          <w:p>
            <w:pPr>
              <w:pStyle w:val="TableParagraph"/>
              <w:spacing w:before="109"/>
              <w:ind w:left="230" w:right="224"/>
              <w:jc w:val="center"/>
              <w:rPr>
                <w:sz w:val="21"/>
              </w:rPr>
            </w:pPr>
            <w:r>
              <w:rPr>
                <w:spacing w:val="-4"/>
                <w:sz w:val="21"/>
              </w:rPr>
              <w:t>注射用硼替佐米</w:t>
            </w:r>
          </w:p>
        </w:tc>
        <w:tc>
          <w:tcPr>
            <w:tcW w:w="3529" w:type="dxa"/>
          </w:tcPr>
          <w:p>
            <w:pPr>
              <w:pStyle w:val="TableParagraph"/>
              <w:spacing w:before="109"/>
              <w:ind w:left="116" w:right="113"/>
              <w:jc w:val="center"/>
              <w:rPr>
                <w:sz w:val="21"/>
              </w:rPr>
            </w:pPr>
            <w:r>
              <w:rPr>
                <w:spacing w:val="-3"/>
                <w:sz w:val="21"/>
              </w:rPr>
              <w:t>多发性骨髓瘤、套细胞淋巴瘤</w:t>
            </w:r>
          </w:p>
        </w:tc>
      </w:tr>
      <w:tr>
        <w:trPr>
          <w:trHeight w:val="397" w:hRule="atLeast"/>
        </w:trPr>
        <w:tc>
          <w:tcPr>
            <w:tcW w:w="773" w:type="dxa"/>
          </w:tcPr>
          <w:p>
            <w:pPr>
              <w:pStyle w:val="TableParagraph"/>
              <w:spacing w:before="123"/>
              <w:ind w:left="160" w:right="151"/>
              <w:jc w:val="center"/>
              <w:rPr>
                <w:rFonts w:ascii="Times New Roman"/>
                <w:sz w:val="21"/>
              </w:rPr>
            </w:pPr>
            <w:r>
              <w:rPr>
                <w:rFonts w:ascii="Times New Roman"/>
                <w:spacing w:val="-5"/>
                <w:sz w:val="21"/>
              </w:rPr>
              <w:t>18</w:t>
            </w:r>
          </w:p>
        </w:tc>
        <w:tc>
          <w:tcPr>
            <w:tcW w:w="1134" w:type="dxa"/>
          </w:tcPr>
          <w:p>
            <w:pPr>
              <w:pStyle w:val="TableParagraph"/>
              <w:spacing w:before="109"/>
              <w:ind w:left="233" w:right="230"/>
              <w:jc w:val="center"/>
              <w:rPr>
                <w:sz w:val="21"/>
              </w:rPr>
            </w:pPr>
            <w:r>
              <w:rPr>
                <w:spacing w:val="-5"/>
                <w:sz w:val="21"/>
              </w:rPr>
              <w:t>昕泰</w:t>
            </w:r>
          </w:p>
        </w:tc>
        <w:tc>
          <w:tcPr>
            <w:tcW w:w="3198" w:type="dxa"/>
          </w:tcPr>
          <w:p>
            <w:pPr>
              <w:pStyle w:val="TableParagraph"/>
              <w:spacing w:before="109"/>
              <w:ind w:left="230" w:right="224"/>
              <w:jc w:val="center"/>
              <w:rPr>
                <w:sz w:val="21"/>
              </w:rPr>
            </w:pPr>
            <w:r>
              <w:rPr>
                <w:spacing w:val="-4"/>
                <w:sz w:val="21"/>
              </w:rPr>
              <w:t>注射用硼替佐米</w:t>
            </w:r>
          </w:p>
        </w:tc>
        <w:tc>
          <w:tcPr>
            <w:tcW w:w="3529" w:type="dxa"/>
          </w:tcPr>
          <w:p>
            <w:pPr>
              <w:pStyle w:val="TableParagraph"/>
              <w:spacing w:before="109"/>
              <w:ind w:left="116" w:right="113"/>
              <w:jc w:val="center"/>
              <w:rPr>
                <w:sz w:val="21"/>
              </w:rPr>
            </w:pPr>
            <w:r>
              <w:rPr>
                <w:spacing w:val="-3"/>
                <w:sz w:val="21"/>
              </w:rPr>
              <w:t>多发性骨髓瘤、套细胞淋巴瘤</w:t>
            </w:r>
          </w:p>
        </w:tc>
      </w:tr>
      <w:tr>
        <w:trPr>
          <w:trHeight w:val="400" w:hRule="atLeast"/>
        </w:trPr>
        <w:tc>
          <w:tcPr>
            <w:tcW w:w="773" w:type="dxa"/>
          </w:tcPr>
          <w:p>
            <w:pPr>
              <w:pStyle w:val="TableParagraph"/>
              <w:spacing w:before="125"/>
              <w:ind w:left="160" w:right="151"/>
              <w:jc w:val="center"/>
              <w:rPr>
                <w:rFonts w:ascii="Times New Roman"/>
                <w:sz w:val="21"/>
              </w:rPr>
            </w:pPr>
            <w:r>
              <w:rPr>
                <w:rFonts w:ascii="Times New Roman"/>
                <w:spacing w:val="-5"/>
                <w:sz w:val="21"/>
              </w:rPr>
              <w:t>19</w:t>
            </w:r>
          </w:p>
        </w:tc>
        <w:tc>
          <w:tcPr>
            <w:tcW w:w="1134" w:type="dxa"/>
          </w:tcPr>
          <w:p>
            <w:pPr>
              <w:pStyle w:val="TableParagraph"/>
              <w:spacing w:before="111"/>
              <w:ind w:left="233" w:right="230"/>
              <w:jc w:val="center"/>
              <w:rPr>
                <w:sz w:val="21"/>
              </w:rPr>
            </w:pPr>
            <w:r>
              <w:rPr>
                <w:spacing w:val="-5"/>
                <w:sz w:val="21"/>
              </w:rPr>
              <w:t>千平</w:t>
            </w:r>
          </w:p>
        </w:tc>
        <w:tc>
          <w:tcPr>
            <w:tcW w:w="3198" w:type="dxa"/>
          </w:tcPr>
          <w:p>
            <w:pPr>
              <w:pStyle w:val="TableParagraph"/>
              <w:spacing w:before="111"/>
              <w:ind w:left="230" w:right="224"/>
              <w:jc w:val="center"/>
              <w:rPr>
                <w:sz w:val="21"/>
              </w:rPr>
            </w:pPr>
            <w:r>
              <w:rPr>
                <w:spacing w:val="-4"/>
                <w:sz w:val="21"/>
              </w:rPr>
              <w:t>注射用硼替佐米</w:t>
            </w:r>
          </w:p>
        </w:tc>
        <w:tc>
          <w:tcPr>
            <w:tcW w:w="3529" w:type="dxa"/>
          </w:tcPr>
          <w:p>
            <w:pPr>
              <w:pStyle w:val="TableParagraph"/>
              <w:spacing w:before="111"/>
              <w:ind w:left="116" w:right="113"/>
              <w:jc w:val="center"/>
              <w:rPr>
                <w:sz w:val="21"/>
              </w:rPr>
            </w:pPr>
            <w:r>
              <w:rPr>
                <w:spacing w:val="-3"/>
                <w:sz w:val="21"/>
              </w:rPr>
              <w:t>多发性骨髓瘤、套细胞淋巴瘤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20</w:t>
            </w:r>
          </w:p>
        </w:tc>
        <w:tc>
          <w:tcPr>
            <w:tcW w:w="1134" w:type="dxa"/>
          </w:tcPr>
          <w:p>
            <w:pPr>
              <w:pStyle w:val="TableParagraph"/>
              <w:spacing w:before="111"/>
              <w:ind w:left="233" w:right="230"/>
              <w:jc w:val="center"/>
              <w:rPr>
                <w:sz w:val="21"/>
              </w:rPr>
            </w:pPr>
            <w:r>
              <w:rPr>
                <w:spacing w:val="-4"/>
                <w:sz w:val="21"/>
              </w:rPr>
              <w:t>齐普乐</w:t>
            </w:r>
          </w:p>
        </w:tc>
        <w:tc>
          <w:tcPr>
            <w:tcW w:w="3198" w:type="dxa"/>
          </w:tcPr>
          <w:p>
            <w:pPr>
              <w:pStyle w:val="TableParagraph"/>
              <w:spacing w:before="111"/>
              <w:ind w:left="230" w:right="224"/>
              <w:jc w:val="center"/>
              <w:rPr>
                <w:sz w:val="21"/>
              </w:rPr>
            </w:pPr>
            <w:r>
              <w:rPr>
                <w:spacing w:val="-4"/>
                <w:sz w:val="21"/>
              </w:rPr>
              <w:t>注射用硼替佐米</w:t>
            </w:r>
          </w:p>
        </w:tc>
        <w:tc>
          <w:tcPr>
            <w:tcW w:w="3529" w:type="dxa"/>
          </w:tcPr>
          <w:p>
            <w:pPr>
              <w:pStyle w:val="TableParagraph"/>
              <w:spacing w:before="111"/>
              <w:ind w:left="116" w:right="113"/>
              <w:jc w:val="center"/>
              <w:rPr>
                <w:sz w:val="21"/>
              </w:rPr>
            </w:pPr>
            <w:r>
              <w:rPr>
                <w:spacing w:val="-3"/>
                <w:sz w:val="21"/>
              </w:rPr>
              <w:t>多发性骨髓瘤、套细胞淋巴瘤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21</w:t>
            </w:r>
          </w:p>
        </w:tc>
        <w:tc>
          <w:tcPr>
            <w:tcW w:w="1134" w:type="dxa"/>
          </w:tcPr>
          <w:p>
            <w:pPr>
              <w:pStyle w:val="TableParagraph"/>
              <w:spacing w:before="111"/>
              <w:ind w:left="233" w:right="230"/>
              <w:jc w:val="center"/>
              <w:rPr>
                <w:sz w:val="21"/>
              </w:rPr>
            </w:pPr>
            <w:r>
              <w:rPr>
                <w:spacing w:val="-4"/>
                <w:sz w:val="21"/>
              </w:rPr>
              <w:t>安维汀</w:t>
            </w:r>
          </w:p>
        </w:tc>
        <w:tc>
          <w:tcPr>
            <w:tcW w:w="3198" w:type="dxa"/>
          </w:tcPr>
          <w:p>
            <w:pPr>
              <w:pStyle w:val="TableParagraph"/>
              <w:spacing w:before="111"/>
              <w:ind w:left="233" w:right="224"/>
              <w:jc w:val="center"/>
              <w:rPr>
                <w:sz w:val="21"/>
              </w:rPr>
            </w:pPr>
            <w:r>
              <w:rPr>
                <w:spacing w:val="-4"/>
                <w:sz w:val="21"/>
              </w:rPr>
              <w:t>贝伐珠单抗注射液</w:t>
            </w:r>
          </w:p>
        </w:tc>
        <w:tc>
          <w:tcPr>
            <w:tcW w:w="3529" w:type="dxa"/>
          </w:tcPr>
          <w:p>
            <w:pPr>
              <w:pStyle w:val="TableParagraph"/>
              <w:spacing w:before="111"/>
              <w:ind w:left="118" w:right="113"/>
              <w:jc w:val="center"/>
              <w:rPr>
                <w:sz w:val="21"/>
              </w:rPr>
            </w:pPr>
            <w:r>
              <w:rPr>
                <w:spacing w:val="-3"/>
                <w:sz w:val="21"/>
              </w:rPr>
              <w:t>结直肠癌、非小细胞肺癌</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22</w:t>
            </w:r>
          </w:p>
        </w:tc>
        <w:tc>
          <w:tcPr>
            <w:tcW w:w="1134" w:type="dxa"/>
          </w:tcPr>
          <w:p>
            <w:pPr>
              <w:pStyle w:val="TableParagraph"/>
              <w:spacing w:before="109"/>
              <w:ind w:left="233" w:right="230"/>
              <w:jc w:val="center"/>
              <w:rPr>
                <w:sz w:val="21"/>
              </w:rPr>
            </w:pPr>
            <w:r>
              <w:rPr>
                <w:spacing w:val="-4"/>
                <w:sz w:val="21"/>
              </w:rPr>
              <w:t>格列卫</w:t>
            </w:r>
          </w:p>
        </w:tc>
        <w:tc>
          <w:tcPr>
            <w:tcW w:w="3198" w:type="dxa"/>
          </w:tcPr>
          <w:p>
            <w:pPr>
              <w:pStyle w:val="TableParagraph"/>
              <w:spacing w:before="109"/>
              <w:ind w:left="233" w:right="224"/>
              <w:jc w:val="center"/>
              <w:rPr>
                <w:sz w:val="21"/>
              </w:rPr>
            </w:pPr>
            <w:r>
              <w:rPr>
                <w:spacing w:val="-4"/>
                <w:sz w:val="21"/>
              </w:rPr>
              <w:t>甲磺酸伊马替尼片</w:t>
            </w:r>
          </w:p>
        </w:tc>
        <w:tc>
          <w:tcPr>
            <w:tcW w:w="3529" w:type="dxa"/>
          </w:tcPr>
          <w:p>
            <w:pPr>
              <w:pStyle w:val="TableParagraph"/>
              <w:spacing w:before="109"/>
              <w:ind w:left="118" w:right="113"/>
              <w:jc w:val="center"/>
              <w:rPr>
                <w:sz w:val="21"/>
              </w:rPr>
            </w:pPr>
            <w:r>
              <w:rPr>
                <w:spacing w:val="-3"/>
                <w:sz w:val="21"/>
              </w:rPr>
              <w:t>白血病、胃肠道间质瘤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23</w:t>
            </w:r>
          </w:p>
        </w:tc>
        <w:tc>
          <w:tcPr>
            <w:tcW w:w="1134" w:type="dxa"/>
          </w:tcPr>
          <w:p>
            <w:pPr>
              <w:pStyle w:val="TableParagraph"/>
              <w:spacing w:before="109"/>
              <w:ind w:left="233" w:right="230"/>
              <w:jc w:val="center"/>
              <w:rPr>
                <w:sz w:val="21"/>
              </w:rPr>
            </w:pPr>
            <w:r>
              <w:rPr>
                <w:spacing w:val="-4"/>
                <w:sz w:val="21"/>
              </w:rPr>
              <w:t>诺利宁</w:t>
            </w:r>
          </w:p>
        </w:tc>
        <w:tc>
          <w:tcPr>
            <w:tcW w:w="3198" w:type="dxa"/>
          </w:tcPr>
          <w:p>
            <w:pPr>
              <w:pStyle w:val="TableParagraph"/>
              <w:spacing w:before="109"/>
              <w:ind w:left="233" w:right="224"/>
              <w:jc w:val="center"/>
              <w:rPr>
                <w:sz w:val="21"/>
              </w:rPr>
            </w:pPr>
            <w:r>
              <w:rPr>
                <w:spacing w:val="-4"/>
                <w:sz w:val="21"/>
              </w:rPr>
              <w:t>甲磺酸伊马替尼片</w:t>
            </w:r>
          </w:p>
        </w:tc>
        <w:tc>
          <w:tcPr>
            <w:tcW w:w="3529" w:type="dxa"/>
          </w:tcPr>
          <w:p>
            <w:pPr>
              <w:pStyle w:val="TableParagraph"/>
              <w:spacing w:before="109"/>
              <w:ind w:left="118" w:right="113"/>
              <w:jc w:val="center"/>
              <w:rPr>
                <w:sz w:val="21"/>
              </w:rPr>
            </w:pPr>
            <w:r>
              <w:rPr>
                <w:spacing w:val="-3"/>
                <w:sz w:val="21"/>
              </w:rPr>
              <w:t>白血病、胃肠道间质瘤</w:t>
            </w:r>
          </w:p>
        </w:tc>
      </w:tr>
      <w:tr>
        <w:trPr>
          <w:trHeight w:val="397" w:hRule="atLeast"/>
        </w:trPr>
        <w:tc>
          <w:tcPr>
            <w:tcW w:w="773" w:type="dxa"/>
          </w:tcPr>
          <w:p>
            <w:pPr>
              <w:pStyle w:val="TableParagraph"/>
              <w:spacing w:before="123"/>
              <w:ind w:left="160" w:right="151"/>
              <w:jc w:val="center"/>
              <w:rPr>
                <w:rFonts w:ascii="Times New Roman"/>
                <w:sz w:val="21"/>
              </w:rPr>
            </w:pPr>
            <w:r>
              <w:rPr>
                <w:rFonts w:ascii="Times New Roman"/>
                <w:spacing w:val="-5"/>
                <w:sz w:val="21"/>
              </w:rPr>
              <w:t>24</w:t>
            </w:r>
          </w:p>
        </w:tc>
        <w:tc>
          <w:tcPr>
            <w:tcW w:w="1134" w:type="dxa"/>
          </w:tcPr>
          <w:p>
            <w:pPr>
              <w:pStyle w:val="TableParagraph"/>
              <w:spacing w:before="109"/>
              <w:ind w:left="233" w:right="230"/>
              <w:jc w:val="center"/>
              <w:rPr>
                <w:sz w:val="21"/>
              </w:rPr>
            </w:pPr>
            <w:r>
              <w:rPr>
                <w:spacing w:val="-4"/>
                <w:sz w:val="21"/>
              </w:rPr>
              <w:t>格尼可</w:t>
            </w:r>
          </w:p>
        </w:tc>
        <w:tc>
          <w:tcPr>
            <w:tcW w:w="3198" w:type="dxa"/>
          </w:tcPr>
          <w:p>
            <w:pPr>
              <w:pStyle w:val="TableParagraph"/>
              <w:spacing w:before="109"/>
              <w:ind w:left="233" w:right="224"/>
              <w:jc w:val="center"/>
              <w:rPr>
                <w:sz w:val="21"/>
              </w:rPr>
            </w:pPr>
            <w:r>
              <w:rPr>
                <w:spacing w:val="-3"/>
                <w:sz w:val="21"/>
              </w:rPr>
              <w:t>甲磺酸伊马替尼胶囊</w:t>
            </w:r>
          </w:p>
        </w:tc>
        <w:tc>
          <w:tcPr>
            <w:tcW w:w="3529" w:type="dxa"/>
          </w:tcPr>
          <w:p>
            <w:pPr>
              <w:pStyle w:val="TableParagraph"/>
              <w:spacing w:before="109"/>
              <w:ind w:left="118" w:right="113"/>
              <w:jc w:val="center"/>
              <w:rPr>
                <w:sz w:val="21"/>
              </w:rPr>
            </w:pPr>
            <w:r>
              <w:rPr>
                <w:spacing w:val="-3"/>
                <w:sz w:val="21"/>
              </w:rPr>
              <w:t>白血病、胃肠道间质瘤</w:t>
            </w:r>
          </w:p>
        </w:tc>
      </w:tr>
      <w:tr>
        <w:trPr>
          <w:trHeight w:val="401" w:hRule="atLeast"/>
        </w:trPr>
        <w:tc>
          <w:tcPr>
            <w:tcW w:w="773" w:type="dxa"/>
          </w:tcPr>
          <w:p>
            <w:pPr>
              <w:pStyle w:val="TableParagraph"/>
              <w:spacing w:before="126"/>
              <w:ind w:left="160" w:right="151"/>
              <w:jc w:val="center"/>
              <w:rPr>
                <w:rFonts w:ascii="Times New Roman"/>
                <w:sz w:val="21"/>
              </w:rPr>
            </w:pPr>
            <w:r>
              <w:rPr>
                <w:rFonts w:ascii="Times New Roman"/>
                <w:spacing w:val="-5"/>
                <w:sz w:val="21"/>
              </w:rPr>
              <w:t>25</w:t>
            </w:r>
          </w:p>
        </w:tc>
        <w:tc>
          <w:tcPr>
            <w:tcW w:w="1134" w:type="dxa"/>
          </w:tcPr>
          <w:p>
            <w:pPr>
              <w:pStyle w:val="TableParagraph"/>
              <w:spacing w:before="112"/>
              <w:ind w:left="233" w:right="230"/>
              <w:jc w:val="center"/>
              <w:rPr>
                <w:sz w:val="21"/>
              </w:rPr>
            </w:pPr>
            <w:r>
              <w:rPr>
                <w:spacing w:val="-5"/>
                <w:sz w:val="21"/>
              </w:rPr>
              <w:t>昕维</w:t>
            </w:r>
          </w:p>
        </w:tc>
        <w:tc>
          <w:tcPr>
            <w:tcW w:w="3198" w:type="dxa"/>
          </w:tcPr>
          <w:p>
            <w:pPr>
              <w:pStyle w:val="TableParagraph"/>
              <w:spacing w:before="112"/>
              <w:ind w:left="233" w:right="224"/>
              <w:jc w:val="center"/>
              <w:rPr>
                <w:sz w:val="21"/>
              </w:rPr>
            </w:pPr>
            <w:r>
              <w:rPr>
                <w:spacing w:val="-4"/>
                <w:sz w:val="21"/>
              </w:rPr>
              <w:t>甲磺酸伊马替尼片</w:t>
            </w:r>
          </w:p>
        </w:tc>
        <w:tc>
          <w:tcPr>
            <w:tcW w:w="3529" w:type="dxa"/>
          </w:tcPr>
          <w:p>
            <w:pPr>
              <w:pStyle w:val="TableParagraph"/>
              <w:spacing w:before="112"/>
              <w:ind w:left="118" w:right="113"/>
              <w:jc w:val="center"/>
              <w:rPr>
                <w:sz w:val="21"/>
              </w:rPr>
            </w:pPr>
            <w:r>
              <w:rPr>
                <w:spacing w:val="-3"/>
                <w:sz w:val="21"/>
              </w:rPr>
              <w:t>白血病、胃肠道间质瘤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26</w:t>
            </w:r>
          </w:p>
        </w:tc>
        <w:tc>
          <w:tcPr>
            <w:tcW w:w="1134" w:type="dxa"/>
          </w:tcPr>
          <w:p>
            <w:pPr>
              <w:pStyle w:val="TableParagraph"/>
              <w:spacing w:before="111"/>
              <w:ind w:left="233" w:right="230"/>
              <w:jc w:val="center"/>
              <w:rPr>
                <w:sz w:val="21"/>
              </w:rPr>
            </w:pPr>
            <w:r>
              <w:rPr>
                <w:spacing w:val="-4"/>
                <w:sz w:val="21"/>
              </w:rPr>
              <w:t>瑞复美</w:t>
            </w:r>
          </w:p>
        </w:tc>
        <w:tc>
          <w:tcPr>
            <w:tcW w:w="3198" w:type="dxa"/>
          </w:tcPr>
          <w:p>
            <w:pPr>
              <w:pStyle w:val="TableParagraph"/>
              <w:spacing w:before="111"/>
              <w:ind w:left="230" w:right="224"/>
              <w:jc w:val="center"/>
              <w:rPr>
                <w:sz w:val="21"/>
              </w:rPr>
            </w:pPr>
            <w:r>
              <w:rPr>
                <w:spacing w:val="-4"/>
                <w:sz w:val="21"/>
              </w:rPr>
              <w:t>来那度胺胶囊</w:t>
            </w:r>
          </w:p>
        </w:tc>
        <w:tc>
          <w:tcPr>
            <w:tcW w:w="3529" w:type="dxa"/>
          </w:tcPr>
          <w:p>
            <w:pPr>
              <w:pStyle w:val="TableParagraph"/>
              <w:spacing w:before="111"/>
              <w:ind w:left="118" w:right="113"/>
              <w:jc w:val="center"/>
              <w:rPr>
                <w:sz w:val="21"/>
              </w:rPr>
            </w:pPr>
            <w:r>
              <w:rPr>
                <w:spacing w:val="-4"/>
                <w:sz w:val="21"/>
              </w:rPr>
              <w:t>多发性骨髓瘤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27</w:t>
            </w:r>
          </w:p>
        </w:tc>
        <w:tc>
          <w:tcPr>
            <w:tcW w:w="1134" w:type="dxa"/>
          </w:tcPr>
          <w:p>
            <w:pPr>
              <w:pStyle w:val="TableParagraph"/>
              <w:spacing w:before="111"/>
              <w:ind w:left="233" w:right="230"/>
              <w:jc w:val="center"/>
              <w:rPr>
                <w:sz w:val="21"/>
              </w:rPr>
            </w:pPr>
            <w:r>
              <w:rPr>
                <w:spacing w:val="-5"/>
                <w:sz w:val="21"/>
              </w:rPr>
              <w:t>立生</w:t>
            </w:r>
          </w:p>
        </w:tc>
        <w:tc>
          <w:tcPr>
            <w:tcW w:w="3198" w:type="dxa"/>
          </w:tcPr>
          <w:p>
            <w:pPr>
              <w:pStyle w:val="TableParagraph"/>
              <w:spacing w:before="111"/>
              <w:ind w:left="230" w:right="224"/>
              <w:jc w:val="center"/>
              <w:rPr>
                <w:sz w:val="21"/>
              </w:rPr>
            </w:pPr>
            <w:r>
              <w:rPr>
                <w:spacing w:val="-4"/>
                <w:sz w:val="21"/>
              </w:rPr>
              <w:t>来那度胺胶囊</w:t>
            </w:r>
          </w:p>
        </w:tc>
        <w:tc>
          <w:tcPr>
            <w:tcW w:w="3529" w:type="dxa"/>
          </w:tcPr>
          <w:p>
            <w:pPr>
              <w:pStyle w:val="TableParagraph"/>
              <w:spacing w:before="111"/>
              <w:ind w:left="118" w:right="113"/>
              <w:jc w:val="center"/>
              <w:rPr>
                <w:sz w:val="21"/>
              </w:rPr>
            </w:pPr>
            <w:r>
              <w:rPr>
                <w:spacing w:val="-4"/>
                <w:sz w:val="21"/>
              </w:rPr>
              <w:t>多发性骨髓瘤</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28</w:t>
            </w:r>
          </w:p>
        </w:tc>
        <w:tc>
          <w:tcPr>
            <w:tcW w:w="1134" w:type="dxa"/>
          </w:tcPr>
          <w:p>
            <w:pPr>
              <w:pStyle w:val="TableParagraph"/>
              <w:spacing w:before="109"/>
              <w:ind w:left="233" w:right="230"/>
              <w:jc w:val="center"/>
              <w:rPr>
                <w:sz w:val="21"/>
              </w:rPr>
            </w:pPr>
            <w:r>
              <w:rPr>
                <w:spacing w:val="-4"/>
                <w:sz w:val="21"/>
              </w:rPr>
              <w:t>多吉美</w:t>
            </w:r>
          </w:p>
        </w:tc>
        <w:tc>
          <w:tcPr>
            <w:tcW w:w="3198" w:type="dxa"/>
          </w:tcPr>
          <w:p>
            <w:pPr>
              <w:pStyle w:val="TableParagraph"/>
              <w:spacing w:before="109"/>
              <w:ind w:left="233" w:right="224"/>
              <w:jc w:val="center"/>
              <w:rPr>
                <w:sz w:val="21"/>
              </w:rPr>
            </w:pPr>
            <w:r>
              <w:rPr>
                <w:spacing w:val="-3"/>
                <w:sz w:val="21"/>
              </w:rPr>
              <w:t>甲苯磺酸索拉非尼片</w:t>
            </w:r>
          </w:p>
        </w:tc>
        <w:tc>
          <w:tcPr>
            <w:tcW w:w="3529" w:type="dxa"/>
          </w:tcPr>
          <w:p>
            <w:pPr>
              <w:pStyle w:val="TableParagraph"/>
              <w:spacing w:before="109"/>
              <w:ind w:left="116" w:right="113"/>
              <w:jc w:val="center"/>
              <w:rPr>
                <w:sz w:val="21"/>
              </w:rPr>
            </w:pPr>
            <w:r>
              <w:rPr>
                <w:spacing w:val="-3"/>
                <w:sz w:val="21"/>
              </w:rPr>
              <w:t>肝细胞癌，肾细胞癌</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29</w:t>
            </w:r>
          </w:p>
        </w:tc>
        <w:tc>
          <w:tcPr>
            <w:tcW w:w="1134" w:type="dxa"/>
          </w:tcPr>
          <w:p>
            <w:pPr>
              <w:pStyle w:val="TableParagraph"/>
              <w:spacing w:before="109"/>
              <w:ind w:left="233" w:right="230"/>
              <w:jc w:val="center"/>
              <w:rPr>
                <w:sz w:val="21"/>
              </w:rPr>
            </w:pPr>
            <w:r>
              <w:rPr>
                <w:spacing w:val="-4"/>
                <w:sz w:val="21"/>
              </w:rPr>
              <w:t>爱必妥</w:t>
            </w:r>
          </w:p>
        </w:tc>
        <w:tc>
          <w:tcPr>
            <w:tcW w:w="3198" w:type="dxa"/>
          </w:tcPr>
          <w:p>
            <w:pPr>
              <w:pStyle w:val="TableParagraph"/>
              <w:spacing w:before="109"/>
              <w:ind w:left="233" w:right="224"/>
              <w:jc w:val="center"/>
              <w:rPr>
                <w:sz w:val="21"/>
              </w:rPr>
            </w:pPr>
            <w:r>
              <w:rPr>
                <w:spacing w:val="-4"/>
                <w:sz w:val="21"/>
              </w:rPr>
              <w:t>西妥昔单抗注射液</w:t>
            </w:r>
          </w:p>
        </w:tc>
        <w:tc>
          <w:tcPr>
            <w:tcW w:w="3529" w:type="dxa"/>
          </w:tcPr>
          <w:p>
            <w:pPr>
              <w:pStyle w:val="TableParagraph"/>
              <w:spacing w:before="109"/>
              <w:ind w:left="115" w:right="113"/>
              <w:jc w:val="center"/>
              <w:rPr>
                <w:sz w:val="21"/>
              </w:rPr>
            </w:pPr>
            <w:r>
              <w:rPr>
                <w:spacing w:val="-4"/>
                <w:sz w:val="21"/>
              </w:rPr>
              <w:t>结直肠癌</w:t>
            </w:r>
          </w:p>
        </w:tc>
      </w:tr>
      <w:tr>
        <w:trPr>
          <w:trHeight w:val="400" w:hRule="atLeast"/>
        </w:trPr>
        <w:tc>
          <w:tcPr>
            <w:tcW w:w="773" w:type="dxa"/>
          </w:tcPr>
          <w:p>
            <w:pPr>
              <w:pStyle w:val="TableParagraph"/>
              <w:spacing w:before="123"/>
              <w:ind w:left="160" w:right="151"/>
              <w:jc w:val="center"/>
              <w:rPr>
                <w:rFonts w:ascii="Times New Roman"/>
                <w:sz w:val="21"/>
              </w:rPr>
            </w:pPr>
            <w:r>
              <w:rPr>
                <w:rFonts w:ascii="Times New Roman"/>
                <w:spacing w:val="-5"/>
                <w:sz w:val="21"/>
              </w:rPr>
              <w:t>30</w:t>
            </w:r>
          </w:p>
        </w:tc>
        <w:tc>
          <w:tcPr>
            <w:tcW w:w="1134" w:type="dxa"/>
          </w:tcPr>
          <w:p>
            <w:pPr>
              <w:pStyle w:val="TableParagraph"/>
              <w:spacing w:before="109"/>
              <w:ind w:left="233" w:right="230"/>
              <w:jc w:val="center"/>
              <w:rPr>
                <w:sz w:val="21"/>
              </w:rPr>
            </w:pPr>
            <w:r>
              <w:rPr>
                <w:spacing w:val="-4"/>
                <w:sz w:val="21"/>
              </w:rPr>
              <w:t>维全特</w:t>
            </w:r>
          </w:p>
        </w:tc>
        <w:tc>
          <w:tcPr>
            <w:tcW w:w="3198" w:type="dxa"/>
          </w:tcPr>
          <w:p>
            <w:pPr>
              <w:pStyle w:val="TableParagraph"/>
              <w:spacing w:before="109"/>
              <w:ind w:left="233" w:right="224"/>
              <w:jc w:val="center"/>
              <w:rPr>
                <w:sz w:val="21"/>
              </w:rPr>
            </w:pPr>
            <w:r>
              <w:rPr>
                <w:spacing w:val="-4"/>
                <w:sz w:val="21"/>
              </w:rPr>
              <w:t>培唑帕尼片</w:t>
            </w:r>
          </w:p>
        </w:tc>
        <w:tc>
          <w:tcPr>
            <w:tcW w:w="3529" w:type="dxa"/>
          </w:tcPr>
          <w:p>
            <w:pPr>
              <w:pStyle w:val="TableParagraph"/>
              <w:spacing w:before="109"/>
              <w:ind w:left="115" w:right="113"/>
              <w:jc w:val="center"/>
              <w:rPr>
                <w:sz w:val="21"/>
              </w:rPr>
            </w:pPr>
            <w:r>
              <w:rPr>
                <w:spacing w:val="-4"/>
                <w:sz w:val="21"/>
              </w:rPr>
              <w:t>肾细胞癌</w:t>
            </w:r>
          </w:p>
        </w:tc>
      </w:tr>
    </w:tbl>
    <w:p>
      <w:pPr>
        <w:spacing w:after="0"/>
        <w:jc w:val="center"/>
        <w:rPr>
          <w:sz w:val="21"/>
        </w:rPr>
        <w:sectPr>
          <w:pgSz w:w="11910" w:h="16840"/>
          <w:pgMar w:header="0" w:footer="879" w:top="1060" w:bottom="1340" w:left="1480" w:right="720"/>
        </w:sectPr>
      </w:pPr>
    </w:p>
    <w:tbl>
      <w:tblPr>
        <w:tblW w:w="0" w:type="auto"/>
        <w:jc w:val="left"/>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73"/>
        <w:gridCol w:w="1134"/>
        <w:gridCol w:w="3198"/>
        <w:gridCol w:w="3529"/>
      </w:tblGrid>
      <w:tr>
        <w:trPr>
          <w:trHeight w:val="400" w:hRule="atLeast"/>
        </w:trPr>
        <w:tc>
          <w:tcPr>
            <w:tcW w:w="773" w:type="dxa"/>
          </w:tcPr>
          <w:p>
            <w:pPr>
              <w:pStyle w:val="TableParagraph"/>
              <w:spacing w:before="106"/>
              <w:ind w:left="160" w:right="151"/>
              <w:jc w:val="center"/>
              <w:rPr>
                <w:b/>
                <w:sz w:val="21"/>
              </w:rPr>
            </w:pPr>
            <w:r>
              <w:rPr>
                <w:b/>
                <w:spacing w:val="-5"/>
                <w:sz w:val="21"/>
              </w:rPr>
              <w:t>序号</w:t>
            </w:r>
          </w:p>
        </w:tc>
        <w:tc>
          <w:tcPr>
            <w:tcW w:w="1134" w:type="dxa"/>
          </w:tcPr>
          <w:p>
            <w:pPr>
              <w:pStyle w:val="TableParagraph"/>
              <w:spacing w:before="106"/>
              <w:ind w:left="233" w:right="230"/>
              <w:jc w:val="center"/>
              <w:rPr>
                <w:b/>
                <w:sz w:val="21"/>
              </w:rPr>
            </w:pPr>
            <w:r>
              <w:rPr>
                <w:b/>
                <w:spacing w:val="-4"/>
                <w:sz w:val="21"/>
              </w:rPr>
              <w:t>商品名</w:t>
            </w:r>
          </w:p>
        </w:tc>
        <w:tc>
          <w:tcPr>
            <w:tcW w:w="3198" w:type="dxa"/>
          </w:tcPr>
          <w:p>
            <w:pPr>
              <w:pStyle w:val="TableParagraph"/>
              <w:spacing w:before="106"/>
              <w:ind w:left="230" w:right="224"/>
              <w:jc w:val="center"/>
              <w:rPr>
                <w:b/>
                <w:sz w:val="21"/>
              </w:rPr>
            </w:pPr>
            <w:r>
              <w:rPr>
                <w:b/>
                <w:spacing w:val="-4"/>
                <w:sz w:val="21"/>
              </w:rPr>
              <w:t>通用名</w:t>
            </w:r>
          </w:p>
        </w:tc>
        <w:tc>
          <w:tcPr>
            <w:tcW w:w="3529" w:type="dxa"/>
          </w:tcPr>
          <w:p>
            <w:pPr>
              <w:pStyle w:val="TableParagraph"/>
              <w:spacing w:before="106"/>
              <w:ind w:left="113" w:right="113"/>
              <w:jc w:val="center"/>
              <w:rPr>
                <w:b/>
                <w:sz w:val="21"/>
              </w:rPr>
            </w:pPr>
            <w:r>
              <w:rPr>
                <w:b/>
                <w:spacing w:val="-4"/>
                <w:sz w:val="21"/>
              </w:rPr>
              <w:t>适应症</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31</w:t>
            </w:r>
          </w:p>
        </w:tc>
        <w:tc>
          <w:tcPr>
            <w:tcW w:w="1134" w:type="dxa"/>
          </w:tcPr>
          <w:p>
            <w:pPr>
              <w:pStyle w:val="TableParagraph"/>
              <w:spacing w:before="106"/>
              <w:ind w:left="233" w:right="230"/>
              <w:jc w:val="center"/>
              <w:rPr>
                <w:sz w:val="21"/>
              </w:rPr>
            </w:pPr>
            <w:r>
              <w:rPr>
                <w:spacing w:val="-4"/>
                <w:sz w:val="21"/>
              </w:rPr>
              <w:t>赞可达</w:t>
            </w:r>
          </w:p>
        </w:tc>
        <w:tc>
          <w:tcPr>
            <w:tcW w:w="3198" w:type="dxa"/>
          </w:tcPr>
          <w:p>
            <w:pPr>
              <w:pStyle w:val="TableParagraph"/>
              <w:spacing w:before="106"/>
              <w:ind w:left="230" w:right="224"/>
              <w:jc w:val="center"/>
              <w:rPr>
                <w:sz w:val="21"/>
              </w:rPr>
            </w:pPr>
            <w:r>
              <w:rPr>
                <w:spacing w:val="-4"/>
                <w:sz w:val="21"/>
              </w:rPr>
              <w:t>塞瑞替尼胶囊</w:t>
            </w:r>
          </w:p>
        </w:tc>
        <w:tc>
          <w:tcPr>
            <w:tcW w:w="3529" w:type="dxa"/>
          </w:tcPr>
          <w:p>
            <w:pPr>
              <w:pStyle w:val="TableParagraph"/>
              <w:spacing w:before="106"/>
              <w:ind w:left="118" w:right="113"/>
              <w:jc w:val="center"/>
              <w:rPr>
                <w:sz w:val="21"/>
              </w:rPr>
            </w:pPr>
            <w:r>
              <w:rPr>
                <w:spacing w:val="-4"/>
                <w:sz w:val="21"/>
              </w:rPr>
              <w:t>非小细胞肺癌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32</w:t>
            </w:r>
          </w:p>
        </w:tc>
        <w:tc>
          <w:tcPr>
            <w:tcW w:w="1134" w:type="dxa"/>
          </w:tcPr>
          <w:p>
            <w:pPr>
              <w:pStyle w:val="TableParagraph"/>
              <w:spacing w:before="106"/>
              <w:ind w:left="233" w:right="230"/>
              <w:jc w:val="center"/>
              <w:rPr>
                <w:sz w:val="21"/>
              </w:rPr>
            </w:pPr>
            <w:r>
              <w:rPr>
                <w:spacing w:val="-5"/>
                <w:sz w:val="21"/>
              </w:rPr>
              <w:t>泽珂</w:t>
            </w:r>
          </w:p>
        </w:tc>
        <w:tc>
          <w:tcPr>
            <w:tcW w:w="3198" w:type="dxa"/>
          </w:tcPr>
          <w:p>
            <w:pPr>
              <w:pStyle w:val="TableParagraph"/>
              <w:spacing w:before="106"/>
              <w:ind w:left="230" w:right="224"/>
              <w:jc w:val="center"/>
              <w:rPr>
                <w:sz w:val="21"/>
              </w:rPr>
            </w:pPr>
            <w:r>
              <w:rPr>
                <w:spacing w:val="-4"/>
                <w:sz w:val="21"/>
              </w:rPr>
              <w:t>醋酸阿比特龙片</w:t>
            </w:r>
          </w:p>
        </w:tc>
        <w:tc>
          <w:tcPr>
            <w:tcW w:w="3529" w:type="dxa"/>
          </w:tcPr>
          <w:p>
            <w:pPr>
              <w:pStyle w:val="TableParagraph"/>
              <w:spacing w:before="106"/>
              <w:ind w:left="115" w:right="113"/>
              <w:jc w:val="center"/>
              <w:rPr>
                <w:sz w:val="21"/>
              </w:rPr>
            </w:pPr>
            <w:r>
              <w:rPr>
                <w:spacing w:val="-4"/>
                <w:sz w:val="21"/>
              </w:rPr>
              <w:t>前列腺癌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33</w:t>
            </w:r>
          </w:p>
        </w:tc>
        <w:tc>
          <w:tcPr>
            <w:tcW w:w="1134" w:type="dxa"/>
          </w:tcPr>
          <w:p>
            <w:pPr>
              <w:pStyle w:val="TableParagraph"/>
              <w:spacing w:before="103"/>
              <w:ind w:left="233" w:right="230"/>
              <w:jc w:val="center"/>
              <w:rPr>
                <w:sz w:val="21"/>
              </w:rPr>
            </w:pPr>
            <w:r>
              <w:rPr>
                <w:spacing w:val="-4"/>
                <w:sz w:val="21"/>
              </w:rPr>
              <w:t>拜万戈</w:t>
            </w:r>
          </w:p>
        </w:tc>
        <w:tc>
          <w:tcPr>
            <w:tcW w:w="3198" w:type="dxa"/>
          </w:tcPr>
          <w:p>
            <w:pPr>
              <w:pStyle w:val="TableParagraph"/>
              <w:spacing w:before="103"/>
              <w:ind w:left="233" w:right="224"/>
              <w:jc w:val="center"/>
              <w:rPr>
                <w:sz w:val="21"/>
              </w:rPr>
            </w:pPr>
            <w:r>
              <w:rPr>
                <w:spacing w:val="-4"/>
                <w:sz w:val="21"/>
              </w:rPr>
              <w:t>瑞戈非尼片</w:t>
            </w:r>
          </w:p>
        </w:tc>
        <w:tc>
          <w:tcPr>
            <w:tcW w:w="3529" w:type="dxa"/>
          </w:tcPr>
          <w:p>
            <w:pPr>
              <w:pStyle w:val="TableParagraph"/>
              <w:spacing w:before="103"/>
              <w:ind w:left="118" w:right="113"/>
              <w:jc w:val="center"/>
              <w:rPr>
                <w:sz w:val="21"/>
              </w:rPr>
            </w:pPr>
            <w:r>
              <w:rPr>
                <w:spacing w:val="-7"/>
                <w:sz w:val="21"/>
              </w:rPr>
              <w:t>结直肠癌、胃肠道间质瘤、肝细胞癌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34</w:t>
            </w:r>
          </w:p>
        </w:tc>
        <w:tc>
          <w:tcPr>
            <w:tcW w:w="1134" w:type="dxa"/>
          </w:tcPr>
          <w:p>
            <w:pPr>
              <w:pStyle w:val="TableParagraph"/>
              <w:spacing w:before="103"/>
              <w:ind w:left="233" w:right="230"/>
              <w:jc w:val="center"/>
              <w:rPr>
                <w:sz w:val="21"/>
              </w:rPr>
            </w:pPr>
            <w:r>
              <w:rPr>
                <w:spacing w:val="-4"/>
                <w:sz w:val="21"/>
              </w:rPr>
              <w:t>赛可瑞</w:t>
            </w:r>
          </w:p>
        </w:tc>
        <w:tc>
          <w:tcPr>
            <w:tcW w:w="3198" w:type="dxa"/>
          </w:tcPr>
          <w:p>
            <w:pPr>
              <w:pStyle w:val="TableParagraph"/>
              <w:spacing w:before="103"/>
              <w:ind w:left="230" w:right="224"/>
              <w:jc w:val="center"/>
              <w:rPr>
                <w:sz w:val="21"/>
              </w:rPr>
            </w:pPr>
            <w:r>
              <w:rPr>
                <w:spacing w:val="-4"/>
                <w:sz w:val="21"/>
              </w:rPr>
              <w:t>克唑替尼胶囊</w:t>
            </w:r>
          </w:p>
        </w:tc>
        <w:tc>
          <w:tcPr>
            <w:tcW w:w="3529" w:type="dxa"/>
          </w:tcPr>
          <w:p>
            <w:pPr>
              <w:pStyle w:val="TableParagraph"/>
              <w:spacing w:before="103"/>
              <w:ind w:left="118" w:right="113"/>
              <w:jc w:val="center"/>
              <w:rPr>
                <w:sz w:val="21"/>
              </w:rPr>
            </w:pPr>
            <w:r>
              <w:rPr>
                <w:spacing w:val="-4"/>
                <w:sz w:val="21"/>
              </w:rPr>
              <w:t>非小细胞肺癌</w:t>
            </w:r>
          </w:p>
        </w:tc>
      </w:tr>
      <w:tr>
        <w:trPr>
          <w:trHeight w:val="397" w:hRule="atLeast"/>
        </w:trPr>
        <w:tc>
          <w:tcPr>
            <w:tcW w:w="773" w:type="dxa"/>
          </w:tcPr>
          <w:p>
            <w:pPr>
              <w:pStyle w:val="TableParagraph"/>
              <w:spacing w:before="117"/>
              <w:ind w:left="160" w:right="151"/>
              <w:jc w:val="center"/>
              <w:rPr>
                <w:rFonts w:ascii="Times New Roman"/>
                <w:sz w:val="21"/>
              </w:rPr>
            </w:pPr>
            <w:r>
              <w:rPr>
                <w:rFonts w:ascii="Times New Roman"/>
                <w:spacing w:val="-5"/>
                <w:sz w:val="21"/>
              </w:rPr>
              <w:t>35</w:t>
            </w:r>
          </w:p>
        </w:tc>
        <w:tc>
          <w:tcPr>
            <w:tcW w:w="1134" w:type="dxa"/>
          </w:tcPr>
          <w:p>
            <w:pPr>
              <w:pStyle w:val="TableParagraph"/>
              <w:spacing w:before="103"/>
              <w:ind w:left="233" w:right="230"/>
              <w:jc w:val="center"/>
              <w:rPr>
                <w:sz w:val="21"/>
              </w:rPr>
            </w:pPr>
            <w:r>
              <w:rPr>
                <w:spacing w:val="-4"/>
                <w:sz w:val="21"/>
              </w:rPr>
              <w:t>泰瑞沙</w:t>
            </w:r>
          </w:p>
        </w:tc>
        <w:tc>
          <w:tcPr>
            <w:tcW w:w="3198" w:type="dxa"/>
          </w:tcPr>
          <w:p>
            <w:pPr>
              <w:pStyle w:val="TableParagraph"/>
              <w:spacing w:before="103"/>
              <w:ind w:left="233" w:right="224"/>
              <w:jc w:val="center"/>
              <w:rPr>
                <w:sz w:val="21"/>
              </w:rPr>
            </w:pPr>
            <w:r>
              <w:rPr>
                <w:spacing w:val="-4"/>
                <w:sz w:val="21"/>
              </w:rPr>
              <w:t>甲磺酸奥希替尼片</w:t>
            </w:r>
          </w:p>
        </w:tc>
        <w:tc>
          <w:tcPr>
            <w:tcW w:w="3529" w:type="dxa"/>
          </w:tcPr>
          <w:p>
            <w:pPr>
              <w:pStyle w:val="TableParagraph"/>
              <w:spacing w:before="103"/>
              <w:ind w:left="118" w:right="113"/>
              <w:jc w:val="center"/>
              <w:rPr>
                <w:sz w:val="21"/>
              </w:rPr>
            </w:pPr>
            <w:r>
              <w:rPr>
                <w:spacing w:val="-4"/>
                <w:sz w:val="21"/>
              </w:rPr>
              <w:t>非小细胞肺癌</w:t>
            </w:r>
          </w:p>
        </w:tc>
      </w:tr>
      <w:tr>
        <w:trPr>
          <w:trHeight w:val="400" w:hRule="atLeast"/>
        </w:trPr>
        <w:tc>
          <w:tcPr>
            <w:tcW w:w="773" w:type="dxa"/>
          </w:tcPr>
          <w:p>
            <w:pPr>
              <w:pStyle w:val="TableParagraph"/>
              <w:spacing w:before="119"/>
              <w:ind w:left="160" w:right="151"/>
              <w:jc w:val="center"/>
              <w:rPr>
                <w:rFonts w:ascii="Times New Roman"/>
                <w:sz w:val="21"/>
              </w:rPr>
            </w:pPr>
            <w:r>
              <w:rPr>
                <w:rFonts w:ascii="Times New Roman"/>
                <w:spacing w:val="-5"/>
                <w:sz w:val="21"/>
              </w:rPr>
              <w:t>36</w:t>
            </w:r>
          </w:p>
        </w:tc>
        <w:tc>
          <w:tcPr>
            <w:tcW w:w="1134" w:type="dxa"/>
          </w:tcPr>
          <w:p>
            <w:pPr>
              <w:pStyle w:val="TableParagraph"/>
              <w:spacing w:before="105"/>
              <w:ind w:left="233" w:right="230"/>
              <w:jc w:val="center"/>
              <w:rPr>
                <w:sz w:val="21"/>
              </w:rPr>
            </w:pPr>
            <w:r>
              <w:rPr>
                <w:spacing w:val="-4"/>
                <w:sz w:val="21"/>
              </w:rPr>
              <w:t>恩莱瑞</w:t>
            </w:r>
          </w:p>
        </w:tc>
        <w:tc>
          <w:tcPr>
            <w:tcW w:w="3198" w:type="dxa"/>
          </w:tcPr>
          <w:p>
            <w:pPr>
              <w:pStyle w:val="TableParagraph"/>
              <w:spacing w:before="105"/>
              <w:ind w:left="233" w:right="224"/>
              <w:jc w:val="center"/>
              <w:rPr>
                <w:sz w:val="21"/>
              </w:rPr>
            </w:pPr>
            <w:r>
              <w:rPr>
                <w:spacing w:val="-3"/>
                <w:sz w:val="21"/>
              </w:rPr>
              <w:t>枸橼酸伊沙佐米胶囊</w:t>
            </w:r>
          </w:p>
        </w:tc>
        <w:tc>
          <w:tcPr>
            <w:tcW w:w="3529" w:type="dxa"/>
          </w:tcPr>
          <w:p>
            <w:pPr>
              <w:pStyle w:val="TableParagraph"/>
              <w:spacing w:before="105"/>
              <w:ind w:left="118" w:right="113"/>
              <w:jc w:val="center"/>
              <w:rPr>
                <w:sz w:val="21"/>
              </w:rPr>
            </w:pPr>
            <w:r>
              <w:rPr>
                <w:spacing w:val="-4"/>
                <w:sz w:val="21"/>
              </w:rPr>
              <w:t>多发性骨髓瘤</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37</w:t>
            </w:r>
          </w:p>
        </w:tc>
        <w:tc>
          <w:tcPr>
            <w:tcW w:w="1134" w:type="dxa"/>
          </w:tcPr>
          <w:p>
            <w:pPr>
              <w:pStyle w:val="TableParagraph"/>
              <w:spacing w:before="106"/>
              <w:ind w:left="233" w:right="230"/>
              <w:jc w:val="center"/>
              <w:rPr>
                <w:sz w:val="21"/>
              </w:rPr>
            </w:pPr>
            <w:r>
              <w:rPr>
                <w:spacing w:val="-4"/>
                <w:sz w:val="21"/>
              </w:rPr>
              <w:t>泰欣生</w:t>
            </w:r>
          </w:p>
        </w:tc>
        <w:tc>
          <w:tcPr>
            <w:tcW w:w="3198" w:type="dxa"/>
          </w:tcPr>
          <w:p>
            <w:pPr>
              <w:pStyle w:val="TableParagraph"/>
              <w:spacing w:before="106"/>
              <w:ind w:left="233" w:right="224"/>
              <w:jc w:val="center"/>
              <w:rPr>
                <w:sz w:val="21"/>
              </w:rPr>
            </w:pPr>
            <w:r>
              <w:rPr>
                <w:spacing w:val="-4"/>
                <w:sz w:val="21"/>
              </w:rPr>
              <w:t>尼妥珠单抗注射液</w:t>
            </w:r>
          </w:p>
        </w:tc>
        <w:tc>
          <w:tcPr>
            <w:tcW w:w="3529" w:type="dxa"/>
          </w:tcPr>
          <w:p>
            <w:pPr>
              <w:pStyle w:val="TableParagraph"/>
              <w:spacing w:before="106"/>
              <w:ind w:left="118" w:right="113"/>
              <w:jc w:val="center"/>
              <w:rPr>
                <w:sz w:val="21"/>
              </w:rPr>
            </w:pPr>
            <w:r>
              <w:rPr>
                <w:spacing w:val="-4"/>
                <w:sz w:val="21"/>
              </w:rPr>
              <w:t>鼻咽癌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38</w:t>
            </w:r>
          </w:p>
        </w:tc>
        <w:tc>
          <w:tcPr>
            <w:tcW w:w="1134" w:type="dxa"/>
          </w:tcPr>
          <w:p>
            <w:pPr>
              <w:pStyle w:val="TableParagraph"/>
              <w:spacing w:before="106"/>
              <w:ind w:left="233" w:right="230"/>
              <w:jc w:val="center"/>
              <w:rPr>
                <w:sz w:val="21"/>
              </w:rPr>
            </w:pPr>
            <w:r>
              <w:rPr>
                <w:spacing w:val="-5"/>
                <w:sz w:val="21"/>
              </w:rPr>
              <w:t>恩度</w:t>
            </w:r>
          </w:p>
        </w:tc>
        <w:tc>
          <w:tcPr>
            <w:tcW w:w="3198" w:type="dxa"/>
          </w:tcPr>
          <w:p>
            <w:pPr>
              <w:pStyle w:val="TableParagraph"/>
              <w:spacing w:before="106"/>
              <w:ind w:left="233" w:right="224"/>
              <w:jc w:val="center"/>
              <w:rPr>
                <w:sz w:val="21"/>
              </w:rPr>
            </w:pPr>
            <w:r>
              <w:rPr>
                <w:spacing w:val="-3"/>
                <w:sz w:val="21"/>
              </w:rPr>
              <w:t>重组人血管内皮抑制素注射液</w:t>
            </w:r>
          </w:p>
        </w:tc>
        <w:tc>
          <w:tcPr>
            <w:tcW w:w="3529" w:type="dxa"/>
          </w:tcPr>
          <w:p>
            <w:pPr>
              <w:pStyle w:val="TableParagraph"/>
              <w:spacing w:before="106"/>
              <w:ind w:left="118" w:right="113"/>
              <w:jc w:val="center"/>
              <w:rPr>
                <w:sz w:val="21"/>
              </w:rPr>
            </w:pPr>
            <w:r>
              <w:rPr>
                <w:spacing w:val="-4"/>
                <w:sz w:val="21"/>
              </w:rPr>
              <w:t>非小细胞肺癌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39</w:t>
            </w:r>
          </w:p>
        </w:tc>
        <w:tc>
          <w:tcPr>
            <w:tcW w:w="1134" w:type="dxa"/>
          </w:tcPr>
          <w:p>
            <w:pPr>
              <w:pStyle w:val="TableParagraph"/>
              <w:spacing w:before="103"/>
              <w:ind w:left="233" w:right="230"/>
              <w:jc w:val="center"/>
              <w:rPr>
                <w:sz w:val="21"/>
              </w:rPr>
            </w:pPr>
            <w:r>
              <w:rPr>
                <w:spacing w:val="-4"/>
                <w:sz w:val="21"/>
              </w:rPr>
              <w:t>英立达</w:t>
            </w:r>
          </w:p>
        </w:tc>
        <w:tc>
          <w:tcPr>
            <w:tcW w:w="3198" w:type="dxa"/>
          </w:tcPr>
          <w:p>
            <w:pPr>
              <w:pStyle w:val="TableParagraph"/>
              <w:spacing w:before="103"/>
              <w:ind w:left="233" w:right="224"/>
              <w:jc w:val="center"/>
              <w:rPr>
                <w:sz w:val="21"/>
              </w:rPr>
            </w:pPr>
            <w:r>
              <w:rPr>
                <w:spacing w:val="-4"/>
                <w:sz w:val="21"/>
              </w:rPr>
              <w:t>阿昔替尼片</w:t>
            </w:r>
          </w:p>
        </w:tc>
        <w:tc>
          <w:tcPr>
            <w:tcW w:w="3529" w:type="dxa"/>
          </w:tcPr>
          <w:p>
            <w:pPr>
              <w:pStyle w:val="TableParagraph"/>
              <w:spacing w:before="103"/>
              <w:ind w:left="115" w:right="113"/>
              <w:jc w:val="center"/>
              <w:rPr>
                <w:sz w:val="21"/>
              </w:rPr>
            </w:pPr>
            <w:r>
              <w:rPr>
                <w:spacing w:val="-4"/>
                <w:sz w:val="21"/>
              </w:rPr>
              <w:t>肾细胞癌</w:t>
            </w:r>
          </w:p>
        </w:tc>
      </w:tr>
      <w:tr>
        <w:trPr>
          <w:trHeight w:val="720" w:hRule="atLeast"/>
        </w:trPr>
        <w:tc>
          <w:tcPr>
            <w:tcW w:w="773" w:type="dxa"/>
          </w:tcPr>
          <w:p>
            <w:pPr>
              <w:pStyle w:val="TableParagraph"/>
              <w:spacing w:before="9"/>
              <w:rPr>
                <w:sz w:val="21"/>
              </w:rPr>
            </w:pPr>
          </w:p>
          <w:p>
            <w:pPr>
              <w:pStyle w:val="TableParagraph"/>
              <w:ind w:left="160" w:right="151"/>
              <w:jc w:val="center"/>
              <w:rPr>
                <w:rFonts w:ascii="Times New Roman"/>
                <w:sz w:val="21"/>
              </w:rPr>
            </w:pPr>
            <w:r>
              <w:rPr>
                <w:rFonts w:ascii="Times New Roman"/>
                <w:spacing w:val="-5"/>
                <w:sz w:val="21"/>
              </w:rPr>
              <w:t>40</w:t>
            </w:r>
          </w:p>
        </w:tc>
        <w:tc>
          <w:tcPr>
            <w:tcW w:w="1134" w:type="dxa"/>
          </w:tcPr>
          <w:p>
            <w:pPr>
              <w:pStyle w:val="TableParagraph"/>
              <w:spacing w:before="8"/>
              <w:rPr>
                <w:sz w:val="20"/>
              </w:rPr>
            </w:pPr>
          </w:p>
          <w:p>
            <w:pPr>
              <w:pStyle w:val="TableParagraph"/>
              <w:ind w:left="233" w:right="230"/>
              <w:jc w:val="center"/>
              <w:rPr>
                <w:sz w:val="21"/>
              </w:rPr>
            </w:pPr>
            <w:r>
              <w:rPr>
                <w:spacing w:val="-5"/>
                <w:sz w:val="21"/>
              </w:rPr>
              <w:t>索坦</w:t>
            </w:r>
          </w:p>
        </w:tc>
        <w:tc>
          <w:tcPr>
            <w:tcW w:w="3198" w:type="dxa"/>
          </w:tcPr>
          <w:p>
            <w:pPr>
              <w:pStyle w:val="TableParagraph"/>
              <w:spacing w:before="8"/>
              <w:rPr>
                <w:sz w:val="20"/>
              </w:rPr>
            </w:pPr>
          </w:p>
          <w:p>
            <w:pPr>
              <w:pStyle w:val="TableParagraph"/>
              <w:ind w:left="233" w:right="224"/>
              <w:jc w:val="center"/>
              <w:rPr>
                <w:sz w:val="21"/>
              </w:rPr>
            </w:pPr>
            <w:r>
              <w:rPr>
                <w:spacing w:val="-3"/>
                <w:sz w:val="21"/>
              </w:rPr>
              <w:t>苹果酸舒尼替尼胶囊</w:t>
            </w:r>
          </w:p>
        </w:tc>
        <w:tc>
          <w:tcPr>
            <w:tcW w:w="3529" w:type="dxa"/>
          </w:tcPr>
          <w:p>
            <w:pPr>
              <w:pStyle w:val="TableParagraph"/>
              <w:spacing w:line="360" w:lineRule="exact"/>
              <w:ind w:left="1445" w:right="96" w:hanging="1340"/>
              <w:rPr>
                <w:sz w:val="21"/>
              </w:rPr>
            </w:pPr>
            <w:r>
              <w:rPr>
                <w:spacing w:val="-4"/>
                <w:sz w:val="21"/>
              </w:rPr>
              <w:t>肾细胞癌、胃肠间质瘤、胰腺神经内</w:t>
            </w:r>
            <w:r>
              <w:rPr>
                <w:spacing w:val="-4"/>
                <w:sz w:val="21"/>
              </w:rPr>
              <w:t>分泌瘤</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41</w:t>
            </w:r>
          </w:p>
        </w:tc>
        <w:tc>
          <w:tcPr>
            <w:tcW w:w="1134" w:type="dxa"/>
          </w:tcPr>
          <w:p>
            <w:pPr>
              <w:pStyle w:val="TableParagraph"/>
              <w:spacing w:before="103"/>
              <w:ind w:left="233" w:right="230"/>
              <w:jc w:val="center"/>
              <w:rPr>
                <w:sz w:val="21"/>
              </w:rPr>
            </w:pPr>
            <w:r>
              <w:rPr>
                <w:spacing w:val="-5"/>
                <w:sz w:val="21"/>
              </w:rPr>
              <w:t>艾坦</w:t>
            </w:r>
          </w:p>
        </w:tc>
        <w:tc>
          <w:tcPr>
            <w:tcW w:w="3198" w:type="dxa"/>
          </w:tcPr>
          <w:p>
            <w:pPr>
              <w:pStyle w:val="TableParagraph"/>
              <w:spacing w:before="103"/>
              <w:ind w:left="233" w:right="224"/>
              <w:jc w:val="center"/>
              <w:rPr>
                <w:sz w:val="21"/>
              </w:rPr>
            </w:pPr>
            <w:r>
              <w:rPr>
                <w:spacing w:val="-4"/>
                <w:sz w:val="21"/>
              </w:rPr>
              <w:t>甲磺酸阿帕替尼片</w:t>
            </w:r>
          </w:p>
        </w:tc>
        <w:tc>
          <w:tcPr>
            <w:tcW w:w="3529" w:type="dxa"/>
          </w:tcPr>
          <w:p>
            <w:pPr>
              <w:pStyle w:val="TableParagraph"/>
              <w:spacing w:before="103"/>
              <w:ind w:left="113" w:right="113"/>
              <w:jc w:val="center"/>
              <w:rPr>
                <w:sz w:val="21"/>
              </w:rPr>
            </w:pPr>
            <w:r>
              <w:rPr>
                <w:spacing w:val="-2"/>
                <w:sz w:val="21"/>
              </w:rPr>
              <w:t>胃腺癌、胃</w:t>
            </w:r>
            <w:r>
              <w:rPr>
                <w:rFonts w:ascii="Times New Roman" w:eastAsia="Times New Roman"/>
                <w:spacing w:val="-2"/>
                <w:sz w:val="21"/>
              </w:rPr>
              <w:t>-</w:t>
            </w:r>
            <w:r>
              <w:rPr>
                <w:spacing w:val="-4"/>
                <w:sz w:val="21"/>
              </w:rPr>
              <w:t>食管结合部腺癌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42</w:t>
            </w:r>
          </w:p>
        </w:tc>
        <w:tc>
          <w:tcPr>
            <w:tcW w:w="1134" w:type="dxa"/>
          </w:tcPr>
          <w:p>
            <w:pPr>
              <w:pStyle w:val="TableParagraph"/>
              <w:spacing w:before="103"/>
              <w:ind w:left="233" w:right="230"/>
              <w:jc w:val="center"/>
              <w:rPr>
                <w:sz w:val="21"/>
              </w:rPr>
            </w:pPr>
            <w:r>
              <w:rPr>
                <w:spacing w:val="-4"/>
                <w:sz w:val="21"/>
              </w:rPr>
              <w:t>施达赛</w:t>
            </w:r>
          </w:p>
        </w:tc>
        <w:tc>
          <w:tcPr>
            <w:tcW w:w="3198" w:type="dxa"/>
          </w:tcPr>
          <w:p>
            <w:pPr>
              <w:pStyle w:val="TableParagraph"/>
              <w:spacing w:before="103"/>
              <w:ind w:left="233" w:right="224"/>
              <w:jc w:val="center"/>
              <w:rPr>
                <w:sz w:val="21"/>
              </w:rPr>
            </w:pPr>
            <w:r>
              <w:rPr>
                <w:spacing w:val="-4"/>
                <w:sz w:val="21"/>
              </w:rPr>
              <w:t>达沙替尼片</w:t>
            </w:r>
          </w:p>
        </w:tc>
        <w:tc>
          <w:tcPr>
            <w:tcW w:w="3529" w:type="dxa"/>
          </w:tcPr>
          <w:p>
            <w:pPr>
              <w:pStyle w:val="TableParagraph"/>
              <w:spacing w:before="103"/>
              <w:ind w:left="116" w:right="113"/>
              <w:jc w:val="center"/>
              <w:rPr>
                <w:sz w:val="21"/>
              </w:rPr>
            </w:pPr>
            <w:r>
              <w:rPr>
                <w:spacing w:val="-4"/>
                <w:sz w:val="21"/>
              </w:rPr>
              <w:t>慢性髓细胞白血病</w:t>
            </w:r>
          </w:p>
        </w:tc>
      </w:tr>
      <w:tr>
        <w:trPr>
          <w:trHeight w:val="397" w:hRule="atLeast"/>
        </w:trPr>
        <w:tc>
          <w:tcPr>
            <w:tcW w:w="773" w:type="dxa"/>
          </w:tcPr>
          <w:p>
            <w:pPr>
              <w:pStyle w:val="TableParagraph"/>
              <w:spacing w:before="117"/>
              <w:ind w:left="160" w:right="151"/>
              <w:jc w:val="center"/>
              <w:rPr>
                <w:rFonts w:ascii="Times New Roman"/>
                <w:sz w:val="21"/>
              </w:rPr>
            </w:pPr>
            <w:r>
              <w:rPr>
                <w:rFonts w:ascii="Times New Roman"/>
                <w:spacing w:val="-5"/>
                <w:sz w:val="21"/>
              </w:rPr>
              <w:t>43</w:t>
            </w:r>
          </w:p>
        </w:tc>
        <w:tc>
          <w:tcPr>
            <w:tcW w:w="1134" w:type="dxa"/>
          </w:tcPr>
          <w:p>
            <w:pPr>
              <w:pStyle w:val="TableParagraph"/>
              <w:spacing w:before="103"/>
              <w:ind w:left="233" w:right="230"/>
              <w:jc w:val="center"/>
              <w:rPr>
                <w:sz w:val="21"/>
              </w:rPr>
            </w:pPr>
            <w:r>
              <w:rPr>
                <w:spacing w:val="-4"/>
                <w:sz w:val="21"/>
              </w:rPr>
              <w:t>依尼舒</w:t>
            </w:r>
          </w:p>
        </w:tc>
        <w:tc>
          <w:tcPr>
            <w:tcW w:w="3198" w:type="dxa"/>
          </w:tcPr>
          <w:p>
            <w:pPr>
              <w:pStyle w:val="TableParagraph"/>
              <w:spacing w:before="103"/>
              <w:ind w:left="233" w:right="224"/>
              <w:jc w:val="center"/>
              <w:rPr>
                <w:sz w:val="21"/>
              </w:rPr>
            </w:pPr>
            <w:r>
              <w:rPr>
                <w:spacing w:val="-4"/>
                <w:sz w:val="21"/>
              </w:rPr>
              <w:t>达沙替尼片</w:t>
            </w:r>
          </w:p>
        </w:tc>
        <w:tc>
          <w:tcPr>
            <w:tcW w:w="3529" w:type="dxa"/>
          </w:tcPr>
          <w:p>
            <w:pPr>
              <w:pStyle w:val="TableParagraph"/>
              <w:spacing w:before="103"/>
              <w:ind w:left="116" w:right="113"/>
              <w:jc w:val="center"/>
              <w:rPr>
                <w:sz w:val="21"/>
              </w:rPr>
            </w:pPr>
            <w:r>
              <w:rPr>
                <w:spacing w:val="-4"/>
                <w:sz w:val="21"/>
              </w:rPr>
              <w:t>慢性髓细胞白血病</w:t>
            </w:r>
          </w:p>
        </w:tc>
      </w:tr>
      <w:tr>
        <w:trPr>
          <w:trHeight w:val="400" w:hRule="atLeast"/>
        </w:trPr>
        <w:tc>
          <w:tcPr>
            <w:tcW w:w="773" w:type="dxa"/>
          </w:tcPr>
          <w:p>
            <w:pPr>
              <w:pStyle w:val="TableParagraph"/>
              <w:spacing w:before="119"/>
              <w:ind w:left="160" w:right="151"/>
              <w:jc w:val="center"/>
              <w:rPr>
                <w:rFonts w:ascii="Times New Roman"/>
                <w:sz w:val="21"/>
              </w:rPr>
            </w:pPr>
            <w:r>
              <w:rPr>
                <w:rFonts w:ascii="Times New Roman"/>
                <w:spacing w:val="-5"/>
                <w:sz w:val="21"/>
              </w:rPr>
              <w:t>44</w:t>
            </w:r>
          </w:p>
        </w:tc>
        <w:tc>
          <w:tcPr>
            <w:tcW w:w="1134" w:type="dxa"/>
          </w:tcPr>
          <w:p>
            <w:pPr>
              <w:pStyle w:val="TableParagraph"/>
              <w:spacing w:before="105"/>
              <w:ind w:left="233" w:right="230"/>
              <w:jc w:val="center"/>
              <w:rPr>
                <w:sz w:val="21"/>
              </w:rPr>
            </w:pPr>
            <w:r>
              <w:rPr>
                <w:spacing w:val="-4"/>
                <w:sz w:val="21"/>
              </w:rPr>
              <w:t>达希纳</w:t>
            </w:r>
          </w:p>
        </w:tc>
        <w:tc>
          <w:tcPr>
            <w:tcW w:w="3198" w:type="dxa"/>
          </w:tcPr>
          <w:p>
            <w:pPr>
              <w:pStyle w:val="TableParagraph"/>
              <w:spacing w:before="105"/>
              <w:ind w:left="230" w:right="224"/>
              <w:jc w:val="center"/>
              <w:rPr>
                <w:sz w:val="21"/>
              </w:rPr>
            </w:pPr>
            <w:r>
              <w:rPr>
                <w:spacing w:val="-4"/>
                <w:sz w:val="21"/>
              </w:rPr>
              <w:t>尼洛替尼胶囊</w:t>
            </w:r>
          </w:p>
        </w:tc>
        <w:tc>
          <w:tcPr>
            <w:tcW w:w="3529" w:type="dxa"/>
          </w:tcPr>
          <w:p>
            <w:pPr>
              <w:pStyle w:val="TableParagraph"/>
              <w:spacing w:before="105"/>
              <w:ind w:left="118" w:right="113"/>
              <w:jc w:val="center"/>
              <w:rPr>
                <w:sz w:val="21"/>
              </w:rPr>
            </w:pPr>
            <w:r>
              <w:rPr>
                <w:spacing w:val="-4"/>
                <w:sz w:val="21"/>
              </w:rPr>
              <w:t>慢性髓性白血病</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45</w:t>
            </w:r>
          </w:p>
        </w:tc>
        <w:tc>
          <w:tcPr>
            <w:tcW w:w="1134" w:type="dxa"/>
          </w:tcPr>
          <w:p>
            <w:pPr>
              <w:pStyle w:val="TableParagraph"/>
              <w:spacing w:before="105"/>
              <w:ind w:left="233" w:right="230"/>
              <w:jc w:val="center"/>
              <w:rPr>
                <w:sz w:val="21"/>
              </w:rPr>
            </w:pPr>
            <w:r>
              <w:rPr>
                <w:spacing w:val="-4"/>
                <w:sz w:val="21"/>
              </w:rPr>
              <w:t>美罗华</w:t>
            </w:r>
          </w:p>
        </w:tc>
        <w:tc>
          <w:tcPr>
            <w:tcW w:w="3198" w:type="dxa"/>
          </w:tcPr>
          <w:p>
            <w:pPr>
              <w:pStyle w:val="TableParagraph"/>
              <w:spacing w:before="105"/>
              <w:ind w:left="233" w:right="224"/>
              <w:jc w:val="center"/>
              <w:rPr>
                <w:sz w:val="21"/>
              </w:rPr>
            </w:pPr>
            <w:r>
              <w:rPr>
                <w:spacing w:val="-4"/>
                <w:sz w:val="21"/>
              </w:rPr>
              <w:t>利妥昔单抗注射液</w:t>
            </w:r>
          </w:p>
        </w:tc>
        <w:tc>
          <w:tcPr>
            <w:tcW w:w="3529" w:type="dxa"/>
          </w:tcPr>
          <w:p>
            <w:pPr>
              <w:pStyle w:val="TableParagraph"/>
              <w:spacing w:before="105"/>
              <w:ind w:left="118" w:right="113"/>
              <w:jc w:val="center"/>
              <w:rPr>
                <w:sz w:val="21"/>
              </w:rPr>
            </w:pPr>
            <w:r>
              <w:rPr>
                <w:spacing w:val="-4"/>
                <w:sz w:val="21"/>
              </w:rPr>
              <w:t>淋巴瘤</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46</w:t>
            </w:r>
          </w:p>
        </w:tc>
        <w:tc>
          <w:tcPr>
            <w:tcW w:w="1134" w:type="dxa"/>
          </w:tcPr>
          <w:p>
            <w:pPr>
              <w:pStyle w:val="TableParagraph"/>
              <w:spacing w:before="106"/>
              <w:ind w:left="233" w:right="230"/>
              <w:jc w:val="center"/>
              <w:rPr>
                <w:sz w:val="21"/>
              </w:rPr>
            </w:pPr>
            <w:r>
              <w:rPr>
                <w:spacing w:val="-4"/>
                <w:sz w:val="21"/>
              </w:rPr>
              <w:t>汉利康</w:t>
            </w:r>
          </w:p>
        </w:tc>
        <w:tc>
          <w:tcPr>
            <w:tcW w:w="3198" w:type="dxa"/>
          </w:tcPr>
          <w:p>
            <w:pPr>
              <w:pStyle w:val="TableParagraph"/>
              <w:spacing w:before="106"/>
              <w:ind w:left="233" w:right="224"/>
              <w:jc w:val="center"/>
              <w:rPr>
                <w:sz w:val="21"/>
              </w:rPr>
            </w:pPr>
            <w:r>
              <w:rPr>
                <w:spacing w:val="-4"/>
                <w:sz w:val="21"/>
              </w:rPr>
              <w:t>利妥昔单抗注射液</w:t>
            </w:r>
          </w:p>
        </w:tc>
        <w:tc>
          <w:tcPr>
            <w:tcW w:w="3529" w:type="dxa"/>
          </w:tcPr>
          <w:p>
            <w:pPr>
              <w:pStyle w:val="TableParagraph"/>
              <w:spacing w:before="106"/>
              <w:ind w:left="118" w:right="113"/>
              <w:jc w:val="center"/>
              <w:rPr>
                <w:sz w:val="21"/>
              </w:rPr>
            </w:pPr>
            <w:r>
              <w:rPr>
                <w:spacing w:val="-4"/>
                <w:sz w:val="21"/>
              </w:rPr>
              <w:t>淋巴瘤</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47</w:t>
            </w:r>
          </w:p>
        </w:tc>
        <w:tc>
          <w:tcPr>
            <w:tcW w:w="1134" w:type="dxa"/>
          </w:tcPr>
          <w:p>
            <w:pPr>
              <w:pStyle w:val="TableParagraph"/>
              <w:spacing w:before="103"/>
              <w:ind w:left="233" w:right="230"/>
              <w:jc w:val="center"/>
              <w:rPr>
                <w:sz w:val="21"/>
              </w:rPr>
            </w:pPr>
            <w:r>
              <w:rPr>
                <w:spacing w:val="-4"/>
                <w:sz w:val="21"/>
              </w:rPr>
              <w:t>泰立沙</w:t>
            </w:r>
          </w:p>
        </w:tc>
        <w:tc>
          <w:tcPr>
            <w:tcW w:w="3198" w:type="dxa"/>
          </w:tcPr>
          <w:p>
            <w:pPr>
              <w:pStyle w:val="TableParagraph"/>
              <w:spacing w:before="103"/>
              <w:ind w:left="233" w:right="224"/>
              <w:jc w:val="center"/>
              <w:rPr>
                <w:sz w:val="21"/>
              </w:rPr>
            </w:pPr>
            <w:r>
              <w:rPr>
                <w:spacing w:val="-3"/>
                <w:sz w:val="21"/>
              </w:rPr>
              <w:t>甲苯磺酸拉帕替尼片</w:t>
            </w:r>
          </w:p>
        </w:tc>
        <w:tc>
          <w:tcPr>
            <w:tcW w:w="3529" w:type="dxa"/>
          </w:tcPr>
          <w:p>
            <w:pPr>
              <w:pStyle w:val="TableParagraph"/>
              <w:spacing w:before="103"/>
              <w:ind w:left="118" w:right="113"/>
              <w:jc w:val="center"/>
              <w:rPr>
                <w:sz w:val="21"/>
              </w:rPr>
            </w:pPr>
            <w:r>
              <w:rPr>
                <w:spacing w:val="-4"/>
                <w:sz w:val="21"/>
              </w:rPr>
              <w:t>乳腺癌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48</w:t>
            </w:r>
          </w:p>
        </w:tc>
        <w:tc>
          <w:tcPr>
            <w:tcW w:w="1134" w:type="dxa"/>
          </w:tcPr>
          <w:p>
            <w:pPr>
              <w:pStyle w:val="TableParagraph"/>
              <w:spacing w:before="103"/>
              <w:ind w:left="233" w:right="230"/>
              <w:jc w:val="center"/>
              <w:rPr>
                <w:sz w:val="21"/>
              </w:rPr>
            </w:pPr>
            <w:r>
              <w:rPr>
                <w:spacing w:val="-4"/>
                <w:sz w:val="21"/>
              </w:rPr>
              <w:t>爱谱沙</w:t>
            </w:r>
          </w:p>
        </w:tc>
        <w:tc>
          <w:tcPr>
            <w:tcW w:w="3198" w:type="dxa"/>
          </w:tcPr>
          <w:p>
            <w:pPr>
              <w:pStyle w:val="TableParagraph"/>
              <w:spacing w:before="103"/>
              <w:ind w:left="233" w:right="224"/>
              <w:jc w:val="center"/>
              <w:rPr>
                <w:sz w:val="21"/>
              </w:rPr>
            </w:pPr>
            <w:r>
              <w:rPr>
                <w:spacing w:val="-4"/>
                <w:sz w:val="21"/>
              </w:rPr>
              <w:t>西达本胺片</w:t>
            </w:r>
          </w:p>
        </w:tc>
        <w:tc>
          <w:tcPr>
            <w:tcW w:w="3529" w:type="dxa"/>
          </w:tcPr>
          <w:p>
            <w:pPr>
              <w:pStyle w:val="TableParagraph"/>
              <w:spacing w:before="103"/>
              <w:ind w:left="115" w:right="113"/>
              <w:jc w:val="center"/>
              <w:rPr>
                <w:sz w:val="21"/>
              </w:rPr>
            </w:pPr>
            <w:r>
              <w:rPr>
                <w:spacing w:val="25"/>
                <w:sz w:val="21"/>
              </w:rPr>
              <w:t>外周</w:t>
            </w:r>
            <w:r>
              <w:rPr>
                <w:rFonts w:ascii="Times New Roman" w:eastAsia="Times New Roman"/>
                <w:sz w:val="21"/>
              </w:rPr>
              <w:t>T</w:t>
            </w:r>
            <w:r>
              <w:rPr>
                <w:rFonts w:ascii="Times New Roman" w:eastAsia="Times New Roman"/>
                <w:spacing w:val="-6"/>
                <w:sz w:val="21"/>
              </w:rPr>
              <w:t> </w:t>
            </w:r>
            <w:r>
              <w:rPr>
                <w:spacing w:val="-2"/>
                <w:sz w:val="21"/>
              </w:rPr>
              <w:t>细胞淋巴瘤</w:t>
            </w:r>
          </w:p>
        </w:tc>
      </w:tr>
      <w:tr>
        <w:trPr>
          <w:trHeight w:val="398" w:hRule="atLeast"/>
        </w:trPr>
        <w:tc>
          <w:tcPr>
            <w:tcW w:w="773" w:type="dxa"/>
          </w:tcPr>
          <w:p>
            <w:pPr>
              <w:pStyle w:val="TableParagraph"/>
              <w:spacing w:before="117"/>
              <w:ind w:left="160" w:right="151"/>
              <w:jc w:val="center"/>
              <w:rPr>
                <w:rFonts w:ascii="Times New Roman"/>
                <w:sz w:val="21"/>
              </w:rPr>
            </w:pPr>
            <w:r>
              <w:rPr>
                <w:rFonts w:ascii="Times New Roman"/>
                <w:spacing w:val="-5"/>
                <w:sz w:val="21"/>
              </w:rPr>
              <w:t>49</w:t>
            </w:r>
          </w:p>
        </w:tc>
        <w:tc>
          <w:tcPr>
            <w:tcW w:w="1134" w:type="dxa"/>
          </w:tcPr>
          <w:p>
            <w:pPr>
              <w:pStyle w:val="TableParagraph"/>
              <w:spacing w:before="103"/>
              <w:ind w:left="233" w:right="230"/>
              <w:jc w:val="center"/>
              <w:rPr>
                <w:sz w:val="21"/>
              </w:rPr>
            </w:pPr>
            <w:r>
              <w:rPr>
                <w:spacing w:val="-4"/>
                <w:sz w:val="21"/>
              </w:rPr>
              <w:t>吉泰瑞</w:t>
            </w:r>
          </w:p>
        </w:tc>
        <w:tc>
          <w:tcPr>
            <w:tcW w:w="3198" w:type="dxa"/>
          </w:tcPr>
          <w:p>
            <w:pPr>
              <w:pStyle w:val="TableParagraph"/>
              <w:spacing w:before="103"/>
              <w:ind w:left="233" w:right="224"/>
              <w:jc w:val="center"/>
              <w:rPr>
                <w:sz w:val="21"/>
              </w:rPr>
            </w:pPr>
            <w:r>
              <w:rPr>
                <w:spacing w:val="-4"/>
                <w:sz w:val="21"/>
              </w:rPr>
              <w:t>马来酸阿法替尼片</w:t>
            </w:r>
          </w:p>
        </w:tc>
        <w:tc>
          <w:tcPr>
            <w:tcW w:w="3529" w:type="dxa"/>
          </w:tcPr>
          <w:p>
            <w:pPr>
              <w:pStyle w:val="TableParagraph"/>
              <w:spacing w:before="103"/>
              <w:ind w:left="118" w:right="113"/>
              <w:jc w:val="center"/>
              <w:rPr>
                <w:sz w:val="21"/>
              </w:rPr>
            </w:pPr>
            <w:r>
              <w:rPr>
                <w:spacing w:val="-4"/>
                <w:sz w:val="21"/>
              </w:rPr>
              <w:t>非小细胞肺癌</w:t>
            </w:r>
          </w:p>
        </w:tc>
      </w:tr>
      <w:tr>
        <w:trPr>
          <w:trHeight w:val="400" w:hRule="atLeast"/>
        </w:trPr>
        <w:tc>
          <w:tcPr>
            <w:tcW w:w="773" w:type="dxa"/>
          </w:tcPr>
          <w:p>
            <w:pPr>
              <w:pStyle w:val="TableParagraph"/>
              <w:spacing w:before="119"/>
              <w:ind w:left="160" w:right="151"/>
              <w:jc w:val="center"/>
              <w:rPr>
                <w:rFonts w:ascii="Times New Roman"/>
                <w:sz w:val="21"/>
              </w:rPr>
            </w:pPr>
            <w:r>
              <w:rPr>
                <w:rFonts w:ascii="Times New Roman"/>
                <w:spacing w:val="-5"/>
                <w:sz w:val="21"/>
              </w:rPr>
              <w:t>50</w:t>
            </w:r>
          </w:p>
        </w:tc>
        <w:tc>
          <w:tcPr>
            <w:tcW w:w="1134" w:type="dxa"/>
          </w:tcPr>
          <w:p>
            <w:pPr>
              <w:pStyle w:val="TableParagraph"/>
              <w:spacing w:before="106"/>
              <w:ind w:left="233" w:right="230"/>
              <w:jc w:val="center"/>
              <w:rPr>
                <w:sz w:val="21"/>
              </w:rPr>
            </w:pPr>
            <w:r>
              <w:rPr>
                <w:spacing w:val="-4"/>
                <w:sz w:val="21"/>
              </w:rPr>
              <w:t>赫赛汀</w:t>
            </w:r>
          </w:p>
        </w:tc>
        <w:tc>
          <w:tcPr>
            <w:tcW w:w="3198" w:type="dxa"/>
          </w:tcPr>
          <w:p>
            <w:pPr>
              <w:pStyle w:val="TableParagraph"/>
              <w:spacing w:before="106"/>
              <w:ind w:left="233" w:right="224"/>
              <w:jc w:val="center"/>
              <w:rPr>
                <w:sz w:val="21"/>
              </w:rPr>
            </w:pPr>
            <w:r>
              <w:rPr>
                <w:spacing w:val="-4"/>
                <w:sz w:val="21"/>
              </w:rPr>
              <w:t>注射用曲妥珠单抗</w:t>
            </w:r>
          </w:p>
        </w:tc>
        <w:tc>
          <w:tcPr>
            <w:tcW w:w="3529" w:type="dxa"/>
          </w:tcPr>
          <w:p>
            <w:pPr>
              <w:pStyle w:val="TableParagraph"/>
              <w:spacing w:before="106"/>
              <w:ind w:left="118" w:right="112"/>
              <w:jc w:val="center"/>
              <w:rPr>
                <w:sz w:val="21"/>
              </w:rPr>
            </w:pPr>
            <w:r>
              <w:rPr>
                <w:spacing w:val="-3"/>
                <w:sz w:val="21"/>
              </w:rPr>
              <w:t>乳腺癌、胃腺癌、胃食管交界腺癌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51</w:t>
            </w:r>
          </w:p>
        </w:tc>
        <w:tc>
          <w:tcPr>
            <w:tcW w:w="1134" w:type="dxa"/>
          </w:tcPr>
          <w:p>
            <w:pPr>
              <w:pStyle w:val="TableParagraph"/>
              <w:spacing w:before="106"/>
              <w:ind w:left="233" w:right="230"/>
              <w:jc w:val="center"/>
              <w:rPr>
                <w:sz w:val="21"/>
              </w:rPr>
            </w:pPr>
            <w:r>
              <w:rPr>
                <w:spacing w:val="-4"/>
                <w:sz w:val="21"/>
              </w:rPr>
              <w:t>福可维</w:t>
            </w:r>
          </w:p>
        </w:tc>
        <w:tc>
          <w:tcPr>
            <w:tcW w:w="3198" w:type="dxa"/>
          </w:tcPr>
          <w:p>
            <w:pPr>
              <w:pStyle w:val="TableParagraph"/>
              <w:spacing w:before="106"/>
              <w:ind w:left="233" w:right="224"/>
              <w:jc w:val="center"/>
              <w:rPr>
                <w:sz w:val="21"/>
              </w:rPr>
            </w:pPr>
            <w:r>
              <w:rPr>
                <w:spacing w:val="-4"/>
                <w:sz w:val="21"/>
              </w:rPr>
              <w:t>安罗替尼</w:t>
            </w:r>
          </w:p>
        </w:tc>
        <w:tc>
          <w:tcPr>
            <w:tcW w:w="3529" w:type="dxa"/>
          </w:tcPr>
          <w:p>
            <w:pPr>
              <w:pStyle w:val="TableParagraph"/>
              <w:spacing w:before="106"/>
              <w:ind w:left="118" w:right="113"/>
              <w:jc w:val="center"/>
              <w:rPr>
                <w:sz w:val="21"/>
              </w:rPr>
            </w:pPr>
            <w:r>
              <w:rPr>
                <w:spacing w:val="-4"/>
                <w:sz w:val="21"/>
              </w:rPr>
              <w:t>非小细胞肺癌</w:t>
            </w:r>
          </w:p>
        </w:tc>
      </w:tr>
      <w:tr>
        <w:trPr>
          <w:trHeight w:val="719" w:hRule="atLeast"/>
        </w:trPr>
        <w:tc>
          <w:tcPr>
            <w:tcW w:w="773" w:type="dxa"/>
          </w:tcPr>
          <w:p>
            <w:pPr>
              <w:pStyle w:val="TableParagraph"/>
              <w:spacing w:before="9"/>
              <w:rPr>
                <w:sz w:val="21"/>
              </w:rPr>
            </w:pPr>
          </w:p>
          <w:p>
            <w:pPr>
              <w:pStyle w:val="TableParagraph"/>
              <w:ind w:left="160" w:right="151"/>
              <w:jc w:val="center"/>
              <w:rPr>
                <w:rFonts w:ascii="Times New Roman"/>
                <w:sz w:val="21"/>
              </w:rPr>
            </w:pPr>
            <w:r>
              <w:rPr>
                <w:rFonts w:ascii="Times New Roman"/>
                <w:spacing w:val="-5"/>
                <w:sz w:val="21"/>
              </w:rPr>
              <w:t>52</w:t>
            </w:r>
          </w:p>
        </w:tc>
        <w:tc>
          <w:tcPr>
            <w:tcW w:w="1134" w:type="dxa"/>
          </w:tcPr>
          <w:p>
            <w:pPr>
              <w:pStyle w:val="TableParagraph"/>
              <w:spacing w:before="7"/>
              <w:rPr>
                <w:sz w:val="20"/>
              </w:rPr>
            </w:pPr>
          </w:p>
          <w:p>
            <w:pPr>
              <w:pStyle w:val="TableParagraph"/>
              <w:spacing w:before="1"/>
              <w:ind w:left="233" w:right="230"/>
              <w:jc w:val="center"/>
              <w:rPr>
                <w:sz w:val="21"/>
              </w:rPr>
            </w:pPr>
            <w:r>
              <w:rPr>
                <w:spacing w:val="-4"/>
                <w:sz w:val="21"/>
              </w:rPr>
              <w:t>飞尼妥</w:t>
            </w:r>
          </w:p>
        </w:tc>
        <w:tc>
          <w:tcPr>
            <w:tcW w:w="3198" w:type="dxa"/>
          </w:tcPr>
          <w:p>
            <w:pPr>
              <w:pStyle w:val="TableParagraph"/>
              <w:spacing w:before="7"/>
              <w:rPr>
                <w:sz w:val="20"/>
              </w:rPr>
            </w:pPr>
          </w:p>
          <w:p>
            <w:pPr>
              <w:pStyle w:val="TableParagraph"/>
              <w:spacing w:before="1"/>
              <w:ind w:left="233" w:right="224"/>
              <w:jc w:val="center"/>
              <w:rPr>
                <w:sz w:val="21"/>
              </w:rPr>
            </w:pPr>
            <w:r>
              <w:rPr>
                <w:spacing w:val="-4"/>
                <w:sz w:val="21"/>
              </w:rPr>
              <w:t>依维莫司片</w:t>
            </w:r>
          </w:p>
        </w:tc>
        <w:tc>
          <w:tcPr>
            <w:tcW w:w="3529" w:type="dxa"/>
          </w:tcPr>
          <w:p>
            <w:pPr>
              <w:pStyle w:val="TableParagraph"/>
              <w:spacing w:line="360" w:lineRule="exact"/>
              <w:ind w:left="1445" w:right="96" w:hanging="1340"/>
              <w:rPr>
                <w:sz w:val="21"/>
              </w:rPr>
            </w:pPr>
            <w:r>
              <w:rPr>
                <w:spacing w:val="-4"/>
                <w:sz w:val="21"/>
              </w:rPr>
              <w:t>胃肠间质瘤、肾细胞癌、胰腺神经内</w:t>
            </w:r>
            <w:r>
              <w:rPr>
                <w:spacing w:val="-4"/>
                <w:sz w:val="21"/>
              </w:rPr>
              <w:t>分泌瘤</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53</w:t>
            </w:r>
          </w:p>
        </w:tc>
        <w:tc>
          <w:tcPr>
            <w:tcW w:w="1134" w:type="dxa"/>
          </w:tcPr>
          <w:p>
            <w:pPr>
              <w:pStyle w:val="TableParagraph"/>
              <w:spacing w:before="105"/>
              <w:ind w:left="233" w:right="230"/>
              <w:jc w:val="center"/>
              <w:rPr>
                <w:sz w:val="21"/>
              </w:rPr>
            </w:pPr>
            <w:r>
              <w:rPr>
                <w:spacing w:val="-4"/>
                <w:sz w:val="21"/>
              </w:rPr>
              <w:t>易瑞沙</w:t>
            </w:r>
          </w:p>
        </w:tc>
        <w:tc>
          <w:tcPr>
            <w:tcW w:w="3198" w:type="dxa"/>
          </w:tcPr>
          <w:p>
            <w:pPr>
              <w:pStyle w:val="TableParagraph"/>
              <w:spacing w:before="105"/>
              <w:ind w:left="233" w:right="224"/>
              <w:jc w:val="center"/>
              <w:rPr>
                <w:sz w:val="21"/>
              </w:rPr>
            </w:pPr>
            <w:r>
              <w:rPr>
                <w:spacing w:val="-4"/>
                <w:sz w:val="21"/>
              </w:rPr>
              <w:t>吉非替尼片</w:t>
            </w:r>
          </w:p>
        </w:tc>
        <w:tc>
          <w:tcPr>
            <w:tcW w:w="3529" w:type="dxa"/>
          </w:tcPr>
          <w:p>
            <w:pPr>
              <w:pStyle w:val="TableParagraph"/>
              <w:spacing w:before="105"/>
              <w:ind w:left="118" w:right="113"/>
              <w:jc w:val="center"/>
              <w:rPr>
                <w:sz w:val="21"/>
              </w:rPr>
            </w:pPr>
            <w:r>
              <w:rPr>
                <w:spacing w:val="-4"/>
                <w:sz w:val="21"/>
              </w:rPr>
              <w:t>非小细胞肺癌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54</w:t>
            </w:r>
          </w:p>
        </w:tc>
        <w:tc>
          <w:tcPr>
            <w:tcW w:w="1134" w:type="dxa"/>
          </w:tcPr>
          <w:p>
            <w:pPr>
              <w:pStyle w:val="TableParagraph"/>
              <w:spacing w:before="105"/>
              <w:ind w:left="233" w:right="230"/>
              <w:jc w:val="center"/>
              <w:rPr>
                <w:sz w:val="21"/>
              </w:rPr>
            </w:pPr>
            <w:r>
              <w:rPr>
                <w:spacing w:val="-4"/>
                <w:sz w:val="21"/>
              </w:rPr>
              <w:t>伊瑞可</w:t>
            </w:r>
          </w:p>
        </w:tc>
        <w:tc>
          <w:tcPr>
            <w:tcW w:w="3198" w:type="dxa"/>
          </w:tcPr>
          <w:p>
            <w:pPr>
              <w:pStyle w:val="TableParagraph"/>
              <w:spacing w:before="105"/>
              <w:ind w:left="233" w:right="224"/>
              <w:jc w:val="center"/>
              <w:rPr>
                <w:sz w:val="21"/>
              </w:rPr>
            </w:pPr>
            <w:r>
              <w:rPr>
                <w:spacing w:val="-4"/>
                <w:sz w:val="21"/>
              </w:rPr>
              <w:t>吉非替尼片</w:t>
            </w:r>
          </w:p>
        </w:tc>
        <w:tc>
          <w:tcPr>
            <w:tcW w:w="3529" w:type="dxa"/>
          </w:tcPr>
          <w:p>
            <w:pPr>
              <w:pStyle w:val="TableParagraph"/>
              <w:spacing w:before="105"/>
              <w:ind w:left="118" w:right="113"/>
              <w:jc w:val="center"/>
              <w:rPr>
                <w:sz w:val="21"/>
              </w:rPr>
            </w:pPr>
            <w:r>
              <w:rPr>
                <w:spacing w:val="-4"/>
                <w:sz w:val="21"/>
              </w:rPr>
              <w:t>非小细胞肺癌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55</w:t>
            </w:r>
          </w:p>
        </w:tc>
        <w:tc>
          <w:tcPr>
            <w:tcW w:w="1134" w:type="dxa"/>
          </w:tcPr>
          <w:p>
            <w:pPr>
              <w:pStyle w:val="TableParagraph"/>
              <w:spacing w:before="103"/>
              <w:ind w:left="233" w:right="230"/>
              <w:jc w:val="center"/>
              <w:rPr>
                <w:sz w:val="21"/>
              </w:rPr>
            </w:pPr>
            <w:r>
              <w:rPr>
                <w:spacing w:val="-4"/>
                <w:sz w:val="21"/>
              </w:rPr>
              <w:t>凯美纳</w:t>
            </w:r>
          </w:p>
        </w:tc>
        <w:tc>
          <w:tcPr>
            <w:tcW w:w="3198" w:type="dxa"/>
          </w:tcPr>
          <w:p>
            <w:pPr>
              <w:pStyle w:val="TableParagraph"/>
              <w:spacing w:before="103"/>
              <w:ind w:left="230" w:right="224"/>
              <w:jc w:val="center"/>
              <w:rPr>
                <w:sz w:val="21"/>
              </w:rPr>
            </w:pPr>
            <w:r>
              <w:rPr>
                <w:spacing w:val="-4"/>
                <w:sz w:val="21"/>
              </w:rPr>
              <w:t>盐酸埃克替尼片</w:t>
            </w:r>
          </w:p>
        </w:tc>
        <w:tc>
          <w:tcPr>
            <w:tcW w:w="3529" w:type="dxa"/>
          </w:tcPr>
          <w:p>
            <w:pPr>
              <w:pStyle w:val="TableParagraph"/>
              <w:spacing w:before="103"/>
              <w:ind w:left="118" w:right="113"/>
              <w:jc w:val="center"/>
              <w:rPr>
                <w:sz w:val="21"/>
              </w:rPr>
            </w:pPr>
            <w:r>
              <w:rPr>
                <w:spacing w:val="-4"/>
                <w:sz w:val="21"/>
              </w:rPr>
              <w:t>非小细胞肺癌</w:t>
            </w:r>
          </w:p>
        </w:tc>
      </w:tr>
      <w:tr>
        <w:trPr>
          <w:trHeight w:val="400" w:hRule="atLeast"/>
        </w:trPr>
        <w:tc>
          <w:tcPr>
            <w:tcW w:w="773" w:type="dxa"/>
          </w:tcPr>
          <w:p>
            <w:pPr>
              <w:pStyle w:val="TableParagraph"/>
              <w:spacing w:before="117"/>
              <w:ind w:left="160" w:right="151"/>
              <w:jc w:val="center"/>
              <w:rPr>
                <w:rFonts w:ascii="Times New Roman"/>
                <w:sz w:val="21"/>
              </w:rPr>
            </w:pPr>
            <w:r>
              <w:rPr>
                <w:rFonts w:ascii="Times New Roman"/>
                <w:spacing w:val="-5"/>
                <w:sz w:val="21"/>
              </w:rPr>
              <w:t>56</w:t>
            </w:r>
          </w:p>
        </w:tc>
        <w:tc>
          <w:tcPr>
            <w:tcW w:w="1134" w:type="dxa"/>
          </w:tcPr>
          <w:p>
            <w:pPr>
              <w:pStyle w:val="TableParagraph"/>
              <w:spacing w:before="103"/>
              <w:ind w:left="233" w:right="230"/>
              <w:jc w:val="center"/>
              <w:rPr>
                <w:sz w:val="21"/>
              </w:rPr>
            </w:pPr>
            <w:r>
              <w:rPr>
                <w:spacing w:val="-4"/>
                <w:sz w:val="21"/>
              </w:rPr>
              <w:t>特罗凯</w:t>
            </w:r>
          </w:p>
        </w:tc>
        <w:tc>
          <w:tcPr>
            <w:tcW w:w="3198" w:type="dxa"/>
          </w:tcPr>
          <w:p>
            <w:pPr>
              <w:pStyle w:val="TableParagraph"/>
              <w:spacing w:before="103"/>
              <w:ind w:left="230" w:right="224"/>
              <w:jc w:val="center"/>
              <w:rPr>
                <w:sz w:val="21"/>
              </w:rPr>
            </w:pPr>
            <w:r>
              <w:rPr>
                <w:spacing w:val="-4"/>
                <w:sz w:val="21"/>
              </w:rPr>
              <w:t>盐酸厄洛替尼片</w:t>
            </w:r>
          </w:p>
        </w:tc>
        <w:tc>
          <w:tcPr>
            <w:tcW w:w="3529" w:type="dxa"/>
          </w:tcPr>
          <w:p>
            <w:pPr>
              <w:pStyle w:val="TableParagraph"/>
              <w:spacing w:before="103"/>
              <w:ind w:left="118" w:right="113"/>
              <w:jc w:val="center"/>
              <w:rPr>
                <w:sz w:val="21"/>
              </w:rPr>
            </w:pPr>
            <w:r>
              <w:rPr>
                <w:spacing w:val="-4"/>
                <w:sz w:val="21"/>
              </w:rPr>
              <w:t>非小细胞肺癌</w:t>
            </w:r>
          </w:p>
        </w:tc>
      </w:tr>
    </w:tbl>
    <w:p>
      <w:pPr>
        <w:pStyle w:val="BodyText"/>
        <w:spacing w:before="10"/>
        <w:rPr>
          <w:sz w:val="13"/>
        </w:rPr>
      </w:pPr>
    </w:p>
    <w:p>
      <w:pPr>
        <w:spacing w:before="71"/>
        <w:ind w:left="222" w:right="0" w:firstLine="0"/>
        <w:jc w:val="left"/>
        <w:rPr>
          <w:b/>
          <w:sz w:val="21"/>
        </w:rPr>
      </w:pPr>
      <w:r>
        <w:rPr>
          <w:b/>
          <w:spacing w:val="-5"/>
          <w:sz w:val="21"/>
        </w:rPr>
        <w:t>注：</w:t>
      </w:r>
    </w:p>
    <w:p>
      <w:pPr>
        <w:pStyle w:val="ListParagraph"/>
        <w:numPr>
          <w:ilvl w:val="0"/>
          <w:numId w:val="19"/>
        </w:numPr>
        <w:tabs>
          <w:tab w:pos="641" w:val="left" w:leader="none"/>
          <w:tab w:pos="642" w:val="left" w:leader="none"/>
        </w:tabs>
        <w:spacing w:line="240" w:lineRule="auto" w:before="5" w:after="0"/>
        <w:ind w:left="642" w:right="0" w:hanging="420"/>
        <w:jc w:val="left"/>
        <w:rPr>
          <w:b/>
          <w:sz w:val="21"/>
        </w:rPr>
      </w:pPr>
      <w:r>
        <w:rPr>
          <w:b/>
          <w:spacing w:val="-3"/>
          <w:sz w:val="21"/>
        </w:rPr>
        <w:t>上述药品的适应症以国家食品药品监督管理总局批准的药品说明书为准。</w:t>
      </w:r>
    </w:p>
    <w:p>
      <w:pPr>
        <w:pStyle w:val="ListParagraph"/>
        <w:numPr>
          <w:ilvl w:val="0"/>
          <w:numId w:val="19"/>
        </w:numPr>
        <w:tabs>
          <w:tab w:pos="641" w:val="left" w:leader="none"/>
          <w:tab w:pos="642" w:val="left" w:leader="none"/>
        </w:tabs>
        <w:spacing w:line="244" w:lineRule="auto" w:before="2" w:after="0"/>
        <w:ind w:left="641" w:right="417" w:hanging="420"/>
        <w:jc w:val="left"/>
        <w:rPr>
          <w:b/>
          <w:sz w:val="21"/>
        </w:rPr>
      </w:pPr>
      <w:r>
        <w:rPr>
          <w:b/>
          <w:spacing w:val="-2"/>
          <w:sz w:val="21"/>
        </w:rPr>
        <w:t>药品分类以药品处方开具时《国家基本医疗保险、工伤保险和生育保险药品目录》的有效版本</w:t>
      </w:r>
      <w:r>
        <w:rPr>
          <w:b/>
          <w:spacing w:val="-4"/>
          <w:sz w:val="21"/>
        </w:rPr>
        <w:t>为准。</w:t>
      </w:r>
    </w:p>
    <w:p>
      <w:pPr>
        <w:pStyle w:val="ListParagraph"/>
        <w:numPr>
          <w:ilvl w:val="0"/>
          <w:numId w:val="19"/>
        </w:numPr>
        <w:tabs>
          <w:tab w:pos="641" w:val="left" w:leader="none"/>
          <w:tab w:pos="642" w:val="left" w:leader="none"/>
        </w:tabs>
        <w:spacing w:line="244" w:lineRule="auto" w:before="0" w:after="0"/>
        <w:ind w:left="641" w:right="416" w:hanging="420"/>
        <w:jc w:val="left"/>
        <w:rPr>
          <w:b/>
          <w:sz w:val="21"/>
        </w:rPr>
      </w:pPr>
      <w:r>
        <w:rPr>
          <w:b/>
          <w:spacing w:val="-2"/>
          <w:sz w:val="21"/>
        </w:rPr>
        <w:t>我们保留对药品清单进行变更的权利。您可以通过本公司的网站、服务热线或服务场所工作人</w:t>
      </w:r>
      <w:r>
        <w:rPr>
          <w:b/>
          <w:spacing w:val="-4"/>
          <w:sz w:val="21"/>
        </w:rPr>
        <w:t>员查询。</w:t>
      </w:r>
    </w:p>
    <w:p>
      <w:pPr>
        <w:pStyle w:val="BodyText"/>
        <w:spacing w:before="9"/>
        <w:rPr>
          <w:b/>
          <w:sz w:val="20"/>
        </w:rPr>
      </w:pPr>
    </w:p>
    <w:p>
      <w:pPr>
        <w:pStyle w:val="BodyText"/>
        <w:ind w:left="216" w:right="402"/>
        <w:jc w:val="center"/>
      </w:pPr>
      <w:r>
        <w:rPr>
          <w:spacing w:val="-4"/>
        </w:rPr>
        <w:t>(完)</w:t>
      </w:r>
    </w:p>
    <w:sectPr>
      <w:type w:val="continuous"/>
      <w:pgSz w:w="11910" w:h="16840"/>
      <w:pgMar w:header="0" w:footer="879" w:top="1120" w:bottom="1060" w:left="148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Symbol">
    <w:altName w:val="Symbol"/>
    <w:charset w:val="2"/>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303.890015pt;margin-top:786.976624pt;width:17.1pt;height:12pt;mso-position-horizontal-relative:page;mso-position-vertical-relative:page;z-index:-16742912" type="#_x0000_t202" id="docshape1" filled="false" stroked="false">
          <v:textbox inset="0,0,0,0">
            <w:txbxContent>
              <w:p>
                <w:pPr>
                  <w:spacing w:line="239" w:lineRule="exact" w:before="0"/>
                  <w:ind w:left="60"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10</w:t>
                </w:r>
                <w:r>
                  <w:rPr>
                    <w:spacing w:val="-5"/>
                    <w:sz w:val="20"/>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8">
    <w:multiLevelType w:val="hybridMultilevel"/>
    <w:lvl w:ilvl="0">
      <w:start w:val="1"/>
      <w:numFmt w:val="decimal"/>
      <w:lvlText w:val="%1."/>
      <w:lvlJc w:val="left"/>
      <w:pPr>
        <w:ind w:left="642"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1546" w:hanging="420"/>
      </w:pPr>
      <w:rPr>
        <w:rFonts w:hint="default"/>
        <w:lang w:val="en-US" w:eastAsia="zh-CN" w:bidi="ar-SA"/>
      </w:rPr>
    </w:lvl>
    <w:lvl w:ilvl="2">
      <w:start w:val="0"/>
      <w:numFmt w:val="bullet"/>
      <w:lvlText w:val="•"/>
      <w:lvlJc w:val="left"/>
      <w:pPr>
        <w:ind w:left="2453" w:hanging="420"/>
      </w:pPr>
      <w:rPr>
        <w:rFonts w:hint="default"/>
        <w:lang w:val="en-US" w:eastAsia="zh-CN" w:bidi="ar-SA"/>
      </w:rPr>
    </w:lvl>
    <w:lvl w:ilvl="3">
      <w:start w:val="0"/>
      <w:numFmt w:val="bullet"/>
      <w:lvlText w:val="•"/>
      <w:lvlJc w:val="left"/>
      <w:pPr>
        <w:ind w:left="3359" w:hanging="420"/>
      </w:pPr>
      <w:rPr>
        <w:rFonts w:hint="default"/>
        <w:lang w:val="en-US" w:eastAsia="zh-CN" w:bidi="ar-SA"/>
      </w:rPr>
    </w:lvl>
    <w:lvl w:ilvl="4">
      <w:start w:val="0"/>
      <w:numFmt w:val="bullet"/>
      <w:lvlText w:val="•"/>
      <w:lvlJc w:val="left"/>
      <w:pPr>
        <w:ind w:left="4266" w:hanging="420"/>
      </w:pPr>
      <w:rPr>
        <w:rFonts w:hint="default"/>
        <w:lang w:val="en-US" w:eastAsia="zh-CN" w:bidi="ar-SA"/>
      </w:rPr>
    </w:lvl>
    <w:lvl w:ilvl="5">
      <w:start w:val="0"/>
      <w:numFmt w:val="bullet"/>
      <w:lvlText w:val="•"/>
      <w:lvlJc w:val="left"/>
      <w:pPr>
        <w:ind w:left="5173" w:hanging="420"/>
      </w:pPr>
      <w:rPr>
        <w:rFonts w:hint="default"/>
        <w:lang w:val="en-US" w:eastAsia="zh-CN" w:bidi="ar-SA"/>
      </w:rPr>
    </w:lvl>
    <w:lvl w:ilvl="6">
      <w:start w:val="0"/>
      <w:numFmt w:val="bullet"/>
      <w:lvlText w:val="•"/>
      <w:lvlJc w:val="left"/>
      <w:pPr>
        <w:ind w:left="6079" w:hanging="420"/>
      </w:pPr>
      <w:rPr>
        <w:rFonts w:hint="default"/>
        <w:lang w:val="en-US" w:eastAsia="zh-CN" w:bidi="ar-SA"/>
      </w:rPr>
    </w:lvl>
    <w:lvl w:ilvl="7">
      <w:start w:val="0"/>
      <w:numFmt w:val="bullet"/>
      <w:lvlText w:val="•"/>
      <w:lvlJc w:val="left"/>
      <w:pPr>
        <w:ind w:left="6986" w:hanging="420"/>
      </w:pPr>
      <w:rPr>
        <w:rFonts w:hint="default"/>
        <w:lang w:val="en-US" w:eastAsia="zh-CN" w:bidi="ar-SA"/>
      </w:rPr>
    </w:lvl>
    <w:lvl w:ilvl="8">
      <w:start w:val="0"/>
      <w:numFmt w:val="bullet"/>
      <w:lvlText w:val="•"/>
      <w:lvlJc w:val="left"/>
      <w:pPr>
        <w:ind w:left="7893" w:hanging="420"/>
      </w:pPr>
      <w:rPr>
        <w:rFonts w:hint="default"/>
        <w:lang w:val="en-US" w:eastAsia="zh-CN" w:bidi="ar-SA"/>
      </w:rPr>
    </w:lvl>
  </w:abstractNum>
  <w:abstractNum w:abstractNumId="17">
    <w:multiLevelType w:val="hybridMultilevel"/>
    <w:lvl w:ilvl="0">
      <w:start w:val="1"/>
      <w:numFmt w:val="decimal"/>
      <w:lvlText w:val="（%1）"/>
      <w:lvlJc w:val="left"/>
      <w:pPr>
        <w:ind w:left="36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00" w:hanging="529"/>
      </w:pPr>
      <w:rPr>
        <w:rFonts w:hint="default"/>
        <w:lang w:val="en-US" w:eastAsia="zh-CN" w:bidi="ar-SA"/>
      </w:rPr>
    </w:lvl>
    <w:lvl w:ilvl="2">
      <w:start w:val="0"/>
      <w:numFmt w:val="bullet"/>
      <w:lvlText w:val="•"/>
      <w:lvlJc w:val="left"/>
      <w:pPr>
        <w:ind w:left="4901" w:hanging="529"/>
      </w:pPr>
      <w:rPr>
        <w:rFonts w:hint="default"/>
        <w:lang w:val="en-US" w:eastAsia="zh-CN" w:bidi="ar-SA"/>
      </w:rPr>
    </w:lvl>
    <w:lvl w:ilvl="3">
      <w:start w:val="0"/>
      <w:numFmt w:val="bullet"/>
      <w:lvlText w:val="•"/>
      <w:lvlJc w:val="left"/>
      <w:pPr>
        <w:ind w:left="5501" w:hanging="529"/>
      </w:pPr>
      <w:rPr>
        <w:rFonts w:hint="default"/>
        <w:lang w:val="en-US" w:eastAsia="zh-CN" w:bidi="ar-SA"/>
      </w:rPr>
    </w:lvl>
    <w:lvl w:ilvl="4">
      <w:start w:val="0"/>
      <w:numFmt w:val="bullet"/>
      <w:lvlText w:val="•"/>
      <w:lvlJc w:val="left"/>
      <w:pPr>
        <w:ind w:left="6102" w:hanging="529"/>
      </w:pPr>
      <w:rPr>
        <w:rFonts w:hint="default"/>
        <w:lang w:val="en-US" w:eastAsia="zh-CN" w:bidi="ar-SA"/>
      </w:rPr>
    </w:lvl>
    <w:lvl w:ilvl="5">
      <w:start w:val="0"/>
      <w:numFmt w:val="bullet"/>
      <w:lvlText w:val="•"/>
      <w:lvlJc w:val="left"/>
      <w:pPr>
        <w:ind w:left="6703" w:hanging="529"/>
      </w:pPr>
      <w:rPr>
        <w:rFonts w:hint="default"/>
        <w:lang w:val="en-US" w:eastAsia="zh-CN" w:bidi="ar-SA"/>
      </w:rPr>
    </w:lvl>
    <w:lvl w:ilvl="6">
      <w:start w:val="0"/>
      <w:numFmt w:val="bullet"/>
      <w:lvlText w:val="•"/>
      <w:lvlJc w:val="left"/>
      <w:pPr>
        <w:ind w:left="7303" w:hanging="529"/>
      </w:pPr>
      <w:rPr>
        <w:rFonts w:hint="default"/>
        <w:lang w:val="en-US" w:eastAsia="zh-CN" w:bidi="ar-SA"/>
      </w:rPr>
    </w:lvl>
    <w:lvl w:ilvl="7">
      <w:start w:val="0"/>
      <w:numFmt w:val="bullet"/>
      <w:lvlText w:val="•"/>
      <w:lvlJc w:val="left"/>
      <w:pPr>
        <w:ind w:left="7904" w:hanging="529"/>
      </w:pPr>
      <w:rPr>
        <w:rFonts w:hint="default"/>
        <w:lang w:val="en-US" w:eastAsia="zh-CN" w:bidi="ar-SA"/>
      </w:rPr>
    </w:lvl>
    <w:lvl w:ilvl="8">
      <w:start w:val="0"/>
      <w:numFmt w:val="bullet"/>
      <w:lvlText w:val="•"/>
      <w:lvlJc w:val="left"/>
      <w:pPr>
        <w:ind w:left="8505" w:hanging="529"/>
      </w:pPr>
      <w:rPr>
        <w:rFonts w:hint="default"/>
        <w:lang w:val="en-US" w:eastAsia="zh-CN" w:bidi="ar-SA"/>
      </w:rPr>
    </w:lvl>
  </w:abstractNum>
  <w:abstractNum w:abstractNumId="16">
    <w:multiLevelType w:val="hybridMultilevel"/>
    <w:lvl w:ilvl="0">
      <w:start w:val="9"/>
      <w:numFmt w:val="decimal"/>
      <w:lvlText w:val="%1"/>
      <w:lvlJc w:val="left"/>
      <w:pPr>
        <w:ind w:left="1321" w:hanging="1100"/>
        <w:jc w:val="left"/>
      </w:pPr>
      <w:rPr>
        <w:rFonts w:hint="default"/>
        <w:lang w:val="en-US" w:eastAsia="zh-CN" w:bidi="ar-SA"/>
      </w:rPr>
    </w:lvl>
    <w:lvl w:ilvl="1">
      <w:start w:val="7"/>
      <w:numFmt w:val="decimal"/>
      <w:lvlText w:val="%1.%2"/>
      <w:lvlJc w:val="left"/>
      <w:pPr>
        <w:ind w:left="132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690"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34" w:hanging="529"/>
      </w:pPr>
      <w:rPr>
        <w:rFonts w:hint="default"/>
        <w:lang w:val="en-US" w:eastAsia="zh-CN" w:bidi="ar-SA"/>
      </w:rPr>
    </w:lvl>
    <w:lvl w:ilvl="4">
      <w:start w:val="0"/>
      <w:numFmt w:val="bullet"/>
      <w:lvlText w:val="•"/>
      <w:lvlJc w:val="left"/>
      <w:pPr>
        <w:ind w:left="5702" w:hanging="529"/>
      </w:pPr>
      <w:rPr>
        <w:rFonts w:hint="default"/>
        <w:lang w:val="en-US" w:eastAsia="zh-CN" w:bidi="ar-SA"/>
      </w:rPr>
    </w:lvl>
    <w:lvl w:ilvl="5">
      <w:start w:val="0"/>
      <w:numFmt w:val="bullet"/>
      <w:lvlText w:val="•"/>
      <w:lvlJc w:val="left"/>
      <w:pPr>
        <w:ind w:left="6369" w:hanging="529"/>
      </w:pPr>
      <w:rPr>
        <w:rFonts w:hint="default"/>
        <w:lang w:val="en-US" w:eastAsia="zh-CN" w:bidi="ar-SA"/>
      </w:rPr>
    </w:lvl>
    <w:lvl w:ilvl="6">
      <w:start w:val="0"/>
      <w:numFmt w:val="bullet"/>
      <w:lvlText w:val="•"/>
      <w:lvlJc w:val="left"/>
      <w:pPr>
        <w:ind w:left="7036" w:hanging="529"/>
      </w:pPr>
      <w:rPr>
        <w:rFonts w:hint="default"/>
        <w:lang w:val="en-US" w:eastAsia="zh-CN" w:bidi="ar-SA"/>
      </w:rPr>
    </w:lvl>
    <w:lvl w:ilvl="7">
      <w:start w:val="0"/>
      <w:numFmt w:val="bullet"/>
      <w:lvlText w:val="•"/>
      <w:lvlJc w:val="left"/>
      <w:pPr>
        <w:ind w:left="7704" w:hanging="529"/>
      </w:pPr>
      <w:rPr>
        <w:rFonts w:hint="default"/>
        <w:lang w:val="en-US" w:eastAsia="zh-CN" w:bidi="ar-SA"/>
      </w:rPr>
    </w:lvl>
    <w:lvl w:ilvl="8">
      <w:start w:val="0"/>
      <w:numFmt w:val="bullet"/>
      <w:lvlText w:val="•"/>
      <w:lvlJc w:val="left"/>
      <w:pPr>
        <w:ind w:left="8371" w:hanging="529"/>
      </w:pPr>
      <w:rPr>
        <w:rFonts w:hint="default"/>
        <w:lang w:val="en-US" w:eastAsia="zh-CN" w:bidi="ar-SA"/>
      </w:rPr>
    </w:lvl>
  </w:abstractNum>
  <w:abstractNum w:abstractNumId="15">
    <w:multiLevelType w:val="hybridMultilevel"/>
    <w:lvl w:ilvl="0">
      <w:start w:val="2"/>
      <w:numFmt w:val="decimal"/>
      <w:lvlText w:val="（%1）"/>
      <w:lvlJc w:val="left"/>
      <w:pPr>
        <w:ind w:left="369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00" w:hanging="529"/>
      </w:pPr>
      <w:rPr>
        <w:rFonts w:hint="default"/>
        <w:lang w:val="en-US" w:eastAsia="zh-CN" w:bidi="ar-SA"/>
      </w:rPr>
    </w:lvl>
    <w:lvl w:ilvl="2">
      <w:start w:val="0"/>
      <w:numFmt w:val="bullet"/>
      <w:lvlText w:val="•"/>
      <w:lvlJc w:val="left"/>
      <w:pPr>
        <w:ind w:left="4901" w:hanging="529"/>
      </w:pPr>
      <w:rPr>
        <w:rFonts w:hint="default"/>
        <w:lang w:val="en-US" w:eastAsia="zh-CN" w:bidi="ar-SA"/>
      </w:rPr>
    </w:lvl>
    <w:lvl w:ilvl="3">
      <w:start w:val="0"/>
      <w:numFmt w:val="bullet"/>
      <w:lvlText w:val="•"/>
      <w:lvlJc w:val="left"/>
      <w:pPr>
        <w:ind w:left="5501" w:hanging="529"/>
      </w:pPr>
      <w:rPr>
        <w:rFonts w:hint="default"/>
        <w:lang w:val="en-US" w:eastAsia="zh-CN" w:bidi="ar-SA"/>
      </w:rPr>
    </w:lvl>
    <w:lvl w:ilvl="4">
      <w:start w:val="0"/>
      <w:numFmt w:val="bullet"/>
      <w:lvlText w:val="•"/>
      <w:lvlJc w:val="left"/>
      <w:pPr>
        <w:ind w:left="6102" w:hanging="529"/>
      </w:pPr>
      <w:rPr>
        <w:rFonts w:hint="default"/>
        <w:lang w:val="en-US" w:eastAsia="zh-CN" w:bidi="ar-SA"/>
      </w:rPr>
    </w:lvl>
    <w:lvl w:ilvl="5">
      <w:start w:val="0"/>
      <w:numFmt w:val="bullet"/>
      <w:lvlText w:val="•"/>
      <w:lvlJc w:val="left"/>
      <w:pPr>
        <w:ind w:left="6703" w:hanging="529"/>
      </w:pPr>
      <w:rPr>
        <w:rFonts w:hint="default"/>
        <w:lang w:val="en-US" w:eastAsia="zh-CN" w:bidi="ar-SA"/>
      </w:rPr>
    </w:lvl>
    <w:lvl w:ilvl="6">
      <w:start w:val="0"/>
      <w:numFmt w:val="bullet"/>
      <w:lvlText w:val="•"/>
      <w:lvlJc w:val="left"/>
      <w:pPr>
        <w:ind w:left="7303" w:hanging="529"/>
      </w:pPr>
      <w:rPr>
        <w:rFonts w:hint="default"/>
        <w:lang w:val="en-US" w:eastAsia="zh-CN" w:bidi="ar-SA"/>
      </w:rPr>
    </w:lvl>
    <w:lvl w:ilvl="7">
      <w:start w:val="0"/>
      <w:numFmt w:val="bullet"/>
      <w:lvlText w:val="•"/>
      <w:lvlJc w:val="left"/>
      <w:pPr>
        <w:ind w:left="7904" w:hanging="529"/>
      </w:pPr>
      <w:rPr>
        <w:rFonts w:hint="default"/>
        <w:lang w:val="en-US" w:eastAsia="zh-CN" w:bidi="ar-SA"/>
      </w:rPr>
    </w:lvl>
    <w:lvl w:ilvl="8">
      <w:start w:val="0"/>
      <w:numFmt w:val="bullet"/>
      <w:lvlText w:val="•"/>
      <w:lvlJc w:val="left"/>
      <w:pPr>
        <w:ind w:left="8505" w:hanging="529"/>
      </w:pPr>
      <w:rPr>
        <w:rFonts w:hint="default"/>
        <w:lang w:val="en-US" w:eastAsia="zh-CN" w:bidi="ar-SA"/>
      </w:rPr>
    </w:lvl>
  </w:abstractNum>
  <w:abstractNum w:abstractNumId="14">
    <w:multiLevelType w:val="hybridMultilevel"/>
    <w:lvl w:ilvl="0">
      <w:start w:val="5"/>
      <w:numFmt w:val="decimal"/>
      <w:lvlText w:val="（%1）"/>
      <w:lvlJc w:val="left"/>
      <w:pPr>
        <w:ind w:left="1027" w:hanging="529"/>
        <w:jc w:val="left"/>
      </w:pPr>
      <w:rPr>
        <w:rFonts w:hint="default" w:ascii="宋体" w:hAnsi="宋体" w:eastAsia="宋体" w:cs="宋体"/>
        <w:b/>
        <w:bCs/>
        <w:i w:val="0"/>
        <w:iCs w:val="0"/>
        <w:spacing w:val="-3"/>
        <w:w w:val="100"/>
        <w:sz w:val="19"/>
        <w:szCs w:val="19"/>
        <w:lang w:val="en-US" w:eastAsia="zh-CN" w:bidi="ar-SA"/>
      </w:rPr>
    </w:lvl>
    <w:lvl w:ilvl="1">
      <w:start w:val="0"/>
      <w:numFmt w:val="bullet"/>
      <w:lvlText w:val="•"/>
      <w:lvlJc w:val="left"/>
      <w:pPr>
        <w:ind w:left="1587" w:hanging="529"/>
      </w:pPr>
      <w:rPr>
        <w:rFonts w:hint="default"/>
        <w:lang w:val="en-US" w:eastAsia="zh-CN" w:bidi="ar-SA"/>
      </w:rPr>
    </w:lvl>
    <w:lvl w:ilvl="2">
      <w:start w:val="0"/>
      <w:numFmt w:val="bullet"/>
      <w:lvlText w:val="•"/>
      <w:lvlJc w:val="left"/>
      <w:pPr>
        <w:ind w:left="2154" w:hanging="529"/>
      </w:pPr>
      <w:rPr>
        <w:rFonts w:hint="default"/>
        <w:lang w:val="en-US" w:eastAsia="zh-CN" w:bidi="ar-SA"/>
      </w:rPr>
    </w:lvl>
    <w:lvl w:ilvl="3">
      <w:start w:val="0"/>
      <w:numFmt w:val="bullet"/>
      <w:lvlText w:val="•"/>
      <w:lvlJc w:val="left"/>
      <w:pPr>
        <w:ind w:left="2721" w:hanging="529"/>
      </w:pPr>
      <w:rPr>
        <w:rFonts w:hint="default"/>
        <w:lang w:val="en-US" w:eastAsia="zh-CN" w:bidi="ar-SA"/>
      </w:rPr>
    </w:lvl>
    <w:lvl w:ilvl="4">
      <w:start w:val="0"/>
      <w:numFmt w:val="bullet"/>
      <w:lvlText w:val="•"/>
      <w:lvlJc w:val="left"/>
      <w:pPr>
        <w:ind w:left="3289" w:hanging="529"/>
      </w:pPr>
      <w:rPr>
        <w:rFonts w:hint="default"/>
        <w:lang w:val="en-US" w:eastAsia="zh-CN" w:bidi="ar-SA"/>
      </w:rPr>
    </w:lvl>
    <w:lvl w:ilvl="5">
      <w:start w:val="0"/>
      <w:numFmt w:val="bullet"/>
      <w:lvlText w:val="•"/>
      <w:lvlJc w:val="left"/>
      <w:pPr>
        <w:ind w:left="3856" w:hanging="529"/>
      </w:pPr>
      <w:rPr>
        <w:rFonts w:hint="default"/>
        <w:lang w:val="en-US" w:eastAsia="zh-CN" w:bidi="ar-SA"/>
      </w:rPr>
    </w:lvl>
    <w:lvl w:ilvl="6">
      <w:start w:val="0"/>
      <w:numFmt w:val="bullet"/>
      <w:lvlText w:val="•"/>
      <w:lvlJc w:val="left"/>
      <w:pPr>
        <w:ind w:left="4423" w:hanging="529"/>
      </w:pPr>
      <w:rPr>
        <w:rFonts w:hint="default"/>
        <w:lang w:val="en-US" w:eastAsia="zh-CN" w:bidi="ar-SA"/>
      </w:rPr>
    </w:lvl>
    <w:lvl w:ilvl="7">
      <w:start w:val="0"/>
      <w:numFmt w:val="bullet"/>
      <w:lvlText w:val="•"/>
      <w:lvlJc w:val="left"/>
      <w:pPr>
        <w:ind w:left="4991" w:hanging="529"/>
      </w:pPr>
      <w:rPr>
        <w:rFonts w:hint="default"/>
        <w:lang w:val="en-US" w:eastAsia="zh-CN" w:bidi="ar-SA"/>
      </w:rPr>
    </w:lvl>
    <w:lvl w:ilvl="8">
      <w:start w:val="0"/>
      <w:numFmt w:val="bullet"/>
      <w:lvlText w:val="•"/>
      <w:lvlJc w:val="left"/>
      <w:pPr>
        <w:ind w:left="5558" w:hanging="529"/>
      </w:pPr>
      <w:rPr>
        <w:rFonts w:hint="default"/>
        <w:lang w:val="en-US" w:eastAsia="zh-CN" w:bidi="ar-SA"/>
      </w:rPr>
    </w:lvl>
  </w:abstractNum>
  <w:abstractNum w:abstractNumId="13">
    <w:multiLevelType w:val="hybridMultilevel"/>
    <w:lvl w:ilvl="0">
      <w:start w:val="1"/>
      <w:numFmt w:val="decimal"/>
      <w:lvlText w:val="（%1）"/>
      <w:lvlJc w:val="left"/>
      <w:pPr>
        <w:ind w:left="3690"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4300" w:hanging="529"/>
      </w:pPr>
      <w:rPr>
        <w:rFonts w:hint="default"/>
        <w:lang w:val="en-US" w:eastAsia="zh-CN" w:bidi="ar-SA"/>
      </w:rPr>
    </w:lvl>
    <w:lvl w:ilvl="2">
      <w:start w:val="0"/>
      <w:numFmt w:val="bullet"/>
      <w:lvlText w:val="•"/>
      <w:lvlJc w:val="left"/>
      <w:pPr>
        <w:ind w:left="4901" w:hanging="529"/>
      </w:pPr>
      <w:rPr>
        <w:rFonts w:hint="default"/>
        <w:lang w:val="en-US" w:eastAsia="zh-CN" w:bidi="ar-SA"/>
      </w:rPr>
    </w:lvl>
    <w:lvl w:ilvl="3">
      <w:start w:val="0"/>
      <w:numFmt w:val="bullet"/>
      <w:lvlText w:val="•"/>
      <w:lvlJc w:val="left"/>
      <w:pPr>
        <w:ind w:left="5501" w:hanging="529"/>
      </w:pPr>
      <w:rPr>
        <w:rFonts w:hint="default"/>
        <w:lang w:val="en-US" w:eastAsia="zh-CN" w:bidi="ar-SA"/>
      </w:rPr>
    </w:lvl>
    <w:lvl w:ilvl="4">
      <w:start w:val="0"/>
      <w:numFmt w:val="bullet"/>
      <w:lvlText w:val="•"/>
      <w:lvlJc w:val="left"/>
      <w:pPr>
        <w:ind w:left="6102" w:hanging="529"/>
      </w:pPr>
      <w:rPr>
        <w:rFonts w:hint="default"/>
        <w:lang w:val="en-US" w:eastAsia="zh-CN" w:bidi="ar-SA"/>
      </w:rPr>
    </w:lvl>
    <w:lvl w:ilvl="5">
      <w:start w:val="0"/>
      <w:numFmt w:val="bullet"/>
      <w:lvlText w:val="•"/>
      <w:lvlJc w:val="left"/>
      <w:pPr>
        <w:ind w:left="6703" w:hanging="529"/>
      </w:pPr>
      <w:rPr>
        <w:rFonts w:hint="default"/>
        <w:lang w:val="en-US" w:eastAsia="zh-CN" w:bidi="ar-SA"/>
      </w:rPr>
    </w:lvl>
    <w:lvl w:ilvl="6">
      <w:start w:val="0"/>
      <w:numFmt w:val="bullet"/>
      <w:lvlText w:val="•"/>
      <w:lvlJc w:val="left"/>
      <w:pPr>
        <w:ind w:left="7303" w:hanging="529"/>
      </w:pPr>
      <w:rPr>
        <w:rFonts w:hint="default"/>
        <w:lang w:val="en-US" w:eastAsia="zh-CN" w:bidi="ar-SA"/>
      </w:rPr>
    </w:lvl>
    <w:lvl w:ilvl="7">
      <w:start w:val="0"/>
      <w:numFmt w:val="bullet"/>
      <w:lvlText w:val="•"/>
      <w:lvlJc w:val="left"/>
      <w:pPr>
        <w:ind w:left="7904" w:hanging="529"/>
      </w:pPr>
      <w:rPr>
        <w:rFonts w:hint="default"/>
        <w:lang w:val="en-US" w:eastAsia="zh-CN" w:bidi="ar-SA"/>
      </w:rPr>
    </w:lvl>
    <w:lvl w:ilvl="8">
      <w:start w:val="0"/>
      <w:numFmt w:val="bullet"/>
      <w:lvlText w:val="•"/>
      <w:lvlJc w:val="left"/>
      <w:pPr>
        <w:ind w:left="8505" w:hanging="529"/>
      </w:pPr>
      <w:rPr>
        <w:rFonts w:hint="default"/>
        <w:lang w:val="en-US" w:eastAsia="zh-CN" w:bidi="ar-SA"/>
      </w:rPr>
    </w:lvl>
  </w:abstractNum>
  <w:abstractNum w:abstractNumId="12">
    <w:multiLevelType w:val="hybridMultilevel"/>
    <w:lvl w:ilvl="0">
      <w:start w:val="8"/>
      <w:numFmt w:val="decimal"/>
      <w:lvlText w:val="%1"/>
      <w:lvlJc w:val="left"/>
      <w:pPr>
        <w:ind w:left="1321" w:hanging="110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32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698" w:hanging="534"/>
        <w:jc w:val="left"/>
      </w:pPr>
      <w:rPr>
        <w:rFonts w:hint="default" w:ascii="宋体" w:hAnsi="宋体" w:eastAsia="宋体" w:cs="宋体"/>
        <w:b w:val="0"/>
        <w:bCs w:val="0"/>
        <w:i w:val="0"/>
        <w:iCs w:val="0"/>
        <w:spacing w:val="0"/>
        <w:w w:val="100"/>
        <w:sz w:val="19"/>
        <w:szCs w:val="19"/>
        <w:lang w:val="en-US" w:eastAsia="zh-CN" w:bidi="ar-SA"/>
      </w:rPr>
    </w:lvl>
    <w:lvl w:ilvl="3">
      <w:start w:val="0"/>
      <w:numFmt w:val="bullet"/>
      <w:lvlText w:val="•"/>
      <w:lvlJc w:val="left"/>
      <w:pPr>
        <w:ind w:left="5034" w:hanging="534"/>
      </w:pPr>
      <w:rPr>
        <w:rFonts w:hint="default"/>
        <w:lang w:val="en-US" w:eastAsia="zh-CN" w:bidi="ar-SA"/>
      </w:rPr>
    </w:lvl>
    <w:lvl w:ilvl="4">
      <w:start w:val="0"/>
      <w:numFmt w:val="bullet"/>
      <w:lvlText w:val="•"/>
      <w:lvlJc w:val="left"/>
      <w:pPr>
        <w:ind w:left="5702" w:hanging="534"/>
      </w:pPr>
      <w:rPr>
        <w:rFonts w:hint="default"/>
        <w:lang w:val="en-US" w:eastAsia="zh-CN" w:bidi="ar-SA"/>
      </w:rPr>
    </w:lvl>
    <w:lvl w:ilvl="5">
      <w:start w:val="0"/>
      <w:numFmt w:val="bullet"/>
      <w:lvlText w:val="•"/>
      <w:lvlJc w:val="left"/>
      <w:pPr>
        <w:ind w:left="6369" w:hanging="534"/>
      </w:pPr>
      <w:rPr>
        <w:rFonts w:hint="default"/>
        <w:lang w:val="en-US" w:eastAsia="zh-CN" w:bidi="ar-SA"/>
      </w:rPr>
    </w:lvl>
    <w:lvl w:ilvl="6">
      <w:start w:val="0"/>
      <w:numFmt w:val="bullet"/>
      <w:lvlText w:val="•"/>
      <w:lvlJc w:val="left"/>
      <w:pPr>
        <w:ind w:left="7036" w:hanging="534"/>
      </w:pPr>
      <w:rPr>
        <w:rFonts w:hint="default"/>
        <w:lang w:val="en-US" w:eastAsia="zh-CN" w:bidi="ar-SA"/>
      </w:rPr>
    </w:lvl>
    <w:lvl w:ilvl="7">
      <w:start w:val="0"/>
      <w:numFmt w:val="bullet"/>
      <w:lvlText w:val="•"/>
      <w:lvlJc w:val="left"/>
      <w:pPr>
        <w:ind w:left="7704" w:hanging="534"/>
      </w:pPr>
      <w:rPr>
        <w:rFonts w:hint="default"/>
        <w:lang w:val="en-US" w:eastAsia="zh-CN" w:bidi="ar-SA"/>
      </w:rPr>
    </w:lvl>
    <w:lvl w:ilvl="8">
      <w:start w:val="0"/>
      <w:numFmt w:val="bullet"/>
      <w:lvlText w:val="•"/>
      <w:lvlJc w:val="left"/>
      <w:pPr>
        <w:ind w:left="8371" w:hanging="534"/>
      </w:pPr>
      <w:rPr>
        <w:rFonts w:hint="default"/>
        <w:lang w:val="en-US" w:eastAsia="zh-CN" w:bidi="ar-SA"/>
      </w:rPr>
    </w:lvl>
  </w:abstractNum>
  <w:abstractNum w:abstractNumId="11">
    <w:multiLevelType w:val="hybridMultilevel"/>
    <w:lvl w:ilvl="0">
      <w:start w:val="1"/>
      <w:numFmt w:val="decimal"/>
      <w:lvlText w:val="（%1）"/>
      <w:lvlJc w:val="left"/>
      <w:pPr>
        <w:ind w:left="60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167" w:hanging="529"/>
      </w:pPr>
      <w:rPr>
        <w:rFonts w:hint="default"/>
        <w:lang w:val="en-US" w:eastAsia="zh-CN" w:bidi="ar-SA"/>
      </w:rPr>
    </w:lvl>
    <w:lvl w:ilvl="2">
      <w:start w:val="0"/>
      <w:numFmt w:val="bullet"/>
      <w:lvlText w:val="•"/>
      <w:lvlJc w:val="left"/>
      <w:pPr>
        <w:ind w:left="1734" w:hanging="529"/>
      </w:pPr>
      <w:rPr>
        <w:rFonts w:hint="default"/>
        <w:lang w:val="en-US" w:eastAsia="zh-CN" w:bidi="ar-SA"/>
      </w:rPr>
    </w:lvl>
    <w:lvl w:ilvl="3">
      <w:start w:val="0"/>
      <w:numFmt w:val="bullet"/>
      <w:lvlText w:val="•"/>
      <w:lvlJc w:val="left"/>
      <w:pPr>
        <w:ind w:left="2301" w:hanging="529"/>
      </w:pPr>
      <w:rPr>
        <w:rFonts w:hint="default"/>
        <w:lang w:val="en-US" w:eastAsia="zh-CN" w:bidi="ar-SA"/>
      </w:rPr>
    </w:lvl>
    <w:lvl w:ilvl="4">
      <w:start w:val="0"/>
      <w:numFmt w:val="bullet"/>
      <w:lvlText w:val="•"/>
      <w:lvlJc w:val="left"/>
      <w:pPr>
        <w:ind w:left="2868" w:hanging="529"/>
      </w:pPr>
      <w:rPr>
        <w:rFonts w:hint="default"/>
        <w:lang w:val="en-US" w:eastAsia="zh-CN" w:bidi="ar-SA"/>
      </w:rPr>
    </w:lvl>
    <w:lvl w:ilvl="5">
      <w:start w:val="0"/>
      <w:numFmt w:val="bullet"/>
      <w:lvlText w:val="•"/>
      <w:lvlJc w:val="left"/>
      <w:pPr>
        <w:ind w:left="3436" w:hanging="529"/>
      </w:pPr>
      <w:rPr>
        <w:rFonts w:hint="default"/>
        <w:lang w:val="en-US" w:eastAsia="zh-CN" w:bidi="ar-SA"/>
      </w:rPr>
    </w:lvl>
    <w:lvl w:ilvl="6">
      <w:start w:val="0"/>
      <w:numFmt w:val="bullet"/>
      <w:lvlText w:val="•"/>
      <w:lvlJc w:val="left"/>
      <w:pPr>
        <w:ind w:left="4003" w:hanging="529"/>
      </w:pPr>
      <w:rPr>
        <w:rFonts w:hint="default"/>
        <w:lang w:val="en-US" w:eastAsia="zh-CN" w:bidi="ar-SA"/>
      </w:rPr>
    </w:lvl>
    <w:lvl w:ilvl="7">
      <w:start w:val="0"/>
      <w:numFmt w:val="bullet"/>
      <w:lvlText w:val="•"/>
      <w:lvlJc w:val="left"/>
      <w:pPr>
        <w:ind w:left="4570" w:hanging="529"/>
      </w:pPr>
      <w:rPr>
        <w:rFonts w:hint="default"/>
        <w:lang w:val="en-US" w:eastAsia="zh-CN" w:bidi="ar-SA"/>
      </w:rPr>
    </w:lvl>
    <w:lvl w:ilvl="8">
      <w:start w:val="0"/>
      <w:numFmt w:val="bullet"/>
      <w:lvlText w:val="•"/>
      <w:lvlJc w:val="left"/>
      <w:pPr>
        <w:ind w:left="5137" w:hanging="529"/>
      </w:pPr>
      <w:rPr>
        <w:rFonts w:hint="default"/>
        <w:lang w:val="en-US" w:eastAsia="zh-CN" w:bidi="ar-SA"/>
      </w:rPr>
    </w:lvl>
  </w:abstractNum>
  <w:abstractNum w:abstractNumId="10">
    <w:multiLevelType w:val="hybridMultilevel"/>
    <w:lvl w:ilvl="0">
      <w:start w:val="4"/>
      <w:numFmt w:val="decimal"/>
      <w:lvlText w:val="%1"/>
      <w:lvlJc w:val="left"/>
      <w:pPr>
        <w:ind w:left="1321" w:hanging="110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32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2997" w:hanging="1100"/>
      </w:pPr>
      <w:rPr>
        <w:rFonts w:hint="default"/>
        <w:lang w:val="en-US" w:eastAsia="zh-CN" w:bidi="ar-SA"/>
      </w:rPr>
    </w:lvl>
    <w:lvl w:ilvl="3">
      <w:start w:val="0"/>
      <w:numFmt w:val="bullet"/>
      <w:lvlText w:val="•"/>
      <w:lvlJc w:val="left"/>
      <w:pPr>
        <w:ind w:left="3835" w:hanging="1100"/>
      </w:pPr>
      <w:rPr>
        <w:rFonts w:hint="default"/>
        <w:lang w:val="en-US" w:eastAsia="zh-CN" w:bidi="ar-SA"/>
      </w:rPr>
    </w:lvl>
    <w:lvl w:ilvl="4">
      <w:start w:val="0"/>
      <w:numFmt w:val="bullet"/>
      <w:lvlText w:val="•"/>
      <w:lvlJc w:val="left"/>
      <w:pPr>
        <w:ind w:left="4674" w:hanging="1100"/>
      </w:pPr>
      <w:rPr>
        <w:rFonts w:hint="default"/>
        <w:lang w:val="en-US" w:eastAsia="zh-CN" w:bidi="ar-SA"/>
      </w:rPr>
    </w:lvl>
    <w:lvl w:ilvl="5">
      <w:start w:val="0"/>
      <w:numFmt w:val="bullet"/>
      <w:lvlText w:val="•"/>
      <w:lvlJc w:val="left"/>
      <w:pPr>
        <w:ind w:left="5513" w:hanging="1100"/>
      </w:pPr>
      <w:rPr>
        <w:rFonts w:hint="default"/>
        <w:lang w:val="en-US" w:eastAsia="zh-CN" w:bidi="ar-SA"/>
      </w:rPr>
    </w:lvl>
    <w:lvl w:ilvl="6">
      <w:start w:val="0"/>
      <w:numFmt w:val="bullet"/>
      <w:lvlText w:val="•"/>
      <w:lvlJc w:val="left"/>
      <w:pPr>
        <w:ind w:left="6351" w:hanging="1100"/>
      </w:pPr>
      <w:rPr>
        <w:rFonts w:hint="default"/>
        <w:lang w:val="en-US" w:eastAsia="zh-CN" w:bidi="ar-SA"/>
      </w:rPr>
    </w:lvl>
    <w:lvl w:ilvl="7">
      <w:start w:val="0"/>
      <w:numFmt w:val="bullet"/>
      <w:lvlText w:val="•"/>
      <w:lvlJc w:val="left"/>
      <w:pPr>
        <w:ind w:left="7190" w:hanging="1100"/>
      </w:pPr>
      <w:rPr>
        <w:rFonts w:hint="default"/>
        <w:lang w:val="en-US" w:eastAsia="zh-CN" w:bidi="ar-SA"/>
      </w:rPr>
    </w:lvl>
    <w:lvl w:ilvl="8">
      <w:start w:val="0"/>
      <w:numFmt w:val="bullet"/>
      <w:lvlText w:val="•"/>
      <w:lvlJc w:val="left"/>
      <w:pPr>
        <w:ind w:left="8029" w:hanging="1100"/>
      </w:pPr>
      <w:rPr>
        <w:rFonts w:hint="default"/>
        <w:lang w:val="en-US" w:eastAsia="zh-CN" w:bidi="ar-SA"/>
      </w:rPr>
    </w:lvl>
  </w:abstractNum>
  <w:abstractNum w:abstractNumId="9">
    <w:multiLevelType w:val="hybridMultilevel"/>
    <w:lvl w:ilvl="0">
      <w:start w:val="1"/>
      <w:numFmt w:val="decimal"/>
      <w:lvlText w:val="（%1）"/>
      <w:lvlJc w:val="left"/>
      <w:pPr>
        <w:ind w:left="705" w:hanging="529"/>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01" w:hanging="529"/>
      </w:pPr>
      <w:rPr>
        <w:rFonts w:hint="default"/>
        <w:lang w:val="en-US" w:eastAsia="zh-CN" w:bidi="ar-SA"/>
      </w:rPr>
    </w:lvl>
    <w:lvl w:ilvl="2">
      <w:start w:val="0"/>
      <w:numFmt w:val="bullet"/>
      <w:lvlText w:val="•"/>
      <w:lvlJc w:val="left"/>
      <w:pPr>
        <w:ind w:left="1903" w:hanging="529"/>
      </w:pPr>
      <w:rPr>
        <w:rFonts w:hint="default"/>
        <w:lang w:val="en-US" w:eastAsia="zh-CN" w:bidi="ar-SA"/>
      </w:rPr>
    </w:lvl>
    <w:lvl w:ilvl="3">
      <w:start w:val="0"/>
      <w:numFmt w:val="bullet"/>
      <w:lvlText w:val="•"/>
      <w:lvlJc w:val="left"/>
      <w:pPr>
        <w:ind w:left="2505" w:hanging="529"/>
      </w:pPr>
      <w:rPr>
        <w:rFonts w:hint="default"/>
        <w:lang w:val="en-US" w:eastAsia="zh-CN" w:bidi="ar-SA"/>
      </w:rPr>
    </w:lvl>
    <w:lvl w:ilvl="4">
      <w:start w:val="0"/>
      <w:numFmt w:val="bullet"/>
      <w:lvlText w:val="•"/>
      <w:lvlJc w:val="left"/>
      <w:pPr>
        <w:ind w:left="3107" w:hanging="529"/>
      </w:pPr>
      <w:rPr>
        <w:rFonts w:hint="default"/>
        <w:lang w:val="en-US" w:eastAsia="zh-CN" w:bidi="ar-SA"/>
      </w:rPr>
    </w:lvl>
    <w:lvl w:ilvl="5">
      <w:start w:val="0"/>
      <w:numFmt w:val="bullet"/>
      <w:lvlText w:val="•"/>
      <w:lvlJc w:val="left"/>
      <w:pPr>
        <w:ind w:left="3708" w:hanging="529"/>
      </w:pPr>
      <w:rPr>
        <w:rFonts w:hint="default"/>
        <w:lang w:val="en-US" w:eastAsia="zh-CN" w:bidi="ar-SA"/>
      </w:rPr>
    </w:lvl>
    <w:lvl w:ilvl="6">
      <w:start w:val="0"/>
      <w:numFmt w:val="bullet"/>
      <w:lvlText w:val="•"/>
      <w:lvlJc w:val="left"/>
      <w:pPr>
        <w:ind w:left="4310" w:hanging="529"/>
      </w:pPr>
      <w:rPr>
        <w:rFonts w:hint="default"/>
        <w:lang w:val="en-US" w:eastAsia="zh-CN" w:bidi="ar-SA"/>
      </w:rPr>
    </w:lvl>
    <w:lvl w:ilvl="7">
      <w:start w:val="0"/>
      <w:numFmt w:val="bullet"/>
      <w:lvlText w:val="•"/>
      <w:lvlJc w:val="left"/>
      <w:pPr>
        <w:ind w:left="4912" w:hanging="529"/>
      </w:pPr>
      <w:rPr>
        <w:rFonts w:hint="default"/>
        <w:lang w:val="en-US" w:eastAsia="zh-CN" w:bidi="ar-SA"/>
      </w:rPr>
    </w:lvl>
    <w:lvl w:ilvl="8">
      <w:start w:val="0"/>
      <w:numFmt w:val="bullet"/>
      <w:lvlText w:val="•"/>
      <w:lvlJc w:val="left"/>
      <w:pPr>
        <w:ind w:left="5514" w:hanging="529"/>
      </w:pPr>
      <w:rPr>
        <w:rFonts w:hint="default"/>
        <w:lang w:val="en-US" w:eastAsia="zh-CN" w:bidi="ar-SA"/>
      </w:rPr>
    </w:lvl>
  </w:abstractNum>
  <w:abstractNum w:abstractNumId="8">
    <w:multiLevelType w:val="hybridMultilevel"/>
    <w:lvl w:ilvl="0">
      <w:start w:val="3"/>
      <w:numFmt w:val="decimal"/>
      <w:lvlText w:val="%1"/>
      <w:lvlJc w:val="left"/>
      <w:pPr>
        <w:ind w:left="1321" w:hanging="1100"/>
        <w:jc w:val="left"/>
      </w:pPr>
      <w:rPr>
        <w:rFonts w:hint="default"/>
        <w:lang w:val="en-US" w:eastAsia="zh-CN" w:bidi="ar-SA"/>
      </w:rPr>
    </w:lvl>
    <w:lvl w:ilvl="1">
      <w:start w:val="4"/>
      <w:numFmt w:val="decimal"/>
      <w:lvlText w:val="%1.%2"/>
      <w:lvlJc w:val="left"/>
      <w:pPr>
        <w:ind w:left="132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1645" w:hanging="1100"/>
      </w:pPr>
      <w:rPr>
        <w:rFonts w:hint="default"/>
        <w:lang w:val="en-US" w:eastAsia="zh-CN" w:bidi="ar-SA"/>
      </w:rPr>
    </w:lvl>
    <w:lvl w:ilvl="3">
      <w:start w:val="0"/>
      <w:numFmt w:val="bullet"/>
      <w:lvlText w:val="•"/>
      <w:lvlJc w:val="left"/>
      <w:pPr>
        <w:ind w:left="1808" w:hanging="1100"/>
      </w:pPr>
      <w:rPr>
        <w:rFonts w:hint="default"/>
        <w:lang w:val="en-US" w:eastAsia="zh-CN" w:bidi="ar-SA"/>
      </w:rPr>
    </w:lvl>
    <w:lvl w:ilvl="4">
      <w:start w:val="0"/>
      <w:numFmt w:val="bullet"/>
      <w:lvlText w:val="•"/>
      <w:lvlJc w:val="left"/>
      <w:pPr>
        <w:ind w:left="1971" w:hanging="1100"/>
      </w:pPr>
      <w:rPr>
        <w:rFonts w:hint="default"/>
        <w:lang w:val="en-US" w:eastAsia="zh-CN" w:bidi="ar-SA"/>
      </w:rPr>
    </w:lvl>
    <w:lvl w:ilvl="5">
      <w:start w:val="0"/>
      <w:numFmt w:val="bullet"/>
      <w:lvlText w:val="•"/>
      <w:lvlJc w:val="left"/>
      <w:pPr>
        <w:ind w:left="2134" w:hanging="1100"/>
      </w:pPr>
      <w:rPr>
        <w:rFonts w:hint="default"/>
        <w:lang w:val="en-US" w:eastAsia="zh-CN" w:bidi="ar-SA"/>
      </w:rPr>
    </w:lvl>
    <w:lvl w:ilvl="6">
      <w:start w:val="0"/>
      <w:numFmt w:val="bullet"/>
      <w:lvlText w:val="•"/>
      <w:lvlJc w:val="left"/>
      <w:pPr>
        <w:ind w:left="2297" w:hanging="1100"/>
      </w:pPr>
      <w:rPr>
        <w:rFonts w:hint="default"/>
        <w:lang w:val="en-US" w:eastAsia="zh-CN" w:bidi="ar-SA"/>
      </w:rPr>
    </w:lvl>
    <w:lvl w:ilvl="7">
      <w:start w:val="0"/>
      <w:numFmt w:val="bullet"/>
      <w:lvlText w:val="•"/>
      <w:lvlJc w:val="left"/>
      <w:pPr>
        <w:ind w:left="2460" w:hanging="1100"/>
      </w:pPr>
      <w:rPr>
        <w:rFonts w:hint="default"/>
        <w:lang w:val="en-US" w:eastAsia="zh-CN" w:bidi="ar-SA"/>
      </w:rPr>
    </w:lvl>
    <w:lvl w:ilvl="8">
      <w:start w:val="0"/>
      <w:numFmt w:val="bullet"/>
      <w:lvlText w:val="•"/>
      <w:lvlJc w:val="left"/>
      <w:pPr>
        <w:ind w:left="2622" w:hanging="1100"/>
      </w:pPr>
      <w:rPr>
        <w:rFonts w:hint="default"/>
        <w:lang w:val="en-US" w:eastAsia="zh-CN" w:bidi="ar-SA"/>
      </w:rPr>
    </w:lvl>
  </w:abstractNum>
  <w:abstractNum w:abstractNumId="7">
    <w:multiLevelType w:val="hybridMultilevel"/>
    <w:lvl w:ilvl="0">
      <w:start w:val="1"/>
      <w:numFmt w:val="decimal"/>
      <w:lvlText w:val="（%1）"/>
      <w:lvlJc w:val="left"/>
      <w:pPr>
        <w:ind w:left="70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01" w:hanging="529"/>
      </w:pPr>
      <w:rPr>
        <w:rFonts w:hint="default"/>
        <w:lang w:val="en-US" w:eastAsia="zh-CN" w:bidi="ar-SA"/>
      </w:rPr>
    </w:lvl>
    <w:lvl w:ilvl="2">
      <w:start w:val="0"/>
      <w:numFmt w:val="bullet"/>
      <w:lvlText w:val="•"/>
      <w:lvlJc w:val="left"/>
      <w:pPr>
        <w:ind w:left="1903" w:hanging="529"/>
      </w:pPr>
      <w:rPr>
        <w:rFonts w:hint="default"/>
        <w:lang w:val="en-US" w:eastAsia="zh-CN" w:bidi="ar-SA"/>
      </w:rPr>
    </w:lvl>
    <w:lvl w:ilvl="3">
      <w:start w:val="0"/>
      <w:numFmt w:val="bullet"/>
      <w:lvlText w:val="•"/>
      <w:lvlJc w:val="left"/>
      <w:pPr>
        <w:ind w:left="2505" w:hanging="529"/>
      </w:pPr>
      <w:rPr>
        <w:rFonts w:hint="default"/>
        <w:lang w:val="en-US" w:eastAsia="zh-CN" w:bidi="ar-SA"/>
      </w:rPr>
    </w:lvl>
    <w:lvl w:ilvl="4">
      <w:start w:val="0"/>
      <w:numFmt w:val="bullet"/>
      <w:lvlText w:val="•"/>
      <w:lvlJc w:val="left"/>
      <w:pPr>
        <w:ind w:left="3106" w:hanging="529"/>
      </w:pPr>
      <w:rPr>
        <w:rFonts w:hint="default"/>
        <w:lang w:val="en-US" w:eastAsia="zh-CN" w:bidi="ar-SA"/>
      </w:rPr>
    </w:lvl>
    <w:lvl w:ilvl="5">
      <w:start w:val="0"/>
      <w:numFmt w:val="bullet"/>
      <w:lvlText w:val="•"/>
      <w:lvlJc w:val="left"/>
      <w:pPr>
        <w:ind w:left="3708" w:hanging="529"/>
      </w:pPr>
      <w:rPr>
        <w:rFonts w:hint="default"/>
        <w:lang w:val="en-US" w:eastAsia="zh-CN" w:bidi="ar-SA"/>
      </w:rPr>
    </w:lvl>
    <w:lvl w:ilvl="6">
      <w:start w:val="0"/>
      <w:numFmt w:val="bullet"/>
      <w:lvlText w:val="•"/>
      <w:lvlJc w:val="left"/>
      <w:pPr>
        <w:ind w:left="4310" w:hanging="529"/>
      </w:pPr>
      <w:rPr>
        <w:rFonts w:hint="default"/>
        <w:lang w:val="en-US" w:eastAsia="zh-CN" w:bidi="ar-SA"/>
      </w:rPr>
    </w:lvl>
    <w:lvl w:ilvl="7">
      <w:start w:val="0"/>
      <w:numFmt w:val="bullet"/>
      <w:lvlText w:val="•"/>
      <w:lvlJc w:val="left"/>
      <w:pPr>
        <w:ind w:left="4912" w:hanging="529"/>
      </w:pPr>
      <w:rPr>
        <w:rFonts w:hint="default"/>
        <w:lang w:val="en-US" w:eastAsia="zh-CN" w:bidi="ar-SA"/>
      </w:rPr>
    </w:lvl>
    <w:lvl w:ilvl="8">
      <w:start w:val="0"/>
      <w:numFmt w:val="bullet"/>
      <w:lvlText w:val="•"/>
      <w:lvlJc w:val="left"/>
      <w:pPr>
        <w:ind w:left="5513" w:hanging="529"/>
      </w:pPr>
      <w:rPr>
        <w:rFonts w:hint="default"/>
        <w:lang w:val="en-US" w:eastAsia="zh-CN" w:bidi="ar-SA"/>
      </w:rPr>
    </w:lvl>
  </w:abstractNum>
  <w:abstractNum w:abstractNumId="6">
    <w:multiLevelType w:val="hybridMultilevel"/>
    <w:lvl w:ilvl="0">
      <w:start w:val="1"/>
      <w:numFmt w:val="decimal"/>
      <w:lvlText w:val="（%1）"/>
      <w:lvlJc w:val="left"/>
      <w:pPr>
        <w:ind w:left="3694" w:hanging="529"/>
        <w:jc w:val="left"/>
      </w:pPr>
      <w:rPr>
        <w:rFonts w:hint="default" w:ascii="宋体" w:hAnsi="宋体" w:eastAsia="宋体" w:cs="宋体"/>
        <w:b/>
        <w:bCs/>
        <w:i w:val="0"/>
        <w:iCs w:val="0"/>
        <w:spacing w:val="-3"/>
        <w:w w:val="100"/>
        <w:sz w:val="19"/>
        <w:szCs w:val="19"/>
        <w:lang w:val="en-US" w:eastAsia="zh-CN" w:bidi="ar-SA"/>
      </w:rPr>
    </w:lvl>
    <w:lvl w:ilvl="1">
      <w:start w:val="0"/>
      <w:numFmt w:val="bullet"/>
      <w:lvlText w:val="•"/>
      <w:lvlJc w:val="left"/>
      <w:pPr>
        <w:ind w:left="4300" w:hanging="529"/>
      </w:pPr>
      <w:rPr>
        <w:rFonts w:hint="default"/>
        <w:lang w:val="en-US" w:eastAsia="zh-CN" w:bidi="ar-SA"/>
      </w:rPr>
    </w:lvl>
    <w:lvl w:ilvl="2">
      <w:start w:val="0"/>
      <w:numFmt w:val="bullet"/>
      <w:lvlText w:val="•"/>
      <w:lvlJc w:val="left"/>
      <w:pPr>
        <w:ind w:left="4901" w:hanging="529"/>
      </w:pPr>
      <w:rPr>
        <w:rFonts w:hint="default"/>
        <w:lang w:val="en-US" w:eastAsia="zh-CN" w:bidi="ar-SA"/>
      </w:rPr>
    </w:lvl>
    <w:lvl w:ilvl="3">
      <w:start w:val="0"/>
      <w:numFmt w:val="bullet"/>
      <w:lvlText w:val="•"/>
      <w:lvlJc w:val="left"/>
      <w:pPr>
        <w:ind w:left="5501" w:hanging="529"/>
      </w:pPr>
      <w:rPr>
        <w:rFonts w:hint="default"/>
        <w:lang w:val="en-US" w:eastAsia="zh-CN" w:bidi="ar-SA"/>
      </w:rPr>
    </w:lvl>
    <w:lvl w:ilvl="4">
      <w:start w:val="0"/>
      <w:numFmt w:val="bullet"/>
      <w:lvlText w:val="•"/>
      <w:lvlJc w:val="left"/>
      <w:pPr>
        <w:ind w:left="6102" w:hanging="529"/>
      </w:pPr>
      <w:rPr>
        <w:rFonts w:hint="default"/>
        <w:lang w:val="en-US" w:eastAsia="zh-CN" w:bidi="ar-SA"/>
      </w:rPr>
    </w:lvl>
    <w:lvl w:ilvl="5">
      <w:start w:val="0"/>
      <w:numFmt w:val="bullet"/>
      <w:lvlText w:val="•"/>
      <w:lvlJc w:val="left"/>
      <w:pPr>
        <w:ind w:left="6703" w:hanging="529"/>
      </w:pPr>
      <w:rPr>
        <w:rFonts w:hint="default"/>
        <w:lang w:val="en-US" w:eastAsia="zh-CN" w:bidi="ar-SA"/>
      </w:rPr>
    </w:lvl>
    <w:lvl w:ilvl="6">
      <w:start w:val="0"/>
      <w:numFmt w:val="bullet"/>
      <w:lvlText w:val="•"/>
      <w:lvlJc w:val="left"/>
      <w:pPr>
        <w:ind w:left="7303" w:hanging="529"/>
      </w:pPr>
      <w:rPr>
        <w:rFonts w:hint="default"/>
        <w:lang w:val="en-US" w:eastAsia="zh-CN" w:bidi="ar-SA"/>
      </w:rPr>
    </w:lvl>
    <w:lvl w:ilvl="7">
      <w:start w:val="0"/>
      <w:numFmt w:val="bullet"/>
      <w:lvlText w:val="•"/>
      <w:lvlJc w:val="left"/>
      <w:pPr>
        <w:ind w:left="7904" w:hanging="529"/>
      </w:pPr>
      <w:rPr>
        <w:rFonts w:hint="default"/>
        <w:lang w:val="en-US" w:eastAsia="zh-CN" w:bidi="ar-SA"/>
      </w:rPr>
    </w:lvl>
    <w:lvl w:ilvl="8">
      <w:start w:val="0"/>
      <w:numFmt w:val="bullet"/>
      <w:lvlText w:val="•"/>
      <w:lvlJc w:val="left"/>
      <w:pPr>
        <w:ind w:left="8505" w:hanging="529"/>
      </w:pPr>
      <w:rPr>
        <w:rFonts w:hint="default"/>
        <w:lang w:val="en-US" w:eastAsia="zh-CN" w:bidi="ar-SA"/>
      </w:rPr>
    </w:lvl>
  </w:abstractNum>
  <w:abstractNum w:abstractNumId="5">
    <w:multiLevelType w:val="hybridMultilevel"/>
    <w:lvl w:ilvl="0">
      <w:start w:val="1"/>
      <w:numFmt w:val="decimal"/>
      <w:lvlText w:val="（%1）"/>
      <w:lvlJc w:val="left"/>
      <w:pPr>
        <w:ind w:left="36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00" w:hanging="529"/>
      </w:pPr>
      <w:rPr>
        <w:rFonts w:hint="default"/>
        <w:lang w:val="en-US" w:eastAsia="zh-CN" w:bidi="ar-SA"/>
      </w:rPr>
    </w:lvl>
    <w:lvl w:ilvl="2">
      <w:start w:val="0"/>
      <w:numFmt w:val="bullet"/>
      <w:lvlText w:val="•"/>
      <w:lvlJc w:val="left"/>
      <w:pPr>
        <w:ind w:left="4901" w:hanging="529"/>
      </w:pPr>
      <w:rPr>
        <w:rFonts w:hint="default"/>
        <w:lang w:val="en-US" w:eastAsia="zh-CN" w:bidi="ar-SA"/>
      </w:rPr>
    </w:lvl>
    <w:lvl w:ilvl="3">
      <w:start w:val="0"/>
      <w:numFmt w:val="bullet"/>
      <w:lvlText w:val="•"/>
      <w:lvlJc w:val="left"/>
      <w:pPr>
        <w:ind w:left="5501" w:hanging="529"/>
      </w:pPr>
      <w:rPr>
        <w:rFonts w:hint="default"/>
        <w:lang w:val="en-US" w:eastAsia="zh-CN" w:bidi="ar-SA"/>
      </w:rPr>
    </w:lvl>
    <w:lvl w:ilvl="4">
      <w:start w:val="0"/>
      <w:numFmt w:val="bullet"/>
      <w:lvlText w:val="•"/>
      <w:lvlJc w:val="left"/>
      <w:pPr>
        <w:ind w:left="6102" w:hanging="529"/>
      </w:pPr>
      <w:rPr>
        <w:rFonts w:hint="default"/>
        <w:lang w:val="en-US" w:eastAsia="zh-CN" w:bidi="ar-SA"/>
      </w:rPr>
    </w:lvl>
    <w:lvl w:ilvl="5">
      <w:start w:val="0"/>
      <w:numFmt w:val="bullet"/>
      <w:lvlText w:val="•"/>
      <w:lvlJc w:val="left"/>
      <w:pPr>
        <w:ind w:left="6703" w:hanging="529"/>
      </w:pPr>
      <w:rPr>
        <w:rFonts w:hint="default"/>
        <w:lang w:val="en-US" w:eastAsia="zh-CN" w:bidi="ar-SA"/>
      </w:rPr>
    </w:lvl>
    <w:lvl w:ilvl="6">
      <w:start w:val="0"/>
      <w:numFmt w:val="bullet"/>
      <w:lvlText w:val="•"/>
      <w:lvlJc w:val="left"/>
      <w:pPr>
        <w:ind w:left="7303" w:hanging="529"/>
      </w:pPr>
      <w:rPr>
        <w:rFonts w:hint="default"/>
        <w:lang w:val="en-US" w:eastAsia="zh-CN" w:bidi="ar-SA"/>
      </w:rPr>
    </w:lvl>
    <w:lvl w:ilvl="7">
      <w:start w:val="0"/>
      <w:numFmt w:val="bullet"/>
      <w:lvlText w:val="•"/>
      <w:lvlJc w:val="left"/>
      <w:pPr>
        <w:ind w:left="7904" w:hanging="529"/>
      </w:pPr>
      <w:rPr>
        <w:rFonts w:hint="default"/>
        <w:lang w:val="en-US" w:eastAsia="zh-CN" w:bidi="ar-SA"/>
      </w:rPr>
    </w:lvl>
    <w:lvl w:ilvl="8">
      <w:start w:val="0"/>
      <w:numFmt w:val="bullet"/>
      <w:lvlText w:val="•"/>
      <w:lvlJc w:val="left"/>
      <w:pPr>
        <w:ind w:left="8505" w:hanging="529"/>
      </w:pPr>
      <w:rPr>
        <w:rFonts w:hint="default"/>
        <w:lang w:val="en-US" w:eastAsia="zh-CN" w:bidi="ar-SA"/>
      </w:rPr>
    </w:lvl>
  </w:abstractNum>
  <w:abstractNum w:abstractNumId="4">
    <w:multiLevelType w:val="hybridMultilevel"/>
    <w:lvl w:ilvl="0">
      <w:start w:val="1"/>
      <w:numFmt w:val="decimal"/>
      <w:lvlText w:val="（%1）"/>
      <w:lvlJc w:val="left"/>
      <w:pPr>
        <w:ind w:left="705" w:hanging="529"/>
        <w:jc w:val="left"/>
      </w:pPr>
      <w:rPr>
        <w:rFonts w:hint="default" w:ascii="宋体" w:hAnsi="宋体" w:eastAsia="宋体" w:cs="宋体"/>
        <w:b/>
        <w:bCs/>
        <w:i w:val="0"/>
        <w:iCs w:val="0"/>
        <w:spacing w:val="-3"/>
        <w:w w:val="100"/>
        <w:sz w:val="19"/>
        <w:szCs w:val="19"/>
        <w:lang w:val="en-US" w:eastAsia="zh-CN" w:bidi="ar-SA"/>
      </w:rPr>
    </w:lvl>
    <w:lvl w:ilvl="1">
      <w:start w:val="0"/>
      <w:numFmt w:val="bullet"/>
      <w:lvlText w:val="•"/>
      <w:lvlJc w:val="left"/>
      <w:pPr>
        <w:ind w:left="1301" w:hanging="529"/>
      </w:pPr>
      <w:rPr>
        <w:rFonts w:hint="default"/>
        <w:lang w:val="en-US" w:eastAsia="zh-CN" w:bidi="ar-SA"/>
      </w:rPr>
    </w:lvl>
    <w:lvl w:ilvl="2">
      <w:start w:val="0"/>
      <w:numFmt w:val="bullet"/>
      <w:lvlText w:val="•"/>
      <w:lvlJc w:val="left"/>
      <w:pPr>
        <w:ind w:left="1903" w:hanging="529"/>
      </w:pPr>
      <w:rPr>
        <w:rFonts w:hint="default"/>
        <w:lang w:val="en-US" w:eastAsia="zh-CN" w:bidi="ar-SA"/>
      </w:rPr>
    </w:lvl>
    <w:lvl w:ilvl="3">
      <w:start w:val="0"/>
      <w:numFmt w:val="bullet"/>
      <w:lvlText w:val="•"/>
      <w:lvlJc w:val="left"/>
      <w:pPr>
        <w:ind w:left="2505" w:hanging="529"/>
      </w:pPr>
      <w:rPr>
        <w:rFonts w:hint="default"/>
        <w:lang w:val="en-US" w:eastAsia="zh-CN" w:bidi="ar-SA"/>
      </w:rPr>
    </w:lvl>
    <w:lvl w:ilvl="4">
      <w:start w:val="0"/>
      <w:numFmt w:val="bullet"/>
      <w:lvlText w:val="•"/>
      <w:lvlJc w:val="left"/>
      <w:pPr>
        <w:ind w:left="3106" w:hanging="529"/>
      </w:pPr>
      <w:rPr>
        <w:rFonts w:hint="default"/>
        <w:lang w:val="en-US" w:eastAsia="zh-CN" w:bidi="ar-SA"/>
      </w:rPr>
    </w:lvl>
    <w:lvl w:ilvl="5">
      <w:start w:val="0"/>
      <w:numFmt w:val="bullet"/>
      <w:lvlText w:val="•"/>
      <w:lvlJc w:val="left"/>
      <w:pPr>
        <w:ind w:left="3708" w:hanging="529"/>
      </w:pPr>
      <w:rPr>
        <w:rFonts w:hint="default"/>
        <w:lang w:val="en-US" w:eastAsia="zh-CN" w:bidi="ar-SA"/>
      </w:rPr>
    </w:lvl>
    <w:lvl w:ilvl="6">
      <w:start w:val="0"/>
      <w:numFmt w:val="bullet"/>
      <w:lvlText w:val="•"/>
      <w:lvlJc w:val="left"/>
      <w:pPr>
        <w:ind w:left="4310" w:hanging="529"/>
      </w:pPr>
      <w:rPr>
        <w:rFonts w:hint="default"/>
        <w:lang w:val="en-US" w:eastAsia="zh-CN" w:bidi="ar-SA"/>
      </w:rPr>
    </w:lvl>
    <w:lvl w:ilvl="7">
      <w:start w:val="0"/>
      <w:numFmt w:val="bullet"/>
      <w:lvlText w:val="•"/>
      <w:lvlJc w:val="left"/>
      <w:pPr>
        <w:ind w:left="4912" w:hanging="529"/>
      </w:pPr>
      <w:rPr>
        <w:rFonts w:hint="default"/>
        <w:lang w:val="en-US" w:eastAsia="zh-CN" w:bidi="ar-SA"/>
      </w:rPr>
    </w:lvl>
    <w:lvl w:ilvl="8">
      <w:start w:val="0"/>
      <w:numFmt w:val="bullet"/>
      <w:lvlText w:val="•"/>
      <w:lvlJc w:val="left"/>
      <w:pPr>
        <w:ind w:left="5513" w:hanging="529"/>
      </w:pPr>
      <w:rPr>
        <w:rFonts w:hint="default"/>
        <w:lang w:val="en-US" w:eastAsia="zh-CN" w:bidi="ar-SA"/>
      </w:rPr>
    </w:lvl>
  </w:abstractNum>
  <w:abstractNum w:abstractNumId="3">
    <w:multiLevelType w:val="hybridMultilevel"/>
    <w:lvl w:ilvl="0">
      <w:start w:val="1"/>
      <w:numFmt w:val="decimal"/>
      <w:lvlText w:val="%1"/>
      <w:lvlJc w:val="left"/>
      <w:pPr>
        <w:ind w:left="1321" w:hanging="110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321" w:hanging="110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694" w:hanging="529"/>
        <w:jc w:val="left"/>
      </w:pPr>
      <w:rPr>
        <w:rFonts w:hint="default"/>
        <w:spacing w:val="-3"/>
        <w:w w:val="100"/>
        <w:lang w:val="en-US" w:eastAsia="zh-CN" w:bidi="ar-SA"/>
      </w:rPr>
    </w:lvl>
    <w:lvl w:ilvl="3">
      <w:start w:val="0"/>
      <w:numFmt w:val="bullet"/>
      <w:lvlText w:val="•"/>
      <w:lvlJc w:val="left"/>
      <w:pPr>
        <w:ind w:left="5034" w:hanging="529"/>
      </w:pPr>
      <w:rPr>
        <w:rFonts w:hint="default"/>
        <w:lang w:val="en-US" w:eastAsia="zh-CN" w:bidi="ar-SA"/>
      </w:rPr>
    </w:lvl>
    <w:lvl w:ilvl="4">
      <w:start w:val="0"/>
      <w:numFmt w:val="bullet"/>
      <w:lvlText w:val="•"/>
      <w:lvlJc w:val="left"/>
      <w:pPr>
        <w:ind w:left="5702" w:hanging="529"/>
      </w:pPr>
      <w:rPr>
        <w:rFonts w:hint="default"/>
        <w:lang w:val="en-US" w:eastAsia="zh-CN" w:bidi="ar-SA"/>
      </w:rPr>
    </w:lvl>
    <w:lvl w:ilvl="5">
      <w:start w:val="0"/>
      <w:numFmt w:val="bullet"/>
      <w:lvlText w:val="•"/>
      <w:lvlJc w:val="left"/>
      <w:pPr>
        <w:ind w:left="6369" w:hanging="529"/>
      </w:pPr>
      <w:rPr>
        <w:rFonts w:hint="default"/>
        <w:lang w:val="en-US" w:eastAsia="zh-CN" w:bidi="ar-SA"/>
      </w:rPr>
    </w:lvl>
    <w:lvl w:ilvl="6">
      <w:start w:val="0"/>
      <w:numFmt w:val="bullet"/>
      <w:lvlText w:val="•"/>
      <w:lvlJc w:val="left"/>
      <w:pPr>
        <w:ind w:left="7036" w:hanging="529"/>
      </w:pPr>
      <w:rPr>
        <w:rFonts w:hint="default"/>
        <w:lang w:val="en-US" w:eastAsia="zh-CN" w:bidi="ar-SA"/>
      </w:rPr>
    </w:lvl>
    <w:lvl w:ilvl="7">
      <w:start w:val="0"/>
      <w:numFmt w:val="bullet"/>
      <w:lvlText w:val="•"/>
      <w:lvlJc w:val="left"/>
      <w:pPr>
        <w:ind w:left="7704" w:hanging="529"/>
      </w:pPr>
      <w:rPr>
        <w:rFonts w:hint="default"/>
        <w:lang w:val="en-US" w:eastAsia="zh-CN" w:bidi="ar-SA"/>
      </w:rPr>
    </w:lvl>
    <w:lvl w:ilvl="8">
      <w:start w:val="0"/>
      <w:numFmt w:val="bullet"/>
      <w:lvlText w:val="•"/>
      <w:lvlJc w:val="left"/>
      <w:pPr>
        <w:ind w:left="8371" w:hanging="529"/>
      </w:pPr>
      <w:rPr>
        <w:rFonts w:hint="default"/>
        <w:lang w:val="en-US" w:eastAsia="zh-CN" w:bidi="ar-SA"/>
      </w:rPr>
    </w:lvl>
  </w:abstractNum>
  <w:abstractNum w:abstractNumId="2">
    <w:multiLevelType w:val="hybridMultilevel"/>
    <w:lvl w:ilvl="0">
      <w:start w:val="0"/>
      <w:numFmt w:val="bullet"/>
      <w:lvlText w:val=""/>
      <w:lvlJc w:val="left"/>
      <w:pPr>
        <w:ind w:left="377" w:hanging="264"/>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973" w:hanging="264"/>
      </w:pPr>
      <w:rPr>
        <w:rFonts w:hint="default"/>
        <w:lang w:val="en-US" w:eastAsia="zh-CN" w:bidi="ar-SA"/>
      </w:rPr>
    </w:lvl>
    <w:lvl w:ilvl="2">
      <w:start w:val="0"/>
      <w:numFmt w:val="bullet"/>
      <w:lvlText w:val="•"/>
      <w:lvlJc w:val="left"/>
      <w:pPr>
        <w:ind w:left="1567" w:hanging="264"/>
      </w:pPr>
      <w:rPr>
        <w:rFonts w:hint="default"/>
        <w:lang w:val="en-US" w:eastAsia="zh-CN" w:bidi="ar-SA"/>
      </w:rPr>
    </w:lvl>
    <w:lvl w:ilvl="3">
      <w:start w:val="0"/>
      <w:numFmt w:val="bullet"/>
      <w:lvlText w:val="•"/>
      <w:lvlJc w:val="left"/>
      <w:pPr>
        <w:ind w:left="2161" w:hanging="264"/>
      </w:pPr>
      <w:rPr>
        <w:rFonts w:hint="default"/>
        <w:lang w:val="en-US" w:eastAsia="zh-CN" w:bidi="ar-SA"/>
      </w:rPr>
    </w:lvl>
    <w:lvl w:ilvl="4">
      <w:start w:val="0"/>
      <w:numFmt w:val="bullet"/>
      <w:lvlText w:val="•"/>
      <w:lvlJc w:val="left"/>
      <w:pPr>
        <w:ind w:left="2755" w:hanging="264"/>
      </w:pPr>
      <w:rPr>
        <w:rFonts w:hint="default"/>
        <w:lang w:val="en-US" w:eastAsia="zh-CN" w:bidi="ar-SA"/>
      </w:rPr>
    </w:lvl>
    <w:lvl w:ilvl="5">
      <w:start w:val="0"/>
      <w:numFmt w:val="bullet"/>
      <w:lvlText w:val="•"/>
      <w:lvlJc w:val="left"/>
      <w:pPr>
        <w:ind w:left="3349" w:hanging="264"/>
      </w:pPr>
      <w:rPr>
        <w:rFonts w:hint="default"/>
        <w:lang w:val="en-US" w:eastAsia="zh-CN" w:bidi="ar-SA"/>
      </w:rPr>
    </w:lvl>
    <w:lvl w:ilvl="6">
      <w:start w:val="0"/>
      <w:numFmt w:val="bullet"/>
      <w:lvlText w:val="•"/>
      <w:lvlJc w:val="left"/>
      <w:pPr>
        <w:ind w:left="3943" w:hanging="264"/>
      </w:pPr>
      <w:rPr>
        <w:rFonts w:hint="default"/>
        <w:lang w:val="en-US" w:eastAsia="zh-CN" w:bidi="ar-SA"/>
      </w:rPr>
    </w:lvl>
    <w:lvl w:ilvl="7">
      <w:start w:val="0"/>
      <w:numFmt w:val="bullet"/>
      <w:lvlText w:val="•"/>
      <w:lvlJc w:val="left"/>
      <w:pPr>
        <w:ind w:left="4537" w:hanging="264"/>
      </w:pPr>
      <w:rPr>
        <w:rFonts w:hint="default"/>
        <w:lang w:val="en-US" w:eastAsia="zh-CN" w:bidi="ar-SA"/>
      </w:rPr>
    </w:lvl>
    <w:lvl w:ilvl="8">
      <w:start w:val="0"/>
      <w:numFmt w:val="bullet"/>
      <w:lvlText w:val="•"/>
      <w:lvlJc w:val="left"/>
      <w:pPr>
        <w:ind w:left="5131" w:hanging="264"/>
      </w:pPr>
      <w:rPr>
        <w:rFonts w:hint="default"/>
        <w:lang w:val="en-US" w:eastAsia="zh-CN" w:bidi="ar-SA"/>
      </w:rPr>
    </w:lvl>
  </w:abstractNum>
  <w:abstractNum w:abstractNumId="1">
    <w:multiLevelType w:val="hybridMultilevel"/>
    <w:lvl w:ilvl="0">
      <w:start w:val="0"/>
      <w:numFmt w:val="bullet"/>
      <w:lvlText w:val=""/>
      <w:lvlJc w:val="left"/>
      <w:pPr>
        <w:ind w:left="377" w:hanging="264"/>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973" w:hanging="264"/>
      </w:pPr>
      <w:rPr>
        <w:rFonts w:hint="default"/>
        <w:lang w:val="en-US" w:eastAsia="zh-CN" w:bidi="ar-SA"/>
      </w:rPr>
    </w:lvl>
    <w:lvl w:ilvl="2">
      <w:start w:val="0"/>
      <w:numFmt w:val="bullet"/>
      <w:lvlText w:val="•"/>
      <w:lvlJc w:val="left"/>
      <w:pPr>
        <w:ind w:left="1567" w:hanging="264"/>
      </w:pPr>
      <w:rPr>
        <w:rFonts w:hint="default"/>
        <w:lang w:val="en-US" w:eastAsia="zh-CN" w:bidi="ar-SA"/>
      </w:rPr>
    </w:lvl>
    <w:lvl w:ilvl="3">
      <w:start w:val="0"/>
      <w:numFmt w:val="bullet"/>
      <w:lvlText w:val="•"/>
      <w:lvlJc w:val="left"/>
      <w:pPr>
        <w:ind w:left="2161" w:hanging="264"/>
      </w:pPr>
      <w:rPr>
        <w:rFonts w:hint="default"/>
        <w:lang w:val="en-US" w:eastAsia="zh-CN" w:bidi="ar-SA"/>
      </w:rPr>
    </w:lvl>
    <w:lvl w:ilvl="4">
      <w:start w:val="0"/>
      <w:numFmt w:val="bullet"/>
      <w:lvlText w:val="•"/>
      <w:lvlJc w:val="left"/>
      <w:pPr>
        <w:ind w:left="2755" w:hanging="264"/>
      </w:pPr>
      <w:rPr>
        <w:rFonts w:hint="default"/>
        <w:lang w:val="en-US" w:eastAsia="zh-CN" w:bidi="ar-SA"/>
      </w:rPr>
    </w:lvl>
    <w:lvl w:ilvl="5">
      <w:start w:val="0"/>
      <w:numFmt w:val="bullet"/>
      <w:lvlText w:val="•"/>
      <w:lvlJc w:val="left"/>
      <w:pPr>
        <w:ind w:left="3349" w:hanging="264"/>
      </w:pPr>
      <w:rPr>
        <w:rFonts w:hint="default"/>
        <w:lang w:val="en-US" w:eastAsia="zh-CN" w:bidi="ar-SA"/>
      </w:rPr>
    </w:lvl>
    <w:lvl w:ilvl="6">
      <w:start w:val="0"/>
      <w:numFmt w:val="bullet"/>
      <w:lvlText w:val="•"/>
      <w:lvlJc w:val="left"/>
      <w:pPr>
        <w:ind w:left="3943" w:hanging="264"/>
      </w:pPr>
      <w:rPr>
        <w:rFonts w:hint="default"/>
        <w:lang w:val="en-US" w:eastAsia="zh-CN" w:bidi="ar-SA"/>
      </w:rPr>
    </w:lvl>
    <w:lvl w:ilvl="7">
      <w:start w:val="0"/>
      <w:numFmt w:val="bullet"/>
      <w:lvlText w:val="•"/>
      <w:lvlJc w:val="left"/>
      <w:pPr>
        <w:ind w:left="4537" w:hanging="264"/>
      </w:pPr>
      <w:rPr>
        <w:rFonts w:hint="default"/>
        <w:lang w:val="en-US" w:eastAsia="zh-CN" w:bidi="ar-SA"/>
      </w:rPr>
    </w:lvl>
    <w:lvl w:ilvl="8">
      <w:start w:val="0"/>
      <w:numFmt w:val="bullet"/>
      <w:lvlText w:val="•"/>
      <w:lvlJc w:val="left"/>
      <w:pPr>
        <w:ind w:left="5131" w:hanging="264"/>
      </w:pPr>
      <w:rPr>
        <w:rFonts w:hint="default"/>
        <w:lang w:val="en-US" w:eastAsia="zh-CN" w:bidi="ar-SA"/>
      </w:rPr>
    </w:lvl>
  </w:abstractNum>
  <w:abstractNum w:abstractNumId="0">
    <w:multiLevelType w:val="hybridMultilevel"/>
    <w:lvl w:ilvl="0">
      <w:start w:val="0"/>
      <w:numFmt w:val="bullet"/>
      <w:lvlText w:val=""/>
      <w:lvlJc w:val="left"/>
      <w:pPr>
        <w:ind w:left="377" w:hanging="264"/>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973" w:hanging="264"/>
      </w:pPr>
      <w:rPr>
        <w:rFonts w:hint="default"/>
        <w:lang w:val="en-US" w:eastAsia="zh-CN" w:bidi="ar-SA"/>
      </w:rPr>
    </w:lvl>
    <w:lvl w:ilvl="2">
      <w:start w:val="0"/>
      <w:numFmt w:val="bullet"/>
      <w:lvlText w:val="•"/>
      <w:lvlJc w:val="left"/>
      <w:pPr>
        <w:ind w:left="1567" w:hanging="264"/>
      </w:pPr>
      <w:rPr>
        <w:rFonts w:hint="default"/>
        <w:lang w:val="en-US" w:eastAsia="zh-CN" w:bidi="ar-SA"/>
      </w:rPr>
    </w:lvl>
    <w:lvl w:ilvl="3">
      <w:start w:val="0"/>
      <w:numFmt w:val="bullet"/>
      <w:lvlText w:val="•"/>
      <w:lvlJc w:val="left"/>
      <w:pPr>
        <w:ind w:left="2161" w:hanging="264"/>
      </w:pPr>
      <w:rPr>
        <w:rFonts w:hint="default"/>
        <w:lang w:val="en-US" w:eastAsia="zh-CN" w:bidi="ar-SA"/>
      </w:rPr>
    </w:lvl>
    <w:lvl w:ilvl="4">
      <w:start w:val="0"/>
      <w:numFmt w:val="bullet"/>
      <w:lvlText w:val="•"/>
      <w:lvlJc w:val="left"/>
      <w:pPr>
        <w:ind w:left="2755" w:hanging="264"/>
      </w:pPr>
      <w:rPr>
        <w:rFonts w:hint="default"/>
        <w:lang w:val="en-US" w:eastAsia="zh-CN" w:bidi="ar-SA"/>
      </w:rPr>
    </w:lvl>
    <w:lvl w:ilvl="5">
      <w:start w:val="0"/>
      <w:numFmt w:val="bullet"/>
      <w:lvlText w:val="•"/>
      <w:lvlJc w:val="left"/>
      <w:pPr>
        <w:ind w:left="3349" w:hanging="264"/>
      </w:pPr>
      <w:rPr>
        <w:rFonts w:hint="default"/>
        <w:lang w:val="en-US" w:eastAsia="zh-CN" w:bidi="ar-SA"/>
      </w:rPr>
    </w:lvl>
    <w:lvl w:ilvl="6">
      <w:start w:val="0"/>
      <w:numFmt w:val="bullet"/>
      <w:lvlText w:val="•"/>
      <w:lvlJc w:val="left"/>
      <w:pPr>
        <w:ind w:left="3943" w:hanging="264"/>
      </w:pPr>
      <w:rPr>
        <w:rFonts w:hint="default"/>
        <w:lang w:val="en-US" w:eastAsia="zh-CN" w:bidi="ar-SA"/>
      </w:rPr>
    </w:lvl>
    <w:lvl w:ilvl="7">
      <w:start w:val="0"/>
      <w:numFmt w:val="bullet"/>
      <w:lvlText w:val="•"/>
      <w:lvlJc w:val="left"/>
      <w:pPr>
        <w:ind w:left="4537" w:hanging="264"/>
      </w:pPr>
      <w:rPr>
        <w:rFonts w:hint="default"/>
        <w:lang w:val="en-US" w:eastAsia="zh-CN" w:bidi="ar-SA"/>
      </w:rPr>
    </w:lvl>
    <w:lvl w:ilvl="8">
      <w:start w:val="0"/>
      <w:numFmt w:val="bullet"/>
      <w:lvlText w:val="•"/>
      <w:lvlJc w:val="left"/>
      <w:pPr>
        <w:ind w:left="5131" w:hanging="264"/>
      </w:pPr>
      <w:rPr>
        <w:rFonts w:hint="default"/>
        <w:lang w:val="en-US" w:eastAsia="zh-CN" w:bidi="ar-SA"/>
      </w:rPr>
    </w:lvl>
  </w:abstract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54"/>
      <w:ind w:left="216" w:right="402"/>
      <w:jc w:val="center"/>
      <w:outlineLvl w:val="1"/>
    </w:pPr>
    <w:rPr>
      <w:rFonts w:ascii="宋体" w:hAnsi="宋体" w:eastAsia="宋体" w:cs="宋体"/>
      <w:b/>
      <w:bCs/>
      <w:sz w:val="32"/>
      <w:szCs w:val="32"/>
      <w:lang w:val="en-US" w:eastAsia="zh-CN" w:bidi="ar-SA"/>
    </w:rPr>
  </w:style>
  <w:style w:styleId="Heading2" w:type="paragraph">
    <w:name w:val="Heading 2"/>
    <w:basedOn w:val="Normal"/>
    <w:uiPriority w:val="1"/>
    <w:qFormat/>
    <w:pPr>
      <w:ind w:left="1321" w:hanging="1100"/>
      <w:outlineLvl w:val="2"/>
    </w:pPr>
    <w:rPr>
      <w:rFonts w:ascii="宋体" w:hAnsi="宋体" w:eastAsia="宋体" w:cs="宋体"/>
      <w:b/>
      <w:bCs/>
      <w:sz w:val="24"/>
      <w:szCs w:val="24"/>
      <w:lang w:val="en-US" w:eastAsia="zh-CN" w:bidi="ar-SA"/>
    </w:rPr>
  </w:style>
  <w:style w:styleId="ListParagraph" w:type="paragraph">
    <w:name w:val="List Paragraph"/>
    <w:basedOn w:val="Normal"/>
    <w:uiPriority w:val="1"/>
    <w:qFormat/>
    <w:pPr>
      <w:ind w:left="1321" w:hanging="110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jpe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2023-06-02T02:39:03Z</dcterms:created>
  <dcterms:modified xsi:type="dcterms:W3CDTF">2023-06-02T02:39:03Z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