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6"/>
        <w:ind w:left="0" w:right="115"/>
        <w:jc w:val="right"/>
      </w:pPr>
      <w:r>
        <w:rPr>
          <w:spacing w:val="-2"/>
        </w:rPr>
        <w:t>中意人寿[2021</w:t>
      </w:r>
      <w:r>
        <w:rPr>
          <w:spacing w:val="-10"/>
        </w:rPr>
        <w:t>]疾病保险 </w:t>
      </w:r>
      <w:r>
        <w:rPr>
          <w:spacing w:val="-2"/>
        </w:rPr>
        <w:t>008</w:t>
      </w:r>
      <w:r>
        <w:rPr>
          <w:spacing w:val="-27"/>
        </w:rPr>
        <w:t> 号</w:t>
      </w:r>
    </w:p>
    <w:p>
      <w:pPr>
        <w:tabs>
          <w:tab w:pos="7825" w:val="left" w:leader="none"/>
        </w:tabs>
        <w:spacing w:line="240" w:lineRule="auto"/>
        <w:ind w:left="265" w:right="0" w:firstLine="0"/>
        <w:rPr>
          <w:sz w:val="20"/>
        </w:rPr>
      </w:pPr>
      <w:r>
        <w:rPr>
          <w:position w:val="11"/>
          <w:sz w:val="20"/>
        </w:rPr>
        <w:drawing>
          <wp:inline distT="0" distB="0" distL="0" distR="0">
            <wp:extent cx="1266797" cy="425196"/>
            <wp:effectExtent l="0" t="0" r="0" b="0"/>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1266797" cy="425196"/>
                    </a:xfrm>
                    <a:prstGeom prst="rect">
                      <a:avLst/>
                    </a:prstGeom>
                  </pic:spPr>
                </pic:pic>
              </a:graphicData>
            </a:graphic>
          </wp:inline>
        </w:drawing>
      </w:r>
      <w:r>
        <w:rPr>
          <w:position w:val="11"/>
          <w:sz w:val="20"/>
        </w:rPr>
      </w:r>
      <w:r>
        <w:rPr>
          <w:position w:val="11"/>
          <w:sz w:val="20"/>
        </w:rPr>
        <w:tab/>
      </w:r>
      <w:r>
        <w:rPr>
          <w:sz w:val="20"/>
        </w:rPr>
        <w:drawing>
          <wp:inline distT="0" distB="0" distL="0" distR="0">
            <wp:extent cx="723900" cy="723900"/>
            <wp:effectExtent l="0" t="0" r="0" b="0"/>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pStyle w:val="BodyText"/>
        <w:spacing w:before="5"/>
        <w:ind w:left="0"/>
        <w:rPr>
          <w:sz w:val="5"/>
        </w:rPr>
      </w:pPr>
    </w:p>
    <w:p>
      <w:pPr>
        <w:spacing w:after="0"/>
        <w:rPr>
          <w:sz w:val="5"/>
        </w:rPr>
        <w:sectPr>
          <w:type w:val="continuous"/>
          <w:pgSz w:w="11910" w:h="16840"/>
          <w:pgMar w:top="160" w:bottom="280" w:left="1480" w:right="440"/>
        </w:sectPr>
      </w:pPr>
    </w:p>
    <w:p>
      <w:pPr>
        <w:pStyle w:val="Title"/>
        <w:spacing w:line="582" w:lineRule="exact"/>
        <w:jc w:val="right"/>
      </w:pPr>
      <w:r>
        <w:rPr>
          <w:w w:val="95"/>
        </w:rPr>
        <w:t>阅</w:t>
      </w:r>
      <w:r>
        <w:rPr>
          <w:w w:val="95"/>
        </w:rPr>
        <w:t>读</w:t>
      </w:r>
      <w:r>
        <w:rPr>
          <w:w w:val="95"/>
        </w:rPr>
        <w:t>提</w:t>
      </w:r>
      <w:r>
        <w:rPr>
          <w:spacing w:val="-10"/>
          <w:w w:val="95"/>
        </w:rPr>
        <w:t>示</w:t>
      </w:r>
    </w:p>
    <w:p>
      <w:pPr>
        <w:pStyle w:val="BodyText"/>
        <w:spacing w:before="21"/>
        <w:ind w:left="265"/>
      </w:pPr>
      <w:r>
        <w:rPr/>
        <w:br w:type="column"/>
      </w:r>
      <w:r>
        <w:rPr>
          <w:spacing w:val="-3"/>
        </w:rPr>
        <w:t>请扫描以查询验证条款</w:t>
      </w:r>
    </w:p>
    <w:p>
      <w:pPr>
        <w:spacing w:after="0"/>
        <w:sectPr>
          <w:type w:val="continuous"/>
          <w:pgSz w:w="11910" w:h="16840"/>
          <w:pgMar w:top="160" w:bottom="280" w:left="1480" w:right="440"/>
          <w:cols w:num="2" w:equalWidth="0">
            <w:col w:w="5442" w:space="1639"/>
            <w:col w:w="2909"/>
          </w:cols>
        </w:sectPr>
      </w:pPr>
    </w:p>
    <w:p>
      <w:pPr>
        <w:spacing w:before="102"/>
        <w:ind w:left="1069" w:right="0" w:firstLine="0"/>
        <w:jc w:val="left"/>
        <w:rPr>
          <w:rFonts w:ascii="微软雅黑" w:eastAsia="微软雅黑"/>
          <w:b/>
          <w:sz w:val="21"/>
        </w:rPr>
      </w:pPr>
      <w:r>
        <w:rPr>
          <w:rFonts w:ascii="微软雅黑" w:eastAsia="微软雅黑"/>
          <w:b/>
          <w:spacing w:val="-3"/>
          <w:sz w:val="21"/>
        </w:rPr>
        <w:t>本阅读提示是为了帮助您更好理解条款，对本合同内容的解释以条款正文为准。</w:t>
      </w:r>
    </w:p>
    <w:p>
      <w:pPr>
        <w:pStyle w:val="BodyText"/>
        <w:spacing w:before="7"/>
        <w:ind w:left="0"/>
        <w:rPr>
          <w:rFonts w:ascii="微软雅黑"/>
          <w:b/>
          <w:sz w:val="10"/>
        </w:r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4"/>
        <w:gridCol w:w="6041"/>
        <w:gridCol w:w="1081"/>
        <w:gridCol w:w="782"/>
        <w:gridCol w:w="656"/>
      </w:tblGrid>
      <w:tr>
        <w:trPr>
          <w:trHeight w:val="277" w:hRule="atLeast"/>
        </w:trPr>
        <w:tc>
          <w:tcPr>
            <w:tcW w:w="364" w:type="dxa"/>
          </w:tcPr>
          <w:p>
            <w:pPr>
              <w:pStyle w:val="TableParagraph"/>
              <w:spacing w:line="256" w:lineRule="exact" w:before="1"/>
              <w:ind w:left="50"/>
              <w:rPr>
                <w:rFonts w:ascii="Symbol" w:hAnsi="Symbol"/>
                <w:b/>
                <w:sz w:val="21"/>
              </w:rPr>
            </w:pPr>
            <w:r>
              <w:rPr>
                <w:rFonts w:ascii="Symbol" w:hAnsi="Symbol"/>
                <w:b/>
                <w:w w:val="100"/>
                <w:sz w:val="21"/>
              </w:rPr>
              <w:t></w:t>
            </w:r>
          </w:p>
        </w:tc>
        <w:tc>
          <w:tcPr>
            <w:tcW w:w="6041" w:type="dxa"/>
          </w:tcPr>
          <w:p>
            <w:pPr>
              <w:pStyle w:val="TableParagraph"/>
              <w:spacing w:line="257" w:lineRule="exact"/>
              <w:ind w:left="105"/>
              <w:rPr>
                <w:rFonts w:ascii="微软雅黑" w:eastAsia="微软雅黑"/>
                <w:b/>
                <w:sz w:val="21"/>
              </w:rPr>
            </w:pPr>
            <w:r>
              <w:rPr>
                <w:rFonts w:ascii="微软雅黑" w:eastAsia="微软雅黑"/>
                <w:b/>
                <w:spacing w:val="-2"/>
                <w:sz w:val="21"/>
              </w:rPr>
              <w:t>您拥有的重要权益</w:t>
            </w:r>
          </w:p>
        </w:tc>
        <w:tc>
          <w:tcPr>
            <w:tcW w:w="2519" w:type="dxa"/>
            <w:gridSpan w:val="3"/>
          </w:tcPr>
          <w:p>
            <w:pPr>
              <w:pStyle w:val="TableParagraph"/>
              <w:rPr>
                <w:rFonts w:ascii="Times New Roman"/>
                <w:sz w:val="20"/>
              </w:rPr>
            </w:pPr>
          </w:p>
        </w:tc>
      </w:tr>
      <w:tr>
        <w:trPr>
          <w:trHeight w:val="272" w:hRule="atLeast"/>
        </w:trPr>
        <w:tc>
          <w:tcPr>
            <w:tcW w:w="364" w:type="dxa"/>
          </w:tcPr>
          <w:p>
            <w:pPr>
              <w:pStyle w:val="TableParagraph"/>
              <w:rPr>
                <w:rFonts w:ascii="Times New Roman"/>
                <w:sz w:val="20"/>
              </w:rPr>
            </w:pPr>
          </w:p>
        </w:tc>
        <w:tc>
          <w:tcPr>
            <w:tcW w:w="6041" w:type="dxa"/>
          </w:tcPr>
          <w:p>
            <w:pPr>
              <w:pStyle w:val="TableParagraph"/>
              <w:numPr>
                <w:ilvl w:val="0"/>
                <w:numId w:val="1"/>
              </w:numPr>
              <w:tabs>
                <w:tab w:pos="373" w:val="left" w:leader="none"/>
              </w:tabs>
              <w:spacing w:line="252" w:lineRule="exact" w:before="0" w:after="0"/>
              <w:ind w:left="372" w:right="0" w:hanging="268"/>
              <w:jc w:val="left"/>
              <w:rPr>
                <w:rFonts w:ascii="Times New Roman" w:hAnsi="Times New Roman" w:eastAsia="Times New Roman"/>
                <w:sz w:val="21"/>
              </w:rPr>
            </w:pPr>
            <w:r>
              <w:rPr>
                <w:spacing w:val="-1"/>
                <w:sz w:val="21"/>
              </w:rPr>
              <w:t>在犹豫期内您若要求解除合同，我们仅扣除工本费</w:t>
            </w:r>
            <w:r>
              <w:rPr>
                <w:rFonts w:ascii="Times New Roman" w:hAnsi="Times New Roman" w:eastAsia="Times New Roman"/>
                <w:spacing w:val="-42"/>
                <w:sz w:val="21"/>
              </w:rPr>
              <w:t>································</w:t>
            </w:r>
          </w:p>
        </w:tc>
        <w:tc>
          <w:tcPr>
            <w:tcW w:w="1081" w:type="dxa"/>
          </w:tcPr>
          <w:p>
            <w:pPr>
              <w:pStyle w:val="TableParagraph"/>
              <w:rPr>
                <w:rFonts w:ascii="Times New Roman"/>
                <w:sz w:val="20"/>
              </w:rPr>
            </w:pPr>
          </w:p>
        </w:tc>
        <w:tc>
          <w:tcPr>
            <w:tcW w:w="782" w:type="dxa"/>
          </w:tcPr>
          <w:p>
            <w:pPr>
              <w:pStyle w:val="TableParagraph"/>
              <w:spacing w:line="240" w:lineRule="exact" w:before="12"/>
              <w:ind w:left="124"/>
              <w:rPr>
                <w:rFonts w:ascii="Times New Roman" w:hAnsi="Times New Roman"/>
                <w:sz w:val="21"/>
              </w:rPr>
            </w:pPr>
            <w:r>
              <w:rPr>
                <w:rFonts w:ascii="Times New Roman" w:hAnsi="Times New Roman"/>
                <w:spacing w:val="-36"/>
                <w:sz w:val="21"/>
              </w:rPr>
              <w:t>··············</w:t>
            </w:r>
          </w:p>
        </w:tc>
        <w:tc>
          <w:tcPr>
            <w:tcW w:w="656" w:type="dxa"/>
          </w:tcPr>
          <w:p>
            <w:pPr>
              <w:pStyle w:val="TableParagraph"/>
              <w:spacing w:line="240" w:lineRule="exact" w:before="12"/>
              <w:ind w:right="48"/>
              <w:jc w:val="right"/>
              <w:rPr>
                <w:rFonts w:ascii="Times New Roman"/>
                <w:sz w:val="21"/>
              </w:rPr>
            </w:pPr>
            <w:r>
              <w:rPr>
                <w:rFonts w:ascii="Times New Roman"/>
                <w:spacing w:val="-5"/>
                <w:sz w:val="21"/>
              </w:rPr>
              <w:t>1.5</w:t>
            </w:r>
          </w:p>
        </w:tc>
      </w:tr>
      <w:tr>
        <w:trPr>
          <w:trHeight w:val="272" w:hRule="atLeast"/>
        </w:trPr>
        <w:tc>
          <w:tcPr>
            <w:tcW w:w="364" w:type="dxa"/>
          </w:tcPr>
          <w:p>
            <w:pPr>
              <w:pStyle w:val="TableParagraph"/>
              <w:rPr>
                <w:rFonts w:ascii="Times New Roman"/>
                <w:sz w:val="20"/>
              </w:rPr>
            </w:pPr>
          </w:p>
        </w:tc>
        <w:tc>
          <w:tcPr>
            <w:tcW w:w="6041" w:type="dxa"/>
          </w:tcPr>
          <w:p>
            <w:pPr>
              <w:pStyle w:val="TableParagraph"/>
              <w:numPr>
                <w:ilvl w:val="0"/>
                <w:numId w:val="2"/>
              </w:numPr>
              <w:tabs>
                <w:tab w:pos="373" w:val="left" w:leader="none"/>
              </w:tabs>
              <w:spacing w:line="252" w:lineRule="exact" w:before="0" w:after="0"/>
              <w:ind w:left="372" w:right="0" w:hanging="268"/>
              <w:jc w:val="left"/>
              <w:rPr>
                <w:rFonts w:ascii="Times New Roman" w:hAnsi="Times New Roman" w:eastAsia="Times New Roman"/>
                <w:sz w:val="21"/>
              </w:rPr>
            </w:pPr>
            <w:r>
              <w:rPr>
                <w:sz w:val="21"/>
              </w:rPr>
              <w:t>被保险人可以享有本合同提供的保障利益</w:t>
            </w:r>
            <w:r>
              <w:rPr>
                <w:rFonts w:ascii="Times New Roman" w:hAnsi="Times New Roman" w:eastAsia="Times New Roman"/>
                <w:spacing w:val="-42"/>
                <w:sz w:val="21"/>
              </w:rPr>
              <w:t>································</w:t>
            </w:r>
          </w:p>
        </w:tc>
        <w:tc>
          <w:tcPr>
            <w:tcW w:w="1081" w:type="dxa"/>
          </w:tcPr>
          <w:p>
            <w:pPr>
              <w:pStyle w:val="TableParagraph"/>
              <w:spacing w:line="241" w:lineRule="exact" w:before="11"/>
              <w:ind w:right="123"/>
              <w:jc w:val="right"/>
              <w:rPr>
                <w:rFonts w:ascii="Times New Roman" w:hAnsi="Times New Roman"/>
                <w:sz w:val="21"/>
              </w:rPr>
            </w:pPr>
            <w:r>
              <w:rPr>
                <w:rFonts w:ascii="Times New Roman" w:hAnsi="Times New Roman"/>
                <w:spacing w:val="-42"/>
                <w:sz w:val="21"/>
              </w:rPr>
              <w:t>··························</w:t>
            </w:r>
          </w:p>
        </w:tc>
        <w:tc>
          <w:tcPr>
            <w:tcW w:w="782" w:type="dxa"/>
          </w:tcPr>
          <w:p>
            <w:pPr>
              <w:pStyle w:val="TableParagraph"/>
              <w:rPr>
                <w:rFonts w:ascii="Times New Roman"/>
                <w:sz w:val="20"/>
              </w:rPr>
            </w:pPr>
          </w:p>
        </w:tc>
        <w:tc>
          <w:tcPr>
            <w:tcW w:w="656" w:type="dxa"/>
          </w:tcPr>
          <w:p>
            <w:pPr>
              <w:pStyle w:val="TableParagraph"/>
              <w:spacing w:line="241" w:lineRule="exact" w:before="11"/>
              <w:ind w:right="48"/>
              <w:jc w:val="right"/>
              <w:rPr>
                <w:rFonts w:ascii="Times New Roman"/>
                <w:sz w:val="21"/>
              </w:rPr>
            </w:pPr>
            <w:r>
              <w:rPr>
                <w:rFonts w:ascii="Times New Roman"/>
                <w:spacing w:val="-5"/>
                <w:sz w:val="21"/>
              </w:rPr>
              <w:t>2.4</w:t>
            </w:r>
          </w:p>
        </w:tc>
      </w:tr>
      <w:tr>
        <w:trPr>
          <w:trHeight w:val="254" w:hRule="atLeast"/>
        </w:trPr>
        <w:tc>
          <w:tcPr>
            <w:tcW w:w="364" w:type="dxa"/>
          </w:tcPr>
          <w:p>
            <w:pPr>
              <w:pStyle w:val="TableParagraph"/>
              <w:rPr>
                <w:rFonts w:ascii="Times New Roman"/>
                <w:sz w:val="18"/>
              </w:rPr>
            </w:pPr>
          </w:p>
        </w:tc>
        <w:tc>
          <w:tcPr>
            <w:tcW w:w="6041" w:type="dxa"/>
          </w:tcPr>
          <w:p>
            <w:pPr>
              <w:pStyle w:val="TableParagraph"/>
              <w:numPr>
                <w:ilvl w:val="0"/>
                <w:numId w:val="3"/>
              </w:numPr>
              <w:tabs>
                <w:tab w:pos="373" w:val="left" w:leader="none"/>
                <w:tab w:pos="4114" w:val="left" w:leader="none"/>
              </w:tabs>
              <w:spacing w:line="235" w:lineRule="exact" w:before="0" w:after="0"/>
              <w:ind w:left="372" w:right="0" w:hanging="268"/>
              <w:jc w:val="left"/>
              <w:rPr>
                <w:rFonts w:ascii="Times New Roman" w:hAnsi="Times New Roman" w:eastAsia="Times New Roman"/>
                <w:sz w:val="21"/>
              </w:rPr>
            </w:pPr>
            <w:r>
              <w:rPr>
                <w:spacing w:val="-2"/>
                <w:sz w:val="21"/>
              </w:rPr>
              <w:t>您</w:t>
            </w:r>
            <w:r>
              <w:rPr>
                <w:spacing w:val="-2"/>
                <w:sz w:val="21"/>
              </w:rPr>
              <w:t>有</w:t>
            </w:r>
            <w:r>
              <w:rPr>
                <w:spacing w:val="-2"/>
                <w:sz w:val="21"/>
              </w:rPr>
              <w:t>权解除</w:t>
            </w:r>
            <w:r>
              <w:rPr>
                <w:spacing w:val="-2"/>
                <w:sz w:val="21"/>
              </w:rPr>
              <w:t>合</w:t>
            </w:r>
            <w:r>
              <w:rPr>
                <w:spacing w:val="-2"/>
                <w:sz w:val="21"/>
              </w:rPr>
              <w:t>同</w:t>
            </w:r>
            <w:r>
              <w:rPr>
                <w:spacing w:val="-57"/>
                <w:sz w:val="21"/>
              </w:rPr>
              <w:t> </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tc>
        <w:tc>
          <w:tcPr>
            <w:tcW w:w="1081" w:type="dxa"/>
          </w:tcPr>
          <w:p>
            <w:pPr>
              <w:pStyle w:val="TableParagraph"/>
              <w:spacing w:line="222" w:lineRule="exact" w:before="13"/>
              <w:ind w:right="125"/>
              <w:jc w:val="right"/>
              <w:rPr>
                <w:rFonts w:ascii="Times New Roman" w:hAnsi="Times New Roman"/>
                <w:sz w:val="21"/>
              </w:rPr>
            </w:pPr>
            <w:r>
              <w:rPr>
                <w:rFonts w:ascii="Times New Roman" w:hAnsi="Times New Roman"/>
                <w:spacing w:val="-43"/>
                <w:sz w:val="21"/>
              </w:rPr>
              <w:t>·····························</w:t>
            </w:r>
          </w:p>
        </w:tc>
        <w:tc>
          <w:tcPr>
            <w:tcW w:w="782" w:type="dxa"/>
          </w:tcPr>
          <w:p>
            <w:pPr>
              <w:pStyle w:val="TableParagraph"/>
              <w:rPr>
                <w:rFonts w:ascii="Times New Roman"/>
                <w:sz w:val="18"/>
              </w:rPr>
            </w:pPr>
          </w:p>
        </w:tc>
        <w:tc>
          <w:tcPr>
            <w:tcW w:w="656" w:type="dxa"/>
          </w:tcPr>
          <w:p>
            <w:pPr>
              <w:pStyle w:val="TableParagraph"/>
              <w:spacing w:line="222" w:lineRule="exact" w:before="13"/>
              <w:ind w:right="50"/>
              <w:jc w:val="right"/>
              <w:rPr>
                <w:rFonts w:ascii="Times New Roman"/>
                <w:sz w:val="21"/>
              </w:rPr>
            </w:pPr>
            <w:r>
              <w:rPr>
                <w:rFonts w:ascii="Times New Roman"/>
                <w:w w:val="100"/>
                <w:sz w:val="21"/>
              </w:rPr>
              <w:t>7</w:t>
            </w:r>
          </w:p>
        </w:tc>
      </w:tr>
    </w:tbl>
    <w:p>
      <w:pPr>
        <w:pStyle w:val="BodyText"/>
        <w:spacing w:before="7"/>
        <w:ind w:left="0"/>
        <w:rPr>
          <w:rFonts w:ascii="微软雅黑"/>
          <w:b/>
          <w:sz w:val="10"/>
        </w:rPr>
      </w:pPr>
    </w:p>
    <w:p>
      <w:pPr>
        <w:tabs>
          <w:tab w:pos="641" w:val="left" w:leader="none"/>
        </w:tabs>
        <w:spacing w:line="363" w:lineRule="exact" w:before="1"/>
        <w:ind w:left="222" w:right="0" w:firstLine="0"/>
        <w:jc w:val="left"/>
        <w:rPr>
          <w:rFonts w:ascii="微软雅黑" w:hAnsi="微软雅黑" w:eastAsia="微软雅黑"/>
          <w:b/>
          <w:sz w:val="21"/>
        </w:rPr>
      </w:pPr>
      <w:r>
        <w:rPr>
          <w:rFonts w:ascii="Symbol" w:hAnsi="Symbol" w:eastAsia="Symbol"/>
          <w:b/>
          <w:spacing w:val="-10"/>
          <w:sz w:val="21"/>
        </w:rPr>
        <w:t></w:t>
      </w:r>
      <w:r>
        <w:rPr>
          <w:rFonts w:ascii="Times New Roman" w:hAnsi="Times New Roman" w:eastAsia="Times New Roman"/>
          <w:sz w:val="21"/>
        </w:rPr>
        <w:tab/>
      </w:r>
      <w:r>
        <w:rPr>
          <w:rFonts w:ascii="微软雅黑" w:hAnsi="微软雅黑" w:eastAsia="微软雅黑"/>
          <w:b/>
          <w:spacing w:val="-3"/>
          <w:sz w:val="21"/>
        </w:rPr>
        <w:t>您应当特别注意的事项</w:t>
      </w:r>
    </w:p>
    <w:p>
      <w:pPr>
        <w:pStyle w:val="ListParagraph"/>
        <w:numPr>
          <w:ilvl w:val="0"/>
          <w:numId w:val="4"/>
        </w:numPr>
        <w:tabs>
          <w:tab w:pos="909" w:val="left" w:leader="none"/>
          <w:tab w:pos="5639" w:val="left" w:leader="none"/>
        </w:tabs>
        <w:spacing w:line="245" w:lineRule="exact" w:before="0" w:after="25"/>
        <w:ind w:left="908" w:right="0" w:hanging="268"/>
        <w:jc w:val="left"/>
        <w:rPr>
          <w:rFonts w:ascii="Times New Roman" w:hAnsi="Times New Roman" w:eastAsia="Times New Roman"/>
          <w:sz w:val="21"/>
        </w:rPr>
      </w:pPr>
      <w:r>
        <w:rPr>
          <w:sz w:val="21"/>
        </w:rPr>
        <w:t>在某些情况下，我们不承</w:t>
      </w:r>
      <w:r>
        <w:rPr>
          <w:sz w:val="21"/>
        </w:rPr>
        <w:t>担保险责</w:t>
      </w:r>
      <w:r>
        <w:rPr>
          <w:spacing w:val="10"/>
          <w:sz w:val="21"/>
        </w:rPr>
        <w:t>任</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2"/>
          <w:sz w:val="21"/>
        </w:rPr>
        <w:t>1.5</w:t>
      </w:r>
      <w:r>
        <w:rPr>
          <w:spacing w:val="-2"/>
          <w:sz w:val="21"/>
        </w:rPr>
        <w:t>、</w:t>
      </w:r>
      <w:r>
        <w:rPr>
          <w:rFonts w:ascii="Times New Roman" w:hAnsi="Times New Roman" w:eastAsia="Times New Roman"/>
          <w:spacing w:val="-2"/>
          <w:sz w:val="21"/>
        </w:rPr>
        <w:t>2.6</w:t>
      </w:r>
      <w:r>
        <w:rPr>
          <w:spacing w:val="-2"/>
          <w:sz w:val="21"/>
        </w:rPr>
        <w:t>、</w:t>
      </w:r>
      <w:r>
        <w:rPr>
          <w:rFonts w:ascii="Times New Roman" w:hAnsi="Times New Roman" w:eastAsia="Times New Roman"/>
          <w:spacing w:val="-2"/>
          <w:sz w:val="21"/>
        </w:rPr>
        <w:t>3.2</w:t>
      </w:r>
      <w:r>
        <w:rPr>
          <w:spacing w:val="-2"/>
          <w:sz w:val="21"/>
        </w:rPr>
        <w:t>、</w:t>
      </w:r>
      <w:r>
        <w:rPr>
          <w:rFonts w:ascii="Times New Roman" w:hAnsi="Times New Roman" w:eastAsia="Times New Roman"/>
          <w:spacing w:val="-2"/>
          <w:sz w:val="21"/>
        </w:rPr>
        <w:t>6.1</w:t>
      </w:r>
      <w:r>
        <w:rPr>
          <w:spacing w:val="-2"/>
          <w:sz w:val="21"/>
        </w:rPr>
        <w:t>、</w:t>
      </w:r>
      <w:r>
        <w:rPr>
          <w:rFonts w:ascii="Times New Roman" w:hAnsi="Times New Roman" w:eastAsia="Times New Roman"/>
          <w:spacing w:val="-2"/>
          <w:sz w:val="21"/>
        </w:rPr>
        <w:t>9.1</w:t>
      </w:r>
      <w:r>
        <w:rPr>
          <w:spacing w:val="-2"/>
          <w:sz w:val="21"/>
        </w:rPr>
        <w:t>、</w:t>
      </w:r>
      <w:r>
        <w:rPr>
          <w:rFonts w:ascii="Times New Roman" w:hAnsi="Times New Roman" w:eastAsia="Times New Roman"/>
          <w:spacing w:val="-2"/>
          <w:sz w:val="21"/>
        </w:rPr>
        <w:t>10</w:t>
      </w:r>
      <w:r>
        <w:rPr>
          <w:spacing w:val="-2"/>
          <w:sz w:val="21"/>
        </w:rPr>
        <w:t>、</w:t>
      </w:r>
      <w:r>
        <w:rPr>
          <w:rFonts w:ascii="Times New Roman" w:hAnsi="Times New Roman" w:eastAsia="Times New Roman"/>
          <w:spacing w:val="-2"/>
          <w:sz w:val="21"/>
        </w:rPr>
        <w:t>11</w:t>
      </w:r>
      <w:r>
        <w:rPr>
          <w:spacing w:val="-2"/>
          <w:sz w:val="21"/>
        </w:rPr>
        <w:t>、</w:t>
      </w:r>
      <w:r>
        <w:rPr>
          <w:rFonts w:ascii="Times New Roman" w:hAnsi="Times New Roman" w:eastAsia="Times New Roman"/>
          <w:spacing w:val="-5"/>
          <w:sz w:val="21"/>
        </w:rPr>
        <w:t>12</w:t>
      </w:r>
    </w:p>
    <w:tbl>
      <w:tblPr>
        <w:tblW w:w="0" w:type="auto"/>
        <w:jc w:val="left"/>
        <w:tblInd w:w="5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254"/>
        <w:gridCol w:w="244"/>
        <w:gridCol w:w="905"/>
        <w:gridCol w:w="955"/>
        <w:gridCol w:w="608"/>
        <w:gridCol w:w="538"/>
      </w:tblGrid>
      <w:tr>
        <w:trPr>
          <w:trHeight w:val="253" w:hRule="atLeast"/>
        </w:trPr>
        <w:tc>
          <w:tcPr>
            <w:tcW w:w="5254" w:type="dxa"/>
          </w:tcPr>
          <w:p>
            <w:pPr>
              <w:pStyle w:val="TableParagraph"/>
              <w:numPr>
                <w:ilvl w:val="0"/>
                <w:numId w:val="5"/>
              </w:numPr>
              <w:tabs>
                <w:tab w:pos="317" w:val="left" w:leader="none"/>
              </w:tabs>
              <w:spacing w:line="233" w:lineRule="exact" w:before="0" w:after="0"/>
              <w:ind w:left="316" w:right="0" w:hanging="267"/>
              <w:jc w:val="left"/>
              <w:rPr>
                <w:rFonts w:ascii="Times New Roman" w:hAnsi="Times New Roman" w:eastAsia="Times New Roman"/>
                <w:sz w:val="21"/>
              </w:rPr>
            </w:pPr>
            <w:r>
              <w:rPr>
                <w:spacing w:val="1"/>
                <w:sz w:val="21"/>
              </w:rPr>
              <w:t>您应及时向我们通知保险事故</w:t>
            </w:r>
            <w:r>
              <w:rPr>
                <w:rFonts w:ascii="Times New Roman" w:hAnsi="Times New Roman" w:eastAsia="Times New Roman"/>
                <w:spacing w:val="-43"/>
                <w:sz w:val="21"/>
              </w:rPr>
              <w:t>································</w:t>
            </w:r>
          </w:p>
        </w:tc>
        <w:tc>
          <w:tcPr>
            <w:tcW w:w="1149" w:type="dxa"/>
            <w:gridSpan w:val="2"/>
          </w:tcPr>
          <w:p>
            <w:pPr>
              <w:pStyle w:val="TableParagraph"/>
              <w:spacing w:line="233" w:lineRule="exact"/>
              <w:ind w:left="57"/>
              <w:rPr>
                <w:rFonts w:ascii="Times New Roman" w:hAnsi="Times New Roman"/>
                <w:sz w:val="21"/>
              </w:rPr>
            </w:pPr>
            <w:r>
              <w:rPr>
                <w:rFonts w:ascii="Times New Roman" w:hAnsi="Times New Roman"/>
                <w:spacing w:val="-43"/>
                <w:sz w:val="21"/>
              </w:rPr>
              <w:t>································</w:t>
            </w:r>
          </w:p>
        </w:tc>
        <w:tc>
          <w:tcPr>
            <w:tcW w:w="955" w:type="dxa"/>
          </w:tcPr>
          <w:p>
            <w:pPr>
              <w:pStyle w:val="TableParagraph"/>
              <w:rPr>
                <w:rFonts w:ascii="Times New Roman"/>
                <w:sz w:val="18"/>
              </w:rPr>
            </w:pPr>
          </w:p>
        </w:tc>
        <w:tc>
          <w:tcPr>
            <w:tcW w:w="608" w:type="dxa"/>
          </w:tcPr>
          <w:p>
            <w:pPr>
              <w:pStyle w:val="TableParagraph"/>
              <w:spacing w:line="233" w:lineRule="exact"/>
              <w:ind w:left="181"/>
              <w:rPr>
                <w:rFonts w:ascii="Times New Roman" w:hAnsi="Times New Roman"/>
                <w:sz w:val="21"/>
              </w:rPr>
            </w:pPr>
            <w:r>
              <w:rPr>
                <w:rFonts w:ascii="Times New Roman" w:hAnsi="Times New Roman"/>
                <w:spacing w:val="-28"/>
                <w:sz w:val="21"/>
              </w:rPr>
              <w:t>·········</w:t>
            </w:r>
          </w:p>
        </w:tc>
        <w:tc>
          <w:tcPr>
            <w:tcW w:w="538" w:type="dxa"/>
          </w:tcPr>
          <w:p>
            <w:pPr>
              <w:pStyle w:val="TableParagraph"/>
              <w:spacing w:line="233" w:lineRule="exact"/>
              <w:ind w:right="49"/>
              <w:jc w:val="right"/>
              <w:rPr>
                <w:rFonts w:ascii="Times New Roman"/>
                <w:sz w:val="21"/>
              </w:rPr>
            </w:pPr>
            <w:r>
              <w:rPr>
                <w:rFonts w:ascii="Times New Roman"/>
                <w:spacing w:val="-5"/>
                <w:sz w:val="21"/>
              </w:rPr>
              <w:t>3.2</w:t>
            </w:r>
          </w:p>
        </w:tc>
      </w:tr>
      <w:tr>
        <w:trPr>
          <w:trHeight w:val="272" w:hRule="atLeast"/>
        </w:trPr>
        <w:tc>
          <w:tcPr>
            <w:tcW w:w="5254" w:type="dxa"/>
          </w:tcPr>
          <w:p>
            <w:pPr>
              <w:pStyle w:val="TableParagraph"/>
              <w:numPr>
                <w:ilvl w:val="0"/>
                <w:numId w:val="6"/>
              </w:numPr>
              <w:tabs>
                <w:tab w:pos="317" w:val="left" w:leader="none"/>
              </w:tabs>
              <w:spacing w:line="253" w:lineRule="exact" w:before="0" w:after="0"/>
              <w:ind w:left="316" w:right="0" w:hanging="267"/>
              <w:jc w:val="left"/>
              <w:rPr>
                <w:rFonts w:ascii="Times New Roman" w:hAnsi="Times New Roman" w:eastAsia="Times New Roman"/>
                <w:sz w:val="21"/>
              </w:rPr>
            </w:pPr>
            <w:r>
              <w:rPr>
                <w:sz w:val="21"/>
              </w:rPr>
              <w:t>受益人的保险金申请权应在一定期间内行使</w:t>
            </w:r>
            <w:r>
              <w:rPr>
                <w:rFonts w:ascii="Times New Roman" w:hAnsi="Times New Roman" w:eastAsia="Times New Roman"/>
                <w:spacing w:val="-42"/>
                <w:sz w:val="21"/>
              </w:rPr>
              <w:t>································</w:t>
            </w:r>
          </w:p>
        </w:tc>
        <w:tc>
          <w:tcPr>
            <w:tcW w:w="1149" w:type="dxa"/>
            <w:gridSpan w:val="2"/>
          </w:tcPr>
          <w:p>
            <w:pPr>
              <w:pStyle w:val="TableParagraph"/>
              <w:rPr>
                <w:rFonts w:ascii="Times New Roman"/>
                <w:sz w:val="20"/>
              </w:rPr>
            </w:pPr>
          </w:p>
        </w:tc>
        <w:tc>
          <w:tcPr>
            <w:tcW w:w="955" w:type="dxa"/>
          </w:tcPr>
          <w:p>
            <w:pPr>
              <w:pStyle w:val="TableParagraph"/>
              <w:spacing w:line="241" w:lineRule="exact" w:before="11"/>
              <w:ind w:left="161"/>
              <w:rPr>
                <w:rFonts w:ascii="Times New Roman" w:hAnsi="Times New Roman"/>
                <w:sz w:val="21"/>
              </w:rPr>
            </w:pPr>
            <w:r>
              <w:rPr>
                <w:rFonts w:ascii="Times New Roman" w:hAnsi="Times New Roman"/>
                <w:spacing w:val="-41"/>
                <w:sz w:val="21"/>
              </w:rPr>
              <w:t>·······················</w:t>
            </w:r>
          </w:p>
        </w:tc>
        <w:tc>
          <w:tcPr>
            <w:tcW w:w="608" w:type="dxa"/>
          </w:tcPr>
          <w:p>
            <w:pPr>
              <w:pStyle w:val="TableParagraph"/>
              <w:rPr>
                <w:rFonts w:ascii="Times New Roman"/>
                <w:sz w:val="20"/>
              </w:rPr>
            </w:pPr>
          </w:p>
        </w:tc>
        <w:tc>
          <w:tcPr>
            <w:tcW w:w="538" w:type="dxa"/>
          </w:tcPr>
          <w:p>
            <w:pPr>
              <w:pStyle w:val="TableParagraph"/>
              <w:spacing w:line="241" w:lineRule="exact" w:before="11"/>
              <w:ind w:right="49"/>
              <w:jc w:val="right"/>
              <w:rPr>
                <w:rFonts w:ascii="Times New Roman"/>
                <w:sz w:val="21"/>
              </w:rPr>
            </w:pPr>
            <w:r>
              <w:rPr>
                <w:rFonts w:ascii="Times New Roman"/>
                <w:spacing w:val="-5"/>
                <w:sz w:val="21"/>
              </w:rPr>
              <w:t>3.6</w:t>
            </w:r>
          </w:p>
        </w:tc>
      </w:tr>
      <w:tr>
        <w:trPr>
          <w:trHeight w:val="254" w:hRule="atLeast"/>
        </w:trPr>
        <w:tc>
          <w:tcPr>
            <w:tcW w:w="5254" w:type="dxa"/>
          </w:tcPr>
          <w:p>
            <w:pPr>
              <w:pStyle w:val="TableParagraph"/>
              <w:numPr>
                <w:ilvl w:val="0"/>
                <w:numId w:val="7"/>
              </w:numPr>
              <w:tabs>
                <w:tab w:pos="317" w:val="left" w:leader="none"/>
                <w:tab w:pos="4475" w:val="left" w:leader="none"/>
              </w:tabs>
              <w:spacing w:line="235" w:lineRule="exact" w:before="0" w:after="0"/>
              <w:ind w:left="316" w:right="0" w:hanging="267"/>
              <w:jc w:val="left"/>
              <w:rPr>
                <w:rFonts w:ascii="Times New Roman" w:hAnsi="Times New Roman" w:eastAsia="Times New Roman"/>
                <w:sz w:val="21"/>
              </w:rPr>
            </w:pPr>
            <w:r>
              <w:rPr>
                <w:spacing w:val="-2"/>
                <w:sz w:val="21"/>
              </w:rPr>
              <w:t>您</w:t>
            </w:r>
            <w:r>
              <w:rPr>
                <w:spacing w:val="-2"/>
                <w:sz w:val="21"/>
              </w:rPr>
              <w:t>应</w:t>
            </w:r>
            <w:r>
              <w:rPr>
                <w:spacing w:val="-2"/>
                <w:sz w:val="21"/>
              </w:rPr>
              <w:t>按时支付保</w:t>
            </w:r>
            <w:r>
              <w:rPr>
                <w:spacing w:val="-2"/>
                <w:sz w:val="21"/>
              </w:rPr>
              <w:t>险</w:t>
            </w:r>
            <w:r>
              <w:rPr>
                <w:spacing w:val="-2"/>
                <w:sz w:val="21"/>
              </w:rPr>
              <w:t>费</w:t>
            </w:r>
            <w:r>
              <w:rPr>
                <w:spacing w:val="-58"/>
                <w:sz w:val="21"/>
              </w:rPr>
              <w:t> </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7"/>
                <w:sz w:val="21"/>
              </w:rPr>
              <w:t>································</w:t>
            </w:r>
          </w:p>
        </w:tc>
        <w:tc>
          <w:tcPr>
            <w:tcW w:w="1149" w:type="dxa"/>
            <w:gridSpan w:val="2"/>
          </w:tcPr>
          <w:p>
            <w:pPr>
              <w:pStyle w:val="TableParagraph"/>
              <w:rPr>
                <w:rFonts w:ascii="Times New Roman"/>
                <w:sz w:val="18"/>
              </w:rPr>
            </w:pPr>
          </w:p>
        </w:tc>
        <w:tc>
          <w:tcPr>
            <w:tcW w:w="955" w:type="dxa"/>
          </w:tcPr>
          <w:p>
            <w:pPr>
              <w:pStyle w:val="TableParagraph"/>
              <w:spacing w:line="222" w:lineRule="exact" w:before="13"/>
              <w:ind w:left="300"/>
              <w:rPr>
                <w:rFonts w:ascii="Times New Roman" w:hAnsi="Times New Roman"/>
                <w:sz w:val="21"/>
              </w:rPr>
            </w:pPr>
            <w:r>
              <w:rPr>
                <w:rFonts w:ascii="Times New Roman" w:hAnsi="Times New Roman"/>
                <w:spacing w:val="-41"/>
                <w:sz w:val="21"/>
              </w:rPr>
              <w:t>·····················</w:t>
            </w:r>
          </w:p>
        </w:tc>
        <w:tc>
          <w:tcPr>
            <w:tcW w:w="608" w:type="dxa"/>
          </w:tcPr>
          <w:p>
            <w:pPr>
              <w:pStyle w:val="TableParagraph"/>
              <w:rPr>
                <w:rFonts w:ascii="Times New Roman"/>
                <w:sz w:val="18"/>
              </w:rPr>
            </w:pPr>
          </w:p>
        </w:tc>
        <w:tc>
          <w:tcPr>
            <w:tcW w:w="538" w:type="dxa"/>
          </w:tcPr>
          <w:p>
            <w:pPr>
              <w:pStyle w:val="TableParagraph"/>
              <w:spacing w:line="222" w:lineRule="exact" w:before="13"/>
              <w:ind w:right="49"/>
              <w:jc w:val="right"/>
              <w:rPr>
                <w:rFonts w:ascii="Times New Roman"/>
                <w:sz w:val="21"/>
              </w:rPr>
            </w:pPr>
            <w:r>
              <w:rPr>
                <w:rFonts w:ascii="Times New Roman"/>
                <w:spacing w:val="-5"/>
                <w:sz w:val="21"/>
              </w:rPr>
              <w:t>4.1</w:t>
            </w:r>
          </w:p>
        </w:tc>
      </w:tr>
      <w:tr>
        <w:trPr>
          <w:trHeight w:val="290" w:hRule="atLeast"/>
        </w:trPr>
        <w:tc>
          <w:tcPr>
            <w:tcW w:w="5498" w:type="dxa"/>
            <w:gridSpan w:val="2"/>
          </w:tcPr>
          <w:p>
            <w:pPr>
              <w:pStyle w:val="TableParagraph"/>
              <w:numPr>
                <w:ilvl w:val="0"/>
                <w:numId w:val="8"/>
              </w:numPr>
              <w:tabs>
                <w:tab w:pos="317" w:val="left" w:leader="none"/>
              </w:tabs>
              <w:spacing w:line="255" w:lineRule="exact" w:before="15" w:after="0"/>
              <w:ind w:left="316" w:right="0" w:hanging="267"/>
              <w:jc w:val="left"/>
              <w:rPr>
                <w:rFonts w:ascii="Times New Roman" w:hAnsi="Times New Roman" w:eastAsia="Times New Roman"/>
                <w:sz w:val="21"/>
              </w:rPr>
            </w:pPr>
            <w:r>
              <w:rPr>
                <w:spacing w:val="1"/>
                <w:sz w:val="21"/>
              </w:rPr>
              <w:t>在某些情况下，本合同效力中止</w:t>
            </w:r>
            <w:r>
              <w:rPr>
                <w:rFonts w:ascii="Times New Roman" w:hAnsi="Times New Roman" w:eastAsia="Times New Roman"/>
                <w:spacing w:val="-43"/>
                <w:sz w:val="21"/>
              </w:rPr>
              <w:t>································</w:t>
            </w:r>
          </w:p>
        </w:tc>
        <w:tc>
          <w:tcPr>
            <w:tcW w:w="905" w:type="dxa"/>
          </w:tcPr>
          <w:p>
            <w:pPr>
              <w:pStyle w:val="TableParagraph"/>
              <w:spacing w:line="241" w:lineRule="exact" w:before="29"/>
              <w:ind w:left="22"/>
              <w:rPr>
                <w:rFonts w:ascii="Times New Roman" w:hAnsi="Times New Roman"/>
                <w:sz w:val="21"/>
              </w:rPr>
            </w:pPr>
            <w:r>
              <w:rPr>
                <w:rFonts w:ascii="Times New Roman" w:hAnsi="Times New Roman"/>
                <w:spacing w:val="-39"/>
                <w:sz w:val="21"/>
              </w:rPr>
              <w:t>··················</w:t>
            </w:r>
          </w:p>
        </w:tc>
        <w:tc>
          <w:tcPr>
            <w:tcW w:w="2101" w:type="dxa"/>
            <w:gridSpan w:val="3"/>
          </w:tcPr>
          <w:p>
            <w:pPr>
              <w:pStyle w:val="TableParagraph"/>
              <w:spacing w:line="255" w:lineRule="exact" w:before="15"/>
              <w:ind w:left="368"/>
              <w:rPr>
                <w:rFonts w:ascii="Times New Roman" w:eastAsia="Times New Roman"/>
                <w:sz w:val="21"/>
              </w:rPr>
            </w:pPr>
            <w:r>
              <w:rPr>
                <w:rFonts w:ascii="Times New Roman" w:eastAsia="Times New Roman"/>
                <w:spacing w:val="-2"/>
                <w:sz w:val="21"/>
              </w:rPr>
              <w:t>4.2</w:t>
            </w:r>
            <w:r>
              <w:rPr>
                <w:spacing w:val="-2"/>
                <w:sz w:val="21"/>
              </w:rPr>
              <w:t>、</w:t>
            </w:r>
            <w:r>
              <w:rPr>
                <w:rFonts w:ascii="Times New Roman" w:eastAsia="Times New Roman"/>
                <w:spacing w:val="-2"/>
                <w:sz w:val="21"/>
              </w:rPr>
              <w:t>4.3</w:t>
            </w:r>
            <w:r>
              <w:rPr>
                <w:spacing w:val="-2"/>
                <w:sz w:val="21"/>
              </w:rPr>
              <w:t>、</w:t>
            </w:r>
            <w:r>
              <w:rPr>
                <w:rFonts w:ascii="Times New Roman" w:eastAsia="Times New Roman"/>
                <w:spacing w:val="-2"/>
                <w:sz w:val="21"/>
              </w:rPr>
              <w:t>5.2</w:t>
            </w:r>
            <w:r>
              <w:rPr>
                <w:spacing w:val="-2"/>
                <w:sz w:val="21"/>
              </w:rPr>
              <w:t>、</w:t>
            </w:r>
            <w:r>
              <w:rPr>
                <w:rFonts w:ascii="Times New Roman" w:eastAsia="Times New Roman"/>
                <w:spacing w:val="-5"/>
                <w:sz w:val="21"/>
              </w:rPr>
              <w:t>6.1</w:t>
            </w:r>
          </w:p>
        </w:tc>
      </w:tr>
      <w:tr>
        <w:trPr>
          <w:trHeight w:val="272" w:hRule="atLeast"/>
        </w:trPr>
        <w:tc>
          <w:tcPr>
            <w:tcW w:w="5498" w:type="dxa"/>
            <w:gridSpan w:val="2"/>
          </w:tcPr>
          <w:p>
            <w:pPr>
              <w:pStyle w:val="TableParagraph"/>
              <w:numPr>
                <w:ilvl w:val="0"/>
                <w:numId w:val="9"/>
              </w:numPr>
              <w:tabs>
                <w:tab w:pos="317" w:val="left" w:leader="none"/>
              </w:tabs>
              <w:spacing w:line="252" w:lineRule="exact" w:before="0" w:after="0"/>
              <w:ind w:left="316" w:right="0" w:hanging="267"/>
              <w:jc w:val="left"/>
              <w:rPr>
                <w:rFonts w:ascii="Times New Roman" w:hAnsi="Times New Roman" w:eastAsia="Times New Roman"/>
                <w:sz w:val="21"/>
              </w:rPr>
            </w:pPr>
            <w:r>
              <w:rPr>
                <w:spacing w:val="-1"/>
                <w:sz w:val="21"/>
              </w:rPr>
              <w:t>解除合同会给您造成一定的损失，请您慎重决策</w:t>
            </w:r>
            <w:r>
              <w:rPr>
                <w:rFonts w:ascii="Times New Roman" w:hAnsi="Times New Roman" w:eastAsia="Times New Roman"/>
                <w:spacing w:val="-46"/>
                <w:sz w:val="21"/>
              </w:rPr>
              <w:t>································</w:t>
            </w:r>
          </w:p>
        </w:tc>
        <w:tc>
          <w:tcPr>
            <w:tcW w:w="905" w:type="dxa"/>
          </w:tcPr>
          <w:p>
            <w:pPr>
              <w:pStyle w:val="TableParagraph"/>
              <w:rPr>
                <w:rFonts w:ascii="Times New Roman"/>
                <w:sz w:val="20"/>
              </w:rPr>
            </w:pPr>
          </w:p>
        </w:tc>
        <w:tc>
          <w:tcPr>
            <w:tcW w:w="2101" w:type="dxa"/>
            <w:gridSpan w:val="3"/>
          </w:tcPr>
          <w:p>
            <w:pPr>
              <w:pStyle w:val="TableParagraph"/>
              <w:tabs>
                <w:tab w:pos="1786" w:val="left" w:leader="none"/>
              </w:tabs>
              <w:spacing w:line="240" w:lineRule="exact" w:before="13"/>
              <w:ind w:left="578"/>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7.1</w:t>
            </w:r>
          </w:p>
        </w:tc>
      </w:tr>
      <w:tr>
        <w:trPr>
          <w:trHeight w:val="278" w:hRule="atLeast"/>
        </w:trPr>
        <w:tc>
          <w:tcPr>
            <w:tcW w:w="5498" w:type="dxa"/>
            <w:gridSpan w:val="2"/>
          </w:tcPr>
          <w:p>
            <w:pPr>
              <w:pStyle w:val="TableParagraph"/>
              <w:numPr>
                <w:ilvl w:val="0"/>
                <w:numId w:val="10"/>
              </w:numPr>
              <w:tabs>
                <w:tab w:pos="317" w:val="left" w:leader="none"/>
              </w:tabs>
              <w:spacing w:line="258" w:lineRule="exact" w:before="0" w:after="0"/>
              <w:ind w:left="316" w:right="0" w:hanging="267"/>
              <w:jc w:val="left"/>
              <w:rPr>
                <w:rFonts w:ascii="Times New Roman" w:hAnsi="Times New Roman" w:eastAsia="Times New Roman"/>
                <w:sz w:val="21"/>
              </w:rPr>
            </w:pPr>
            <w:r>
              <w:rPr>
                <w:spacing w:val="1"/>
                <w:sz w:val="21"/>
              </w:rPr>
              <w:t>在某些情况下，本合同效力终止</w:t>
            </w:r>
            <w:r>
              <w:rPr>
                <w:rFonts w:ascii="Times New Roman" w:hAnsi="Times New Roman" w:eastAsia="Times New Roman"/>
                <w:spacing w:val="-43"/>
                <w:sz w:val="21"/>
              </w:rPr>
              <w:t>································</w:t>
            </w:r>
          </w:p>
        </w:tc>
        <w:tc>
          <w:tcPr>
            <w:tcW w:w="905" w:type="dxa"/>
          </w:tcPr>
          <w:p>
            <w:pPr>
              <w:pStyle w:val="TableParagraph"/>
              <w:spacing w:before="11"/>
              <w:ind w:left="22"/>
              <w:rPr>
                <w:rFonts w:ascii="Times New Roman" w:hAnsi="Times New Roman"/>
                <w:sz w:val="21"/>
              </w:rPr>
            </w:pPr>
            <w:r>
              <w:rPr>
                <w:rFonts w:ascii="Times New Roman" w:hAnsi="Times New Roman"/>
                <w:spacing w:val="-44"/>
                <w:sz w:val="21"/>
              </w:rPr>
              <w:t>································</w:t>
            </w:r>
          </w:p>
        </w:tc>
        <w:tc>
          <w:tcPr>
            <w:tcW w:w="2101" w:type="dxa"/>
            <w:gridSpan w:val="3"/>
          </w:tcPr>
          <w:p>
            <w:pPr>
              <w:pStyle w:val="TableParagraph"/>
              <w:tabs>
                <w:tab w:pos="1786" w:val="left" w:leader="none"/>
              </w:tabs>
              <w:spacing w:before="11"/>
              <w:ind w:left="1345"/>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8.1</w:t>
            </w:r>
          </w:p>
        </w:tc>
      </w:tr>
      <w:tr>
        <w:trPr>
          <w:trHeight w:val="526" w:hRule="atLeast"/>
        </w:trPr>
        <w:tc>
          <w:tcPr>
            <w:tcW w:w="5498" w:type="dxa"/>
            <w:gridSpan w:val="2"/>
          </w:tcPr>
          <w:p>
            <w:pPr>
              <w:pStyle w:val="TableParagraph"/>
              <w:numPr>
                <w:ilvl w:val="0"/>
                <w:numId w:val="11"/>
              </w:numPr>
              <w:tabs>
                <w:tab w:pos="317" w:val="left" w:leader="none"/>
                <w:tab w:pos="4475" w:val="left" w:leader="none"/>
              </w:tabs>
              <w:spacing w:line="268" w:lineRule="exact" w:before="5" w:after="0"/>
              <w:ind w:left="316" w:right="0" w:hanging="267"/>
              <w:jc w:val="left"/>
              <w:rPr>
                <w:rFonts w:ascii="Times New Roman" w:hAnsi="Times New Roman" w:eastAsia="Times New Roman"/>
                <w:sz w:val="21"/>
              </w:rPr>
            </w:pPr>
            <w:r>
              <w:rPr>
                <w:spacing w:val="-2"/>
                <w:sz w:val="21"/>
              </w:rPr>
              <w:t>您</w:t>
            </w:r>
            <w:r>
              <w:rPr>
                <w:spacing w:val="-2"/>
                <w:sz w:val="21"/>
              </w:rPr>
              <w:t>有</w:t>
            </w:r>
            <w:r>
              <w:rPr>
                <w:spacing w:val="-2"/>
                <w:sz w:val="21"/>
              </w:rPr>
              <w:t>如实告知的</w:t>
            </w:r>
            <w:r>
              <w:rPr>
                <w:spacing w:val="-2"/>
                <w:sz w:val="21"/>
              </w:rPr>
              <w:t>义</w:t>
            </w:r>
            <w:r>
              <w:rPr>
                <w:spacing w:val="-2"/>
                <w:sz w:val="21"/>
              </w:rPr>
              <w:t>务</w:t>
            </w:r>
            <w:r>
              <w:rPr>
                <w:spacing w:val="-58"/>
                <w:sz w:val="21"/>
              </w:rPr>
              <w:t> </w:t>
            </w:r>
            <w:r>
              <w:rPr>
                <w:rFonts w:ascii="Times New Roman" w:hAnsi="Times New Roman" w:eastAsia="Times New Roman"/>
                <w:spacing w:val="-2"/>
                <w:sz w:val="21"/>
              </w:rPr>
              <w:t>································</w:t>
            </w:r>
            <w:r>
              <w:rPr>
                <w:rFonts w:ascii="Times New Roman" w:hAnsi="Times New Roman" w:eastAsia="Times New Roman"/>
                <w:sz w:val="21"/>
              </w:rPr>
              <w:tab/>
            </w:r>
            <w:r>
              <w:rPr>
                <w:rFonts w:ascii="Times New Roman" w:hAnsi="Times New Roman" w:eastAsia="Times New Roman"/>
                <w:spacing w:val="-43"/>
                <w:sz w:val="21"/>
              </w:rPr>
              <w:t>································</w:t>
            </w:r>
          </w:p>
          <w:p>
            <w:pPr>
              <w:pStyle w:val="TableParagraph"/>
              <w:numPr>
                <w:ilvl w:val="0"/>
                <w:numId w:val="11"/>
              </w:numPr>
              <w:tabs>
                <w:tab w:pos="317" w:val="left" w:leader="none"/>
              </w:tabs>
              <w:spacing w:line="234" w:lineRule="exact" w:before="0" w:after="0"/>
              <w:ind w:left="316" w:right="0" w:hanging="267"/>
              <w:jc w:val="left"/>
              <w:rPr>
                <w:rFonts w:ascii="Times New Roman" w:hAnsi="Times New Roman" w:eastAsia="Times New Roman"/>
                <w:sz w:val="21"/>
              </w:rPr>
            </w:pPr>
            <w:r>
              <w:rPr>
                <w:sz w:val="21"/>
              </w:rPr>
              <w:t>我们对一些重要术语进行了解释，请您注意</w:t>
            </w:r>
            <w:r>
              <w:rPr>
                <w:rFonts w:ascii="Times New Roman" w:hAnsi="Times New Roman" w:eastAsia="Times New Roman"/>
                <w:spacing w:val="-42"/>
                <w:sz w:val="21"/>
              </w:rPr>
              <w:t>································</w:t>
            </w:r>
          </w:p>
        </w:tc>
        <w:tc>
          <w:tcPr>
            <w:tcW w:w="905" w:type="dxa"/>
          </w:tcPr>
          <w:p>
            <w:pPr>
              <w:pStyle w:val="TableParagraph"/>
              <w:rPr>
                <w:rFonts w:ascii="Times New Roman"/>
                <w:sz w:val="20"/>
              </w:rPr>
            </w:pPr>
          </w:p>
        </w:tc>
        <w:tc>
          <w:tcPr>
            <w:tcW w:w="2101" w:type="dxa"/>
            <w:gridSpan w:val="3"/>
          </w:tcPr>
          <w:p>
            <w:pPr>
              <w:pStyle w:val="TableParagraph"/>
              <w:tabs>
                <w:tab w:pos="1486" w:val="left" w:leader="none"/>
              </w:tabs>
              <w:spacing w:before="19"/>
              <w:ind w:right="49"/>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9.1</w:t>
            </w:r>
          </w:p>
          <w:p>
            <w:pPr>
              <w:pStyle w:val="TableParagraph"/>
              <w:tabs>
                <w:tab w:pos="1676" w:val="left" w:leader="none"/>
              </w:tabs>
              <w:spacing w:line="222" w:lineRule="exact" w:before="24"/>
              <w:ind w:right="50"/>
              <w:jc w:val="right"/>
              <w:rPr>
                <w:rFonts w:ascii="Times New Roman" w:hAnsi="Times New Roman"/>
                <w:sz w:val="21"/>
              </w:rPr>
            </w:pPr>
            <w:r>
              <w:rPr>
                <w:rFonts w:ascii="Times New Roman" w:hAnsi="Times New Roman"/>
                <w:spacing w:val="-2"/>
                <w:sz w:val="21"/>
              </w:rPr>
              <w:t>························</w:t>
            </w:r>
            <w:r>
              <w:rPr>
                <w:rFonts w:ascii="Times New Roman" w:hAnsi="Times New Roman"/>
                <w:sz w:val="21"/>
              </w:rPr>
              <w:tab/>
            </w:r>
            <w:r>
              <w:rPr>
                <w:rFonts w:ascii="Times New Roman" w:hAnsi="Times New Roman"/>
                <w:spacing w:val="-5"/>
                <w:sz w:val="21"/>
              </w:rPr>
              <w:t>14</w:t>
            </w:r>
          </w:p>
        </w:tc>
      </w:tr>
    </w:tbl>
    <w:p>
      <w:pPr>
        <w:tabs>
          <w:tab w:pos="641" w:val="left" w:leader="none"/>
        </w:tabs>
        <w:spacing w:before="194"/>
        <w:ind w:left="222" w:right="0" w:firstLine="0"/>
        <w:jc w:val="left"/>
        <w:rPr>
          <w:rFonts w:ascii="微软雅黑" w:hAnsi="微软雅黑" w:eastAsia="微软雅黑"/>
          <w:b/>
          <w:sz w:val="21"/>
        </w:rPr>
      </w:pPr>
      <w:r>
        <w:rPr>
          <w:rFonts w:ascii="Symbol" w:hAnsi="Symbol" w:eastAsia="Symbol"/>
          <w:b/>
          <w:spacing w:val="-10"/>
          <w:sz w:val="21"/>
        </w:rPr>
        <w:t></w:t>
      </w:r>
      <w:r>
        <w:rPr>
          <w:rFonts w:ascii="Times New Roman" w:hAnsi="Times New Roman" w:eastAsia="Times New Roman"/>
          <w:sz w:val="21"/>
        </w:rPr>
        <w:tab/>
      </w:r>
      <w:r>
        <w:rPr>
          <w:rFonts w:ascii="微软雅黑" w:hAnsi="微软雅黑" w:eastAsia="微软雅黑"/>
          <w:b/>
          <w:spacing w:val="-3"/>
          <w:sz w:val="21"/>
        </w:rPr>
        <w:t>条款是保险合同的重要内容，为充分保障您的权益，请您仔细阅读本条款。</w:t>
      </w:r>
    </w:p>
    <w:p>
      <w:pPr>
        <w:tabs>
          <w:tab w:pos="641" w:val="left" w:leader="none"/>
        </w:tabs>
        <w:spacing w:before="127"/>
        <w:ind w:left="222" w:right="0" w:firstLine="0"/>
        <w:jc w:val="left"/>
        <w:rPr>
          <w:rFonts w:ascii="微软雅黑" w:hAnsi="微软雅黑" w:eastAsia="微软雅黑"/>
          <w:b/>
          <w:sz w:val="21"/>
        </w:rPr>
      </w:pPr>
      <w:r>
        <w:rPr/>
        <w:drawing>
          <wp:anchor distT="0" distB="0" distL="0" distR="0" allowOverlap="1" layoutInCell="1" locked="0" behindDoc="1" simplePos="0" relativeHeight="485455872">
            <wp:simplePos x="0" y="0"/>
            <wp:positionH relativeFrom="page">
              <wp:posOffset>1007668</wp:posOffset>
            </wp:positionH>
            <wp:positionV relativeFrom="paragraph">
              <wp:posOffset>296267</wp:posOffset>
            </wp:positionV>
            <wp:extent cx="6081725" cy="431198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081725" cy="4311980"/>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85.223999pt;margin-top:28.557991pt;width:145.65pt;height:329.4pt;mso-position-horizontal-relative:page;mso-position-vertical-relative:paragraph;z-index:15729152" type="#_x0000_t202" id="docshape1" filled="false" stroked="false">
            <v:textbox inset="0,0,0,0">
              <w:txbxContent>
                <w:p>
                  <w:pPr>
                    <w:numPr>
                      <w:ilvl w:val="0"/>
                      <w:numId w:val="12"/>
                    </w:numPr>
                    <w:tabs>
                      <w:tab w:pos="212" w:val="left" w:leader="none"/>
                    </w:tabs>
                    <w:spacing w:line="298" w:lineRule="exact" w:before="0"/>
                    <w:ind w:left="211" w:right="0" w:hanging="212"/>
                    <w:jc w:val="left"/>
                    <w:rPr>
                      <w:rFonts w:ascii="微软雅黑" w:eastAsia="微软雅黑"/>
                      <w:b/>
                      <w:sz w:val="21"/>
                    </w:rPr>
                  </w:pPr>
                  <w:r>
                    <w:rPr>
                      <w:rFonts w:ascii="微软雅黑" w:eastAsia="微软雅黑"/>
                      <w:b/>
                      <w:spacing w:val="-3"/>
                      <w:sz w:val="21"/>
                    </w:rPr>
                    <w:t>您与我们订立的合同</w:t>
                  </w:r>
                </w:p>
                <w:p>
                  <w:pPr>
                    <w:pStyle w:val="BodyText"/>
                    <w:numPr>
                      <w:ilvl w:val="1"/>
                      <w:numId w:val="12"/>
                    </w:numPr>
                    <w:tabs>
                      <w:tab w:pos="581" w:val="left" w:leader="none"/>
                    </w:tabs>
                    <w:spacing w:line="240" w:lineRule="auto" w:before="78" w:after="0"/>
                    <w:ind w:left="580" w:right="0" w:hanging="370"/>
                    <w:jc w:val="left"/>
                  </w:pPr>
                  <w:r>
                    <w:rPr>
                      <w:spacing w:val="-4"/>
                    </w:rPr>
                    <w:t>合同构成</w:t>
                  </w:r>
                </w:p>
                <w:p>
                  <w:pPr>
                    <w:pStyle w:val="BodyText"/>
                    <w:numPr>
                      <w:ilvl w:val="1"/>
                      <w:numId w:val="12"/>
                    </w:numPr>
                    <w:tabs>
                      <w:tab w:pos="581" w:val="left" w:leader="none"/>
                    </w:tabs>
                    <w:spacing w:line="240" w:lineRule="auto" w:before="127" w:after="0"/>
                    <w:ind w:left="580" w:right="0" w:hanging="370"/>
                    <w:jc w:val="left"/>
                  </w:pPr>
                  <w:r>
                    <w:rPr>
                      <w:spacing w:val="-3"/>
                    </w:rPr>
                    <w:t>保险合同成立与生效</w:t>
                  </w:r>
                </w:p>
                <w:p>
                  <w:pPr>
                    <w:pStyle w:val="BodyText"/>
                    <w:numPr>
                      <w:ilvl w:val="1"/>
                      <w:numId w:val="12"/>
                    </w:numPr>
                    <w:tabs>
                      <w:tab w:pos="581" w:val="left" w:leader="none"/>
                    </w:tabs>
                    <w:spacing w:line="240" w:lineRule="auto" w:before="127" w:after="0"/>
                    <w:ind w:left="580" w:right="0" w:hanging="370"/>
                    <w:jc w:val="left"/>
                  </w:pPr>
                  <w:r>
                    <w:rPr>
                      <w:spacing w:val="-4"/>
                    </w:rPr>
                    <w:t>投保年龄</w:t>
                  </w:r>
                </w:p>
                <w:p>
                  <w:pPr>
                    <w:pStyle w:val="BodyText"/>
                    <w:numPr>
                      <w:ilvl w:val="1"/>
                      <w:numId w:val="12"/>
                    </w:numPr>
                    <w:tabs>
                      <w:tab w:pos="581" w:val="left" w:leader="none"/>
                    </w:tabs>
                    <w:spacing w:line="240" w:lineRule="auto" w:before="130" w:after="0"/>
                    <w:ind w:left="580" w:right="0" w:hanging="370"/>
                    <w:jc w:val="left"/>
                  </w:pPr>
                  <w:r>
                    <w:rPr>
                      <w:spacing w:val="-4"/>
                    </w:rPr>
                    <w:t>合同的签收</w:t>
                  </w:r>
                </w:p>
                <w:p>
                  <w:pPr>
                    <w:pStyle w:val="BodyText"/>
                    <w:numPr>
                      <w:ilvl w:val="1"/>
                      <w:numId w:val="12"/>
                    </w:numPr>
                    <w:tabs>
                      <w:tab w:pos="581" w:val="left" w:leader="none"/>
                    </w:tabs>
                    <w:spacing w:line="240" w:lineRule="auto" w:before="127" w:after="0"/>
                    <w:ind w:left="580" w:right="0" w:hanging="370"/>
                    <w:jc w:val="left"/>
                  </w:pPr>
                  <w:r>
                    <w:rPr>
                      <w:spacing w:val="-5"/>
                    </w:rPr>
                    <w:t>犹豫期</w:t>
                  </w:r>
                </w:p>
                <w:p>
                  <w:pPr>
                    <w:numPr>
                      <w:ilvl w:val="0"/>
                      <w:numId w:val="12"/>
                    </w:numPr>
                    <w:tabs>
                      <w:tab w:pos="212" w:val="left" w:leader="none"/>
                    </w:tabs>
                    <w:spacing w:before="62"/>
                    <w:ind w:left="211" w:right="0" w:hanging="212"/>
                    <w:jc w:val="left"/>
                    <w:rPr>
                      <w:rFonts w:ascii="微软雅黑" w:eastAsia="微软雅黑"/>
                      <w:b/>
                      <w:sz w:val="21"/>
                    </w:rPr>
                  </w:pPr>
                  <w:r>
                    <w:rPr>
                      <w:rFonts w:ascii="微软雅黑" w:eastAsia="微软雅黑"/>
                      <w:b/>
                      <w:spacing w:val="-2"/>
                      <w:sz w:val="21"/>
                    </w:rPr>
                    <w:t>我们提供的保障</w:t>
                  </w:r>
                </w:p>
                <w:p>
                  <w:pPr>
                    <w:pStyle w:val="BodyText"/>
                    <w:numPr>
                      <w:ilvl w:val="1"/>
                      <w:numId w:val="12"/>
                    </w:numPr>
                    <w:tabs>
                      <w:tab w:pos="581" w:val="left" w:leader="none"/>
                    </w:tabs>
                    <w:spacing w:line="240" w:lineRule="auto" w:before="76" w:after="0"/>
                    <w:ind w:left="580" w:right="0" w:hanging="370"/>
                    <w:jc w:val="left"/>
                  </w:pPr>
                  <w:r>
                    <w:rPr>
                      <w:spacing w:val="-4"/>
                    </w:rPr>
                    <w:t>基本保险金额</w:t>
                  </w:r>
                </w:p>
                <w:p>
                  <w:pPr>
                    <w:pStyle w:val="BodyText"/>
                    <w:numPr>
                      <w:ilvl w:val="1"/>
                      <w:numId w:val="12"/>
                    </w:numPr>
                    <w:tabs>
                      <w:tab w:pos="581" w:val="left" w:leader="none"/>
                    </w:tabs>
                    <w:spacing w:line="240" w:lineRule="auto" w:before="127" w:after="0"/>
                    <w:ind w:left="580" w:right="0" w:hanging="370"/>
                    <w:jc w:val="left"/>
                  </w:pPr>
                  <w:r>
                    <w:rPr>
                      <w:spacing w:val="-4"/>
                    </w:rPr>
                    <w:t>保险期间</w:t>
                  </w:r>
                </w:p>
                <w:p>
                  <w:pPr>
                    <w:pStyle w:val="BodyText"/>
                    <w:numPr>
                      <w:ilvl w:val="1"/>
                      <w:numId w:val="12"/>
                    </w:numPr>
                    <w:tabs>
                      <w:tab w:pos="581" w:val="left" w:leader="none"/>
                    </w:tabs>
                    <w:spacing w:line="240" w:lineRule="auto" w:before="129" w:after="0"/>
                    <w:ind w:left="580" w:right="0" w:hanging="370"/>
                    <w:jc w:val="left"/>
                  </w:pPr>
                  <w:r>
                    <w:rPr>
                      <w:spacing w:val="-5"/>
                    </w:rPr>
                    <w:t>等待期</w:t>
                  </w:r>
                </w:p>
                <w:p>
                  <w:pPr>
                    <w:pStyle w:val="BodyText"/>
                    <w:numPr>
                      <w:ilvl w:val="1"/>
                      <w:numId w:val="12"/>
                    </w:numPr>
                    <w:tabs>
                      <w:tab w:pos="581" w:val="left" w:leader="none"/>
                    </w:tabs>
                    <w:spacing w:line="240" w:lineRule="auto" w:before="127" w:after="0"/>
                    <w:ind w:left="580" w:right="0" w:hanging="370"/>
                    <w:jc w:val="left"/>
                  </w:pPr>
                  <w:r>
                    <w:rPr>
                      <w:spacing w:val="-4"/>
                    </w:rPr>
                    <w:t>保险责任</w:t>
                  </w:r>
                </w:p>
                <w:p>
                  <w:pPr>
                    <w:pStyle w:val="BodyText"/>
                    <w:numPr>
                      <w:ilvl w:val="1"/>
                      <w:numId w:val="12"/>
                    </w:numPr>
                    <w:tabs>
                      <w:tab w:pos="581" w:val="left" w:leader="none"/>
                    </w:tabs>
                    <w:spacing w:line="240" w:lineRule="auto" w:before="130" w:after="0"/>
                    <w:ind w:left="580" w:right="0" w:hanging="370"/>
                    <w:jc w:val="left"/>
                  </w:pPr>
                  <w:r>
                    <w:rPr>
                      <w:spacing w:val="-3"/>
                    </w:rPr>
                    <w:t>未成年人身故保险金限制</w:t>
                  </w:r>
                </w:p>
                <w:p>
                  <w:pPr>
                    <w:pStyle w:val="BodyText"/>
                    <w:numPr>
                      <w:ilvl w:val="1"/>
                      <w:numId w:val="12"/>
                    </w:numPr>
                    <w:tabs>
                      <w:tab w:pos="581" w:val="left" w:leader="none"/>
                    </w:tabs>
                    <w:spacing w:line="240" w:lineRule="auto" w:before="127" w:after="0"/>
                    <w:ind w:left="580" w:right="0" w:hanging="370"/>
                    <w:jc w:val="left"/>
                  </w:pPr>
                  <w:r>
                    <w:rPr>
                      <w:spacing w:val="-4"/>
                    </w:rPr>
                    <w:t>责任免除</w:t>
                  </w:r>
                </w:p>
                <w:p>
                  <w:pPr>
                    <w:numPr>
                      <w:ilvl w:val="0"/>
                      <w:numId w:val="12"/>
                    </w:numPr>
                    <w:tabs>
                      <w:tab w:pos="212" w:val="left" w:leader="none"/>
                    </w:tabs>
                    <w:spacing w:before="62"/>
                    <w:ind w:left="211" w:right="0" w:hanging="212"/>
                    <w:jc w:val="left"/>
                    <w:rPr>
                      <w:rFonts w:ascii="微软雅黑" w:eastAsia="微软雅黑"/>
                      <w:b/>
                      <w:sz w:val="21"/>
                    </w:rPr>
                  </w:pPr>
                  <w:r>
                    <w:rPr>
                      <w:rFonts w:ascii="微软雅黑" w:eastAsia="微软雅黑"/>
                      <w:b/>
                      <w:spacing w:val="-2"/>
                      <w:sz w:val="21"/>
                    </w:rPr>
                    <w:t>保险金的申请</w:t>
                  </w:r>
                </w:p>
                <w:p>
                  <w:pPr>
                    <w:pStyle w:val="BodyText"/>
                    <w:numPr>
                      <w:ilvl w:val="1"/>
                      <w:numId w:val="12"/>
                    </w:numPr>
                    <w:tabs>
                      <w:tab w:pos="581" w:val="left" w:leader="none"/>
                    </w:tabs>
                    <w:spacing w:line="240" w:lineRule="auto" w:before="76" w:after="0"/>
                    <w:ind w:left="580" w:right="0" w:hanging="370"/>
                    <w:jc w:val="left"/>
                  </w:pPr>
                  <w:r>
                    <w:rPr>
                      <w:spacing w:val="-5"/>
                    </w:rPr>
                    <w:t>受益人</w:t>
                  </w:r>
                </w:p>
                <w:p>
                  <w:pPr>
                    <w:pStyle w:val="BodyText"/>
                    <w:numPr>
                      <w:ilvl w:val="1"/>
                      <w:numId w:val="12"/>
                    </w:numPr>
                    <w:tabs>
                      <w:tab w:pos="581" w:val="left" w:leader="none"/>
                    </w:tabs>
                    <w:spacing w:line="240" w:lineRule="auto" w:before="127" w:after="0"/>
                    <w:ind w:left="580" w:right="0" w:hanging="370"/>
                    <w:jc w:val="left"/>
                  </w:pPr>
                  <w:r>
                    <w:rPr>
                      <w:spacing w:val="-4"/>
                    </w:rPr>
                    <w:t>保险事故通知</w:t>
                  </w:r>
                </w:p>
                <w:p>
                  <w:pPr>
                    <w:pStyle w:val="BodyText"/>
                    <w:numPr>
                      <w:ilvl w:val="1"/>
                      <w:numId w:val="12"/>
                    </w:numPr>
                    <w:tabs>
                      <w:tab w:pos="581" w:val="left" w:leader="none"/>
                    </w:tabs>
                    <w:spacing w:line="256" w:lineRule="exact" w:before="130" w:after="0"/>
                    <w:ind w:left="580" w:right="0" w:hanging="370"/>
                    <w:jc w:val="left"/>
                  </w:pPr>
                  <w:r>
                    <w:rPr>
                      <w:spacing w:val="-4"/>
                    </w:rPr>
                    <w:t>保险金的申请</w:t>
                  </w:r>
                </w:p>
              </w:txbxContent>
            </v:textbox>
            <w10:wrap type="none"/>
          </v:shape>
        </w:pict>
      </w:r>
      <w:r>
        <w:rPr/>
        <w:pict>
          <v:shape style="position:absolute;margin-left:242.690002pt;margin-top:28.557991pt;width:135.1pt;height:329.4pt;mso-position-horizontal-relative:page;mso-position-vertical-relative:paragraph;z-index:15729664" type="#_x0000_t202" id="docshape2" filled="false" stroked="false">
            <v:textbox inset="0,0,0,0">
              <w:txbxContent>
                <w:p>
                  <w:pPr>
                    <w:pStyle w:val="BodyText"/>
                    <w:numPr>
                      <w:ilvl w:val="1"/>
                      <w:numId w:val="13"/>
                    </w:numPr>
                    <w:tabs>
                      <w:tab w:pos="581" w:val="left" w:leader="none"/>
                    </w:tabs>
                    <w:spacing w:line="247" w:lineRule="exact" w:before="0" w:after="0"/>
                    <w:ind w:left="580" w:right="0" w:hanging="370"/>
                    <w:jc w:val="left"/>
                  </w:pPr>
                  <w:r>
                    <w:rPr>
                      <w:spacing w:val="-4"/>
                    </w:rPr>
                    <w:t>保险金给付</w:t>
                  </w:r>
                </w:p>
                <w:p>
                  <w:pPr>
                    <w:pStyle w:val="BodyText"/>
                    <w:numPr>
                      <w:ilvl w:val="1"/>
                      <w:numId w:val="13"/>
                    </w:numPr>
                    <w:tabs>
                      <w:tab w:pos="581" w:val="left" w:leader="none"/>
                    </w:tabs>
                    <w:spacing w:line="240" w:lineRule="auto" w:before="129" w:after="0"/>
                    <w:ind w:left="580" w:right="0" w:hanging="370"/>
                    <w:jc w:val="left"/>
                  </w:pPr>
                  <w:r>
                    <w:rPr>
                      <w:spacing w:val="-4"/>
                    </w:rPr>
                    <w:t>宣告死亡处理</w:t>
                  </w:r>
                </w:p>
                <w:p>
                  <w:pPr>
                    <w:pStyle w:val="BodyText"/>
                    <w:numPr>
                      <w:ilvl w:val="1"/>
                      <w:numId w:val="13"/>
                    </w:numPr>
                    <w:tabs>
                      <w:tab w:pos="581" w:val="left" w:leader="none"/>
                    </w:tabs>
                    <w:spacing w:line="240" w:lineRule="auto" w:before="127" w:after="0"/>
                    <w:ind w:left="580" w:right="0" w:hanging="370"/>
                    <w:jc w:val="left"/>
                  </w:pPr>
                  <w:r>
                    <w:rPr>
                      <w:spacing w:val="-4"/>
                    </w:rPr>
                    <w:t>诉讼时效</w:t>
                  </w:r>
                </w:p>
                <w:p>
                  <w:pPr>
                    <w:numPr>
                      <w:ilvl w:val="0"/>
                      <w:numId w:val="13"/>
                    </w:numPr>
                    <w:tabs>
                      <w:tab w:pos="212" w:val="left" w:leader="none"/>
                    </w:tabs>
                    <w:spacing w:before="60"/>
                    <w:ind w:left="211" w:right="0" w:hanging="212"/>
                    <w:jc w:val="left"/>
                    <w:rPr>
                      <w:rFonts w:ascii="Times New Roman" w:eastAsia="Times New Roman"/>
                      <w:b/>
                      <w:sz w:val="21"/>
                    </w:rPr>
                  </w:pPr>
                  <w:r>
                    <w:rPr>
                      <w:rFonts w:ascii="微软雅黑" w:eastAsia="微软雅黑"/>
                      <w:b/>
                      <w:spacing w:val="-2"/>
                      <w:sz w:val="21"/>
                    </w:rPr>
                    <w:t>保险费的支付</w:t>
                  </w:r>
                </w:p>
                <w:p>
                  <w:pPr>
                    <w:pStyle w:val="BodyText"/>
                    <w:numPr>
                      <w:ilvl w:val="1"/>
                      <w:numId w:val="14"/>
                    </w:numPr>
                    <w:tabs>
                      <w:tab w:pos="581" w:val="left" w:leader="none"/>
                    </w:tabs>
                    <w:spacing w:line="240" w:lineRule="auto" w:before="79" w:after="0"/>
                    <w:ind w:left="580" w:right="0" w:hanging="370"/>
                    <w:jc w:val="left"/>
                  </w:pPr>
                  <w:r>
                    <w:rPr>
                      <w:spacing w:val="-4"/>
                    </w:rPr>
                    <w:t>保险费的支付</w:t>
                  </w:r>
                </w:p>
                <w:p>
                  <w:pPr>
                    <w:pStyle w:val="BodyText"/>
                    <w:numPr>
                      <w:ilvl w:val="1"/>
                      <w:numId w:val="14"/>
                    </w:numPr>
                    <w:tabs>
                      <w:tab w:pos="581" w:val="left" w:leader="none"/>
                    </w:tabs>
                    <w:spacing w:line="240" w:lineRule="auto" w:before="127" w:after="0"/>
                    <w:ind w:left="580" w:right="0" w:hanging="370"/>
                    <w:jc w:val="left"/>
                  </w:pPr>
                  <w:r>
                    <w:rPr>
                      <w:spacing w:val="-5"/>
                    </w:rPr>
                    <w:t>宽限期</w:t>
                  </w:r>
                </w:p>
                <w:p>
                  <w:pPr>
                    <w:pStyle w:val="BodyText"/>
                    <w:numPr>
                      <w:ilvl w:val="1"/>
                      <w:numId w:val="14"/>
                    </w:numPr>
                    <w:tabs>
                      <w:tab w:pos="581" w:val="left" w:leader="none"/>
                    </w:tabs>
                    <w:spacing w:line="240" w:lineRule="auto" w:before="129" w:after="0"/>
                    <w:ind w:left="580" w:right="0" w:hanging="370"/>
                    <w:jc w:val="left"/>
                  </w:pPr>
                  <w:r>
                    <w:rPr>
                      <w:spacing w:val="-4"/>
                    </w:rPr>
                    <w:t>保险费自动垫交</w:t>
                  </w:r>
                </w:p>
                <w:p>
                  <w:pPr>
                    <w:pStyle w:val="BodyText"/>
                    <w:numPr>
                      <w:ilvl w:val="1"/>
                      <w:numId w:val="14"/>
                    </w:numPr>
                    <w:tabs>
                      <w:tab w:pos="581" w:val="left" w:leader="none"/>
                    </w:tabs>
                    <w:spacing w:line="240" w:lineRule="auto" w:before="127" w:after="0"/>
                    <w:ind w:left="580" w:right="0" w:hanging="370"/>
                    <w:jc w:val="left"/>
                  </w:pPr>
                  <w:r>
                    <w:rPr>
                      <w:spacing w:val="-4"/>
                    </w:rPr>
                    <w:t>减额交清保险</w:t>
                  </w:r>
                </w:p>
                <w:p>
                  <w:pPr>
                    <w:numPr>
                      <w:ilvl w:val="0"/>
                      <w:numId w:val="14"/>
                    </w:numPr>
                    <w:tabs>
                      <w:tab w:pos="212" w:val="left" w:leader="none"/>
                    </w:tabs>
                    <w:spacing w:before="60"/>
                    <w:ind w:left="211" w:right="0" w:hanging="212"/>
                    <w:jc w:val="left"/>
                    <w:rPr>
                      <w:rFonts w:ascii="Times New Roman" w:eastAsia="Times New Roman"/>
                      <w:b/>
                      <w:sz w:val="21"/>
                    </w:rPr>
                  </w:pPr>
                  <w:r>
                    <w:rPr>
                      <w:rFonts w:ascii="微软雅黑" w:eastAsia="微软雅黑"/>
                      <w:b/>
                      <w:spacing w:val="-2"/>
                      <w:sz w:val="21"/>
                    </w:rPr>
                    <w:t>现金价值权益</w:t>
                  </w:r>
                </w:p>
                <w:p>
                  <w:pPr>
                    <w:pStyle w:val="BodyText"/>
                    <w:numPr>
                      <w:ilvl w:val="1"/>
                      <w:numId w:val="14"/>
                    </w:numPr>
                    <w:tabs>
                      <w:tab w:pos="581" w:val="left" w:leader="none"/>
                    </w:tabs>
                    <w:spacing w:line="240" w:lineRule="auto" w:before="78" w:after="0"/>
                    <w:ind w:left="580" w:right="0" w:hanging="370"/>
                    <w:jc w:val="left"/>
                  </w:pPr>
                  <w:r>
                    <w:rPr>
                      <w:spacing w:val="-4"/>
                    </w:rPr>
                    <w:t>现金价值</w:t>
                  </w:r>
                </w:p>
                <w:p>
                  <w:pPr>
                    <w:pStyle w:val="BodyText"/>
                    <w:numPr>
                      <w:ilvl w:val="1"/>
                      <w:numId w:val="14"/>
                    </w:numPr>
                    <w:tabs>
                      <w:tab w:pos="581" w:val="left" w:leader="none"/>
                    </w:tabs>
                    <w:spacing w:line="240" w:lineRule="auto" w:before="127" w:after="0"/>
                    <w:ind w:left="580" w:right="0" w:hanging="370"/>
                    <w:jc w:val="left"/>
                  </w:pPr>
                  <w:r>
                    <w:rPr>
                      <w:spacing w:val="-4"/>
                    </w:rPr>
                    <w:t>保单贷款</w:t>
                  </w:r>
                </w:p>
                <w:p>
                  <w:pPr>
                    <w:numPr>
                      <w:ilvl w:val="0"/>
                      <w:numId w:val="14"/>
                    </w:numPr>
                    <w:tabs>
                      <w:tab w:pos="212" w:val="left" w:leader="none"/>
                    </w:tabs>
                    <w:spacing w:before="62"/>
                    <w:ind w:left="211" w:right="0" w:hanging="212"/>
                    <w:jc w:val="left"/>
                    <w:rPr>
                      <w:rFonts w:ascii="Times New Roman" w:eastAsia="Times New Roman"/>
                      <w:b/>
                      <w:sz w:val="21"/>
                    </w:rPr>
                  </w:pPr>
                  <w:r>
                    <w:rPr>
                      <w:rFonts w:ascii="微软雅黑" w:eastAsia="微软雅黑"/>
                      <w:b/>
                      <w:spacing w:val="-3"/>
                      <w:sz w:val="21"/>
                    </w:rPr>
                    <w:t>合同效力的中止及恢复</w:t>
                  </w:r>
                </w:p>
                <w:p>
                  <w:pPr>
                    <w:pStyle w:val="BodyText"/>
                    <w:numPr>
                      <w:ilvl w:val="1"/>
                      <w:numId w:val="14"/>
                    </w:numPr>
                    <w:tabs>
                      <w:tab w:pos="581" w:val="left" w:leader="none"/>
                    </w:tabs>
                    <w:spacing w:line="240" w:lineRule="auto" w:before="77" w:after="0"/>
                    <w:ind w:left="580" w:right="0" w:hanging="370"/>
                    <w:jc w:val="left"/>
                  </w:pPr>
                  <w:r>
                    <w:rPr>
                      <w:spacing w:val="-4"/>
                    </w:rPr>
                    <w:t>效力中止</w:t>
                  </w:r>
                </w:p>
                <w:p>
                  <w:pPr>
                    <w:pStyle w:val="BodyText"/>
                    <w:numPr>
                      <w:ilvl w:val="1"/>
                      <w:numId w:val="14"/>
                    </w:numPr>
                    <w:tabs>
                      <w:tab w:pos="581" w:val="left" w:leader="none"/>
                    </w:tabs>
                    <w:spacing w:line="240" w:lineRule="auto" w:before="129" w:after="0"/>
                    <w:ind w:left="580" w:right="0" w:hanging="370"/>
                    <w:jc w:val="left"/>
                  </w:pPr>
                  <w:r>
                    <w:rPr>
                      <w:spacing w:val="-4"/>
                    </w:rPr>
                    <w:t>效力恢复</w:t>
                  </w:r>
                </w:p>
                <w:p>
                  <w:pPr>
                    <w:numPr>
                      <w:ilvl w:val="0"/>
                      <w:numId w:val="14"/>
                    </w:numPr>
                    <w:tabs>
                      <w:tab w:pos="212" w:val="left" w:leader="none"/>
                    </w:tabs>
                    <w:spacing w:before="60"/>
                    <w:ind w:left="211" w:right="0" w:hanging="212"/>
                    <w:jc w:val="left"/>
                    <w:rPr>
                      <w:rFonts w:ascii="Times New Roman" w:eastAsia="Times New Roman"/>
                      <w:b/>
                      <w:sz w:val="21"/>
                    </w:rPr>
                  </w:pPr>
                  <w:r>
                    <w:rPr>
                      <w:rFonts w:ascii="微软雅黑" w:eastAsia="微软雅黑"/>
                      <w:b/>
                      <w:spacing w:val="-3"/>
                      <w:sz w:val="21"/>
                    </w:rPr>
                    <w:t>合同解除</w:t>
                  </w:r>
                </w:p>
                <w:p>
                  <w:pPr>
                    <w:pStyle w:val="BodyText"/>
                    <w:numPr>
                      <w:ilvl w:val="1"/>
                      <w:numId w:val="14"/>
                    </w:numPr>
                    <w:tabs>
                      <w:tab w:pos="581" w:val="left" w:leader="none"/>
                    </w:tabs>
                    <w:spacing w:line="240" w:lineRule="auto" w:before="76" w:after="0"/>
                    <w:ind w:left="580" w:right="0" w:hanging="370"/>
                    <w:jc w:val="left"/>
                  </w:pPr>
                  <w:r>
                    <w:rPr>
                      <w:spacing w:val="-3"/>
                    </w:rPr>
                    <w:t>解除合同的手续及风险</w:t>
                  </w:r>
                </w:p>
                <w:p>
                  <w:pPr>
                    <w:numPr>
                      <w:ilvl w:val="0"/>
                      <w:numId w:val="14"/>
                    </w:numPr>
                    <w:tabs>
                      <w:tab w:pos="212" w:val="left" w:leader="none"/>
                    </w:tabs>
                    <w:spacing w:line="323" w:lineRule="exact" w:before="62"/>
                    <w:ind w:left="211" w:right="0" w:hanging="212"/>
                    <w:jc w:val="left"/>
                    <w:rPr>
                      <w:rFonts w:ascii="Times New Roman" w:eastAsia="Times New Roman"/>
                      <w:b/>
                      <w:sz w:val="21"/>
                    </w:rPr>
                  </w:pPr>
                  <w:r>
                    <w:rPr>
                      <w:rFonts w:ascii="微软雅黑" w:eastAsia="微软雅黑"/>
                      <w:b/>
                      <w:spacing w:val="-2"/>
                      <w:sz w:val="21"/>
                    </w:rPr>
                    <w:t>合同效力的终止</w:t>
                  </w:r>
                </w:p>
              </w:txbxContent>
            </v:textbox>
            <w10:wrap type="none"/>
          </v:shape>
        </w:pict>
      </w:r>
      <w:r>
        <w:rPr/>
        <w:pict>
          <v:shape style="position:absolute;margin-left:402.429993pt;margin-top:28.557991pt;width:145.65pt;height:289.7pt;mso-position-horizontal-relative:page;mso-position-vertical-relative:paragraph;z-index:15730176" type="#_x0000_t202" id="docshape3" filled="false" stroked="false">
            <v:textbox inset="0,0,0,0">
              <w:txbxContent>
                <w:p>
                  <w:pPr>
                    <w:pStyle w:val="BodyText"/>
                    <w:spacing w:line="247" w:lineRule="exact"/>
                    <w:ind w:left="211"/>
                  </w:pPr>
                  <w:r>
                    <w:rPr>
                      <w:rFonts w:ascii="Times New Roman" w:eastAsia="Times New Roman"/>
                    </w:rPr>
                    <w:t>8.1</w:t>
                  </w:r>
                  <w:r>
                    <w:rPr>
                      <w:rFonts w:ascii="Times New Roman" w:eastAsia="Times New Roman"/>
                      <w:spacing w:val="43"/>
                    </w:rPr>
                    <w:t> </w:t>
                  </w:r>
                  <w:r>
                    <w:rPr>
                      <w:spacing w:val="-2"/>
                    </w:rPr>
                    <w:t>合同效力的终止</w:t>
                  </w:r>
                </w:p>
                <w:p>
                  <w:pPr>
                    <w:numPr>
                      <w:ilvl w:val="0"/>
                      <w:numId w:val="15"/>
                    </w:numPr>
                    <w:tabs>
                      <w:tab w:pos="212" w:val="left" w:leader="none"/>
                    </w:tabs>
                    <w:spacing w:before="62"/>
                    <w:ind w:left="211" w:right="0" w:hanging="212"/>
                    <w:jc w:val="left"/>
                    <w:rPr>
                      <w:rFonts w:ascii="微软雅黑" w:eastAsia="微软雅黑"/>
                      <w:b/>
                      <w:sz w:val="21"/>
                    </w:rPr>
                  </w:pPr>
                  <w:r>
                    <w:rPr>
                      <w:rFonts w:ascii="微软雅黑" w:eastAsia="微软雅黑"/>
                      <w:b/>
                      <w:spacing w:val="-3"/>
                      <w:sz w:val="21"/>
                    </w:rPr>
                    <w:t>如实告知</w:t>
                  </w:r>
                </w:p>
                <w:p>
                  <w:pPr>
                    <w:pStyle w:val="BodyText"/>
                    <w:numPr>
                      <w:ilvl w:val="1"/>
                      <w:numId w:val="15"/>
                    </w:numPr>
                    <w:tabs>
                      <w:tab w:pos="581" w:val="left" w:leader="none"/>
                    </w:tabs>
                    <w:spacing w:line="240" w:lineRule="auto" w:before="76" w:after="0"/>
                    <w:ind w:left="580" w:right="0" w:hanging="370"/>
                    <w:jc w:val="left"/>
                  </w:pPr>
                  <w:r>
                    <w:rPr>
                      <w:spacing w:val="-3"/>
                    </w:rPr>
                    <w:t>明确说明与如实告知</w:t>
                  </w:r>
                </w:p>
                <w:p>
                  <w:pPr>
                    <w:pStyle w:val="BodyText"/>
                    <w:numPr>
                      <w:ilvl w:val="1"/>
                      <w:numId w:val="15"/>
                    </w:numPr>
                    <w:tabs>
                      <w:tab w:pos="581" w:val="left" w:leader="none"/>
                    </w:tabs>
                    <w:spacing w:line="240" w:lineRule="auto" w:before="127" w:after="0"/>
                    <w:ind w:left="580" w:right="0" w:hanging="370"/>
                    <w:jc w:val="left"/>
                  </w:pPr>
                  <w:r>
                    <w:rPr>
                      <w:spacing w:val="-3"/>
                    </w:rPr>
                    <w:t>本公司合同解除权的限制</w:t>
                  </w:r>
                </w:p>
                <w:p>
                  <w:pPr>
                    <w:numPr>
                      <w:ilvl w:val="0"/>
                      <w:numId w:val="15"/>
                    </w:numPr>
                    <w:tabs>
                      <w:tab w:pos="315" w:val="left" w:leader="none"/>
                    </w:tabs>
                    <w:spacing w:before="62"/>
                    <w:ind w:left="314" w:right="0" w:hanging="315"/>
                    <w:jc w:val="left"/>
                    <w:rPr>
                      <w:rFonts w:ascii="微软雅黑" w:eastAsia="微软雅黑"/>
                      <w:b/>
                      <w:sz w:val="21"/>
                    </w:rPr>
                  </w:pPr>
                  <w:r>
                    <w:rPr>
                      <w:rFonts w:ascii="微软雅黑" w:eastAsia="微软雅黑"/>
                      <w:b/>
                      <w:spacing w:val="-1"/>
                      <w:sz w:val="21"/>
                    </w:rPr>
                    <w:t>轻度疾病的定义及范围</w:t>
                  </w:r>
                </w:p>
                <w:p>
                  <w:pPr>
                    <w:numPr>
                      <w:ilvl w:val="0"/>
                      <w:numId w:val="15"/>
                    </w:numPr>
                    <w:tabs>
                      <w:tab w:pos="303" w:val="left" w:leader="none"/>
                    </w:tabs>
                    <w:spacing w:before="9"/>
                    <w:ind w:left="302" w:right="0" w:hanging="303"/>
                    <w:jc w:val="left"/>
                    <w:rPr>
                      <w:rFonts w:ascii="微软雅黑" w:eastAsia="微软雅黑"/>
                      <w:b/>
                      <w:sz w:val="21"/>
                    </w:rPr>
                  </w:pPr>
                  <w:r>
                    <w:rPr>
                      <w:rFonts w:ascii="微软雅黑" w:eastAsia="微软雅黑"/>
                      <w:b/>
                      <w:spacing w:val="-1"/>
                      <w:sz w:val="21"/>
                    </w:rPr>
                    <w:t>中度疾病的定义及范围</w:t>
                  </w:r>
                </w:p>
                <w:p>
                  <w:pPr>
                    <w:numPr>
                      <w:ilvl w:val="0"/>
                      <w:numId w:val="15"/>
                    </w:numPr>
                    <w:tabs>
                      <w:tab w:pos="315" w:val="left" w:leader="none"/>
                    </w:tabs>
                    <w:spacing w:before="12"/>
                    <w:ind w:left="314" w:right="0" w:hanging="315"/>
                    <w:jc w:val="left"/>
                    <w:rPr>
                      <w:rFonts w:ascii="微软雅黑" w:eastAsia="微软雅黑"/>
                      <w:b/>
                      <w:sz w:val="21"/>
                    </w:rPr>
                  </w:pPr>
                  <w:r>
                    <w:rPr>
                      <w:rFonts w:ascii="微软雅黑" w:eastAsia="微软雅黑"/>
                      <w:b/>
                      <w:spacing w:val="-1"/>
                      <w:sz w:val="21"/>
                    </w:rPr>
                    <w:t>重度疾病的定义及范围</w:t>
                  </w:r>
                </w:p>
                <w:p>
                  <w:pPr>
                    <w:numPr>
                      <w:ilvl w:val="0"/>
                      <w:numId w:val="15"/>
                    </w:numPr>
                    <w:tabs>
                      <w:tab w:pos="315" w:val="left" w:leader="none"/>
                    </w:tabs>
                    <w:spacing w:before="9"/>
                    <w:ind w:left="314" w:right="0" w:hanging="315"/>
                    <w:jc w:val="left"/>
                    <w:rPr>
                      <w:rFonts w:ascii="微软雅黑" w:eastAsia="微软雅黑"/>
                      <w:b/>
                      <w:sz w:val="21"/>
                    </w:rPr>
                  </w:pPr>
                  <w:r>
                    <w:rPr>
                      <w:rFonts w:ascii="微软雅黑" w:eastAsia="微软雅黑"/>
                      <w:b/>
                      <w:spacing w:val="-2"/>
                      <w:sz w:val="21"/>
                    </w:rPr>
                    <w:t>其他需要关注的事项</w:t>
                  </w:r>
                </w:p>
                <w:p>
                  <w:pPr>
                    <w:pStyle w:val="BodyText"/>
                    <w:numPr>
                      <w:ilvl w:val="1"/>
                      <w:numId w:val="15"/>
                    </w:numPr>
                    <w:tabs>
                      <w:tab w:pos="684" w:val="left" w:leader="none"/>
                    </w:tabs>
                    <w:spacing w:line="240" w:lineRule="auto" w:before="76" w:after="0"/>
                    <w:ind w:left="684" w:right="0" w:hanging="473"/>
                    <w:jc w:val="left"/>
                  </w:pPr>
                  <w:r>
                    <w:rPr>
                      <w:spacing w:val="-4"/>
                    </w:rPr>
                    <w:t>年龄错误</w:t>
                  </w:r>
                </w:p>
                <w:p>
                  <w:pPr>
                    <w:pStyle w:val="BodyText"/>
                    <w:numPr>
                      <w:ilvl w:val="1"/>
                      <w:numId w:val="15"/>
                    </w:numPr>
                    <w:tabs>
                      <w:tab w:pos="684" w:val="left" w:leader="none"/>
                    </w:tabs>
                    <w:spacing w:line="240" w:lineRule="auto" w:before="129" w:after="0"/>
                    <w:ind w:left="684" w:right="0" w:hanging="473"/>
                    <w:jc w:val="left"/>
                  </w:pPr>
                  <w:r>
                    <w:rPr>
                      <w:spacing w:val="-4"/>
                    </w:rPr>
                    <w:t>未还款项</w:t>
                  </w:r>
                </w:p>
                <w:p>
                  <w:pPr>
                    <w:pStyle w:val="BodyText"/>
                    <w:numPr>
                      <w:ilvl w:val="1"/>
                      <w:numId w:val="15"/>
                    </w:numPr>
                    <w:tabs>
                      <w:tab w:pos="684" w:val="left" w:leader="none"/>
                    </w:tabs>
                    <w:spacing w:line="240" w:lineRule="auto" w:before="127" w:after="0"/>
                    <w:ind w:left="684" w:right="0" w:hanging="473"/>
                    <w:jc w:val="left"/>
                  </w:pPr>
                  <w:r>
                    <w:rPr>
                      <w:spacing w:val="-3"/>
                    </w:rPr>
                    <w:t>基本保险金额的变更</w:t>
                  </w:r>
                </w:p>
                <w:p>
                  <w:pPr>
                    <w:pStyle w:val="BodyText"/>
                    <w:numPr>
                      <w:ilvl w:val="1"/>
                      <w:numId w:val="15"/>
                    </w:numPr>
                    <w:tabs>
                      <w:tab w:pos="684" w:val="left" w:leader="none"/>
                    </w:tabs>
                    <w:spacing w:line="240" w:lineRule="auto" w:before="129" w:after="0"/>
                    <w:ind w:left="684" w:right="0" w:hanging="473"/>
                    <w:jc w:val="left"/>
                  </w:pPr>
                  <w:r>
                    <w:rPr>
                      <w:spacing w:val="-4"/>
                    </w:rPr>
                    <w:t>合同内容变更</w:t>
                  </w:r>
                </w:p>
                <w:p>
                  <w:pPr>
                    <w:pStyle w:val="BodyText"/>
                    <w:numPr>
                      <w:ilvl w:val="1"/>
                      <w:numId w:val="15"/>
                    </w:numPr>
                    <w:tabs>
                      <w:tab w:pos="684" w:val="left" w:leader="none"/>
                    </w:tabs>
                    <w:spacing w:line="240" w:lineRule="auto" w:before="128" w:after="0"/>
                    <w:ind w:left="684" w:right="0" w:hanging="473"/>
                    <w:jc w:val="left"/>
                  </w:pPr>
                  <w:r>
                    <w:rPr>
                      <w:spacing w:val="-4"/>
                    </w:rPr>
                    <w:t>联系方式变更</w:t>
                  </w:r>
                </w:p>
                <w:p>
                  <w:pPr>
                    <w:pStyle w:val="BodyText"/>
                    <w:numPr>
                      <w:ilvl w:val="1"/>
                      <w:numId w:val="15"/>
                    </w:numPr>
                    <w:tabs>
                      <w:tab w:pos="684" w:val="left" w:leader="none"/>
                    </w:tabs>
                    <w:spacing w:line="240" w:lineRule="auto" w:before="129" w:after="0"/>
                    <w:ind w:left="684" w:right="0" w:hanging="473"/>
                    <w:jc w:val="left"/>
                  </w:pPr>
                  <w:r>
                    <w:rPr>
                      <w:spacing w:val="-4"/>
                    </w:rPr>
                    <w:t>争议处理</w:t>
                  </w:r>
                </w:p>
                <w:p>
                  <w:pPr>
                    <w:numPr>
                      <w:ilvl w:val="0"/>
                      <w:numId w:val="15"/>
                    </w:numPr>
                    <w:tabs>
                      <w:tab w:pos="315" w:val="left" w:leader="none"/>
                    </w:tabs>
                    <w:spacing w:line="323" w:lineRule="exact" w:before="60"/>
                    <w:ind w:left="314" w:right="0" w:hanging="315"/>
                    <w:jc w:val="left"/>
                    <w:rPr>
                      <w:rFonts w:ascii="微软雅黑" w:eastAsia="微软雅黑"/>
                      <w:b/>
                      <w:sz w:val="21"/>
                    </w:rPr>
                  </w:pPr>
                  <w:r>
                    <w:rPr>
                      <w:rFonts w:ascii="微软雅黑" w:eastAsia="微软雅黑"/>
                      <w:b/>
                      <w:spacing w:val="-5"/>
                      <w:sz w:val="21"/>
                    </w:rPr>
                    <w:t>释义</w:t>
                  </w:r>
                </w:p>
              </w:txbxContent>
            </v:textbox>
            <w10:wrap type="none"/>
          </v:shape>
        </w:pict>
      </w:r>
      <w:r>
        <w:rPr>
          <w:rFonts w:ascii="Symbol" w:hAnsi="Symbol" w:eastAsia="Symbol"/>
          <w:b/>
          <w:spacing w:val="-10"/>
          <w:sz w:val="21"/>
        </w:rPr>
        <w:t></w:t>
      </w:r>
      <w:r>
        <w:rPr>
          <w:rFonts w:ascii="Times New Roman" w:hAnsi="Times New Roman" w:eastAsia="Times New Roman"/>
          <w:sz w:val="21"/>
        </w:rPr>
        <w:tab/>
      </w:r>
      <w:r>
        <w:rPr>
          <w:rFonts w:ascii="微软雅黑" w:hAnsi="微软雅黑" w:eastAsia="微软雅黑"/>
          <w:b/>
          <w:spacing w:val="-3"/>
          <w:sz w:val="21"/>
        </w:rPr>
        <w:t>条款目录</w:t>
      </w:r>
    </w:p>
    <w:p>
      <w:pPr>
        <w:spacing w:after="0"/>
        <w:jc w:val="left"/>
        <w:rPr>
          <w:rFonts w:ascii="微软雅黑" w:hAnsi="微软雅黑" w:eastAsia="微软雅黑"/>
          <w:sz w:val="21"/>
        </w:rPr>
        <w:sectPr>
          <w:type w:val="continuous"/>
          <w:pgSz w:w="11910" w:h="16840"/>
          <w:pgMar w:top="160" w:bottom="280" w:left="1480" w:right="440"/>
        </w:sectPr>
      </w:pPr>
    </w:p>
    <w:p>
      <w:pPr>
        <w:pStyle w:val="BodyText"/>
        <w:ind w:left="1914"/>
        <w:rPr>
          <w:rFonts w:ascii="微软雅黑"/>
          <w:sz w:val="20"/>
        </w:rPr>
      </w:pPr>
      <w:r>
        <w:rPr>
          <w:rFonts w:ascii="微软雅黑"/>
          <w:sz w:val="20"/>
        </w:rPr>
        <w:drawing>
          <wp:inline distT="0" distB="0" distL="0" distR="0">
            <wp:extent cx="3580993" cy="796861"/>
            <wp:effectExtent l="0" t="0" r="0" b="0"/>
            <wp:docPr id="7" name="image4.jpeg"/>
            <wp:cNvGraphicFramePr>
              <a:graphicFrameLocks noChangeAspect="1"/>
            </wp:cNvGraphicFramePr>
            <a:graphic>
              <a:graphicData uri="http://schemas.openxmlformats.org/drawingml/2006/picture">
                <pic:pic>
                  <pic:nvPicPr>
                    <pic:cNvPr id="8" name="image4.jpeg"/>
                    <pic:cNvPicPr/>
                  </pic:nvPicPr>
                  <pic:blipFill>
                    <a:blip r:embed="rId9" cstate="print"/>
                    <a:stretch>
                      <a:fillRect/>
                    </a:stretch>
                  </pic:blipFill>
                  <pic:spPr>
                    <a:xfrm>
                      <a:off x="0" y="0"/>
                      <a:ext cx="3580993" cy="796861"/>
                    </a:xfrm>
                    <a:prstGeom prst="rect">
                      <a:avLst/>
                    </a:prstGeom>
                  </pic:spPr>
                </pic:pic>
              </a:graphicData>
            </a:graphic>
          </wp:inline>
        </w:drawing>
      </w:r>
      <w:r>
        <w:rPr>
          <w:rFonts w:ascii="微软雅黑"/>
          <w:sz w:val="20"/>
        </w:rPr>
      </w:r>
    </w:p>
    <w:p>
      <w:pPr>
        <w:pStyle w:val="BodyText"/>
        <w:ind w:left="0"/>
        <w:rPr>
          <w:rFonts w:ascii="微软雅黑"/>
          <w:b/>
          <w:sz w:val="12"/>
        </w:rPr>
      </w:pPr>
    </w:p>
    <w:p>
      <w:pPr>
        <w:pStyle w:val="Title"/>
        <w:ind w:left="1858" w:right="2325"/>
      </w:pPr>
      <w:r>
        <w:rPr>
          <w:w w:val="95"/>
        </w:rPr>
        <w:t>中</w:t>
      </w:r>
      <w:r>
        <w:rPr>
          <w:w w:val="95"/>
        </w:rPr>
        <w:t>意</w:t>
      </w:r>
      <w:r>
        <w:rPr>
          <w:w w:val="95"/>
        </w:rPr>
        <w:t>悦</w:t>
      </w:r>
      <w:r>
        <w:rPr>
          <w:w w:val="95"/>
        </w:rPr>
        <w:t>享</w:t>
      </w:r>
      <w:r>
        <w:rPr>
          <w:w w:val="95"/>
        </w:rPr>
        <w:t>安</w:t>
      </w:r>
      <w:r>
        <w:rPr>
          <w:w w:val="95"/>
        </w:rPr>
        <w:t>康</w:t>
      </w:r>
      <w:r>
        <w:rPr>
          <w:w w:val="95"/>
        </w:rPr>
        <w:t>重</w:t>
      </w:r>
      <w:r>
        <w:rPr>
          <w:w w:val="95"/>
        </w:rPr>
        <w:t>大</w:t>
      </w:r>
      <w:r>
        <w:rPr>
          <w:w w:val="95"/>
        </w:rPr>
        <w:t>疾</w:t>
      </w:r>
      <w:r>
        <w:rPr>
          <w:w w:val="95"/>
        </w:rPr>
        <w:t>病</w:t>
      </w:r>
      <w:r>
        <w:rPr>
          <w:w w:val="95"/>
        </w:rPr>
        <w:t>保</w:t>
      </w:r>
      <w:r>
        <w:rPr>
          <w:w w:val="95"/>
        </w:rPr>
        <w:t>险</w:t>
      </w:r>
      <w:r>
        <w:rPr>
          <w:w w:val="95"/>
        </w:rPr>
        <w:t>（全</w:t>
      </w:r>
      <w:r>
        <w:rPr>
          <w:w w:val="95"/>
        </w:rPr>
        <w:t>能</w:t>
      </w:r>
      <w:r>
        <w:rPr>
          <w:w w:val="95"/>
        </w:rPr>
        <w:t>版</w:t>
      </w:r>
      <w:r>
        <w:rPr>
          <w:w w:val="95"/>
        </w:rPr>
        <w:t>）</w:t>
      </w:r>
      <w:r>
        <w:rPr>
          <w:w w:val="95"/>
        </w:rPr>
        <w:t>条</w:t>
      </w:r>
      <w:r>
        <w:rPr>
          <w:spacing w:val="-10"/>
          <w:w w:val="95"/>
        </w:rPr>
        <w:t>款</w:t>
      </w:r>
    </w:p>
    <w:p>
      <w:pPr>
        <w:pStyle w:val="BodyText"/>
        <w:spacing w:before="1"/>
        <w:ind w:left="0"/>
        <w:rPr>
          <w:rFonts w:ascii="微软雅黑"/>
          <w:b/>
          <w:sz w:val="41"/>
        </w:rPr>
      </w:pPr>
    </w:p>
    <w:p>
      <w:pPr>
        <w:pStyle w:val="BodyText"/>
        <w:spacing w:line="242" w:lineRule="auto" w:before="1"/>
        <w:ind w:left="222" w:right="516" w:firstLine="419"/>
      </w:pPr>
      <w:r>
        <w:rPr>
          <w:spacing w:val="-2"/>
        </w:rPr>
        <w:t>在本条款中，“您”指投保人，“我们”、“本公司”均指中意人寿保险有限公司，“本合同”</w:t>
      </w:r>
      <w:r>
        <w:rPr>
          <w:spacing w:val="-2"/>
        </w:rPr>
        <w:t>指您与我们之间订立的“中意悦享安康重大疾病保险（全能版）”保险合同。</w:t>
      </w:r>
    </w:p>
    <w:p>
      <w:pPr>
        <w:pStyle w:val="BodyText"/>
        <w:spacing w:before="7"/>
        <w:ind w:left="0"/>
        <w:rPr>
          <w:sz w:val="18"/>
        </w:rPr>
      </w:pPr>
    </w:p>
    <w:p>
      <w:pPr>
        <w:pStyle w:val="Heading1"/>
        <w:numPr>
          <w:ilvl w:val="0"/>
          <w:numId w:val="16"/>
        </w:numPr>
        <w:tabs>
          <w:tab w:pos="1071" w:val="left" w:leader="none"/>
          <w:tab w:pos="1072" w:val="left" w:leader="none"/>
        </w:tabs>
        <w:spacing w:line="240" w:lineRule="auto" w:before="0" w:after="0"/>
        <w:ind w:left="1071" w:right="0" w:hanging="850"/>
        <w:jc w:val="left"/>
      </w:pPr>
      <w:r>
        <w:rPr/>
        <w:drawing>
          <wp:anchor distT="0" distB="0" distL="0" distR="0" allowOverlap="1" layoutInCell="1" locked="0" behindDoc="0" simplePos="0" relativeHeight="4">
            <wp:simplePos x="0" y="0"/>
            <wp:positionH relativeFrom="page">
              <wp:posOffset>1012240</wp:posOffset>
            </wp:positionH>
            <wp:positionV relativeFrom="paragraph">
              <wp:posOffset>294104</wp:posOffset>
            </wp:positionV>
            <wp:extent cx="5869766" cy="6096"/>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5869766" cy="6096"/>
                    </a:xfrm>
                    <a:prstGeom prst="rect">
                      <a:avLst/>
                    </a:prstGeom>
                  </pic:spPr>
                </pic:pic>
              </a:graphicData>
            </a:graphic>
          </wp:anchor>
        </w:drawing>
      </w:r>
      <w:r>
        <w:rPr>
          <w:spacing w:val="-2"/>
        </w:rPr>
        <w:t>您与我们订立的合同</w:t>
      </w:r>
    </w:p>
    <w:p>
      <w:pPr>
        <w:pStyle w:val="ListParagraph"/>
        <w:numPr>
          <w:ilvl w:val="1"/>
          <w:numId w:val="16"/>
        </w:numPr>
        <w:tabs>
          <w:tab w:pos="1071" w:val="left" w:leader="none"/>
          <w:tab w:pos="1072" w:val="left" w:leader="none"/>
          <w:tab w:pos="3152" w:val="left" w:leader="none"/>
        </w:tabs>
        <w:spacing w:line="364" w:lineRule="exact" w:before="174" w:after="0"/>
        <w:ind w:left="1071" w:right="0" w:hanging="850"/>
        <w:jc w:val="left"/>
        <w:rPr>
          <w:sz w:val="21"/>
        </w:rPr>
      </w:pPr>
      <w:r>
        <w:rPr>
          <w:rFonts w:ascii="微软雅黑" w:eastAsia="微软雅黑"/>
          <w:b/>
          <w:sz w:val="21"/>
        </w:rPr>
        <w:t>合同构</w:t>
      </w:r>
      <w:r>
        <w:rPr>
          <w:rFonts w:ascii="微软雅黑" w:eastAsia="微软雅黑"/>
          <w:b/>
          <w:spacing w:val="-10"/>
          <w:sz w:val="21"/>
        </w:rPr>
        <w:t>成</w:t>
      </w:r>
      <w:r>
        <w:rPr>
          <w:rFonts w:ascii="微软雅黑" w:eastAsia="微软雅黑"/>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99"/>
          <w:sz w:val="21"/>
        </w:rPr>
        <w:t>，</w:t>
      </w:r>
      <w:r>
        <w:rPr>
          <w:spacing w:val="-2"/>
          <w:sz w:val="21"/>
        </w:rPr>
        <w:t>包</w:t>
      </w:r>
      <w:r>
        <w:rPr>
          <w:spacing w:val="-2"/>
          <w:sz w:val="21"/>
        </w:rPr>
        <w:t>括</w:t>
      </w:r>
      <w:r>
        <w:rPr>
          <w:spacing w:val="-2"/>
          <w:sz w:val="21"/>
        </w:rPr>
        <w:t>本</w:t>
      </w:r>
      <w:r>
        <w:rPr>
          <w:spacing w:val="-2"/>
          <w:sz w:val="21"/>
        </w:rPr>
        <w:t>保险条</w:t>
      </w:r>
      <w:r>
        <w:rPr>
          <w:spacing w:val="-2"/>
          <w:sz w:val="21"/>
        </w:rPr>
        <w:t>款</w:t>
      </w:r>
      <w:r>
        <w:rPr>
          <w:spacing w:val="-10"/>
          <w:sz w:val="21"/>
        </w:rPr>
        <w:t>、</w:t>
      </w:r>
    </w:p>
    <w:p>
      <w:pPr>
        <w:pStyle w:val="BodyText"/>
        <w:spacing w:line="246" w:lineRule="exact"/>
      </w:pPr>
      <w:r>
        <w:rPr>
          <w:spacing w:val="-3"/>
        </w:rPr>
        <w:t>保险单或其他保险凭证、投保单、与保险合同有关的投保文件、合</w:t>
      </w:r>
    </w:p>
    <w:p>
      <w:pPr>
        <w:pStyle w:val="BodyText"/>
        <w:spacing w:before="2"/>
      </w:pPr>
      <w:r>
        <w:rPr>
          <w:spacing w:val="-3"/>
        </w:rPr>
        <w:t>法有效的声明、批注、批单及其他您与我们共同认可的书面协议。</w:t>
      </w:r>
    </w:p>
    <w:p>
      <w:pPr>
        <w:pStyle w:val="BodyText"/>
        <w:spacing w:before="4"/>
        <w:ind w:left="0"/>
        <w:rPr>
          <w:sz w:val="11"/>
        </w:rPr>
      </w:pPr>
    </w:p>
    <w:p>
      <w:pPr>
        <w:spacing w:after="0"/>
        <w:rPr>
          <w:sz w:val="11"/>
        </w:rPr>
        <w:sectPr>
          <w:footerReference w:type="default" r:id="rId8"/>
          <w:pgSz w:w="11910" w:h="16840"/>
          <w:pgMar w:footer="878" w:header="0" w:top="1220" w:bottom="1060" w:left="1480" w:right="440"/>
          <w:pgNumType w:start="1"/>
        </w:sectPr>
      </w:pPr>
    </w:p>
    <w:p>
      <w:pPr>
        <w:pStyle w:val="ListParagraph"/>
        <w:numPr>
          <w:ilvl w:val="1"/>
          <w:numId w:val="16"/>
        </w:numPr>
        <w:tabs>
          <w:tab w:pos="1071" w:val="left" w:leader="none"/>
          <w:tab w:pos="1072" w:val="left" w:leader="none"/>
        </w:tabs>
        <w:spacing w:line="170" w:lineRule="auto" w:before="113" w:after="0"/>
        <w:ind w:left="1071" w:right="0" w:hanging="850"/>
        <w:jc w:val="left"/>
        <w:rPr>
          <w:rFonts w:ascii="微软雅黑" w:eastAsia="微软雅黑"/>
          <w:b/>
          <w:sz w:val="21"/>
        </w:rPr>
      </w:pPr>
      <w:r>
        <w:rPr>
          <w:rFonts w:ascii="微软雅黑" w:eastAsia="微软雅黑"/>
          <w:b/>
          <w:spacing w:val="19"/>
          <w:sz w:val="21"/>
        </w:rPr>
        <w:t>保险合同成立与生</w:t>
      </w:r>
      <w:r>
        <w:rPr>
          <w:rFonts w:ascii="微软雅黑" w:eastAsia="微软雅黑"/>
          <w:b/>
          <w:spacing w:val="-10"/>
          <w:sz w:val="21"/>
        </w:rPr>
        <w:t>效</w:t>
      </w:r>
    </w:p>
    <w:p>
      <w:pPr>
        <w:pStyle w:val="BodyText"/>
        <w:spacing w:before="100"/>
        <w:ind w:left="175"/>
      </w:pPr>
      <w:r>
        <w:rPr/>
        <w:br w:type="column"/>
      </w:r>
      <w:r>
        <w:rPr>
          <w:spacing w:val="-3"/>
        </w:rPr>
        <w:t>您提出保险申请、我们同意承保，本合同成立。</w:t>
      </w:r>
    </w:p>
    <w:p>
      <w:pPr>
        <w:pStyle w:val="BodyText"/>
        <w:spacing w:before="5"/>
        <w:ind w:left="0"/>
        <w:rPr>
          <w:sz w:val="23"/>
        </w:rPr>
      </w:pPr>
    </w:p>
    <w:p>
      <w:pPr>
        <w:pStyle w:val="BodyText"/>
        <w:spacing w:line="180" w:lineRule="auto"/>
        <w:ind w:left="175" w:right="722"/>
        <w:jc w:val="both"/>
      </w:pPr>
      <w:r>
        <w:rPr>
          <w:spacing w:val="-2"/>
        </w:rPr>
        <w:t>除另有约定外，本合同自我们同意承保、收取首期保险费并签发保</w:t>
      </w:r>
      <w:r>
        <w:rPr/>
        <w:t>险单后开始生效，合同生效日期在保险单上载明。</w:t>
      </w:r>
      <w:r>
        <w:rPr>
          <w:rFonts w:ascii="微软雅黑" w:eastAsia="微软雅黑"/>
          <w:b/>
        </w:rPr>
        <w:t>保单年度</w:t>
      </w:r>
      <w:r>
        <w:rPr/>
        <w:t>（见</w:t>
      </w:r>
      <w:r>
        <w:rPr/>
        <w:t> </w:t>
      </w:r>
      <w:r>
        <w:rPr>
          <w:rFonts w:ascii="Times New Roman" w:eastAsia="Times New Roman"/>
          <w:spacing w:val="19"/>
        </w:rPr>
        <w:t>14.1</w:t>
      </w:r>
      <w:r>
        <w:rPr>
          <w:spacing w:val="-89"/>
        </w:rPr>
        <w:t>）</w:t>
      </w:r>
      <w:r>
        <w:rPr>
          <w:rFonts w:ascii="微软雅黑" w:eastAsia="微软雅黑"/>
          <w:b/>
          <w:spacing w:val="-2"/>
        </w:rPr>
        <w:t>、保险费约定支付日</w:t>
      </w:r>
      <w:r>
        <w:rPr>
          <w:spacing w:val="-2"/>
        </w:rPr>
        <w:t>（见</w:t>
      </w:r>
      <w:r>
        <w:rPr>
          <w:rFonts w:ascii="Times New Roman" w:eastAsia="Times New Roman"/>
          <w:spacing w:val="-2"/>
        </w:rPr>
        <w:t>14.2</w:t>
      </w:r>
      <w:r>
        <w:rPr>
          <w:spacing w:val="-2"/>
        </w:rPr>
        <w:t>）均以该日期计算。</w:t>
      </w:r>
    </w:p>
    <w:p>
      <w:pPr>
        <w:spacing w:after="0" w:line="180" w:lineRule="auto"/>
        <w:jc w:val="both"/>
        <w:sectPr>
          <w:type w:val="continuous"/>
          <w:pgSz w:w="11910" w:h="16840"/>
          <w:pgMar w:header="0" w:footer="878" w:top="160" w:bottom="280" w:left="1480" w:right="440"/>
          <w:cols w:num="2" w:equalWidth="0">
            <w:col w:w="2938" w:space="40"/>
            <w:col w:w="7012"/>
          </w:cols>
        </w:sectPr>
      </w:pPr>
    </w:p>
    <w:p>
      <w:pPr>
        <w:pStyle w:val="BodyText"/>
        <w:spacing w:before="8"/>
        <w:ind w:left="0"/>
        <w:rPr>
          <w:sz w:val="9"/>
        </w:rPr>
      </w:pPr>
    </w:p>
    <w:p>
      <w:pPr>
        <w:pStyle w:val="ListParagraph"/>
        <w:numPr>
          <w:ilvl w:val="1"/>
          <w:numId w:val="16"/>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投保年</w:t>
      </w:r>
      <w:r>
        <w:rPr>
          <w:rFonts w:ascii="微软雅黑" w:eastAsia="微软雅黑"/>
          <w:b/>
          <w:spacing w:val="-10"/>
          <w:sz w:val="21"/>
        </w:rPr>
        <w:t>龄</w:t>
      </w:r>
      <w:r>
        <w:rPr>
          <w:rFonts w:ascii="微软雅黑" w:eastAsia="微软雅黑"/>
          <w:b/>
          <w:sz w:val="21"/>
        </w:rPr>
        <w:tab/>
      </w:r>
      <w:r>
        <w:rPr>
          <w:spacing w:val="-2"/>
          <w:sz w:val="21"/>
        </w:rPr>
        <w:t>指</w:t>
      </w:r>
      <w:r>
        <w:rPr>
          <w:spacing w:val="-2"/>
          <w:sz w:val="21"/>
        </w:rPr>
        <w:t>您</w:t>
      </w:r>
      <w:r>
        <w:rPr>
          <w:spacing w:val="-2"/>
          <w:sz w:val="21"/>
        </w:rPr>
        <w:t>投保本合同时被保险</w:t>
      </w:r>
      <w:r>
        <w:rPr>
          <w:spacing w:val="-2"/>
          <w:sz w:val="21"/>
        </w:rPr>
        <w:t>人</w:t>
      </w:r>
      <w:r>
        <w:rPr>
          <w:spacing w:val="-2"/>
          <w:sz w:val="21"/>
        </w:rPr>
        <w:t>的</w:t>
      </w:r>
      <w:r>
        <w:rPr>
          <w:spacing w:val="-2"/>
          <w:sz w:val="21"/>
        </w:rPr>
        <w:t>年龄，年龄以</w:t>
      </w:r>
      <w:r>
        <w:rPr>
          <w:rFonts w:ascii="微软雅黑" w:eastAsia="微软雅黑"/>
          <w:b/>
          <w:spacing w:val="-2"/>
          <w:sz w:val="21"/>
        </w:rPr>
        <w:t>周</w:t>
      </w:r>
      <w:r>
        <w:rPr>
          <w:rFonts w:ascii="微软雅黑" w:eastAsia="微软雅黑"/>
          <w:b/>
          <w:spacing w:val="-2"/>
          <w:sz w:val="21"/>
        </w:rPr>
        <w:t>岁</w:t>
      </w:r>
      <w:r>
        <w:rPr>
          <w:spacing w:val="-2"/>
          <w:sz w:val="21"/>
        </w:rPr>
        <w:t>（见</w:t>
      </w:r>
      <w:r>
        <w:rPr>
          <w:rFonts w:ascii="Times New Roman" w:eastAsia="Times New Roman"/>
          <w:spacing w:val="-2"/>
          <w:sz w:val="21"/>
        </w:rPr>
        <w:t>14.3</w:t>
      </w:r>
      <w:r>
        <w:rPr>
          <w:spacing w:val="-2"/>
          <w:sz w:val="21"/>
        </w:rPr>
        <w:t>）计</w:t>
      </w:r>
      <w:r>
        <w:rPr>
          <w:spacing w:val="-2"/>
          <w:sz w:val="21"/>
        </w:rPr>
        <w:t>算</w:t>
      </w:r>
      <w:r>
        <w:rPr>
          <w:spacing w:val="-10"/>
          <w:sz w:val="21"/>
        </w:rPr>
        <w:t>。</w:t>
      </w:r>
    </w:p>
    <w:p>
      <w:pPr>
        <w:pStyle w:val="BodyText"/>
        <w:spacing w:line="245" w:lineRule="exact"/>
      </w:pPr>
      <w:r>
        <w:rPr>
          <w:spacing w:val="-2"/>
        </w:rPr>
        <w:t>本合同接受的投保年龄为出生满</w:t>
      </w:r>
      <w:r>
        <w:rPr>
          <w:rFonts w:ascii="Times New Roman" w:eastAsia="Times New Roman"/>
          <w:spacing w:val="-2"/>
        </w:rPr>
        <w:t>7</w:t>
      </w:r>
      <w:r>
        <w:rPr>
          <w:spacing w:val="-2"/>
        </w:rPr>
        <w:t>天至</w:t>
      </w:r>
      <w:r>
        <w:rPr>
          <w:rFonts w:ascii="Times New Roman" w:eastAsia="Times New Roman"/>
          <w:spacing w:val="-2"/>
        </w:rPr>
        <w:t>70</w:t>
      </w:r>
      <w:r>
        <w:rPr>
          <w:spacing w:val="-5"/>
        </w:rPr>
        <w:t>周岁。</w:t>
      </w:r>
    </w:p>
    <w:p>
      <w:pPr>
        <w:pStyle w:val="ListParagraph"/>
        <w:numPr>
          <w:ilvl w:val="1"/>
          <w:numId w:val="16"/>
        </w:numPr>
        <w:tabs>
          <w:tab w:pos="1071" w:val="left" w:leader="none"/>
          <w:tab w:pos="1072" w:val="left" w:leader="none"/>
          <w:tab w:pos="3152" w:val="left" w:leader="none"/>
        </w:tabs>
        <w:spacing w:line="240" w:lineRule="auto" w:before="177" w:after="0"/>
        <w:ind w:left="1071" w:right="0" w:hanging="850"/>
        <w:jc w:val="left"/>
        <w:rPr>
          <w:sz w:val="21"/>
        </w:rPr>
      </w:pPr>
      <w:r>
        <w:rPr>
          <w:rFonts w:ascii="微软雅黑" w:eastAsia="微软雅黑"/>
          <w:b/>
          <w:sz w:val="21"/>
        </w:rPr>
        <w:t>合同的签</w:t>
      </w:r>
      <w:r>
        <w:rPr>
          <w:rFonts w:ascii="微软雅黑" w:eastAsia="微软雅黑"/>
          <w:b/>
          <w:spacing w:val="-10"/>
          <w:sz w:val="21"/>
        </w:rPr>
        <w:t>收</w:t>
      </w:r>
      <w:r>
        <w:rPr>
          <w:rFonts w:ascii="微软雅黑" w:eastAsia="微软雅黑"/>
          <w:b/>
          <w:sz w:val="21"/>
        </w:rPr>
        <w:tab/>
      </w:r>
      <w:r>
        <w:rPr>
          <w:spacing w:val="-2"/>
          <w:sz w:val="21"/>
        </w:rPr>
        <w:t>在</w:t>
      </w:r>
      <w:r>
        <w:rPr>
          <w:spacing w:val="-2"/>
          <w:sz w:val="21"/>
        </w:rPr>
        <w:t>您</w:t>
      </w:r>
      <w:r>
        <w:rPr>
          <w:spacing w:val="-2"/>
          <w:sz w:val="21"/>
        </w:rPr>
        <w:t>收到本合同时，您应</w:t>
      </w:r>
      <w:r>
        <w:rPr>
          <w:spacing w:val="-2"/>
          <w:sz w:val="21"/>
        </w:rPr>
        <w:t>当</w:t>
      </w:r>
      <w:r>
        <w:rPr>
          <w:spacing w:val="-2"/>
          <w:sz w:val="21"/>
        </w:rPr>
        <w:t>签</w:t>
      </w:r>
      <w:r>
        <w:rPr>
          <w:spacing w:val="-2"/>
          <w:sz w:val="21"/>
        </w:rPr>
        <w:t>署本合同的签收回执</w:t>
      </w:r>
      <w:r>
        <w:rPr>
          <w:spacing w:val="-10"/>
          <w:sz w:val="21"/>
        </w:rPr>
        <w:t>。</w:t>
      </w:r>
    </w:p>
    <w:p>
      <w:pPr>
        <w:pStyle w:val="ListParagraph"/>
        <w:numPr>
          <w:ilvl w:val="1"/>
          <w:numId w:val="16"/>
        </w:numPr>
        <w:tabs>
          <w:tab w:pos="1071" w:val="left" w:leader="none"/>
          <w:tab w:pos="1072" w:val="left" w:leader="none"/>
          <w:tab w:pos="3152" w:val="left" w:leader="none"/>
        </w:tabs>
        <w:spacing w:line="364" w:lineRule="exact" w:before="127" w:after="0"/>
        <w:ind w:left="1071" w:right="0" w:hanging="850"/>
        <w:jc w:val="left"/>
        <w:rPr>
          <w:sz w:val="21"/>
        </w:rPr>
      </w:pPr>
      <w:r>
        <w:rPr>
          <w:rFonts w:ascii="微软雅黑" w:eastAsia="微软雅黑"/>
          <w:b/>
          <w:sz w:val="21"/>
        </w:rPr>
        <w:t>犹豫</w:t>
      </w:r>
      <w:r>
        <w:rPr>
          <w:rFonts w:ascii="微软雅黑" w:eastAsia="微软雅黑"/>
          <w:b/>
          <w:spacing w:val="-10"/>
          <w:sz w:val="21"/>
        </w:rPr>
        <w:t>期</w:t>
      </w:r>
      <w:r>
        <w:rPr>
          <w:rFonts w:ascii="微软雅黑" w:eastAsia="微软雅黑"/>
          <w:b/>
          <w:sz w:val="21"/>
        </w:rPr>
        <w:tab/>
      </w:r>
      <w:r>
        <w:rPr>
          <w:spacing w:val="-2"/>
          <w:sz w:val="21"/>
        </w:rPr>
        <w:t>自</w:t>
      </w:r>
      <w:r>
        <w:rPr>
          <w:spacing w:val="-2"/>
          <w:sz w:val="21"/>
        </w:rPr>
        <w:t>您</w:t>
      </w:r>
      <w:r>
        <w:rPr>
          <w:spacing w:val="-2"/>
          <w:sz w:val="21"/>
        </w:rPr>
        <w:t>签</w:t>
      </w:r>
      <w:r>
        <w:rPr>
          <w:spacing w:val="-2"/>
          <w:sz w:val="21"/>
        </w:rPr>
        <w:t>收</w:t>
      </w:r>
      <w:r>
        <w:rPr>
          <w:spacing w:val="-2"/>
          <w:sz w:val="21"/>
        </w:rPr>
        <w:t>本</w:t>
      </w:r>
      <w:r>
        <w:rPr>
          <w:spacing w:val="-2"/>
          <w:sz w:val="21"/>
        </w:rPr>
        <w:t>合同的</w:t>
      </w:r>
      <w:r>
        <w:rPr>
          <w:spacing w:val="-2"/>
          <w:sz w:val="21"/>
        </w:rPr>
        <w:t>次</w:t>
      </w:r>
      <w:r>
        <w:rPr>
          <w:spacing w:val="-2"/>
          <w:sz w:val="21"/>
        </w:rPr>
        <w:t>日</w:t>
      </w:r>
      <w:r>
        <w:rPr>
          <w:spacing w:val="-2"/>
          <w:sz w:val="21"/>
        </w:rPr>
        <w:t>起，</w:t>
      </w:r>
      <w:r>
        <w:rPr>
          <w:spacing w:val="-2"/>
          <w:sz w:val="21"/>
        </w:rPr>
        <w:t>有</w:t>
      </w:r>
      <w:r>
        <w:rPr>
          <w:rFonts w:ascii="Times New Roman" w:eastAsia="Times New Roman"/>
          <w:spacing w:val="-2"/>
          <w:sz w:val="21"/>
        </w:rPr>
        <w:t>15</w:t>
      </w:r>
      <w:r>
        <w:rPr>
          <w:spacing w:val="-2"/>
          <w:sz w:val="21"/>
        </w:rPr>
        <w:t>日</w:t>
      </w:r>
      <w:r>
        <w:rPr>
          <w:spacing w:val="-2"/>
          <w:sz w:val="21"/>
        </w:rPr>
        <w:t>的</w:t>
      </w:r>
      <w:r>
        <w:rPr>
          <w:spacing w:val="-2"/>
          <w:sz w:val="21"/>
        </w:rPr>
        <w:t>犹豫期</w:t>
      </w:r>
      <w:r>
        <w:rPr>
          <w:spacing w:val="-2"/>
          <w:sz w:val="21"/>
        </w:rPr>
        <w:t>。</w:t>
      </w:r>
      <w:r>
        <w:rPr>
          <w:spacing w:val="-2"/>
          <w:sz w:val="21"/>
        </w:rPr>
        <w:t>在</w:t>
      </w:r>
      <w:r>
        <w:rPr>
          <w:spacing w:val="-2"/>
          <w:sz w:val="21"/>
        </w:rPr>
        <w:t>此</w:t>
      </w:r>
      <w:r>
        <w:rPr>
          <w:spacing w:val="-2"/>
          <w:sz w:val="21"/>
        </w:rPr>
        <w:t>期</w:t>
      </w:r>
      <w:r>
        <w:rPr>
          <w:spacing w:val="-2"/>
          <w:sz w:val="21"/>
        </w:rPr>
        <w:t>间</w:t>
      </w:r>
      <w:r>
        <w:rPr>
          <w:spacing w:val="-2"/>
          <w:sz w:val="21"/>
        </w:rPr>
        <w:t>，</w:t>
      </w:r>
      <w:r>
        <w:rPr>
          <w:spacing w:val="-2"/>
          <w:sz w:val="21"/>
        </w:rPr>
        <w:t>请</w:t>
      </w:r>
      <w:r>
        <w:rPr>
          <w:spacing w:val="-2"/>
          <w:sz w:val="21"/>
        </w:rPr>
        <w:t>您</w:t>
      </w:r>
      <w:r>
        <w:rPr>
          <w:spacing w:val="-2"/>
          <w:sz w:val="21"/>
        </w:rPr>
        <w:t>仔</w:t>
      </w:r>
      <w:r>
        <w:rPr>
          <w:spacing w:val="-10"/>
          <w:sz w:val="21"/>
        </w:rPr>
        <w:t>细</w:t>
      </w:r>
    </w:p>
    <w:p>
      <w:pPr>
        <w:pStyle w:val="BodyText"/>
        <w:spacing w:line="246" w:lineRule="exact"/>
      </w:pPr>
      <w:r>
        <w:rPr>
          <w:spacing w:val="-3"/>
        </w:rPr>
        <w:t>阅读本合同，如果您认为本合同与您的需求不相符，您可以在犹豫</w:t>
      </w:r>
    </w:p>
    <w:p>
      <w:pPr>
        <w:pStyle w:val="BodyText"/>
        <w:spacing w:line="244" w:lineRule="auto" w:before="2"/>
        <w:ind w:right="729"/>
      </w:pPr>
      <w:r>
        <w:rPr>
          <w:spacing w:val="-2"/>
        </w:rPr>
        <w:t>期结束前解除本合同，我们将在扣除不超过</w:t>
      </w:r>
      <w:r>
        <w:rPr>
          <w:rFonts w:ascii="Times New Roman" w:eastAsia="Times New Roman"/>
          <w:spacing w:val="-2"/>
        </w:rPr>
        <w:t>10</w:t>
      </w:r>
      <w:r>
        <w:rPr>
          <w:spacing w:val="-2"/>
        </w:rPr>
        <w:t>元的工本费后无息退</w:t>
      </w:r>
      <w:r>
        <w:rPr>
          <w:spacing w:val="-2"/>
        </w:rPr>
        <w:t>还您所支付的保险费。</w:t>
      </w:r>
    </w:p>
    <w:p>
      <w:pPr>
        <w:pStyle w:val="BodyText"/>
        <w:spacing w:before="11"/>
        <w:ind w:left="0"/>
        <w:rPr>
          <w:sz w:val="19"/>
        </w:rPr>
      </w:pPr>
    </w:p>
    <w:p>
      <w:pPr>
        <w:spacing w:line="168" w:lineRule="auto" w:before="0"/>
        <w:ind w:left="3153" w:right="627" w:firstLine="0"/>
        <w:jc w:val="left"/>
        <w:rPr>
          <w:rFonts w:ascii="微软雅黑" w:eastAsia="微软雅黑"/>
          <w:b/>
          <w:sz w:val="21"/>
        </w:rPr>
      </w:pPr>
      <w:r>
        <w:rPr>
          <w:spacing w:val="-2"/>
          <w:sz w:val="21"/>
        </w:rPr>
        <w:t>解除合同时，您需要填写申请书，并提供您的保险合同及</w:t>
      </w:r>
      <w:r>
        <w:rPr>
          <w:rFonts w:ascii="微软雅黑" w:eastAsia="微软雅黑"/>
          <w:b/>
          <w:spacing w:val="-2"/>
          <w:sz w:val="21"/>
        </w:rPr>
        <w:t>有效身份</w:t>
      </w:r>
      <w:r>
        <w:rPr>
          <w:rFonts w:ascii="微软雅黑" w:eastAsia="微软雅黑"/>
          <w:b/>
          <w:spacing w:val="-31"/>
          <w:sz w:val="21"/>
        </w:rPr>
        <w:t>证件</w:t>
      </w:r>
      <w:r>
        <w:rPr>
          <w:spacing w:val="-4"/>
          <w:sz w:val="21"/>
        </w:rPr>
        <w:t>（见</w:t>
      </w:r>
      <w:r>
        <w:rPr>
          <w:rFonts w:ascii="Times New Roman" w:eastAsia="Times New Roman"/>
          <w:spacing w:val="14"/>
          <w:sz w:val="21"/>
        </w:rPr>
        <w:t>1</w:t>
      </w:r>
      <w:r>
        <w:rPr>
          <w:rFonts w:ascii="Times New Roman" w:eastAsia="Times New Roman"/>
          <w:spacing w:val="17"/>
          <w:sz w:val="21"/>
        </w:rPr>
        <w:t>4.4</w:t>
      </w:r>
      <w:r>
        <w:rPr>
          <w:spacing w:val="-89"/>
          <w:sz w:val="21"/>
        </w:rPr>
        <w:t>）</w:t>
      </w:r>
      <w:r>
        <w:rPr>
          <w:spacing w:val="-60"/>
          <w:sz w:val="21"/>
        </w:rPr>
        <w:t>。</w:t>
      </w:r>
      <w:r>
        <w:rPr>
          <w:rFonts w:ascii="微软雅黑" w:eastAsia="微软雅黑"/>
          <w:b/>
          <w:spacing w:val="-8"/>
          <w:sz w:val="21"/>
        </w:rPr>
        <w:t>自我们收到解除合同申请书时起，本合同即被解除，</w:t>
      </w:r>
      <w:r>
        <w:rPr>
          <w:rFonts w:ascii="微软雅黑" w:eastAsia="微软雅黑"/>
          <w:b/>
          <w:spacing w:val="-2"/>
          <w:sz w:val="21"/>
        </w:rPr>
        <w:t>我们自本合同生效日起不承担保险责任。</w:t>
      </w:r>
    </w:p>
    <w:p>
      <w:pPr>
        <w:pStyle w:val="BodyText"/>
        <w:spacing w:before="5"/>
        <w:ind w:left="0"/>
        <w:rPr>
          <w:rFonts w:ascii="微软雅黑"/>
          <w:b/>
          <w:sz w:val="12"/>
        </w:rPr>
      </w:pPr>
    </w:p>
    <w:p>
      <w:pPr>
        <w:pStyle w:val="Heading1"/>
        <w:numPr>
          <w:ilvl w:val="0"/>
          <w:numId w:val="16"/>
        </w:numPr>
        <w:tabs>
          <w:tab w:pos="1071" w:val="left" w:leader="none"/>
          <w:tab w:pos="1072" w:val="left" w:leader="none"/>
        </w:tabs>
        <w:spacing w:line="240" w:lineRule="auto" w:before="0" w:after="0"/>
        <w:ind w:left="1071" w:right="0" w:hanging="850"/>
        <w:jc w:val="left"/>
      </w:pPr>
      <w:r>
        <w:rPr/>
        <w:drawing>
          <wp:anchor distT="0" distB="0" distL="0" distR="0" allowOverlap="1" layoutInCell="1" locked="0" behindDoc="0" simplePos="0" relativeHeight="5">
            <wp:simplePos x="0" y="0"/>
            <wp:positionH relativeFrom="page">
              <wp:posOffset>1012240</wp:posOffset>
            </wp:positionH>
            <wp:positionV relativeFrom="paragraph">
              <wp:posOffset>292580</wp:posOffset>
            </wp:positionV>
            <wp:extent cx="5869400" cy="609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5869400" cy="6095"/>
                    </a:xfrm>
                    <a:prstGeom prst="rect">
                      <a:avLst/>
                    </a:prstGeom>
                  </pic:spPr>
                </pic:pic>
              </a:graphicData>
            </a:graphic>
          </wp:anchor>
        </w:drawing>
      </w:r>
      <w:r>
        <w:rPr>
          <w:spacing w:val="-2"/>
        </w:rPr>
        <w:t>我们提供的保障</w:t>
      </w:r>
    </w:p>
    <w:p>
      <w:pPr>
        <w:pStyle w:val="ListParagraph"/>
        <w:numPr>
          <w:ilvl w:val="1"/>
          <w:numId w:val="16"/>
        </w:numPr>
        <w:tabs>
          <w:tab w:pos="1071" w:val="left" w:leader="none"/>
          <w:tab w:pos="1072" w:val="left" w:leader="none"/>
          <w:tab w:pos="3152" w:val="left" w:leader="none"/>
        </w:tabs>
        <w:spacing w:line="363" w:lineRule="exact" w:before="176" w:after="0"/>
        <w:ind w:left="1071" w:right="0" w:hanging="850"/>
        <w:jc w:val="left"/>
        <w:rPr>
          <w:sz w:val="21"/>
        </w:rPr>
      </w:pPr>
      <w:r>
        <w:rPr>
          <w:rFonts w:ascii="微软雅黑" w:eastAsia="微软雅黑"/>
          <w:b/>
          <w:sz w:val="21"/>
        </w:rPr>
        <w:t>基本保险金</w:t>
      </w:r>
      <w:r>
        <w:rPr>
          <w:rFonts w:ascii="微软雅黑" w:eastAsia="微软雅黑"/>
          <w:b/>
          <w:spacing w:val="-10"/>
          <w:sz w:val="21"/>
        </w:rPr>
        <w:t>额</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的</w:t>
      </w:r>
      <w:r>
        <w:rPr>
          <w:spacing w:val="-2"/>
          <w:sz w:val="21"/>
        </w:rPr>
        <w:t>基</w:t>
      </w:r>
      <w:r>
        <w:rPr>
          <w:spacing w:val="-2"/>
          <w:sz w:val="21"/>
        </w:rPr>
        <w:t>本保险</w:t>
      </w:r>
      <w:r>
        <w:rPr>
          <w:spacing w:val="-2"/>
          <w:sz w:val="21"/>
        </w:rPr>
        <w:t>金</w:t>
      </w:r>
      <w:r>
        <w:rPr>
          <w:spacing w:val="-2"/>
          <w:sz w:val="21"/>
        </w:rPr>
        <w:t>额</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与我们</w:t>
      </w:r>
      <w:r>
        <w:rPr>
          <w:spacing w:val="-2"/>
          <w:sz w:val="21"/>
        </w:rPr>
        <w:t>约</w:t>
      </w:r>
      <w:r>
        <w:rPr>
          <w:spacing w:val="-2"/>
          <w:sz w:val="21"/>
        </w:rPr>
        <w:t>定</w:t>
      </w:r>
      <w:r>
        <w:rPr>
          <w:spacing w:val="-2"/>
          <w:sz w:val="21"/>
        </w:rPr>
        <w:t>，</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10"/>
          <w:sz w:val="21"/>
        </w:rPr>
        <w:t>载</w:t>
      </w:r>
    </w:p>
    <w:p>
      <w:pPr>
        <w:pStyle w:val="BodyText"/>
        <w:spacing w:line="245" w:lineRule="exact"/>
      </w:pPr>
      <w:r>
        <w:rPr>
          <w:spacing w:val="-13"/>
        </w:rPr>
        <w:t>明。如果该基本保险金额有所变更，以变更后的基本保险金额为准。</w:t>
      </w:r>
    </w:p>
    <w:p>
      <w:pPr>
        <w:pStyle w:val="ListParagraph"/>
        <w:numPr>
          <w:ilvl w:val="1"/>
          <w:numId w:val="16"/>
        </w:numPr>
        <w:tabs>
          <w:tab w:pos="1071" w:val="left" w:leader="none"/>
          <w:tab w:pos="1072" w:val="left" w:leader="none"/>
          <w:tab w:pos="3152" w:val="left" w:leader="none"/>
        </w:tabs>
        <w:spacing w:line="240" w:lineRule="auto" w:before="178" w:after="0"/>
        <w:ind w:left="1071" w:right="0" w:hanging="850"/>
        <w:jc w:val="left"/>
        <w:rPr>
          <w:sz w:val="21"/>
        </w:rPr>
      </w:pPr>
      <w:r>
        <w:rPr>
          <w:rFonts w:ascii="微软雅黑" w:eastAsia="微软雅黑"/>
          <w:b/>
          <w:sz w:val="21"/>
        </w:rPr>
        <w:t>保险期</w:t>
      </w:r>
      <w:r>
        <w:rPr>
          <w:rFonts w:ascii="微软雅黑" w:eastAsia="微软雅黑"/>
          <w:b/>
          <w:spacing w:val="-10"/>
          <w:sz w:val="21"/>
        </w:rPr>
        <w:t>间</w:t>
      </w:r>
      <w:r>
        <w:rPr>
          <w:rFonts w:ascii="微软雅黑" w:eastAsia="微软雅黑"/>
          <w:b/>
          <w:sz w:val="21"/>
        </w:rPr>
        <w:tab/>
      </w:r>
      <w:r>
        <w:rPr>
          <w:spacing w:val="-2"/>
          <w:sz w:val="21"/>
        </w:rPr>
        <w:t>本</w:t>
      </w:r>
      <w:r>
        <w:rPr>
          <w:spacing w:val="-2"/>
          <w:sz w:val="21"/>
        </w:rPr>
        <w:t>合</w:t>
      </w:r>
      <w:r>
        <w:rPr>
          <w:spacing w:val="-2"/>
          <w:sz w:val="21"/>
        </w:rPr>
        <w:t>同的保险期间为终身，</w:t>
      </w:r>
      <w:r>
        <w:rPr>
          <w:spacing w:val="-2"/>
          <w:sz w:val="21"/>
        </w:rPr>
        <w:t>并</w:t>
      </w:r>
      <w:r>
        <w:rPr>
          <w:spacing w:val="-2"/>
          <w:sz w:val="21"/>
        </w:rPr>
        <w:t>于保险单上载明</w:t>
      </w:r>
      <w:r>
        <w:rPr>
          <w:spacing w:val="-10"/>
          <w:sz w:val="21"/>
        </w:rPr>
        <w:t>。</w:t>
      </w:r>
    </w:p>
    <w:p>
      <w:pPr>
        <w:pStyle w:val="ListParagraph"/>
        <w:numPr>
          <w:ilvl w:val="1"/>
          <w:numId w:val="16"/>
        </w:numPr>
        <w:tabs>
          <w:tab w:pos="1071" w:val="left" w:leader="none"/>
          <w:tab w:pos="1072" w:val="left" w:leader="none"/>
          <w:tab w:pos="3152" w:val="left" w:leader="none"/>
        </w:tabs>
        <w:spacing w:line="329" w:lineRule="exact" w:before="129" w:after="0"/>
        <w:ind w:left="1071" w:right="0" w:hanging="850"/>
        <w:jc w:val="left"/>
        <w:rPr>
          <w:rFonts w:ascii="微软雅黑" w:eastAsia="微软雅黑"/>
          <w:b/>
          <w:sz w:val="21"/>
        </w:rPr>
      </w:pPr>
      <w:r>
        <w:rPr>
          <w:rFonts w:ascii="微软雅黑" w:eastAsia="微软雅黑"/>
          <w:b/>
          <w:sz w:val="21"/>
        </w:rPr>
        <w:t>等待</w:t>
      </w:r>
      <w:r>
        <w:rPr>
          <w:rFonts w:ascii="微软雅黑" w:eastAsia="微软雅黑"/>
          <w:b/>
          <w:spacing w:val="-10"/>
          <w:sz w:val="21"/>
        </w:rPr>
        <w:t>期</w:t>
      </w:r>
      <w:r>
        <w:rPr>
          <w:rFonts w:ascii="微软雅黑" w:eastAsia="微软雅黑"/>
          <w:b/>
          <w:sz w:val="21"/>
        </w:rPr>
        <w:tab/>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的</w:t>
      </w:r>
      <w:r>
        <w:rPr>
          <w:rFonts w:ascii="微软雅黑" w:eastAsia="微软雅黑"/>
          <w:b/>
          <w:spacing w:val="-2"/>
          <w:sz w:val="21"/>
        </w:rPr>
        <w:t>等</w:t>
      </w:r>
      <w:r>
        <w:rPr>
          <w:rFonts w:ascii="微软雅黑" w:eastAsia="微软雅黑"/>
          <w:b/>
          <w:spacing w:val="-2"/>
          <w:sz w:val="21"/>
        </w:rPr>
        <w:t>待</w:t>
      </w:r>
      <w:r>
        <w:rPr>
          <w:rFonts w:ascii="微软雅黑" w:eastAsia="微软雅黑"/>
          <w:b/>
          <w:spacing w:val="-2"/>
          <w:sz w:val="21"/>
        </w:rPr>
        <w:t>期</w:t>
      </w:r>
      <w:r>
        <w:rPr>
          <w:rFonts w:ascii="微软雅黑" w:eastAsia="微软雅黑"/>
          <w:b/>
          <w:spacing w:val="-2"/>
          <w:sz w:val="21"/>
        </w:rPr>
        <w:t>是</w:t>
      </w:r>
      <w:r>
        <w:rPr>
          <w:rFonts w:ascii="微软雅黑" w:eastAsia="微软雅黑"/>
          <w:b/>
          <w:spacing w:val="-2"/>
          <w:sz w:val="21"/>
        </w:rPr>
        <w:t>指自本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生</w:t>
      </w:r>
      <w:r>
        <w:rPr>
          <w:rFonts w:ascii="微软雅黑" w:eastAsia="微软雅黑"/>
          <w:b/>
          <w:spacing w:val="-2"/>
          <w:sz w:val="21"/>
        </w:rPr>
        <w:t>效</w:t>
      </w:r>
      <w:r>
        <w:rPr>
          <w:rFonts w:ascii="微软雅黑" w:eastAsia="微软雅黑"/>
          <w:b/>
          <w:spacing w:val="-77"/>
          <w:sz w:val="21"/>
        </w:rPr>
        <w:t>日</w:t>
      </w:r>
      <w:r>
        <w:rPr>
          <w:rFonts w:ascii="微软雅黑" w:eastAsia="微软雅黑"/>
          <w:b/>
          <w:spacing w:val="-2"/>
          <w:sz w:val="21"/>
        </w:rPr>
        <w:t>（</w:t>
      </w:r>
      <w:r>
        <w:rPr>
          <w:rFonts w:ascii="微软雅黑" w:eastAsia="微软雅黑"/>
          <w:b/>
          <w:spacing w:val="-2"/>
          <w:sz w:val="21"/>
        </w:rPr>
        <w:t>或</w:t>
      </w:r>
      <w:r>
        <w:rPr>
          <w:rFonts w:ascii="微软雅黑" w:eastAsia="微软雅黑"/>
          <w:b/>
          <w:spacing w:val="-2"/>
          <w:sz w:val="21"/>
        </w:rPr>
        <w:t>最</w:t>
      </w:r>
      <w:r>
        <w:rPr>
          <w:rFonts w:ascii="微软雅黑" w:eastAsia="微软雅黑"/>
          <w:b/>
          <w:spacing w:val="-2"/>
          <w:sz w:val="21"/>
        </w:rPr>
        <w:t>后</w:t>
      </w:r>
      <w:r>
        <w:rPr>
          <w:rFonts w:ascii="微软雅黑" w:eastAsia="微软雅黑"/>
          <w:b/>
          <w:spacing w:val="-2"/>
          <w:sz w:val="21"/>
        </w:rPr>
        <w:t>复</w:t>
      </w:r>
      <w:r>
        <w:rPr>
          <w:rFonts w:ascii="微软雅黑" w:eastAsia="微软雅黑"/>
          <w:b/>
          <w:spacing w:val="-2"/>
          <w:sz w:val="21"/>
        </w:rPr>
        <w:t>效</w:t>
      </w:r>
      <w:r>
        <w:rPr>
          <w:rFonts w:ascii="微软雅黑" w:eastAsia="微软雅黑"/>
          <w:b/>
          <w:spacing w:val="-2"/>
          <w:sz w:val="21"/>
        </w:rPr>
        <w:t>日</w:t>
      </w:r>
      <w:r>
        <w:rPr>
          <w:rFonts w:ascii="微软雅黑" w:eastAsia="微软雅黑"/>
          <w:b/>
          <w:spacing w:val="-77"/>
          <w:sz w:val="21"/>
        </w:rPr>
        <w:t>）</w:t>
      </w:r>
      <w:r>
        <w:rPr>
          <w:rFonts w:ascii="微软雅黑" w:eastAsia="微软雅黑"/>
          <w:b/>
          <w:spacing w:val="-2"/>
          <w:sz w:val="21"/>
        </w:rPr>
        <w:t>起</w:t>
      </w:r>
      <w:r>
        <w:rPr>
          <w:rFonts w:ascii="Times New Roman" w:eastAsia="Times New Roman"/>
          <w:b/>
          <w:spacing w:val="-2"/>
          <w:sz w:val="21"/>
        </w:rPr>
        <w:t>90</w:t>
      </w:r>
      <w:r>
        <w:rPr>
          <w:rFonts w:ascii="微软雅黑" w:eastAsia="微软雅黑"/>
          <w:b/>
          <w:spacing w:val="-2"/>
          <w:sz w:val="21"/>
        </w:rPr>
        <w:t>天</w:t>
      </w:r>
      <w:r>
        <w:rPr>
          <w:rFonts w:ascii="微软雅黑" w:eastAsia="微软雅黑"/>
          <w:b/>
          <w:spacing w:val="-77"/>
          <w:sz w:val="21"/>
        </w:rPr>
        <w:t>内</w:t>
      </w:r>
      <w:r>
        <w:rPr>
          <w:rFonts w:ascii="微软雅黑" w:eastAsia="微软雅黑"/>
          <w:b/>
          <w:spacing w:val="-2"/>
          <w:sz w:val="21"/>
        </w:rPr>
        <w:t>（</w:t>
      </w:r>
      <w:r>
        <w:rPr>
          <w:rFonts w:ascii="微软雅黑" w:eastAsia="微软雅黑"/>
          <w:b/>
          <w:spacing w:val="-10"/>
          <w:sz w:val="21"/>
        </w:rPr>
        <w:t>含</w:t>
      </w:r>
    </w:p>
    <w:p>
      <w:pPr>
        <w:spacing w:line="168" w:lineRule="auto" w:before="25"/>
        <w:ind w:left="3153" w:right="727" w:firstLine="0"/>
        <w:jc w:val="left"/>
        <w:rPr>
          <w:rFonts w:ascii="微软雅黑" w:eastAsia="微软雅黑"/>
          <w:b/>
          <w:sz w:val="21"/>
        </w:rPr>
      </w:pPr>
      <w:r>
        <w:rPr>
          <w:rFonts w:ascii="微软雅黑" w:eastAsia="微软雅黑"/>
          <w:b/>
          <w:spacing w:val="-2"/>
          <w:sz w:val="21"/>
        </w:rPr>
        <w:t>第</w:t>
      </w:r>
      <w:r>
        <w:rPr>
          <w:rFonts w:ascii="Times New Roman" w:eastAsia="Times New Roman"/>
          <w:b/>
          <w:spacing w:val="-2"/>
          <w:sz w:val="21"/>
        </w:rPr>
        <w:t>90</w:t>
      </w:r>
      <w:r>
        <w:rPr>
          <w:rFonts w:ascii="微软雅黑" w:eastAsia="微软雅黑"/>
          <w:b/>
          <w:spacing w:val="-2"/>
          <w:sz w:val="21"/>
        </w:rPr>
        <w:t>天）的期间。但因意外伤害</w:t>
      </w:r>
      <w:r>
        <w:rPr>
          <w:spacing w:val="-2"/>
          <w:sz w:val="21"/>
        </w:rPr>
        <w:t>（见</w:t>
      </w:r>
      <w:r>
        <w:rPr>
          <w:rFonts w:ascii="Times New Roman" w:eastAsia="Times New Roman"/>
          <w:spacing w:val="-2"/>
          <w:sz w:val="21"/>
        </w:rPr>
        <w:t>14.5</w:t>
      </w:r>
      <w:r>
        <w:rPr>
          <w:spacing w:val="-2"/>
          <w:sz w:val="21"/>
        </w:rPr>
        <w:t>）</w:t>
      </w:r>
      <w:r>
        <w:rPr>
          <w:rFonts w:ascii="微软雅黑" w:eastAsia="微软雅黑"/>
          <w:b/>
          <w:spacing w:val="-2"/>
          <w:sz w:val="21"/>
        </w:rPr>
        <w:t>引起的保险事故无等待</w:t>
      </w:r>
      <w:r>
        <w:rPr>
          <w:rFonts w:ascii="微软雅黑" w:eastAsia="微软雅黑"/>
          <w:b/>
          <w:spacing w:val="-6"/>
          <w:sz w:val="21"/>
        </w:rPr>
        <w:t>期。</w:t>
      </w:r>
    </w:p>
    <w:p>
      <w:pPr>
        <w:pStyle w:val="ListParagraph"/>
        <w:numPr>
          <w:ilvl w:val="1"/>
          <w:numId w:val="16"/>
        </w:numPr>
        <w:tabs>
          <w:tab w:pos="1071" w:val="left" w:leader="none"/>
          <w:tab w:pos="1072" w:val="left" w:leader="none"/>
          <w:tab w:pos="3152" w:val="left" w:leader="none"/>
        </w:tabs>
        <w:spacing w:line="240" w:lineRule="auto" w:before="162" w:after="0"/>
        <w:ind w:left="1071" w:right="0" w:hanging="850"/>
        <w:jc w:val="left"/>
        <w:rPr>
          <w:sz w:val="21"/>
        </w:rPr>
      </w:pPr>
      <w:r>
        <w:rPr>
          <w:rFonts w:ascii="微软雅黑" w:eastAsia="微软雅黑"/>
          <w:b/>
          <w:sz w:val="21"/>
        </w:rPr>
        <w:t>保险责</w:t>
      </w:r>
      <w:r>
        <w:rPr>
          <w:rFonts w:ascii="微软雅黑" w:eastAsia="微软雅黑"/>
          <w:b/>
          <w:spacing w:val="-10"/>
          <w:sz w:val="21"/>
        </w:rPr>
        <w:t>任</w:t>
      </w:r>
      <w:r>
        <w:rPr>
          <w:rFonts w:ascii="微软雅黑" w:eastAsia="微软雅黑"/>
          <w:b/>
          <w:sz w:val="21"/>
        </w:rPr>
        <w:tab/>
      </w:r>
      <w:r>
        <w:rPr>
          <w:spacing w:val="-2"/>
          <w:sz w:val="21"/>
        </w:rPr>
        <w:t>在</w:t>
      </w:r>
      <w:r>
        <w:rPr>
          <w:spacing w:val="-2"/>
          <w:sz w:val="21"/>
        </w:rPr>
        <w:t>本</w:t>
      </w:r>
      <w:r>
        <w:rPr>
          <w:spacing w:val="-2"/>
          <w:sz w:val="21"/>
        </w:rPr>
        <w:t>合同有效期内，我们</w:t>
      </w:r>
      <w:r>
        <w:rPr>
          <w:spacing w:val="-2"/>
          <w:sz w:val="21"/>
        </w:rPr>
        <w:t>承</w:t>
      </w:r>
      <w:r>
        <w:rPr>
          <w:spacing w:val="-2"/>
          <w:sz w:val="21"/>
        </w:rPr>
        <w:t>担</w:t>
      </w:r>
      <w:r>
        <w:rPr>
          <w:spacing w:val="-2"/>
          <w:sz w:val="21"/>
        </w:rPr>
        <w:t>如下保险责</w:t>
      </w:r>
      <w:r>
        <w:rPr>
          <w:spacing w:val="-2"/>
          <w:sz w:val="21"/>
        </w:rPr>
        <w:t>任</w:t>
      </w:r>
      <w:r>
        <w:rPr>
          <w:spacing w:val="-10"/>
          <w:sz w:val="21"/>
        </w:rPr>
        <w:t>：</w:t>
      </w:r>
    </w:p>
    <w:p>
      <w:pPr>
        <w:pStyle w:val="ListParagraph"/>
        <w:numPr>
          <w:ilvl w:val="2"/>
          <w:numId w:val="16"/>
        </w:numPr>
        <w:tabs>
          <w:tab w:pos="1071" w:val="left" w:leader="none"/>
          <w:tab w:pos="1072" w:val="left" w:leader="none"/>
          <w:tab w:pos="3152" w:val="left" w:leader="none"/>
        </w:tabs>
        <w:spacing w:line="240" w:lineRule="auto" w:before="127" w:after="0"/>
        <w:ind w:left="1071" w:right="0" w:hanging="850"/>
        <w:jc w:val="left"/>
        <w:rPr>
          <w:rFonts w:ascii="微软雅黑" w:eastAsia="微软雅黑"/>
          <w:b/>
          <w:sz w:val="21"/>
        </w:rPr>
      </w:pPr>
      <w:r>
        <w:rPr>
          <w:rFonts w:ascii="微软雅黑" w:eastAsia="微软雅黑"/>
          <w:b/>
          <w:sz w:val="21"/>
        </w:rPr>
        <w:t>轻度疾病保险</w:t>
      </w:r>
      <w:r>
        <w:rPr>
          <w:rFonts w:ascii="微软雅黑" w:eastAsia="微软雅黑"/>
          <w:b/>
          <w:spacing w:val="-10"/>
          <w:sz w:val="21"/>
        </w:rPr>
        <w:t>金</w:t>
      </w:r>
      <w:r>
        <w:rPr>
          <w:rFonts w:ascii="微软雅黑" w:eastAsia="微软雅黑"/>
          <w:b/>
          <w:sz w:val="21"/>
        </w:rPr>
        <w:tab/>
        <w:t>若</w:t>
      </w:r>
      <w:r>
        <w:rPr>
          <w:rFonts w:ascii="微软雅黑" w:eastAsia="微软雅黑"/>
          <w:b/>
          <w:sz w:val="21"/>
        </w:rPr>
        <w:t>被</w:t>
      </w:r>
      <w:r>
        <w:rPr>
          <w:rFonts w:ascii="微软雅黑" w:eastAsia="微软雅黑"/>
          <w:b/>
          <w:sz w:val="21"/>
        </w:rPr>
        <w:t>保</w:t>
      </w:r>
      <w:r>
        <w:rPr>
          <w:rFonts w:ascii="微软雅黑" w:eastAsia="微软雅黑"/>
          <w:b/>
          <w:sz w:val="21"/>
        </w:rPr>
        <w:t>险</w:t>
      </w:r>
      <w:r>
        <w:rPr>
          <w:rFonts w:ascii="微软雅黑" w:eastAsia="微软雅黑"/>
          <w:b/>
          <w:sz w:val="21"/>
        </w:rPr>
        <w:t>人</w:t>
      </w:r>
      <w:r>
        <w:rPr>
          <w:rFonts w:ascii="微软雅黑" w:eastAsia="微软雅黑"/>
          <w:b/>
          <w:sz w:val="21"/>
        </w:rPr>
        <w:t>在</w:t>
      </w:r>
      <w:r>
        <w:rPr>
          <w:rFonts w:ascii="微软雅黑" w:eastAsia="微软雅黑"/>
          <w:b/>
          <w:sz w:val="21"/>
        </w:rPr>
        <w:t>等</w:t>
      </w:r>
      <w:r>
        <w:rPr>
          <w:rFonts w:ascii="微软雅黑" w:eastAsia="微软雅黑"/>
          <w:b/>
          <w:sz w:val="21"/>
        </w:rPr>
        <w:t>待</w:t>
      </w:r>
      <w:r>
        <w:rPr>
          <w:rFonts w:ascii="微软雅黑" w:eastAsia="微软雅黑"/>
          <w:b/>
          <w:sz w:val="21"/>
        </w:rPr>
        <w:t>期内确</w:t>
      </w:r>
      <w:r>
        <w:rPr>
          <w:rFonts w:ascii="微软雅黑" w:eastAsia="微软雅黑"/>
          <w:b/>
          <w:sz w:val="21"/>
        </w:rPr>
        <w:t>诊</w:t>
      </w:r>
      <w:r>
        <w:rPr>
          <w:rFonts w:ascii="微软雅黑" w:eastAsia="微软雅黑"/>
          <w:b/>
          <w:sz w:val="21"/>
        </w:rPr>
        <w:t>患</w:t>
      </w:r>
      <w:r>
        <w:rPr>
          <w:rFonts w:ascii="微软雅黑" w:eastAsia="微软雅黑"/>
          <w:b/>
          <w:sz w:val="21"/>
        </w:rPr>
        <w:t>有</w:t>
      </w:r>
      <w:r>
        <w:rPr>
          <w:rFonts w:ascii="微软雅黑" w:eastAsia="微软雅黑"/>
          <w:b/>
          <w:sz w:val="21"/>
        </w:rPr>
        <w:t>任</w:t>
      </w:r>
      <w:r>
        <w:rPr>
          <w:rFonts w:ascii="微软雅黑" w:eastAsia="微软雅黑"/>
          <w:b/>
          <w:sz w:val="21"/>
        </w:rPr>
        <w:t>何</w:t>
      </w:r>
      <w:r>
        <w:rPr>
          <w:rFonts w:ascii="微软雅黑" w:eastAsia="微软雅黑"/>
          <w:b/>
          <w:sz w:val="21"/>
        </w:rPr>
        <w:t>一</w:t>
      </w:r>
      <w:r>
        <w:rPr>
          <w:rFonts w:ascii="微软雅黑" w:eastAsia="微软雅黑"/>
          <w:b/>
          <w:sz w:val="21"/>
        </w:rPr>
        <w:t>项</w:t>
      </w:r>
      <w:r>
        <w:rPr>
          <w:rFonts w:ascii="微软雅黑" w:eastAsia="微软雅黑"/>
          <w:b/>
          <w:sz w:val="21"/>
        </w:rPr>
        <w:t>符合本合同第</w:t>
      </w:r>
      <w:r>
        <w:rPr>
          <w:rFonts w:ascii="Times New Roman" w:eastAsia="Times New Roman"/>
          <w:b/>
          <w:sz w:val="21"/>
        </w:rPr>
        <w:t>10</w:t>
      </w:r>
      <w:r>
        <w:rPr>
          <w:rFonts w:ascii="微软雅黑" w:eastAsia="微软雅黑"/>
          <w:b/>
          <w:sz w:val="21"/>
        </w:rPr>
        <w:t>条</w:t>
      </w:r>
      <w:r>
        <w:rPr>
          <w:rFonts w:ascii="微软雅黑" w:eastAsia="微软雅黑"/>
          <w:b/>
          <w:sz w:val="21"/>
        </w:rPr>
        <w:t>约</w:t>
      </w:r>
      <w:r>
        <w:rPr>
          <w:rFonts w:ascii="微软雅黑" w:eastAsia="微软雅黑"/>
          <w:b/>
          <w:spacing w:val="-10"/>
          <w:sz w:val="21"/>
        </w:rPr>
        <w:t>定</w:t>
      </w:r>
    </w:p>
    <w:p>
      <w:pPr>
        <w:spacing w:after="0" w:line="240" w:lineRule="auto"/>
        <w:jc w:val="left"/>
        <w:rPr>
          <w:rFonts w:ascii="微软雅黑" w:eastAsia="微软雅黑"/>
          <w:sz w:val="21"/>
        </w:rPr>
        <w:sectPr>
          <w:type w:val="continuous"/>
          <w:pgSz w:w="11910" w:h="16840"/>
          <w:pgMar w:header="0" w:footer="878" w:top="160" w:bottom="280" w:left="1480" w:right="440"/>
        </w:sectPr>
      </w:pPr>
    </w:p>
    <w:p>
      <w:pPr>
        <w:spacing w:line="319" w:lineRule="exact" w:before="0"/>
        <w:ind w:left="3153" w:right="0" w:firstLine="0"/>
        <w:jc w:val="left"/>
        <w:rPr>
          <w:rFonts w:ascii="微软雅黑" w:eastAsia="微软雅黑"/>
          <w:b/>
          <w:sz w:val="21"/>
        </w:rPr>
      </w:pPr>
      <w:r>
        <w:rPr>
          <w:rFonts w:ascii="微软雅黑" w:eastAsia="微软雅黑"/>
          <w:b/>
          <w:spacing w:val="-1"/>
          <w:sz w:val="21"/>
        </w:rPr>
        <w:t>保障范围及定义的轻度疾病，我们将按照本合同已交纳的保险费</w:t>
      </w:r>
    </w:p>
    <w:p>
      <w:pPr>
        <w:spacing w:line="168" w:lineRule="auto" w:before="26"/>
        <w:ind w:left="3153" w:right="731" w:firstLine="0"/>
        <w:jc w:val="left"/>
        <w:rPr>
          <w:rFonts w:ascii="微软雅黑" w:eastAsia="微软雅黑"/>
          <w:b/>
          <w:sz w:val="21"/>
        </w:rPr>
      </w:pPr>
      <w:r>
        <w:rPr>
          <w:rFonts w:ascii="微软雅黑" w:eastAsia="微软雅黑"/>
          <w:b/>
          <w:spacing w:val="-2"/>
          <w:sz w:val="21"/>
        </w:rPr>
        <w:t>（不包括其附加合同的保险费）给付轻度疾病保险金，同时本合同</w:t>
      </w:r>
      <w:r>
        <w:rPr>
          <w:rFonts w:ascii="微软雅黑" w:eastAsia="微软雅黑"/>
          <w:b/>
          <w:spacing w:val="-2"/>
          <w:sz w:val="21"/>
        </w:rPr>
        <w:t>效力终止。</w:t>
      </w:r>
    </w:p>
    <w:p>
      <w:pPr>
        <w:pStyle w:val="BodyText"/>
        <w:spacing w:before="8"/>
        <w:ind w:left="0"/>
        <w:rPr>
          <w:rFonts w:ascii="微软雅黑"/>
          <w:b/>
          <w:sz w:val="12"/>
        </w:rPr>
      </w:pPr>
    </w:p>
    <w:p>
      <w:pPr>
        <w:spacing w:line="182" w:lineRule="auto" w:before="0"/>
        <w:ind w:left="3153" w:right="652" w:firstLine="0"/>
        <w:jc w:val="left"/>
        <w:rPr>
          <w:rFonts w:ascii="微软雅黑" w:eastAsia="微软雅黑"/>
          <w:b/>
          <w:sz w:val="21"/>
        </w:rPr>
      </w:pPr>
      <w:r>
        <w:rPr>
          <w:sz w:val="21"/>
        </w:rPr>
        <w:t>若被保险人在等待期后经</w:t>
      </w:r>
      <w:r>
        <w:rPr>
          <w:rFonts w:ascii="微软雅黑" w:eastAsia="微软雅黑"/>
          <w:b/>
          <w:sz w:val="21"/>
        </w:rPr>
        <w:t>专科医生</w:t>
      </w:r>
      <w:r>
        <w:rPr>
          <w:sz w:val="21"/>
        </w:rPr>
        <w:t>（</w:t>
      </w:r>
      <w:r>
        <w:rPr>
          <w:spacing w:val="-12"/>
          <w:sz w:val="21"/>
        </w:rPr>
        <w:t>见 </w:t>
      </w:r>
      <w:r>
        <w:rPr>
          <w:rFonts w:ascii="Times New Roman" w:eastAsia="Times New Roman"/>
          <w:sz w:val="21"/>
        </w:rPr>
        <w:t>14.6</w:t>
      </w:r>
      <w:r>
        <w:rPr>
          <w:sz w:val="21"/>
        </w:rPr>
        <w:t>）</w:t>
      </w:r>
      <w:r>
        <w:rPr>
          <w:rFonts w:ascii="微软雅黑" w:eastAsia="微软雅黑"/>
          <w:b/>
          <w:sz w:val="21"/>
        </w:rPr>
        <w:t>首次确诊</w:t>
      </w:r>
      <w:r>
        <w:rPr>
          <w:sz w:val="21"/>
        </w:rPr>
        <w:t>（</w:t>
      </w:r>
      <w:r>
        <w:rPr>
          <w:spacing w:val="-14"/>
          <w:sz w:val="21"/>
        </w:rPr>
        <w:t>见 </w:t>
      </w:r>
      <w:r>
        <w:rPr>
          <w:rFonts w:ascii="Times New Roman" w:eastAsia="Times New Roman"/>
          <w:sz w:val="21"/>
        </w:rPr>
        <w:t>14.7</w:t>
      </w:r>
      <w:r>
        <w:rPr>
          <w:sz w:val="21"/>
        </w:rPr>
        <w:t>）</w:t>
      </w:r>
      <w:r>
        <w:rPr>
          <w:spacing w:val="-5"/>
          <w:sz w:val="21"/>
        </w:rPr>
        <w:t>患有任何一项符合本合同第 </w:t>
      </w:r>
      <w:r>
        <w:rPr>
          <w:rFonts w:ascii="Times New Roman" w:eastAsia="Times New Roman"/>
          <w:sz w:val="21"/>
        </w:rPr>
        <w:t>10</w:t>
      </w:r>
      <w:r>
        <w:rPr>
          <w:rFonts w:ascii="Times New Roman" w:eastAsia="Times New Roman"/>
          <w:spacing w:val="-14"/>
          <w:sz w:val="21"/>
        </w:rPr>
        <w:t> </w:t>
      </w:r>
      <w:r>
        <w:rPr>
          <w:sz w:val="21"/>
        </w:rPr>
        <w:t>条约定保障范围及定义的轻度疾病，</w:t>
      </w:r>
      <w:r>
        <w:rPr>
          <w:spacing w:val="-3"/>
          <w:sz w:val="21"/>
        </w:rPr>
        <w:t>我们将按本合同基本保险金额的 </w:t>
      </w:r>
      <w:r>
        <w:rPr>
          <w:rFonts w:ascii="Times New Roman" w:eastAsia="Times New Roman"/>
          <w:sz w:val="21"/>
        </w:rPr>
        <w:t>30%</w:t>
      </w:r>
      <w:r>
        <w:rPr>
          <w:sz w:val="21"/>
        </w:rPr>
        <w:t>给付轻度疾病保险金。</w:t>
      </w:r>
      <w:r>
        <w:rPr>
          <w:rFonts w:ascii="微软雅黑" w:eastAsia="微软雅黑"/>
          <w:b/>
          <w:sz w:val="21"/>
        </w:rPr>
        <w:t>每种轻</w:t>
      </w:r>
      <w:r>
        <w:rPr>
          <w:rFonts w:ascii="微软雅黑" w:eastAsia="微软雅黑"/>
          <w:b/>
          <w:spacing w:val="-2"/>
          <w:sz w:val="21"/>
        </w:rPr>
        <w:t>度疾病只给付一次轻度疾病保险金</w:t>
      </w:r>
      <w:r>
        <w:rPr>
          <w:spacing w:val="-2"/>
          <w:sz w:val="21"/>
        </w:rPr>
        <w:t>，</w:t>
      </w:r>
      <w:r>
        <w:rPr>
          <w:rFonts w:ascii="微软雅黑" w:eastAsia="微软雅黑"/>
          <w:b/>
          <w:spacing w:val="-2"/>
          <w:sz w:val="21"/>
        </w:rPr>
        <w:t>给付后该种轻度疾病的保险责</w:t>
      </w:r>
      <w:r>
        <w:rPr>
          <w:rFonts w:ascii="微软雅黑" w:eastAsia="微软雅黑"/>
          <w:b/>
          <w:spacing w:val="-2"/>
          <w:sz w:val="21"/>
        </w:rPr>
        <w:t>任终止</w:t>
      </w:r>
      <w:r>
        <w:rPr>
          <w:spacing w:val="-2"/>
          <w:sz w:val="21"/>
        </w:rPr>
        <w:t>。</w:t>
      </w:r>
      <w:r>
        <w:rPr>
          <w:rFonts w:ascii="微软雅黑" w:eastAsia="微软雅黑"/>
          <w:b/>
          <w:spacing w:val="-2"/>
          <w:sz w:val="21"/>
        </w:rPr>
        <w:t>本合同轻度疾病保险金的累计给付次数以三次为限。</w:t>
      </w:r>
    </w:p>
    <w:p>
      <w:pPr>
        <w:pStyle w:val="BodyText"/>
        <w:spacing w:before="4"/>
        <w:ind w:left="0"/>
        <w:rPr>
          <w:rFonts w:ascii="微软雅黑"/>
          <w:b/>
          <w:sz w:val="13"/>
        </w:rPr>
      </w:pPr>
    </w:p>
    <w:p>
      <w:pPr>
        <w:spacing w:line="216" w:lineRule="auto" w:before="0"/>
        <w:ind w:left="3153" w:right="624" w:firstLine="0"/>
        <w:jc w:val="left"/>
        <w:rPr>
          <w:rFonts w:ascii="微软雅黑" w:eastAsia="微软雅黑"/>
          <w:b/>
          <w:sz w:val="21"/>
        </w:rPr>
      </w:pPr>
      <w:r>
        <w:rPr>
          <w:spacing w:val="-9"/>
          <w:sz w:val="21"/>
        </w:rPr>
        <w:t>若被保险人由于同一疾病原因、同次医疗行为或同次意外伤害事故，</w:t>
      </w:r>
      <w:r>
        <w:rPr>
          <w:spacing w:val="-2"/>
          <w:sz w:val="21"/>
        </w:rPr>
        <w:t>首次确诊患有本合同第</w:t>
      </w:r>
      <w:r>
        <w:rPr>
          <w:rFonts w:ascii="Times New Roman" w:eastAsia="Times New Roman"/>
          <w:spacing w:val="-2"/>
          <w:sz w:val="21"/>
        </w:rPr>
        <w:t>10</w:t>
      </w:r>
      <w:r>
        <w:rPr>
          <w:spacing w:val="-2"/>
          <w:sz w:val="21"/>
        </w:rPr>
        <w:t>条约定保障范围及定义的两种或者两种以</w:t>
      </w:r>
      <w:r>
        <w:rPr>
          <w:spacing w:val="-2"/>
          <w:sz w:val="21"/>
        </w:rPr>
        <w:t>上轻度疾病，</w:t>
      </w:r>
      <w:r>
        <w:rPr>
          <w:rFonts w:ascii="微软雅黑" w:eastAsia="微软雅黑"/>
          <w:b/>
          <w:spacing w:val="-2"/>
          <w:sz w:val="21"/>
        </w:rPr>
        <w:t>我们仅按一种轻度疾病给付轻度疾病保险金</w:t>
      </w:r>
      <w:r>
        <w:rPr>
          <w:spacing w:val="-2"/>
          <w:sz w:val="21"/>
        </w:rPr>
        <w:t>，</w:t>
      </w:r>
      <w:r>
        <w:rPr>
          <w:rFonts w:ascii="微软雅黑" w:eastAsia="微软雅黑"/>
          <w:b/>
          <w:spacing w:val="-2"/>
          <w:sz w:val="21"/>
        </w:rPr>
        <w:t>给付后</w:t>
      </w:r>
    </w:p>
    <w:p>
      <w:pPr>
        <w:spacing w:line="282" w:lineRule="exact" w:before="0"/>
        <w:ind w:left="3153" w:right="0" w:firstLine="0"/>
        <w:jc w:val="left"/>
        <w:rPr>
          <w:sz w:val="21"/>
        </w:rPr>
      </w:pPr>
      <w:r>
        <w:rPr>
          <w:rFonts w:ascii="微软雅黑" w:eastAsia="微软雅黑"/>
          <w:b/>
          <w:spacing w:val="-2"/>
          <w:sz w:val="21"/>
        </w:rPr>
        <w:t>已确诊的所有轻度疾病保险责任终止</w:t>
      </w:r>
      <w:r>
        <w:rPr>
          <w:spacing w:val="-10"/>
          <w:sz w:val="21"/>
        </w:rPr>
        <w:t>。</w:t>
      </w:r>
    </w:p>
    <w:p>
      <w:pPr>
        <w:pStyle w:val="ListParagraph"/>
        <w:numPr>
          <w:ilvl w:val="2"/>
          <w:numId w:val="16"/>
        </w:numPr>
        <w:tabs>
          <w:tab w:pos="1071" w:val="left" w:leader="none"/>
          <w:tab w:pos="1072" w:val="left" w:leader="none"/>
          <w:tab w:pos="3152" w:val="left" w:leader="none"/>
        </w:tabs>
        <w:spacing w:line="331" w:lineRule="exact" w:before="126" w:after="0"/>
        <w:ind w:left="1071" w:right="0" w:hanging="850"/>
        <w:jc w:val="left"/>
        <w:rPr>
          <w:rFonts w:ascii="微软雅黑" w:eastAsia="微软雅黑"/>
          <w:b/>
          <w:sz w:val="21"/>
        </w:rPr>
      </w:pPr>
      <w:r>
        <w:rPr>
          <w:rFonts w:ascii="微软雅黑" w:eastAsia="微软雅黑"/>
          <w:b/>
          <w:sz w:val="21"/>
        </w:rPr>
        <w:t>中度疾病保险</w:t>
      </w:r>
      <w:r>
        <w:rPr>
          <w:rFonts w:ascii="微软雅黑" w:eastAsia="微软雅黑"/>
          <w:b/>
          <w:spacing w:val="-10"/>
          <w:sz w:val="21"/>
        </w:rPr>
        <w:t>金</w:t>
      </w:r>
      <w:r>
        <w:rPr>
          <w:rFonts w:ascii="微软雅黑" w:eastAsia="微软雅黑"/>
          <w:b/>
          <w:sz w:val="21"/>
        </w:rPr>
        <w:tab/>
        <w:t>若</w:t>
      </w:r>
      <w:r>
        <w:rPr>
          <w:rFonts w:ascii="微软雅黑" w:eastAsia="微软雅黑"/>
          <w:b/>
          <w:sz w:val="21"/>
        </w:rPr>
        <w:t>被</w:t>
      </w:r>
      <w:r>
        <w:rPr>
          <w:rFonts w:ascii="微软雅黑" w:eastAsia="微软雅黑"/>
          <w:b/>
          <w:sz w:val="21"/>
        </w:rPr>
        <w:t>保</w:t>
      </w:r>
      <w:r>
        <w:rPr>
          <w:rFonts w:ascii="微软雅黑" w:eastAsia="微软雅黑"/>
          <w:b/>
          <w:sz w:val="21"/>
        </w:rPr>
        <w:t>险</w:t>
      </w:r>
      <w:r>
        <w:rPr>
          <w:rFonts w:ascii="微软雅黑" w:eastAsia="微软雅黑"/>
          <w:b/>
          <w:sz w:val="21"/>
        </w:rPr>
        <w:t>人</w:t>
      </w:r>
      <w:r>
        <w:rPr>
          <w:rFonts w:ascii="微软雅黑" w:eastAsia="微软雅黑"/>
          <w:b/>
          <w:sz w:val="21"/>
        </w:rPr>
        <w:t>在</w:t>
      </w:r>
      <w:r>
        <w:rPr>
          <w:rFonts w:ascii="微软雅黑" w:eastAsia="微软雅黑"/>
          <w:b/>
          <w:sz w:val="21"/>
        </w:rPr>
        <w:t>等</w:t>
      </w:r>
      <w:r>
        <w:rPr>
          <w:rFonts w:ascii="微软雅黑" w:eastAsia="微软雅黑"/>
          <w:b/>
          <w:sz w:val="21"/>
        </w:rPr>
        <w:t>待</w:t>
      </w:r>
      <w:r>
        <w:rPr>
          <w:rFonts w:ascii="微软雅黑" w:eastAsia="微软雅黑"/>
          <w:b/>
          <w:sz w:val="21"/>
        </w:rPr>
        <w:t>期</w:t>
      </w:r>
      <w:r>
        <w:rPr>
          <w:rFonts w:ascii="微软雅黑" w:eastAsia="微软雅黑"/>
          <w:b/>
          <w:sz w:val="21"/>
        </w:rPr>
        <w:t>内</w:t>
      </w:r>
      <w:r>
        <w:rPr>
          <w:rFonts w:ascii="微软雅黑" w:eastAsia="微软雅黑"/>
          <w:b/>
          <w:sz w:val="21"/>
        </w:rPr>
        <w:t>确</w:t>
      </w:r>
      <w:r>
        <w:rPr>
          <w:rFonts w:ascii="微软雅黑" w:eastAsia="微软雅黑"/>
          <w:b/>
          <w:sz w:val="21"/>
        </w:rPr>
        <w:t>诊</w:t>
      </w:r>
      <w:r>
        <w:rPr>
          <w:rFonts w:ascii="微软雅黑" w:eastAsia="微软雅黑"/>
          <w:b/>
          <w:sz w:val="21"/>
        </w:rPr>
        <w:t>患</w:t>
      </w:r>
      <w:r>
        <w:rPr>
          <w:rFonts w:ascii="微软雅黑" w:eastAsia="微软雅黑"/>
          <w:b/>
          <w:sz w:val="21"/>
        </w:rPr>
        <w:t>有</w:t>
      </w:r>
      <w:r>
        <w:rPr>
          <w:rFonts w:ascii="微软雅黑" w:eastAsia="微软雅黑"/>
          <w:b/>
          <w:sz w:val="21"/>
        </w:rPr>
        <w:t>任</w:t>
      </w:r>
      <w:r>
        <w:rPr>
          <w:rFonts w:ascii="微软雅黑" w:eastAsia="微软雅黑"/>
          <w:b/>
          <w:sz w:val="21"/>
        </w:rPr>
        <w:t>何</w:t>
      </w:r>
      <w:r>
        <w:rPr>
          <w:rFonts w:ascii="微软雅黑" w:eastAsia="微软雅黑"/>
          <w:b/>
          <w:sz w:val="21"/>
        </w:rPr>
        <w:t>一</w:t>
      </w:r>
      <w:r>
        <w:rPr>
          <w:rFonts w:ascii="微软雅黑" w:eastAsia="微软雅黑"/>
          <w:b/>
          <w:sz w:val="21"/>
        </w:rPr>
        <w:t>项</w:t>
      </w:r>
      <w:r>
        <w:rPr>
          <w:rFonts w:ascii="微软雅黑" w:eastAsia="微软雅黑"/>
          <w:b/>
          <w:sz w:val="21"/>
        </w:rPr>
        <w:t>符</w:t>
      </w:r>
      <w:r>
        <w:rPr>
          <w:rFonts w:ascii="微软雅黑" w:eastAsia="微软雅黑"/>
          <w:b/>
          <w:sz w:val="21"/>
        </w:rPr>
        <w:t>合</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z w:val="21"/>
        </w:rPr>
        <w:t>第</w:t>
      </w:r>
      <w:r>
        <w:rPr>
          <w:rFonts w:ascii="Times New Roman" w:eastAsia="Times New Roman"/>
          <w:b/>
          <w:sz w:val="21"/>
        </w:rPr>
        <w:t>11</w:t>
      </w:r>
      <w:r>
        <w:rPr>
          <w:rFonts w:ascii="微软雅黑" w:eastAsia="微软雅黑"/>
          <w:b/>
          <w:sz w:val="21"/>
        </w:rPr>
        <w:t>条</w:t>
      </w:r>
      <w:r>
        <w:rPr>
          <w:rFonts w:ascii="微软雅黑" w:eastAsia="微软雅黑"/>
          <w:b/>
          <w:sz w:val="21"/>
        </w:rPr>
        <w:t>约</w:t>
      </w:r>
      <w:r>
        <w:rPr>
          <w:rFonts w:ascii="微软雅黑" w:eastAsia="微软雅黑"/>
          <w:b/>
          <w:spacing w:val="-10"/>
          <w:sz w:val="21"/>
        </w:rPr>
        <w:t>定</w:t>
      </w:r>
    </w:p>
    <w:p>
      <w:pPr>
        <w:spacing w:line="273" w:lineRule="exact" w:before="0"/>
        <w:ind w:left="3153" w:right="0" w:firstLine="0"/>
        <w:jc w:val="left"/>
        <w:rPr>
          <w:rFonts w:ascii="微软雅黑" w:eastAsia="微软雅黑"/>
          <w:b/>
          <w:sz w:val="21"/>
        </w:rPr>
      </w:pPr>
      <w:r>
        <w:rPr>
          <w:rFonts w:ascii="微软雅黑" w:eastAsia="微软雅黑"/>
          <w:b/>
          <w:spacing w:val="-1"/>
          <w:sz w:val="21"/>
        </w:rPr>
        <w:t>保障范围及定义的中度疾病，我们将按照本合同已交纳的保险费</w:t>
      </w:r>
    </w:p>
    <w:p>
      <w:pPr>
        <w:spacing w:line="168" w:lineRule="auto" w:before="26"/>
        <w:ind w:left="3153" w:right="731" w:firstLine="0"/>
        <w:jc w:val="left"/>
        <w:rPr>
          <w:rFonts w:ascii="微软雅黑" w:eastAsia="微软雅黑"/>
          <w:b/>
          <w:sz w:val="21"/>
        </w:rPr>
      </w:pPr>
      <w:r>
        <w:rPr>
          <w:rFonts w:ascii="微软雅黑" w:eastAsia="微软雅黑"/>
          <w:b/>
          <w:spacing w:val="-2"/>
          <w:sz w:val="21"/>
        </w:rPr>
        <w:t>（不包括其附加合同的保险费）给付中度疾病保险金，同时本合同</w:t>
      </w:r>
      <w:r>
        <w:rPr>
          <w:rFonts w:ascii="微软雅黑" w:eastAsia="微软雅黑"/>
          <w:b/>
          <w:spacing w:val="-2"/>
          <w:sz w:val="21"/>
        </w:rPr>
        <w:t>效力终止。</w:t>
      </w:r>
    </w:p>
    <w:p>
      <w:pPr>
        <w:pStyle w:val="BodyText"/>
        <w:spacing w:before="8"/>
        <w:ind w:left="0"/>
        <w:rPr>
          <w:rFonts w:ascii="微软雅黑"/>
          <w:b/>
          <w:sz w:val="12"/>
        </w:rPr>
      </w:pPr>
    </w:p>
    <w:p>
      <w:pPr>
        <w:pStyle w:val="BodyText"/>
        <w:spacing w:line="242" w:lineRule="auto"/>
        <w:ind w:right="758"/>
      </w:pPr>
      <w:r>
        <w:rPr>
          <w:spacing w:val="3"/>
          <w:w w:val="100"/>
        </w:rPr>
        <w:t>若被保险人在等待期后经专科医生首次确诊患有任何一项符合本合同第</w:t>
      </w:r>
      <w:r>
        <w:rPr>
          <w:spacing w:val="-14"/>
        </w:rPr>
        <w:t> </w:t>
      </w:r>
      <w:r>
        <w:rPr>
          <w:rFonts w:ascii="Times New Roman" w:eastAsia="Times New Roman"/>
          <w:w w:val="100"/>
        </w:rPr>
        <w:t>11</w:t>
      </w:r>
      <w:r>
        <w:rPr>
          <w:rFonts w:ascii="Times New Roman" w:eastAsia="Times New Roman"/>
          <w:spacing w:val="-6"/>
        </w:rPr>
        <w:t>  </w:t>
      </w:r>
      <w:r>
        <w:rPr>
          <w:spacing w:val="-3"/>
          <w:w w:val="100"/>
        </w:rPr>
        <w:t>条约定保障范围及定义的中度疾病，我们将按本合同基</w:t>
      </w:r>
    </w:p>
    <w:p>
      <w:pPr>
        <w:spacing w:line="168" w:lineRule="auto" w:before="17"/>
        <w:ind w:left="3153" w:right="759" w:firstLine="0"/>
        <w:jc w:val="both"/>
        <w:rPr>
          <w:rFonts w:ascii="微软雅黑" w:eastAsia="微软雅黑"/>
          <w:b/>
          <w:sz w:val="21"/>
        </w:rPr>
      </w:pPr>
      <w:r>
        <w:rPr>
          <w:spacing w:val="-4"/>
          <w:sz w:val="21"/>
        </w:rPr>
        <w:t>本保险金额的 </w:t>
      </w:r>
      <w:r>
        <w:rPr>
          <w:rFonts w:ascii="Times New Roman" w:eastAsia="Times New Roman"/>
          <w:spacing w:val="-2"/>
          <w:sz w:val="21"/>
        </w:rPr>
        <w:t>50%</w:t>
      </w:r>
      <w:r>
        <w:rPr>
          <w:spacing w:val="-7"/>
          <w:sz w:val="21"/>
        </w:rPr>
        <w:t>给付中度疾病保险金。</w:t>
      </w:r>
      <w:r>
        <w:rPr>
          <w:rFonts w:ascii="微软雅黑" w:eastAsia="微软雅黑"/>
          <w:b/>
          <w:spacing w:val="-2"/>
          <w:sz w:val="21"/>
        </w:rPr>
        <w:t>每种中度疾病只给付一次</w:t>
      </w:r>
      <w:r>
        <w:rPr>
          <w:rFonts w:ascii="微软雅黑" w:eastAsia="微软雅黑"/>
          <w:b/>
          <w:spacing w:val="-2"/>
          <w:sz w:val="21"/>
        </w:rPr>
        <w:t>中度疾病保险金</w:t>
      </w:r>
      <w:r>
        <w:rPr>
          <w:spacing w:val="-2"/>
          <w:sz w:val="21"/>
        </w:rPr>
        <w:t>，</w:t>
      </w:r>
      <w:r>
        <w:rPr>
          <w:rFonts w:ascii="微软雅黑" w:eastAsia="微软雅黑"/>
          <w:b/>
          <w:spacing w:val="-2"/>
          <w:sz w:val="21"/>
        </w:rPr>
        <w:t>给付后该种中度疾病的保险责任终止</w:t>
      </w:r>
      <w:r>
        <w:rPr>
          <w:spacing w:val="-2"/>
          <w:sz w:val="21"/>
        </w:rPr>
        <w:t>。</w:t>
      </w:r>
      <w:r>
        <w:rPr>
          <w:rFonts w:ascii="微软雅黑" w:eastAsia="微软雅黑"/>
          <w:b/>
          <w:spacing w:val="-2"/>
          <w:sz w:val="21"/>
        </w:rPr>
        <w:t>本合同中</w:t>
      </w:r>
      <w:r>
        <w:rPr>
          <w:rFonts w:ascii="微软雅黑" w:eastAsia="微软雅黑"/>
          <w:b/>
          <w:spacing w:val="-2"/>
          <w:sz w:val="21"/>
        </w:rPr>
        <w:t>度疾病保险金的累计给付次数以两次为限。</w:t>
      </w:r>
    </w:p>
    <w:p>
      <w:pPr>
        <w:pStyle w:val="BodyText"/>
        <w:spacing w:before="11"/>
        <w:ind w:left="0"/>
        <w:rPr>
          <w:rFonts w:ascii="微软雅黑"/>
          <w:b/>
          <w:sz w:val="13"/>
        </w:rPr>
      </w:pPr>
    </w:p>
    <w:p>
      <w:pPr>
        <w:spacing w:line="216" w:lineRule="auto" w:before="0"/>
        <w:ind w:left="3153" w:right="624" w:firstLine="0"/>
        <w:jc w:val="left"/>
        <w:rPr>
          <w:rFonts w:ascii="微软雅黑" w:eastAsia="微软雅黑"/>
          <w:b/>
          <w:sz w:val="21"/>
        </w:rPr>
      </w:pPr>
      <w:r>
        <w:rPr>
          <w:spacing w:val="-9"/>
          <w:sz w:val="21"/>
        </w:rPr>
        <w:t>若被保险人由于同一疾病原因、同次医疗行为或同次意外伤害事故，</w:t>
      </w:r>
      <w:r>
        <w:rPr>
          <w:spacing w:val="-2"/>
          <w:sz w:val="21"/>
        </w:rPr>
        <w:t>首次确诊患有本合同第</w:t>
      </w:r>
      <w:r>
        <w:rPr>
          <w:rFonts w:ascii="Times New Roman" w:eastAsia="Times New Roman"/>
          <w:spacing w:val="-2"/>
          <w:sz w:val="21"/>
        </w:rPr>
        <w:t>11</w:t>
      </w:r>
      <w:r>
        <w:rPr>
          <w:spacing w:val="-2"/>
          <w:sz w:val="21"/>
        </w:rPr>
        <w:t>条约定保障范围及定义的两种或者两种以</w:t>
      </w:r>
      <w:r>
        <w:rPr>
          <w:spacing w:val="-2"/>
          <w:sz w:val="21"/>
        </w:rPr>
        <w:t>上中度疾病，</w:t>
      </w:r>
      <w:r>
        <w:rPr>
          <w:rFonts w:ascii="微软雅黑" w:eastAsia="微软雅黑"/>
          <w:b/>
          <w:spacing w:val="-2"/>
          <w:sz w:val="21"/>
        </w:rPr>
        <w:t>我们仅按一种中度疾病给付中度疾病保险金</w:t>
      </w:r>
      <w:r>
        <w:rPr>
          <w:spacing w:val="-2"/>
          <w:sz w:val="21"/>
        </w:rPr>
        <w:t>，</w:t>
      </w:r>
      <w:r>
        <w:rPr>
          <w:rFonts w:ascii="微软雅黑" w:eastAsia="微软雅黑"/>
          <w:b/>
          <w:spacing w:val="-2"/>
          <w:sz w:val="21"/>
        </w:rPr>
        <w:t>给付后</w:t>
      </w:r>
    </w:p>
    <w:p>
      <w:pPr>
        <w:spacing w:line="282" w:lineRule="exact" w:before="0"/>
        <w:ind w:left="3153" w:right="0" w:firstLine="0"/>
        <w:jc w:val="left"/>
        <w:rPr>
          <w:sz w:val="21"/>
        </w:rPr>
      </w:pPr>
      <w:r>
        <w:rPr>
          <w:rFonts w:ascii="微软雅黑" w:eastAsia="微软雅黑"/>
          <w:b/>
          <w:spacing w:val="-2"/>
          <w:sz w:val="21"/>
        </w:rPr>
        <w:t>已确诊的所有中度疾病保险责任终止</w:t>
      </w:r>
      <w:r>
        <w:rPr>
          <w:spacing w:val="-10"/>
          <w:sz w:val="21"/>
        </w:rPr>
        <w:t>。</w:t>
      </w:r>
    </w:p>
    <w:p>
      <w:pPr>
        <w:pStyle w:val="ListParagraph"/>
        <w:numPr>
          <w:ilvl w:val="2"/>
          <w:numId w:val="16"/>
        </w:numPr>
        <w:tabs>
          <w:tab w:pos="1071" w:val="left" w:leader="none"/>
          <w:tab w:pos="1072" w:val="left" w:leader="none"/>
          <w:tab w:pos="3152" w:val="left" w:leader="none"/>
        </w:tabs>
        <w:spacing w:line="240" w:lineRule="auto" w:before="127" w:after="0"/>
        <w:ind w:left="1071" w:right="0" w:hanging="850"/>
        <w:jc w:val="left"/>
        <w:rPr>
          <w:rFonts w:ascii="微软雅黑" w:eastAsia="微软雅黑"/>
          <w:b/>
          <w:sz w:val="21"/>
        </w:rPr>
      </w:pPr>
      <w:r>
        <w:rPr>
          <w:rFonts w:ascii="微软雅黑" w:eastAsia="微软雅黑"/>
          <w:b/>
          <w:sz w:val="21"/>
        </w:rPr>
        <w:t>重度疾病保险</w:t>
      </w:r>
      <w:r>
        <w:rPr>
          <w:rFonts w:ascii="微软雅黑" w:eastAsia="微软雅黑"/>
          <w:b/>
          <w:spacing w:val="-10"/>
          <w:sz w:val="21"/>
        </w:rPr>
        <w:t>金</w:t>
      </w:r>
      <w:r>
        <w:rPr>
          <w:rFonts w:ascii="微软雅黑" w:eastAsia="微软雅黑"/>
          <w:b/>
          <w:sz w:val="21"/>
        </w:rPr>
        <w:tab/>
      </w:r>
      <w:r>
        <w:rPr>
          <w:rFonts w:ascii="微软雅黑" w:eastAsia="微软雅黑"/>
          <w:b/>
          <w:spacing w:val="-2"/>
          <w:sz w:val="21"/>
        </w:rPr>
        <w:t>（</w:t>
      </w:r>
      <w:r>
        <w:rPr>
          <w:rFonts w:ascii="Times New Roman" w:eastAsia="Times New Roman"/>
          <w:b/>
          <w:spacing w:val="-2"/>
          <w:sz w:val="21"/>
        </w:rPr>
        <w:t>1</w:t>
      </w:r>
      <w:r>
        <w:rPr>
          <w:rFonts w:ascii="微软雅黑" w:eastAsia="微软雅黑"/>
          <w:b/>
          <w:spacing w:val="-2"/>
          <w:sz w:val="21"/>
        </w:rPr>
        <w:t>）</w:t>
      </w:r>
      <w:r>
        <w:rPr>
          <w:rFonts w:ascii="微软雅黑" w:eastAsia="微软雅黑"/>
          <w:b/>
          <w:spacing w:val="-2"/>
          <w:sz w:val="21"/>
        </w:rPr>
        <w:t>首</w:t>
      </w:r>
      <w:r>
        <w:rPr>
          <w:rFonts w:ascii="微软雅黑" w:eastAsia="微软雅黑"/>
          <w:b/>
          <w:spacing w:val="-2"/>
          <w:sz w:val="21"/>
        </w:rPr>
        <w:t>次</w:t>
      </w:r>
      <w:r>
        <w:rPr>
          <w:rFonts w:ascii="微软雅黑" w:eastAsia="微软雅黑"/>
          <w:b/>
          <w:spacing w:val="-2"/>
          <w:sz w:val="21"/>
        </w:rPr>
        <w:t>重</w:t>
      </w:r>
      <w:r>
        <w:rPr>
          <w:rFonts w:ascii="微软雅黑" w:eastAsia="微软雅黑"/>
          <w:b/>
          <w:spacing w:val="-2"/>
          <w:sz w:val="21"/>
        </w:rPr>
        <w:t>度</w:t>
      </w:r>
      <w:r>
        <w:rPr>
          <w:rFonts w:ascii="微软雅黑" w:eastAsia="微软雅黑"/>
          <w:b/>
          <w:spacing w:val="-2"/>
          <w:sz w:val="21"/>
        </w:rPr>
        <w:t>疾</w:t>
      </w:r>
      <w:r>
        <w:rPr>
          <w:rFonts w:ascii="微软雅黑" w:eastAsia="微软雅黑"/>
          <w:b/>
          <w:spacing w:val="-2"/>
          <w:sz w:val="21"/>
        </w:rPr>
        <w:t>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10"/>
          <w:sz w:val="21"/>
        </w:rPr>
        <w:t>金</w:t>
      </w:r>
    </w:p>
    <w:p>
      <w:pPr>
        <w:spacing w:line="170" w:lineRule="auto" w:before="207"/>
        <w:ind w:left="3153" w:right="727" w:firstLine="0"/>
        <w:jc w:val="left"/>
        <w:rPr>
          <w:rFonts w:ascii="微软雅黑" w:eastAsia="微软雅黑"/>
          <w:b/>
          <w:sz w:val="21"/>
        </w:rPr>
      </w:pPr>
      <w:r>
        <w:rPr>
          <w:rFonts w:ascii="微软雅黑" w:eastAsia="微软雅黑"/>
          <w:b/>
          <w:spacing w:val="4"/>
          <w:w w:val="100"/>
          <w:sz w:val="21"/>
        </w:rPr>
        <w:t>若被保险人在等待期内确诊患有任何一项符合本合同第</w:t>
      </w:r>
      <w:r>
        <w:rPr>
          <w:rFonts w:ascii="Times New Roman" w:eastAsia="Times New Roman"/>
          <w:b/>
          <w:w w:val="100"/>
          <w:sz w:val="21"/>
        </w:rPr>
        <w:t>1</w:t>
      </w:r>
      <w:r>
        <w:rPr>
          <w:rFonts w:ascii="Times New Roman" w:eastAsia="Times New Roman"/>
          <w:b/>
          <w:spacing w:val="4"/>
          <w:w w:val="100"/>
          <w:sz w:val="21"/>
        </w:rPr>
        <w:t>2</w:t>
      </w:r>
      <w:r>
        <w:rPr>
          <w:rFonts w:ascii="微软雅黑" w:eastAsia="微软雅黑"/>
          <w:b/>
          <w:spacing w:val="7"/>
          <w:w w:val="100"/>
          <w:sz w:val="21"/>
        </w:rPr>
        <w:t>条约定</w:t>
      </w:r>
      <w:r>
        <w:rPr>
          <w:rFonts w:ascii="微软雅黑" w:eastAsia="微软雅黑"/>
          <w:b/>
          <w:spacing w:val="3"/>
          <w:w w:val="100"/>
          <w:sz w:val="21"/>
        </w:rPr>
        <w:t>保障范围及定义的重度疾病，我们将按照本合同已交纳的保险费</w:t>
      </w:r>
    </w:p>
    <w:p>
      <w:pPr>
        <w:spacing w:line="170" w:lineRule="auto" w:before="0"/>
        <w:ind w:left="3153" w:right="731" w:firstLine="0"/>
        <w:jc w:val="left"/>
        <w:rPr>
          <w:rFonts w:ascii="微软雅黑" w:eastAsia="微软雅黑"/>
          <w:b/>
          <w:sz w:val="21"/>
        </w:rPr>
      </w:pPr>
      <w:r>
        <w:rPr>
          <w:rFonts w:ascii="微软雅黑" w:eastAsia="微软雅黑"/>
          <w:b/>
          <w:spacing w:val="-2"/>
          <w:sz w:val="21"/>
        </w:rPr>
        <w:t>（不包括其附加合同的保险费）给付重度疾病保险金，同时本合同</w:t>
      </w:r>
      <w:r>
        <w:rPr>
          <w:rFonts w:ascii="微软雅黑" w:eastAsia="微软雅黑"/>
          <w:b/>
          <w:spacing w:val="-2"/>
          <w:sz w:val="21"/>
        </w:rPr>
        <w:t>效力终止。</w:t>
      </w:r>
    </w:p>
    <w:p>
      <w:pPr>
        <w:pStyle w:val="BodyText"/>
        <w:ind w:left="0"/>
        <w:rPr>
          <w:rFonts w:ascii="微软雅黑"/>
          <w:b/>
          <w:sz w:val="13"/>
        </w:rPr>
      </w:pPr>
    </w:p>
    <w:p>
      <w:pPr>
        <w:pStyle w:val="BodyText"/>
        <w:spacing w:line="216" w:lineRule="auto" w:before="1"/>
        <w:ind w:right="730"/>
        <w:jc w:val="both"/>
        <w:rPr>
          <w:rFonts w:ascii="微软雅黑" w:eastAsia="微软雅黑"/>
          <w:b/>
        </w:rPr>
      </w:pPr>
      <w:r>
        <w:rPr>
          <w:spacing w:val="-2"/>
        </w:rPr>
        <w:t>若被保险人在等待期后经专科医生首次确诊患有任何一项符合本合</w:t>
      </w:r>
      <w:r>
        <w:rPr>
          <w:spacing w:val="-10"/>
        </w:rPr>
        <w:t>同第 </w:t>
      </w:r>
      <w:r>
        <w:rPr>
          <w:rFonts w:ascii="Times New Roman" w:eastAsia="Times New Roman"/>
          <w:spacing w:val="-2"/>
        </w:rPr>
        <w:t>12</w:t>
      </w:r>
      <w:r>
        <w:rPr>
          <w:rFonts w:ascii="Times New Roman" w:eastAsia="Times New Roman"/>
          <w:spacing w:val="3"/>
        </w:rPr>
        <w:t> </w:t>
      </w:r>
      <w:r>
        <w:rPr>
          <w:spacing w:val="-9"/>
        </w:rPr>
        <w:t>条约定保障范围及定义的重度疾病，我们将按本合同的基本</w:t>
      </w:r>
      <w:r>
        <w:rPr>
          <w:spacing w:val="-2"/>
        </w:rPr>
        <w:t>保险金额给付首次重度疾病保险金，</w:t>
      </w:r>
      <w:r>
        <w:rPr>
          <w:rFonts w:ascii="微软雅黑" w:eastAsia="微软雅黑"/>
          <w:b/>
          <w:spacing w:val="-3"/>
        </w:rPr>
        <w:t>给付后身故保险金、全残保险</w:t>
      </w:r>
    </w:p>
    <w:p>
      <w:pPr>
        <w:spacing w:line="225" w:lineRule="exact" w:before="0"/>
        <w:ind w:left="3153" w:right="0" w:firstLine="0"/>
        <w:jc w:val="left"/>
        <w:rPr>
          <w:rFonts w:ascii="微软雅黑" w:eastAsia="微软雅黑"/>
          <w:b/>
          <w:sz w:val="21"/>
        </w:rPr>
      </w:pPr>
      <w:r>
        <w:rPr>
          <w:rFonts w:ascii="微软雅黑" w:eastAsia="微软雅黑"/>
          <w:b/>
          <w:spacing w:val="-3"/>
          <w:sz w:val="21"/>
        </w:rPr>
        <w:t>金的保险责任均终止，同时本合同自重度疾病确诊之日起现金价值</w:t>
      </w:r>
    </w:p>
    <w:p>
      <w:pPr>
        <w:spacing w:line="330" w:lineRule="exact" w:before="0"/>
        <w:ind w:left="3153" w:right="0" w:firstLine="0"/>
        <w:jc w:val="both"/>
        <w:rPr>
          <w:rFonts w:ascii="微软雅黑" w:eastAsia="微软雅黑"/>
          <w:b/>
          <w:sz w:val="21"/>
        </w:rPr>
      </w:pPr>
      <w:r>
        <w:rPr>
          <w:spacing w:val="-2"/>
          <w:sz w:val="21"/>
        </w:rPr>
        <w:t>（</w:t>
      </w:r>
      <w:r>
        <w:rPr>
          <w:spacing w:val="-21"/>
          <w:sz w:val="21"/>
        </w:rPr>
        <w:t>见 </w:t>
      </w:r>
      <w:r>
        <w:rPr>
          <w:rFonts w:ascii="Times New Roman" w:eastAsia="Times New Roman"/>
          <w:spacing w:val="-2"/>
          <w:sz w:val="21"/>
        </w:rPr>
        <w:t>14.8</w:t>
      </w:r>
      <w:r>
        <w:rPr>
          <w:spacing w:val="-2"/>
          <w:sz w:val="21"/>
        </w:rPr>
        <w:t>）</w:t>
      </w:r>
      <w:r>
        <w:rPr>
          <w:rFonts w:ascii="微软雅黑" w:eastAsia="微软雅黑"/>
          <w:b/>
          <w:spacing w:val="-4"/>
          <w:sz w:val="21"/>
        </w:rPr>
        <w:t>降为零。</w:t>
      </w:r>
    </w:p>
    <w:p>
      <w:pPr>
        <w:pStyle w:val="BodyText"/>
        <w:spacing w:line="242" w:lineRule="auto" w:before="193"/>
        <w:ind w:right="624"/>
        <w:jc w:val="both"/>
      </w:pPr>
      <w:r>
        <w:rPr>
          <w:spacing w:val="-9"/>
        </w:rPr>
        <w:t>若被保险人由于同一疾病原因、同次医疗行为或同次意外伤害事故，</w:t>
      </w:r>
      <w:r>
        <w:rPr/>
        <w:t>首次确诊患有本合同第 </w:t>
      </w:r>
      <w:r>
        <w:rPr>
          <w:rFonts w:ascii="Times New Roman" w:eastAsia="Times New Roman"/>
        </w:rPr>
        <w:t>12</w:t>
      </w:r>
      <w:r>
        <w:rPr>
          <w:rFonts w:ascii="Times New Roman" w:eastAsia="Times New Roman"/>
          <w:spacing w:val="40"/>
        </w:rPr>
        <w:t> </w:t>
      </w:r>
      <w:r>
        <w:rPr/>
        <w:t>条约定保障范围及定义的两种或者两种</w:t>
      </w:r>
    </w:p>
    <w:p>
      <w:pPr>
        <w:spacing w:line="168" w:lineRule="auto" w:before="18"/>
        <w:ind w:left="3153" w:right="720" w:firstLine="0"/>
        <w:jc w:val="left"/>
        <w:rPr>
          <w:sz w:val="21"/>
        </w:rPr>
      </w:pPr>
      <w:r>
        <w:rPr>
          <w:spacing w:val="-2"/>
          <w:sz w:val="21"/>
        </w:rPr>
        <w:t>以上重度疾病，</w:t>
      </w:r>
      <w:r>
        <w:rPr>
          <w:rFonts w:ascii="微软雅黑" w:eastAsia="微软雅黑"/>
          <w:b/>
          <w:spacing w:val="-2"/>
          <w:sz w:val="21"/>
        </w:rPr>
        <w:t>我们仅按一种重度疾病给付首次重度疾病保险金</w:t>
      </w:r>
      <w:r>
        <w:rPr>
          <w:spacing w:val="-2"/>
          <w:sz w:val="21"/>
        </w:rPr>
        <w:t>，</w:t>
      </w:r>
      <w:r>
        <w:rPr>
          <w:rFonts w:ascii="微软雅黑" w:eastAsia="微软雅黑"/>
          <w:b/>
          <w:spacing w:val="-2"/>
          <w:sz w:val="21"/>
        </w:rPr>
        <w:t>给付后已确诊的所有重度疾病保险责任终止</w:t>
      </w:r>
      <w:r>
        <w:rPr>
          <w:spacing w:val="-2"/>
          <w:sz w:val="21"/>
        </w:rPr>
        <w:t>。</w:t>
      </w:r>
    </w:p>
    <w:p>
      <w:pPr>
        <w:spacing w:before="160"/>
        <w:ind w:left="3153" w:right="0" w:firstLine="0"/>
        <w:jc w:val="left"/>
        <w:rPr>
          <w:rFonts w:ascii="微软雅黑" w:eastAsia="微软雅黑"/>
          <w:b/>
          <w:sz w:val="21"/>
        </w:rPr>
      </w:pPr>
      <w:r>
        <w:rPr>
          <w:rFonts w:ascii="微软雅黑" w:eastAsia="微软雅黑"/>
          <w:b/>
          <w:spacing w:val="-2"/>
          <w:sz w:val="21"/>
        </w:rPr>
        <w:t>（</w:t>
      </w:r>
      <w:r>
        <w:rPr>
          <w:rFonts w:ascii="Times New Roman" w:eastAsia="Times New Roman"/>
          <w:b/>
          <w:spacing w:val="-2"/>
          <w:sz w:val="21"/>
        </w:rPr>
        <w:t>2</w:t>
      </w:r>
      <w:r>
        <w:rPr>
          <w:rFonts w:ascii="微软雅黑" w:eastAsia="微软雅黑"/>
          <w:b/>
          <w:spacing w:val="-2"/>
          <w:sz w:val="21"/>
        </w:rPr>
        <w:t>）</w:t>
      </w:r>
      <w:r>
        <w:rPr>
          <w:rFonts w:ascii="微软雅黑" w:eastAsia="微软雅黑"/>
          <w:b/>
          <w:spacing w:val="-3"/>
          <w:sz w:val="21"/>
        </w:rPr>
        <w:t>第二次重度疾病保险金</w:t>
      </w:r>
    </w:p>
    <w:p>
      <w:pPr>
        <w:pStyle w:val="BodyText"/>
        <w:spacing w:line="242" w:lineRule="auto" w:before="194"/>
        <w:ind w:right="729"/>
        <w:jc w:val="both"/>
      </w:pPr>
      <w:r>
        <w:rPr>
          <w:spacing w:val="-2"/>
        </w:rPr>
        <w:t>我们给付首次重度疾病保险金后，若被保险人自首次重度疾病确诊</w:t>
      </w:r>
      <w:r>
        <w:rPr>
          <w:spacing w:val="-9"/>
        </w:rPr>
        <w:t>之日起 </w:t>
      </w:r>
      <w:r>
        <w:rPr>
          <w:rFonts w:ascii="Times New Roman" w:eastAsia="Times New Roman"/>
          <w:spacing w:val="-4"/>
        </w:rPr>
        <w:t>1</w:t>
      </w:r>
      <w:r>
        <w:rPr>
          <w:rFonts w:ascii="Times New Roman" w:eastAsia="Times New Roman"/>
          <w:spacing w:val="-9"/>
        </w:rPr>
        <w:t> </w:t>
      </w:r>
      <w:r>
        <w:rPr>
          <w:spacing w:val="-5"/>
        </w:rPr>
        <w:t>年后，经专科医生首次确诊患有任何一项符合本合同第 </w:t>
      </w:r>
      <w:r>
        <w:rPr>
          <w:rFonts w:ascii="Times New Roman" w:eastAsia="Times New Roman"/>
          <w:spacing w:val="-4"/>
        </w:rPr>
        <w:t>12</w:t>
      </w:r>
      <w:r>
        <w:rPr>
          <w:spacing w:val="-3"/>
        </w:rPr>
        <w:t>条约定保障范围及定义的保险责任仍然有效的重度疾病，我们将按</w:t>
      </w:r>
    </w:p>
    <w:p>
      <w:pPr>
        <w:spacing w:after="0" w:line="242" w:lineRule="auto"/>
        <w:jc w:val="both"/>
        <w:sectPr>
          <w:pgSz w:w="11910" w:h="16840"/>
          <w:pgMar w:header="0" w:footer="878" w:top="1060" w:bottom="1060" w:left="1480" w:right="440"/>
        </w:sectPr>
      </w:pPr>
    </w:p>
    <w:p>
      <w:pPr>
        <w:pStyle w:val="BodyText"/>
        <w:spacing w:line="244" w:lineRule="auto" w:before="55"/>
        <w:ind w:right="729"/>
      </w:pPr>
      <w:r>
        <w:rPr>
          <w:spacing w:val="-2"/>
        </w:rPr>
        <w:t>本合同的基本保险金额给付第二次重度疾病保险金，同时本合同效</w:t>
      </w:r>
      <w:r>
        <w:rPr>
          <w:spacing w:val="-4"/>
        </w:rPr>
        <w:t>力终止。</w:t>
      </w:r>
    </w:p>
    <w:p>
      <w:pPr>
        <w:pStyle w:val="BodyText"/>
        <w:spacing w:before="8"/>
        <w:ind w:left="0"/>
        <w:rPr>
          <w:sz w:val="18"/>
        </w:rPr>
      </w:pPr>
    </w:p>
    <w:p>
      <w:pPr>
        <w:pStyle w:val="BodyText"/>
      </w:pPr>
      <w:r>
        <w:rPr>
          <w:spacing w:val="-10"/>
        </w:rPr>
        <w:t>若被保险人由于同一疾病原因、同次医疗行为或同次意外伤害事故，</w:t>
      </w:r>
    </w:p>
    <w:p>
      <w:pPr>
        <w:spacing w:line="180" w:lineRule="auto" w:before="57"/>
        <w:ind w:left="3153" w:right="724" w:firstLine="0"/>
        <w:jc w:val="both"/>
        <w:rPr>
          <w:sz w:val="21"/>
        </w:rPr>
      </w:pPr>
      <w:r>
        <w:rPr>
          <w:spacing w:val="-3"/>
          <w:w w:val="100"/>
          <w:sz w:val="21"/>
        </w:rPr>
        <w:t>首次确诊患有本合同第</w:t>
      </w:r>
      <w:r>
        <w:rPr>
          <w:spacing w:val="1"/>
          <w:sz w:val="21"/>
        </w:rPr>
        <w:t> </w:t>
      </w:r>
      <w:r>
        <w:rPr>
          <w:rFonts w:ascii="Times New Roman" w:eastAsia="Times New Roman"/>
          <w:spacing w:val="-3"/>
          <w:w w:val="100"/>
          <w:sz w:val="21"/>
        </w:rPr>
        <w:t>1</w:t>
      </w:r>
      <w:r>
        <w:rPr>
          <w:rFonts w:ascii="Times New Roman" w:eastAsia="Times New Roman"/>
          <w:w w:val="100"/>
          <w:sz w:val="21"/>
        </w:rPr>
        <w:t>2</w:t>
      </w:r>
      <w:r>
        <w:rPr>
          <w:rFonts w:ascii="Times New Roman" w:eastAsia="Times New Roman"/>
          <w:sz w:val="21"/>
        </w:rPr>
        <w:t>  </w:t>
      </w:r>
      <w:r>
        <w:rPr>
          <w:spacing w:val="-3"/>
          <w:w w:val="100"/>
          <w:sz w:val="21"/>
        </w:rPr>
        <w:t>条约定保障范围及定义的两种或者两种</w:t>
      </w:r>
      <w:r>
        <w:rPr>
          <w:spacing w:val="5"/>
          <w:w w:val="100"/>
          <w:sz w:val="21"/>
        </w:rPr>
        <w:t>以上重度疾病，</w:t>
      </w:r>
      <w:r>
        <w:rPr>
          <w:rFonts w:ascii="微软雅黑" w:eastAsia="微软雅黑"/>
          <w:b/>
          <w:spacing w:val="6"/>
          <w:w w:val="100"/>
          <w:sz w:val="21"/>
        </w:rPr>
        <w:t>我们仅按一种重度疾病给付第二次重度疾病保险</w:t>
      </w:r>
      <w:r>
        <w:rPr>
          <w:rFonts w:ascii="微软雅黑" w:eastAsia="微软雅黑"/>
          <w:b/>
          <w:w w:val="100"/>
          <w:sz w:val="21"/>
        </w:rPr>
        <w:t>金</w:t>
      </w:r>
      <w:r>
        <w:rPr>
          <w:spacing w:val="-3"/>
          <w:w w:val="100"/>
          <w:sz w:val="21"/>
        </w:rPr>
        <w:t>，</w:t>
      </w:r>
      <w:r>
        <w:rPr>
          <w:rFonts w:ascii="微软雅黑" w:eastAsia="微软雅黑"/>
          <w:b/>
          <w:spacing w:val="-1"/>
          <w:w w:val="100"/>
          <w:sz w:val="21"/>
        </w:rPr>
        <w:t>同时本合同效力终止</w:t>
      </w:r>
      <w:r>
        <w:rPr>
          <w:w w:val="100"/>
          <w:sz w:val="21"/>
        </w:rPr>
        <w:t>。</w:t>
      </w:r>
    </w:p>
    <w:p>
      <w:pPr>
        <w:pStyle w:val="BodyText"/>
        <w:spacing w:before="9"/>
        <w:ind w:left="0"/>
        <w:rPr>
          <w:sz w:val="9"/>
        </w:rPr>
      </w:pPr>
    </w:p>
    <w:p>
      <w:pPr>
        <w:spacing w:after="0"/>
        <w:rPr>
          <w:sz w:val="9"/>
        </w:rPr>
        <w:sectPr>
          <w:pgSz w:w="11910" w:h="16840"/>
          <w:pgMar w:header="0" w:footer="878" w:top="1060" w:bottom="1060" w:left="1480" w:right="440"/>
        </w:sectPr>
      </w:pPr>
    </w:p>
    <w:p>
      <w:pPr>
        <w:pStyle w:val="ListParagraph"/>
        <w:numPr>
          <w:ilvl w:val="2"/>
          <w:numId w:val="16"/>
        </w:numPr>
        <w:tabs>
          <w:tab w:pos="1071" w:val="left" w:leader="none"/>
          <w:tab w:pos="1072" w:val="left" w:leader="none"/>
        </w:tabs>
        <w:spacing w:line="329" w:lineRule="exact" w:before="32" w:after="0"/>
        <w:ind w:left="1071" w:right="0" w:hanging="850"/>
        <w:jc w:val="left"/>
        <w:rPr>
          <w:rFonts w:ascii="微软雅黑" w:eastAsia="微软雅黑"/>
          <w:b/>
          <w:sz w:val="21"/>
        </w:rPr>
      </w:pPr>
      <w:r>
        <w:rPr>
          <w:rFonts w:ascii="微软雅黑" w:eastAsia="微软雅黑"/>
          <w:b/>
          <w:spacing w:val="-2"/>
          <w:sz w:val="21"/>
        </w:rPr>
        <w:t>第二次重度疾病</w:t>
      </w:r>
    </w:p>
    <w:p>
      <w:pPr>
        <w:spacing w:line="329" w:lineRule="exact" w:before="0"/>
        <w:ind w:left="1071" w:right="0" w:firstLine="0"/>
        <w:jc w:val="left"/>
        <w:rPr>
          <w:rFonts w:ascii="微软雅黑" w:eastAsia="微软雅黑"/>
          <w:b/>
          <w:sz w:val="21"/>
        </w:rPr>
      </w:pPr>
      <w:r>
        <w:rPr>
          <w:rFonts w:ascii="微软雅黑" w:eastAsia="微软雅黑"/>
          <w:b/>
          <w:spacing w:val="-2"/>
          <w:sz w:val="21"/>
        </w:rPr>
        <w:t>特别关爱金</w:t>
      </w:r>
    </w:p>
    <w:p>
      <w:pPr>
        <w:pStyle w:val="BodyText"/>
        <w:spacing w:before="100"/>
        <w:ind w:left="222"/>
        <w:jc w:val="both"/>
      </w:pPr>
      <w:r>
        <w:rPr/>
        <w:br w:type="column"/>
      </w:r>
      <w:r>
        <w:rPr>
          <w:spacing w:val="-2"/>
        </w:rPr>
        <w:t>若被保险人已符合本合同第 </w:t>
      </w:r>
      <w:r>
        <w:rPr>
          <w:rFonts w:ascii="Times New Roman" w:eastAsia="Times New Roman"/>
        </w:rPr>
        <w:t>2.4.3</w:t>
      </w:r>
      <w:r>
        <w:rPr>
          <w:rFonts w:ascii="Times New Roman" w:eastAsia="Times New Roman"/>
          <w:spacing w:val="35"/>
        </w:rPr>
        <w:t> </w:t>
      </w:r>
      <w:r>
        <w:rPr>
          <w:spacing w:val="-1"/>
        </w:rPr>
        <w:t>条约定的第二次重度疾病保险金</w:t>
      </w:r>
    </w:p>
    <w:p>
      <w:pPr>
        <w:pStyle w:val="BodyText"/>
        <w:spacing w:line="242" w:lineRule="auto" w:before="2"/>
        <w:ind w:left="222" w:right="729"/>
        <w:jc w:val="both"/>
      </w:pPr>
      <w:r>
        <w:rPr>
          <w:spacing w:val="-4"/>
        </w:rPr>
        <w:t>给付条件，且被保险人确诊时未满 </w:t>
      </w:r>
      <w:r>
        <w:rPr>
          <w:rFonts w:ascii="Times New Roman" w:eastAsia="Times New Roman"/>
          <w:spacing w:val="-2"/>
        </w:rPr>
        <w:t>60</w:t>
      </w:r>
      <w:r>
        <w:rPr>
          <w:rFonts w:ascii="Times New Roman" w:eastAsia="Times New Roman"/>
          <w:spacing w:val="-11"/>
        </w:rPr>
        <w:t> </w:t>
      </w:r>
      <w:r>
        <w:rPr>
          <w:spacing w:val="-5"/>
        </w:rPr>
        <w:t>周岁，我们除按照第 </w:t>
      </w:r>
      <w:r>
        <w:rPr>
          <w:rFonts w:ascii="Times New Roman" w:eastAsia="Times New Roman"/>
          <w:spacing w:val="-2"/>
        </w:rPr>
        <w:t>2.4.3</w:t>
      </w:r>
      <w:r>
        <w:rPr>
          <w:rFonts w:ascii="Times New Roman" w:eastAsia="Times New Roman"/>
          <w:spacing w:val="-4"/>
        </w:rPr>
        <w:t> </w:t>
      </w:r>
      <w:r>
        <w:rPr>
          <w:spacing w:val="-2"/>
        </w:rPr>
        <w:t>条</w:t>
      </w:r>
      <w:r>
        <w:rPr>
          <w:spacing w:val="-2"/>
        </w:rPr>
        <w:t>的约定给付第二次重度疾病保险金外，还将按本合同基本保险金额</w:t>
      </w:r>
      <w:r>
        <w:rPr>
          <w:spacing w:val="-21"/>
        </w:rPr>
        <w:t>的 </w:t>
      </w:r>
      <w:r>
        <w:rPr>
          <w:rFonts w:ascii="Times New Roman" w:eastAsia="Times New Roman"/>
        </w:rPr>
        <w:t>50%</w:t>
      </w:r>
      <w:r>
        <w:rPr/>
        <w:t>给付第二次重度疾病特别关爱金，同时本合同效力终止。</w:t>
      </w:r>
    </w:p>
    <w:p>
      <w:pPr>
        <w:spacing w:after="0" w:line="242" w:lineRule="auto"/>
        <w:jc w:val="both"/>
        <w:sectPr>
          <w:type w:val="continuous"/>
          <w:pgSz w:w="11910" w:h="16840"/>
          <w:pgMar w:header="0" w:footer="878" w:top="160" w:bottom="280" w:left="1480" w:right="440"/>
          <w:cols w:num="2" w:equalWidth="0">
            <w:col w:w="2591" w:space="340"/>
            <w:col w:w="7059"/>
          </w:cols>
        </w:sectPr>
      </w:pPr>
    </w:p>
    <w:p>
      <w:pPr>
        <w:pStyle w:val="BodyText"/>
        <w:spacing w:before="2"/>
        <w:ind w:left="0"/>
        <w:rPr>
          <w:sz w:val="11"/>
        </w:rPr>
      </w:pPr>
    </w:p>
    <w:p>
      <w:pPr>
        <w:pStyle w:val="ListParagraph"/>
        <w:numPr>
          <w:ilvl w:val="2"/>
          <w:numId w:val="16"/>
        </w:numPr>
        <w:tabs>
          <w:tab w:pos="1072" w:val="left" w:leader="none"/>
          <w:tab w:pos="3152" w:val="left" w:leader="none"/>
        </w:tabs>
        <w:spacing w:line="330" w:lineRule="exact" w:before="33" w:after="0"/>
        <w:ind w:left="1071" w:right="0" w:hanging="850"/>
        <w:jc w:val="both"/>
        <w:rPr>
          <w:rFonts w:ascii="微软雅黑" w:hAnsi="微软雅黑" w:eastAsia="微软雅黑"/>
          <w:b/>
          <w:sz w:val="21"/>
        </w:rPr>
      </w:pPr>
      <w:r>
        <w:rPr>
          <w:rFonts w:ascii="微软雅黑" w:hAnsi="微软雅黑" w:eastAsia="微软雅黑"/>
          <w:b/>
          <w:sz w:val="21"/>
        </w:rPr>
        <w:t>特别注意事</w:t>
      </w:r>
      <w:r>
        <w:rPr>
          <w:rFonts w:ascii="微软雅黑" w:hAnsi="微软雅黑" w:eastAsia="微软雅黑"/>
          <w:b/>
          <w:spacing w:val="-10"/>
          <w:sz w:val="21"/>
        </w:rPr>
        <w:t>项</w:t>
      </w:r>
      <w:r>
        <w:rPr>
          <w:rFonts w:ascii="微软雅黑" w:hAnsi="微软雅黑" w:eastAsia="微软雅黑"/>
          <w:b/>
          <w:sz w:val="21"/>
        </w:rPr>
        <w:tab/>
      </w:r>
      <w:r>
        <w:rPr>
          <w:rFonts w:ascii="微软雅黑" w:hAnsi="微软雅黑" w:eastAsia="微软雅黑"/>
          <w:b/>
          <w:spacing w:val="-4"/>
          <w:sz w:val="21"/>
        </w:rPr>
        <w:t>若</w:t>
      </w:r>
      <w:r>
        <w:rPr>
          <w:rFonts w:ascii="微软雅黑" w:hAnsi="微软雅黑" w:eastAsia="微软雅黑"/>
          <w:b/>
          <w:spacing w:val="-4"/>
          <w:sz w:val="21"/>
        </w:rPr>
        <w:t>被</w:t>
      </w:r>
      <w:r>
        <w:rPr>
          <w:rFonts w:ascii="微软雅黑" w:hAnsi="微软雅黑" w:eastAsia="微软雅黑"/>
          <w:b/>
          <w:spacing w:val="-4"/>
          <w:sz w:val="21"/>
        </w:rPr>
        <w:t>保</w:t>
      </w:r>
      <w:r>
        <w:rPr>
          <w:rFonts w:ascii="微软雅黑" w:hAnsi="微软雅黑" w:eastAsia="微软雅黑"/>
          <w:b/>
          <w:spacing w:val="-4"/>
          <w:sz w:val="21"/>
        </w:rPr>
        <w:t>险</w:t>
      </w:r>
      <w:r>
        <w:rPr>
          <w:rFonts w:ascii="微软雅黑" w:hAnsi="微软雅黑" w:eastAsia="微软雅黑"/>
          <w:b/>
          <w:spacing w:val="-4"/>
          <w:sz w:val="21"/>
        </w:rPr>
        <w:t>人</w:t>
      </w:r>
      <w:r>
        <w:rPr>
          <w:rFonts w:ascii="微软雅黑" w:hAnsi="微软雅黑" w:eastAsia="微软雅黑"/>
          <w:b/>
          <w:spacing w:val="-4"/>
          <w:sz w:val="21"/>
        </w:rPr>
        <w:t>同</w:t>
      </w:r>
      <w:r>
        <w:rPr>
          <w:rFonts w:ascii="微软雅黑" w:hAnsi="微软雅黑" w:eastAsia="微软雅黑"/>
          <w:b/>
          <w:spacing w:val="-4"/>
          <w:sz w:val="21"/>
        </w:rPr>
        <w:t>时</w:t>
      </w:r>
      <w:r>
        <w:rPr>
          <w:rFonts w:ascii="微软雅黑" w:hAnsi="微软雅黑" w:eastAsia="微软雅黑"/>
          <w:b/>
          <w:spacing w:val="-4"/>
          <w:sz w:val="21"/>
        </w:rPr>
        <w:t>符</w:t>
      </w:r>
      <w:r>
        <w:rPr>
          <w:rFonts w:ascii="微软雅黑" w:hAnsi="微软雅黑" w:eastAsia="微软雅黑"/>
          <w:b/>
          <w:spacing w:val="-4"/>
          <w:sz w:val="21"/>
        </w:rPr>
        <w:t>合本合</w:t>
      </w:r>
      <w:r>
        <w:rPr>
          <w:rFonts w:ascii="微软雅黑" w:hAnsi="微软雅黑" w:eastAsia="微软雅黑"/>
          <w:b/>
          <w:spacing w:val="-4"/>
          <w:sz w:val="21"/>
        </w:rPr>
        <w:t>同</w:t>
      </w:r>
      <w:r>
        <w:rPr>
          <w:rFonts w:ascii="微软雅黑" w:hAnsi="微软雅黑" w:eastAsia="微软雅黑"/>
          <w:b/>
          <w:spacing w:val="-4"/>
          <w:sz w:val="21"/>
        </w:rPr>
        <w:t>所</w:t>
      </w:r>
      <w:r>
        <w:rPr>
          <w:rFonts w:ascii="微软雅黑" w:hAnsi="微软雅黑" w:eastAsia="微软雅黑"/>
          <w:b/>
          <w:spacing w:val="-4"/>
          <w:sz w:val="21"/>
        </w:rPr>
        <w:t>列</w:t>
      </w:r>
      <w:r>
        <w:rPr>
          <w:rFonts w:ascii="微软雅黑" w:hAnsi="微软雅黑" w:eastAsia="微软雅黑"/>
          <w:b/>
          <w:spacing w:val="-4"/>
          <w:sz w:val="21"/>
        </w:rPr>
        <w:t>的“</w:t>
      </w:r>
      <w:r>
        <w:rPr>
          <w:rFonts w:ascii="微软雅黑" w:hAnsi="微软雅黑" w:eastAsia="微软雅黑"/>
          <w:b/>
          <w:spacing w:val="-4"/>
          <w:sz w:val="21"/>
        </w:rPr>
        <w:t>轻</w:t>
      </w:r>
      <w:r>
        <w:rPr>
          <w:rFonts w:ascii="微软雅黑" w:hAnsi="微软雅黑" w:eastAsia="微软雅黑"/>
          <w:b/>
          <w:spacing w:val="-4"/>
          <w:sz w:val="21"/>
        </w:rPr>
        <w:t>度</w:t>
      </w:r>
      <w:r>
        <w:rPr>
          <w:rFonts w:ascii="微软雅黑" w:hAnsi="微软雅黑" w:eastAsia="微软雅黑"/>
          <w:b/>
          <w:spacing w:val="-4"/>
          <w:sz w:val="21"/>
        </w:rPr>
        <w:t>疾</w:t>
      </w:r>
      <w:r>
        <w:rPr>
          <w:rFonts w:ascii="微软雅黑" w:hAnsi="微软雅黑" w:eastAsia="微软雅黑"/>
          <w:b/>
          <w:spacing w:val="-4"/>
          <w:sz w:val="21"/>
        </w:rPr>
        <w:t>病</w:t>
      </w:r>
      <w:r>
        <w:rPr>
          <w:rFonts w:ascii="微软雅黑" w:hAnsi="微软雅黑" w:eastAsia="微软雅黑"/>
          <w:b/>
          <w:spacing w:val="-4"/>
          <w:sz w:val="21"/>
        </w:rPr>
        <w:t>保</w:t>
      </w:r>
      <w:r>
        <w:rPr>
          <w:rFonts w:ascii="微软雅黑" w:hAnsi="微软雅黑" w:eastAsia="微软雅黑"/>
          <w:b/>
          <w:spacing w:val="-4"/>
          <w:sz w:val="21"/>
        </w:rPr>
        <w:t>险金”、“</w:t>
      </w:r>
      <w:r>
        <w:rPr>
          <w:rFonts w:ascii="微软雅黑" w:hAnsi="微软雅黑" w:eastAsia="微软雅黑"/>
          <w:b/>
          <w:spacing w:val="-4"/>
          <w:sz w:val="21"/>
        </w:rPr>
        <w:t>中</w:t>
      </w:r>
      <w:r>
        <w:rPr>
          <w:rFonts w:ascii="微软雅黑" w:hAnsi="微软雅黑" w:eastAsia="微软雅黑"/>
          <w:b/>
          <w:spacing w:val="-4"/>
          <w:sz w:val="21"/>
        </w:rPr>
        <w:t>度</w:t>
      </w:r>
      <w:r>
        <w:rPr>
          <w:rFonts w:ascii="微软雅黑" w:hAnsi="微软雅黑" w:eastAsia="微软雅黑"/>
          <w:b/>
          <w:spacing w:val="-10"/>
          <w:sz w:val="21"/>
        </w:rPr>
        <w:t>疾</w:t>
      </w:r>
    </w:p>
    <w:p>
      <w:pPr>
        <w:spacing w:line="168" w:lineRule="auto" w:before="26"/>
        <w:ind w:left="3153" w:right="758" w:firstLine="0"/>
        <w:jc w:val="both"/>
        <w:rPr>
          <w:sz w:val="21"/>
        </w:rPr>
      </w:pPr>
      <w:r>
        <w:rPr>
          <w:rFonts w:ascii="微软雅黑" w:hAnsi="微软雅黑" w:eastAsia="微软雅黑"/>
          <w:b/>
          <w:spacing w:val="-2"/>
          <w:sz w:val="21"/>
        </w:rPr>
        <w:t>病保险金”、“重度疾病保险金”中多项责任的给付条件，我们仅</w:t>
      </w:r>
      <w:r>
        <w:rPr>
          <w:rFonts w:ascii="微软雅黑" w:hAnsi="微软雅黑" w:eastAsia="微软雅黑"/>
          <w:b/>
          <w:spacing w:val="-2"/>
          <w:sz w:val="21"/>
        </w:rPr>
        <w:t>承担保险金额最高的一项保险责任</w:t>
      </w:r>
      <w:r>
        <w:rPr>
          <w:spacing w:val="-2"/>
          <w:sz w:val="21"/>
        </w:rPr>
        <w:t>，</w:t>
      </w:r>
      <w:r>
        <w:rPr>
          <w:rFonts w:ascii="微软雅黑" w:hAnsi="微软雅黑" w:eastAsia="微软雅黑"/>
          <w:b/>
          <w:spacing w:val="-2"/>
          <w:sz w:val="21"/>
        </w:rPr>
        <w:t>给付后已确诊的所有疾病保险</w:t>
      </w:r>
      <w:r>
        <w:rPr>
          <w:rFonts w:ascii="微软雅黑" w:hAnsi="微软雅黑" w:eastAsia="微软雅黑"/>
          <w:b/>
          <w:spacing w:val="-2"/>
          <w:sz w:val="21"/>
        </w:rPr>
        <w:t>责任终止</w:t>
      </w:r>
      <w:r>
        <w:rPr>
          <w:spacing w:val="-2"/>
          <w:sz w:val="21"/>
        </w:rPr>
        <w:t>。</w:t>
      </w:r>
    </w:p>
    <w:p>
      <w:pPr>
        <w:pStyle w:val="BodyText"/>
        <w:spacing w:before="3"/>
        <w:ind w:left="0"/>
        <w:rPr>
          <w:sz w:val="19"/>
        </w:rPr>
      </w:pPr>
    </w:p>
    <w:p>
      <w:pPr>
        <w:spacing w:line="168" w:lineRule="auto" w:before="0"/>
        <w:ind w:left="3153" w:right="724" w:firstLine="0"/>
        <w:jc w:val="both"/>
        <w:rPr>
          <w:rFonts w:ascii="微软雅黑" w:eastAsia="微软雅黑"/>
          <w:b/>
          <w:sz w:val="21"/>
        </w:rPr>
      </w:pPr>
      <w:r>
        <w:rPr>
          <w:rFonts w:ascii="微软雅黑" w:eastAsia="微软雅黑"/>
          <w:b/>
          <w:spacing w:val="4"/>
          <w:w w:val="100"/>
          <w:sz w:val="21"/>
        </w:rPr>
        <w:t>若重度疾病的首次确诊日期在轻度疾病或中度疾病的首次确诊日</w:t>
      </w:r>
      <w:r>
        <w:rPr>
          <w:rFonts w:ascii="微软雅黑" w:eastAsia="微软雅黑"/>
          <w:b/>
          <w:spacing w:val="-4"/>
          <w:w w:val="100"/>
          <w:sz w:val="21"/>
        </w:rPr>
        <w:t>期之前，则对于存在如下附表中每组对应关系的轻度疾病、中度疾</w:t>
      </w:r>
      <w:r>
        <w:rPr>
          <w:rFonts w:ascii="微软雅黑" w:eastAsia="微软雅黑"/>
          <w:b/>
          <w:spacing w:val="-6"/>
          <w:w w:val="100"/>
          <w:sz w:val="21"/>
        </w:rPr>
        <w:t>病和重度疾病，我们给付的轻度疾病保险金、中度疾病保险金和重度疾病保险金之和以本合同基本保险金额为限。</w:t>
      </w:r>
    </w:p>
    <w:p>
      <w:pPr>
        <w:spacing w:before="162"/>
        <w:ind w:left="1278" w:right="0" w:firstLine="0"/>
        <w:jc w:val="left"/>
        <w:rPr>
          <w:rFonts w:ascii="微软雅黑" w:eastAsia="微软雅黑"/>
          <w:b/>
          <w:sz w:val="21"/>
        </w:rPr>
      </w:pPr>
      <w:r>
        <w:rPr/>
        <w:pict>
          <v:shape style="position:absolute;margin-left:132.259995pt;margin-top:25.078138pt;width:399.6pt;height:173.85pt;mso-position-horizontal-relative:page;mso-position-vertical-relative:paragraph;z-index:15731712" type="#_x0000_t202" id="docshape5"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057"/>
                    <w:gridCol w:w="3925"/>
                  </w:tblGrid>
                  <w:tr>
                    <w:trPr>
                      <w:trHeight w:val="268" w:hRule="atLeast"/>
                    </w:trPr>
                    <w:tc>
                      <w:tcPr>
                        <w:tcW w:w="4057" w:type="dxa"/>
                      </w:tcPr>
                      <w:p>
                        <w:pPr>
                          <w:pStyle w:val="TableParagraph"/>
                          <w:spacing w:line="248" w:lineRule="exact"/>
                          <w:ind w:left="1653" w:right="1646"/>
                          <w:jc w:val="center"/>
                          <w:rPr>
                            <w:rFonts w:ascii="微软雅黑" w:eastAsia="微软雅黑"/>
                            <w:b/>
                            <w:sz w:val="18"/>
                          </w:rPr>
                        </w:pPr>
                        <w:r>
                          <w:rPr>
                            <w:rFonts w:ascii="微软雅黑" w:eastAsia="微软雅黑"/>
                            <w:b/>
                            <w:spacing w:val="-3"/>
                            <w:sz w:val="18"/>
                          </w:rPr>
                          <w:t>重度疾病</w:t>
                        </w:r>
                      </w:p>
                    </w:tc>
                    <w:tc>
                      <w:tcPr>
                        <w:tcW w:w="3925" w:type="dxa"/>
                      </w:tcPr>
                      <w:p>
                        <w:pPr>
                          <w:pStyle w:val="TableParagraph"/>
                          <w:spacing w:line="248" w:lineRule="exact"/>
                          <w:ind w:left="1318" w:right="1310"/>
                          <w:jc w:val="center"/>
                          <w:rPr>
                            <w:rFonts w:ascii="微软雅黑" w:eastAsia="微软雅黑"/>
                            <w:b/>
                            <w:sz w:val="18"/>
                          </w:rPr>
                        </w:pPr>
                        <w:r>
                          <w:rPr>
                            <w:rFonts w:ascii="微软雅黑" w:eastAsia="微软雅黑"/>
                            <w:b/>
                            <w:spacing w:val="-2"/>
                            <w:sz w:val="18"/>
                          </w:rPr>
                          <w:t>轻度、中度疾病</w:t>
                        </w:r>
                      </w:p>
                    </w:tc>
                  </w:tr>
                  <w:tr>
                    <w:trPr>
                      <w:trHeight w:val="467" w:hRule="atLeast"/>
                    </w:trPr>
                    <w:tc>
                      <w:tcPr>
                        <w:tcW w:w="4057" w:type="dxa"/>
                      </w:tcPr>
                      <w:p>
                        <w:pPr>
                          <w:pStyle w:val="TableParagraph"/>
                          <w:spacing w:before="117"/>
                          <w:ind w:left="107"/>
                          <w:rPr>
                            <w:sz w:val="18"/>
                          </w:rPr>
                        </w:pPr>
                        <w:r>
                          <w:rPr>
                            <w:rFonts w:ascii="Times New Roman" w:hAnsi="Times New Roman" w:eastAsia="Times New Roman"/>
                            <w:sz w:val="18"/>
                          </w:rPr>
                          <w:t>12.1</w:t>
                        </w:r>
                        <w:r>
                          <w:rPr>
                            <w:rFonts w:ascii="Times New Roman" w:hAnsi="Times New Roman" w:eastAsia="Times New Roman"/>
                            <w:spacing w:val="2"/>
                            <w:sz w:val="18"/>
                          </w:rPr>
                          <w:t> </w:t>
                        </w:r>
                        <w:r>
                          <w:rPr>
                            <w:spacing w:val="-2"/>
                            <w:sz w:val="18"/>
                          </w:rPr>
                          <w:t>恶性肿瘤——重度</w:t>
                        </w:r>
                      </w:p>
                    </w:tc>
                    <w:tc>
                      <w:tcPr>
                        <w:tcW w:w="3925" w:type="dxa"/>
                      </w:tcPr>
                      <w:p>
                        <w:pPr>
                          <w:pStyle w:val="TableParagraph"/>
                          <w:spacing w:line="230" w:lineRule="exact"/>
                          <w:ind w:left="107"/>
                          <w:rPr>
                            <w:sz w:val="18"/>
                          </w:rPr>
                        </w:pPr>
                        <w:r>
                          <w:rPr>
                            <w:rFonts w:ascii="Times New Roman" w:hAnsi="Times New Roman" w:eastAsia="Times New Roman"/>
                            <w:sz w:val="18"/>
                          </w:rPr>
                          <w:t>10.1</w:t>
                        </w:r>
                        <w:r>
                          <w:rPr>
                            <w:rFonts w:ascii="Times New Roman" w:hAnsi="Times New Roman" w:eastAsia="Times New Roman"/>
                            <w:spacing w:val="2"/>
                            <w:sz w:val="18"/>
                          </w:rPr>
                          <w:t> </w:t>
                        </w:r>
                        <w:r>
                          <w:rPr>
                            <w:spacing w:val="-2"/>
                            <w:sz w:val="18"/>
                          </w:rPr>
                          <w:t>恶性肿瘤——轻度</w:t>
                        </w:r>
                      </w:p>
                      <w:p>
                        <w:pPr>
                          <w:pStyle w:val="TableParagraph"/>
                          <w:spacing w:line="213" w:lineRule="exact" w:before="4"/>
                          <w:ind w:left="107"/>
                          <w:rPr>
                            <w:sz w:val="18"/>
                          </w:rPr>
                        </w:pPr>
                        <w:r>
                          <w:rPr>
                            <w:rFonts w:ascii="Times New Roman" w:eastAsia="Times New Roman"/>
                            <w:sz w:val="18"/>
                          </w:rPr>
                          <w:t>10.4</w:t>
                        </w:r>
                        <w:r>
                          <w:rPr>
                            <w:rFonts w:ascii="Times New Roman" w:eastAsia="Times New Roman"/>
                            <w:spacing w:val="2"/>
                            <w:sz w:val="18"/>
                          </w:rPr>
                          <w:t> </w:t>
                        </w:r>
                        <w:r>
                          <w:rPr>
                            <w:spacing w:val="-4"/>
                            <w:sz w:val="18"/>
                          </w:rPr>
                          <w:t>原位癌</w:t>
                        </w:r>
                      </w:p>
                    </w:tc>
                  </w:tr>
                  <w:tr>
                    <w:trPr>
                      <w:trHeight w:val="467" w:hRule="atLeast"/>
                    </w:trPr>
                    <w:tc>
                      <w:tcPr>
                        <w:tcW w:w="4057" w:type="dxa"/>
                      </w:tcPr>
                      <w:p>
                        <w:pPr>
                          <w:pStyle w:val="TableParagraph"/>
                          <w:spacing w:before="117"/>
                          <w:ind w:left="107"/>
                          <w:rPr>
                            <w:sz w:val="18"/>
                          </w:rPr>
                        </w:pPr>
                        <w:r>
                          <w:rPr>
                            <w:rFonts w:ascii="Times New Roman" w:eastAsia="Times New Roman"/>
                            <w:sz w:val="18"/>
                          </w:rPr>
                          <w:t>12.2</w:t>
                        </w:r>
                        <w:r>
                          <w:rPr>
                            <w:rFonts w:ascii="Times New Roman" w:eastAsia="Times New Roman"/>
                            <w:spacing w:val="2"/>
                            <w:sz w:val="18"/>
                          </w:rPr>
                          <w:t> </w:t>
                        </w:r>
                        <w:r>
                          <w:rPr>
                            <w:spacing w:val="-2"/>
                            <w:sz w:val="18"/>
                          </w:rPr>
                          <w:t>较重急性心肌梗死</w:t>
                        </w:r>
                      </w:p>
                    </w:tc>
                    <w:tc>
                      <w:tcPr>
                        <w:tcW w:w="3925" w:type="dxa"/>
                      </w:tcPr>
                      <w:p>
                        <w:pPr>
                          <w:pStyle w:val="TableParagraph"/>
                          <w:spacing w:line="230" w:lineRule="exact"/>
                          <w:ind w:left="107"/>
                          <w:rPr>
                            <w:sz w:val="18"/>
                          </w:rPr>
                        </w:pPr>
                        <w:r>
                          <w:rPr>
                            <w:rFonts w:ascii="Times New Roman" w:eastAsia="Times New Roman"/>
                            <w:sz w:val="18"/>
                          </w:rPr>
                          <w:t>10.2</w:t>
                        </w:r>
                        <w:r>
                          <w:rPr>
                            <w:rFonts w:ascii="Times New Roman" w:eastAsia="Times New Roman"/>
                            <w:spacing w:val="2"/>
                            <w:sz w:val="18"/>
                          </w:rPr>
                          <w:t> </w:t>
                        </w:r>
                        <w:r>
                          <w:rPr>
                            <w:spacing w:val="-2"/>
                            <w:sz w:val="18"/>
                          </w:rPr>
                          <w:t>较轻急性心肌梗死</w:t>
                        </w:r>
                      </w:p>
                      <w:p>
                        <w:pPr>
                          <w:pStyle w:val="TableParagraph"/>
                          <w:spacing w:line="215" w:lineRule="exact" w:before="2"/>
                          <w:ind w:left="107"/>
                          <w:rPr>
                            <w:sz w:val="18"/>
                          </w:rPr>
                        </w:pPr>
                        <w:r>
                          <w:rPr>
                            <w:rFonts w:ascii="Times New Roman" w:eastAsia="Times New Roman"/>
                            <w:sz w:val="18"/>
                          </w:rPr>
                          <w:t>10.5</w:t>
                        </w:r>
                        <w:r>
                          <w:rPr>
                            <w:rFonts w:ascii="Times New Roman" w:eastAsia="Times New Roman"/>
                            <w:spacing w:val="-1"/>
                            <w:sz w:val="18"/>
                          </w:rPr>
                          <w:t> </w:t>
                        </w:r>
                        <w:r>
                          <w:rPr>
                            <w:sz w:val="18"/>
                          </w:rPr>
                          <w:t>冠状动脉介入手术（非开胸手术</w:t>
                        </w:r>
                        <w:r>
                          <w:rPr>
                            <w:spacing w:val="-10"/>
                            <w:sz w:val="18"/>
                          </w:rPr>
                          <w:t>）</w:t>
                        </w:r>
                      </w:p>
                    </w:tc>
                  </w:tr>
                  <w:tr>
                    <w:trPr>
                      <w:trHeight w:val="268" w:hRule="atLeast"/>
                    </w:trPr>
                    <w:tc>
                      <w:tcPr>
                        <w:tcW w:w="4057" w:type="dxa"/>
                      </w:tcPr>
                      <w:p>
                        <w:pPr>
                          <w:pStyle w:val="TableParagraph"/>
                          <w:spacing w:before="16"/>
                          <w:ind w:left="107"/>
                          <w:rPr>
                            <w:sz w:val="18"/>
                          </w:rPr>
                        </w:pPr>
                        <w:r>
                          <w:rPr>
                            <w:rFonts w:ascii="Times New Roman" w:eastAsia="Times New Roman"/>
                            <w:sz w:val="18"/>
                          </w:rPr>
                          <w:t>12.3</w:t>
                        </w:r>
                        <w:r>
                          <w:rPr>
                            <w:rFonts w:ascii="Times New Roman" w:eastAsia="Times New Roman"/>
                            <w:spacing w:val="2"/>
                            <w:sz w:val="18"/>
                          </w:rPr>
                          <w:t> </w:t>
                        </w:r>
                        <w:r>
                          <w:rPr>
                            <w:spacing w:val="-2"/>
                            <w:sz w:val="18"/>
                          </w:rPr>
                          <w:t>严重脑中风后遗症</w:t>
                        </w:r>
                      </w:p>
                    </w:tc>
                    <w:tc>
                      <w:tcPr>
                        <w:tcW w:w="3925" w:type="dxa"/>
                      </w:tcPr>
                      <w:p>
                        <w:pPr>
                          <w:pStyle w:val="TableParagraph"/>
                          <w:spacing w:before="16"/>
                          <w:ind w:left="107"/>
                          <w:rPr>
                            <w:sz w:val="18"/>
                          </w:rPr>
                        </w:pPr>
                        <w:r>
                          <w:rPr>
                            <w:rFonts w:ascii="Times New Roman" w:eastAsia="Times New Roman"/>
                            <w:sz w:val="18"/>
                          </w:rPr>
                          <w:t>10.3</w:t>
                        </w:r>
                        <w:r>
                          <w:rPr>
                            <w:rFonts w:ascii="Times New Roman" w:eastAsia="Times New Roman"/>
                            <w:spacing w:val="2"/>
                            <w:sz w:val="18"/>
                          </w:rPr>
                          <w:t> </w:t>
                        </w:r>
                        <w:r>
                          <w:rPr>
                            <w:spacing w:val="-2"/>
                            <w:sz w:val="18"/>
                          </w:rPr>
                          <w:t>轻度脑中风后遗症</w:t>
                        </w:r>
                      </w:p>
                    </w:tc>
                  </w:tr>
                  <w:tr>
                    <w:trPr>
                      <w:trHeight w:val="268" w:hRule="atLeast"/>
                    </w:trPr>
                    <w:tc>
                      <w:tcPr>
                        <w:tcW w:w="4057" w:type="dxa"/>
                        <w:tcBorders>
                          <w:bottom w:val="single" w:sz="6" w:space="0" w:color="000000"/>
                        </w:tcBorders>
                      </w:tcPr>
                      <w:p>
                        <w:pPr>
                          <w:pStyle w:val="TableParagraph"/>
                          <w:spacing w:line="229" w:lineRule="exact" w:before="19"/>
                          <w:ind w:left="107"/>
                          <w:rPr>
                            <w:sz w:val="18"/>
                          </w:rPr>
                        </w:pPr>
                        <w:r>
                          <w:rPr>
                            <w:rFonts w:ascii="Times New Roman" w:eastAsia="Times New Roman"/>
                            <w:spacing w:val="-2"/>
                            <w:sz w:val="18"/>
                          </w:rPr>
                          <w:t>12.5</w:t>
                        </w:r>
                        <w:r>
                          <w:rPr>
                            <w:rFonts w:ascii="Times New Roman" w:eastAsia="Times New Roman"/>
                            <w:spacing w:val="14"/>
                            <w:sz w:val="18"/>
                          </w:rPr>
                          <w:t> </w:t>
                        </w:r>
                        <w:r>
                          <w:rPr>
                            <w:spacing w:val="-2"/>
                            <w:sz w:val="18"/>
                          </w:rPr>
                          <w:t>冠状动脉搭桥术（或称冠状动脉旁路移植术</w:t>
                        </w:r>
                        <w:r>
                          <w:rPr>
                            <w:spacing w:val="-10"/>
                            <w:sz w:val="18"/>
                          </w:rPr>
                          <w:t>）</w:t>
                        </w:r>
                      </w:p>
                    </w:tc>
                    <w:tc>
                      <w:tcPr>
                        <w:tcW w:w="3925" w:type="dxa"/>
                        <w:tcBorders>
                          <w:bottom w:val="single" w:sz="6" w:space="0" w:color="000000"/>
                        </w:tcBorders>
                      </w:tcPr>
                      <w:p>
                        <w:pPr>
                          <w:pStyle w:val="TableParagraph"/>
                          <w:spacing w:line="229" w:lineRule="exact" w:before="19"/>
                          <w:ind w:left="107"/>
                          <w:rPr>
                            <w:sz w:val="18"/>
                          </w:rPr>
                        </w:pPr>
                        <w:r>
                          <w:rPr>
                            <w:rFonts w:ascii="Times New Roman" w:eastAsia="Times New Roman"/>
                            <w:sz w:val="18"/>
                          </w:rPr>
                          <w:t>10.5</w:t>
                        </w:r>
                        <w:r>
                          <w:rPr>
                            <w:rFonts w:ascii="Times New Roman" w:eastAsia="Times New Roman"/>
                            <w:spacing w:val="-1"/>
                            <w:sz w:val="18"/>
                          </w:rPr>
                          <w:t> </w:t>
                        </w:r>
                        <w:r>
                          <w:rPr>
                            <w:sz w:val="18"/>
                          </w:rPr>
                          <w:t>冠状动脉介入手术（非开胸手术</w:t>
                        </w:r>
                        <w:r>
                          <w:rPr>
                            <w:spacing w:val="-10"/>
                            <w:sz w:val="18"/>
                          </w:rPr>
                          <w:t>）</w:t>
                        </w:r>
                      </w:p>
                    </w:tc>
                  </w:tr>
                  <w:tr>
                    <w:trPr>
                      <w:trHeight w:val="268" w:hRule="atLeast"/>
                    </w:trPr>
                    <w:tc>
                      <w:tcPr>
                        <w:tcW w:w="4057" w:type="dxa"/>
                        <w:tcBorders>
                          <w:top w:val="single" w:sz="6" w:space="0" w:color="000000"/>
                        </w:tcBorders>
                      </w:tcPr>
                      <w:p>
                        <w:pPr>
                          <w:pStyle w:val="TableParagraph"/>
                          <w:spacing w:before="16"/>
                          <w:ind w:left="107"/>
                          <w:rPr>
                            <w:sz w:val="18"/>
                          </w:rPr>
                        </w:pPr>
                        <w:r>
                          <w:rPr>
                            <w:rFonts w:ascii="Times New Roman" w:eastAsia="Times New Roman"/>
                            <w:sz w:val="18"/>
                          </w:rPr>
                          <w:t>12.9</w:t>
                        </w:r>
                        <w:r>
                          <w:rPr>
                            <w:rFonts w:ascii="Times New Roman" w:eastAsia="Times New Roman"/>
                            <w:spacing w:val="2"/>
                            <w:sz w:val="18"/>
                          </w:rPr>
                          <w:t> </w:t>
                        </w:r>
                        <w:r>
                          <w:rPr>
                            <w:spacing w:val="-2"/>
                            <w:sz w:val="18"/>
                          </w:rPr>
                          <w:t>严重非恶性颅内肿瘤</w:t>
                        </w:r>
                      </w:p>
                    </w:tc>
                    <w:tc>
                      <w:tcPr>
                        <w:tcW w:w="3925" w:type="dxa"/>
                        <w:tcBorders>
                          <w:top w:val="single" w:sz="6" w:space="0" w:color="000000"/>
                        </w:tcBorders>
                      </w:tcPr>
                      <w:p>
                        <w:pPr>
                          <w:pStyle w:val="TableParagraph"/>
                          <w:spacing w:before="16"/>
                          <w:ind w:left="107"/>
                          <w:rPr>
                            <w:sz w:val="18"/>
                          </w:rPr>
                        </w:pPr>
                        <w:r>
                          <w:rPr>
                            <w:rFonts w:ascii="Times New Roman" w:eastAsia="Times New Roman"/>
                            <w:sz w:val="18"/>
                          </w:rPr>
                          <w:t>10.8</w:t>
                        </w:r>
                        <w:r>
                          <w:rPr>
                            <w:rFonts w:ascii="Times New Roman" w:eastAsia="Times New Roman"/>
                            <w:spacing w:val="-1"/>
                            <w:sz w:val="18"/>
                          </w:rPr>
                          <w:t> </w:t>
                        </w:r>
                        <w:r>
                          <w:rPr>
                            <w:spacing w:val="-1"/>
                            <w:sz w:val="18"/>
                          </w:rPr>
                          <w:t>脑垂体瘤、脑囊肿、脑动脉瘤及脑血管瘤</w:t>
                        </w:r>
                      </w:p>
                    </w:tc>
                  </w:tr>
                  <w:tr>
                    <w:trPr>
                      <w:trHeight w:val="268" w:hRule="atLeast"/>
                    </w:trPr>
                    <w:tc>
                      <w:tcPr>
                        <w:tcW w:w="4057" w:type="dxa"/>
                      </w:tcPr>
                      <w:p>
                        <w:pPr>
                          <w:pStyle w:val="TableParagraph"/>
                          <w:spacing w:before="16"/>
                          <w:ind w:left="107"/>
                          <w:rPr>
                            <w:sz w:val="18"/>
                          </w:rPr>
                        </w:pPr>
                        <w:r>
                          <w:rPr>
                            <w:rFonts w:ascii="Times New Roman" w:eastAsia="Times New Roman"/>
                            <w:sz w:val="18"/>
                          </w:rPr>
                          <w:t>12.14</w:t>
                        </w:r>
                        <w:r>
                          <w:rPr>
                            <w:rFonts w:ascii="Times New Roman" w:eastAsia="Times New Roman"/>
                            <w:spacing w:val="3"/>
                            <w:sz w:val="18"/>
                          </w:rPr>
                          <w:t> </w:t>
                        </w:r>
                        <w:r>
                          <w:rPr>
                            <w:spacing w:val="-3"/>
                            <w:sz w:val="18"/>
                          </w:rPr>
                          <w:t>双目失明</w:t>
                        </w:r>
                      </w:p>
                    </w:tc>
                    <w:tc>
                      <w:tcPr>
                        <w:tcW w:w="3925" w:type="dxa"/>
                      </w:tcPr>
                      <w:p>
                        <w:pPr>
                          <w:pStyle w:val="TableParagraph"/>
                          <w:spacing w:before="16"/>
                          <w:ind w:left="107"/>
                          <w:rPr>
                            <w:sz w:val="18"/>
                          </w:rPr>
                        </w:pPr>
                        <w:r>
                          <w:rPr>
                            <w:rFonts w:ascii="Times New Roman" w:eastAsia="Times New Roman"/>
                            <w:sz w:val="18"/>
                          </w:rPr>
                          <w:t>10.6</w:t>
                        </w:r>
                        <w:r>
                          <w:rPr>
                            <w:rFonts w:ascii="Times New Roman" w:eastAsia="Times New Roman"/>
                            <w:spacing w:val="1"/>
                            <w:sz w:val="18"/>
                          </w:rPr>
                          <w:t> </w:t>
                        </w:r>
                        <w:r>
                          <w:rPr>
                            <w:sz w:val="18"/>
                          </w:rPr>
                          <w:t>轻度视力受损 </w:t>
                        </w:r>
                        <w:r>
                          <w:rPr>
                            <w:rFonts w:ascii="Times New Roman" w:eastAsia="Times New Roman"/>
                            <w:spacing w:val="21"/>
                            <w:sz w:val="18"/>
                          </w:rPr>
                          <w:t>- </w:t>
                        </w:r>
                        <w:r>
                          <w:rPr>
                            <w:spacing w:val="-2"/>
                            <w:sz w:val="18"/>
                          </w:rPr>
                          <w:t>三岁始理赔</w:t>
                        </w:r>
                      </w:p>
                    </w:tc>
                  </w:tr>
                  <w:tr>
                    <w:trPr>
                      <w:trHeight w:val="270" w:hRule="atLeast"/>
                    </w:trPr>
                    <w:tc>
                      <w:tcPr>
                        <w:tcW w:w="4057" w:type="dxa"/>
                      </w:tcPr>
                      <w:p>
                        <w:pPr>
                          <w:pStyle w:val="TableParagraph"/>
                          <w:spacing w:before="19"/>
                          <w:ind w:left="107"/>
                          <w:rPr>
                            <w:sz w:val="18"/>
                          </w:rPr>
                        </w:pPr>
                        <w:r>
                          <w:rPr>
                            <w:rFonts w:ascii="Times New Roman" w:eastAsia="Times New Roman"/>
                            <w:sz w:val="18"/>
                          </w:rPr>
                          <w:t>12.16</w:t>
                        </w:r>
                        <w:r>
                          <w:rPr>
                            <w:rFonts w:ascii="Times New Roman" w:eastAsia="Times New Roman"/>
                            <w:spacing w:val="3"/>
                            <w:sz w:val="18"/>
                          </w:rPr>
                          <w:t> </w:t>
                        </w:r>
                        <w:r>
                          <w:rPr>
                            <w:spacing w:val="-2"/>
                            <w:sz w:val="18"/>
                          </w:rPr>
                          <w:t>心脏瓣膜手术</w:t>
                        </w:r>
                      </w:p>
                    </w:tc>
                    <w:tc>
                      <w:tcPr>
                        <w:tcW w:w="3925" w:type="dxa"/>
                      </w:tcPr>
                      <w:p>
                        <w:pPr>
                          <w:pStyle w:val="TableParagraph"/>
                          <w:spacing w:before="19"/>
                          <w:ind w:left="107"/>
                          <w:rPr>
                            <w:sz w:val="18"/>
                          </w:rPr>
                        </w:pPr>
                        <w:r>
                          <w:rPr>
                            <w:rFonts w:ascii="Times New Roman" w:eastAsia="Times New Roman"/>
                            <w:sz w:val="18"/>
                          </w:rPr>
                          <w:t>11.10</w:t>
                        </w:r>
                        <w:r>
                          <w:rPr>
                            <w:rFonts w:ascii="Times New Roman" w:eastAsia="Times New Roman"/>
                            <w:spacing w:val="-5"/>
                            <w:sz w:val="18"/>
                          </w:rPr>
                          <w:t> </w:t>
                        </w:r>
                        <w:r>
                          <w:rPr>
                            <w:spacing w:val="-2"/>
                            <w:sz w:val="18"/>
                          </w:rPr>
                          <w:t>心脏瓣膜介入手术</w:t>
                        </w:r>
                      </w:p>
                    </w:tc>
                  </w:tr>
                  <w:tr>
                    <w:trPr>
                      <w:trHeight w:val="270" w:hRule="atLeast"/>
                    </w:trPr>
                    <w:tc>
                      <w:tcPr>
                        <w:tcW w:w="4057" w:type="dxa"/>
                      </w:tcPr>
                      <w:p>
                        <w:pPr>
                          <w:pStyle w:val="TableParagraph"/>
                          <w:spacing w:before="19"/>
                          <w:ind w:left="107"/>
                          <w:rPr>
                            <w:sz w:val="18"/>
                          </w:rPr>
                        </w:pPr>
                        <w:r>
                          <w:rPr>
                            <w:rFonts w:ascii="Times New Roman" w:eastAsia="Times New Roman"/>
                            <w:sz w:val="18"/>
                          </w:rPr>
                          <w:t>12.18</w:t>
                        </w:r>
                        <w:r>
                          <w:rPr>
                            <w:rFonts w:ascii="Times New Roman" w:eastAsia="Times New Roman"/>
                            <w:spacing w:val="3"/>
                            <w:sz w:val="18"/>
                          </w:rPr>
                          <w:t> </w:t>
                        </w:r>
                        <w:r>
                          <w:rPr>
                            <w:spacing w:val="-2"/>
                            <w:sz w:val="18"/>
                          </w:rPr>
                          <w:t>严重脑损伤</w:t>
                        </w:r>
                      </w:p>
                    </w:tc>
                    <w:tc>
                      <w:tcPr>
                        <w:tcW w:w="3925" w:type="dxa"/>
                      </w:tcPr>
                      <w:p>
                        <w:pPr>
                          <w:pStyle w:val="TableParagraph"/>
                          <w:spacing w:before="19"/>
                          <w:ind w:left="107"/>
                          <w:rPr>
                            <w:sz w:val="18"/>
                          </w:rPr>
                        </w:pPr>
                        <w:r>
                          <w:rPr>
                            <w:rFonts w:ascii="Times New Roman" w:eastAsia="Times New Roman"/>
                            <w:sz w:val="18"/>
                          </w:rPr>
                          <w:t>11.7</w:t>
                        </w:r>
                        <w:r>
                          <w:rPr>
                            <w:rFonts w:ascii="Times New Roman" w:eastAsia="Times New Roman"/>
                            <w:spacing w:val="-6"/>
                            <w:sz w:val="18"/>
                          </w:rPr>
                          <w:t> </w:t>
                        </w:r>
                        <w:r>
                          <w:rPr>
                            <w:spacing w:val="-3"/>
                            <w:sz w:val="18"/>
                          </w:rPr>
                          <w:t>中度脑损伤</w:t>
                        </w:r>
                      </w:p>
                    </w:tc>
                  </w:tr>
                  <w:tr>
                    <w:trPr>
                      <w:trHeight w:val="268" w:hRule="atLeast"/>
                    </w:trPr>
                    <w:tc>
                      <w:tcPr>
                        <w:tcW w:w="4057" w:type="dxa"/>
                      </w:tcPr>
                      <w:p>
                        <w:pPr>
                          <w:pStyle w:val="TableParagraph"/>
                          <w:spacing w:before="16"/>
                          <w:ind w:left="107"/>
                          <w:rPr>
                            <w:sz w:val="18"/>
                          </w:rPr>
                        </w:pPr>
                        <w:r>
                          <w:rPr>
                            <w:rFonts w:ascii="Times New Roman" w:hAnsi="Times New Roman" w:eastAsia="Times New Roman"/>
                            <w:sz w:val="18"/>
                          </w:rPr>
                          <w:t>12.20 </w:t>
                        </w:r>
                        <w:r>
                          <w:rPr>
                            <w:sz w:val="18"/>
                          </w:rPr>
                          <w:t>严重</w:t>
                        </w:r>
                        <w:r>
                          <w:rPr>
                            <w:rFonts w:ascii="Times New Roman" w:hAnsi="Times New Roman" w:eastAsia="Times New Roman"/>
                            <w:sz w:val="18"/>
                          </w:rPr>
                          <w:t>Ⅲ</w:t>
                        </w:r>
                        <w:r>
                          <w:rPr>
                            <w:spacing w:val="-4"/>
                            <w:sz w:val="18"/>
                          </w:rPr>
                          <w:t>度烧伤</w:t>
                        </w:r>
                      </w:p>
                    </w:tc>
                    <w:tc>
                      <w:tcPr>
                        <w:tcW w:w="3925" w:type="dxa"/>
                      </w:tcPr>
                      <w:p>
                        <w:pPr>
                          <w:pStyle w:val="TableParagraph"/>
                          <w:spacing w:before="16"/>
                          <w:ind w:left="107"/>
                          <w:rPr>
                            <w:sz w:val="18"/>
                          </w:rPr>
                        </w:pPr>
                        <w:r>
                          <w:rPr>
                            <w:rFonts w:ascii="Times New Roman" w:eastAsia="Times New Roman"/>
                            <w:sz w:val="18"/>
                          </w:rPr>
                          <w:t>10.9</w:t>
                        </w:r>
                        <w:r>
                          <w:rPr>
                            <w:rFonts w:ascii="Times New Roman" w:eastAsia="Times New Roman"/>
                            <w:spacing w:val="-1"/>
                            <w:sz w:val="18"/>
                          </w:rPr>
                          <w:t> </w:t>
                        </w:r>
                        <w:r>
                          <w:rPr>
                            <w:spacing w:val="-9"/>
                            <w:sz w:val="18"/>
                          </w:rPr>
                          <w:t>较小面积 </w:t>
                        </w:r>
                        <w:r>
                          <w:rPr>
                            <w:rFonts w:ascii="Times New Roman" w:eastAsia="Times New Roman"/>
                            <w:sz w:val="18"/>
                          </w:rPr>
                          <w:t>III </w:t>
                        </w:r>
                        <w:r>
                          <w:rPr>
                            <w:spacing w:val="-4"/>
                            <w:sz w:val="18"/>
                          </w:rPr>
                          <w:t>度烧伤</w:t>
                        </w:r>
                      </w:p>
                    </w:tc>
                  </w:tr>
                  <w:tr>
                    <w:trPr>
                      <w:trHeight w:val="270" w:hRule="atLeast"/>
                    </w:trPr>
                    <w:tc>
                      <w:tcPr>
                        <w:tcW w:w="4057" w:type="dxa"/>
                      </w:tcPr>
                      <w:p>
                        <w:pPr>
                          <w:pStyle w:val="TableParagraph"/>
                          <w:spacing w:before="19"/>
                          <w:ind w:left="107"/>
                          <w:rPr>
                            <w:sz w:val="18"/>
                          </w:rPr>
                        </w:pPr>
                        <w:r>
                          <w:rPr>
                            <w:rFonts w:ascii="Times New Roman" w:eastAsia="Times New Roman"/>
                            <w:sz w:val="18"/>
                          </w:rPr>
                          <w:t>12.25</w:t>
                        </w:r>
                        <w:r>
                          <w:rPr>
                            <w:rFonts w:ascii="Times New Roman" w:eastAsia="Times New Roman"/>
                            <w:spacing w:val="3"/>
                            <w:sz w:val="18"/>
                          </w:rPr>
                          <w:t> </w:t>
                        </w:r>
                        <w:r>
                          <w:rPr>
                            <w:spacing w:val="-2"/>
                            <w:sz w:val="18"/>
                          </w:rPr>
                          <w:t>主动脉手术</w:t>
                        </w:r>
                      </w:p>
                    </w:tc>
                    <w:tc>
                      <w:tcPr>
                        <w:tcW w:w="3925" w:type="dxa"/>
                      </w:tcPr>
                      <w:p>
                        <w:pPr>
                          <w:pStyle w:val="TableParagraph"/>
                          <w:spacing w:before="19"/>
                          <w:ind w:left="107"/>
                          <w:rPr>
                            <w:sz w:val="18"/>
                          </w:rPr>
                        </w:pPr>
                        <w:r>
                          <w:rPr>
                            <w:rFonts w:ascii="Times New Roman" w:eastAsia="Times New Roman"/>
                            <w:sz w:val="18"/>
                          </w:rPr>
                          <w:t>10.7</w:t>
                        </w:r>
                        <w:r>
                          <w:rPr>
                            <w:rFonts w:ascii="Times New Roman" w:eastAsia="Times New Roman"/>
                            <w:spacing w:val="-1"/>
                            <w:sz w:val="18"/>
                          </w:rPr>
                          <w:t> </w:t>
                        </w:r>
                        <w:r>
                          <w:rPr>
                            <w:sz w:val="18"/>
                          </w:rPr>
                          <w:t>主动脉内手术（非开胸或开腹手术</w:t>
                        </w:r>
                        <w:r>
                          <w:rPr>
                            <w:spacing w:val="-10"/>
                            <w:sz w:val="18"/>
                          </w:rPr>
                          <w:t>）</w:t>
                        </w:r>
                      </w:p>
                    </w:tc>
                  </w:tr>
                </w:tbl>
                <w:p>
                  <w:pPr>
                    <w:pStyle w:val="BodyText"/>
                    <w:ind w:left="0"/>
                  </w:pPr>
                </w:p>
              </w:txbxContent>
            </v:textbox>
            <w10:wrap type="none"/>
          </v:shape>
        </w:pict>
      </w:r>
      <w:r>
        <w:rPr>
          <w:rFonts w:ascii="微软雅黑" w:eastAsia="微软雅黑"/>
          <w:b/>
          <w:spacing w:val="-3"/>
          <w:sz w:val="21"/>
        </w:rPr>
        <w:t>附表：重度疾病及轻度、中度疾病对应表</w:t>
      </w: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ind w:left="0"/>
        <w:rPr>
          <w:rFonts w:ascii="微软雅黑"/>
          <w:b/>
          <w:sz w:val="20"/>
        </w:rPr>
      </w:pPr>
    </w:p>
    <w:p>
      <w:pPr>
        <w:pStyle w:val="BodyText"/>
        <w:spacing w:before="15"/>
        <w:ind w:left="0"/>
        <w:rPr>
          <w:rFonts w:ascii="微软雅黑"/>
          <w:b/>
        </w:rPr>
      </w:pPr>
    </w:p>
    <w:p>
      <w:pPr>
        <w:pStyle w:val="ListParagraph"/>
        <w:numPr>
          <w:ilvl w:val="2"/>
          <w:numId w:val="16"/>
        </w:numPr>
        <w:tabs>
          <w:tab w:pos="1071" w:val="left" w:leader="none"/>
          <w:tab w:pos="1072" w:val="left" w:leader="none"/>
          <w:tab w:pos="3152" w:val="left" w:leader="none"/>
        </w:tabs>
        <w:spacing w:line="330" w:lineRule="exact" w:before="0" w:after="0"/>
        <w:ind w:left="1071" w:right="0" w:hanging="850"/>
        <w:jc w:val="left"/>
        <w:rPr>
          <w:rFonts w:ascii="微软雅黑" w:eastAsia="微软雅黑"/>
          <w:b/>
          <w:sz w:val="21"/>
        </w:rPr>
      </w:pPr>
      <w:r>
        <w:rPr>
          <w:rFonts w:ascii="微软雅黑" w:eastAsia="微软雅黑"/>
          <w:b/>
          <w:sz w:val="21"/>
        </w:rPr>
        <w:t>身故保险</w:t>
      </w:r>
      <w:r>
        <w:rPr>
          <w:rFonts w:ascii="微软雅黑" w:eastAsia="微软雅黑"/>
          <w:b/>
          <w:spacing w:val="-10"/>
          <w:sz w:val="21"/>
        </w:rPr>
        <w:t>金</w:t>
      </w:r>
      <w:r>
        <w:rPr>
          <w:rFonts w:ascii="微软雅黑" w:eastAsia="微软雅黑"/>
          <w:b/>
          <w:sz w:val="21"/>
        </w:rPr>
        <w:tab/>
        <w:t>若</w:t>
      </w:r>
      <w:r>
        <w:rPr>
          <w:rFonts w:ascii="微软雅黑" w:eastAsia="微软雅黑"/>
          <w:b/>
          <w:sz w:val="21"/>
        </w:rPr>
        <w:t>被</w:t>
      </w:r>
      <w:r>
        <w:rPr>
          <w:rFonts w:ascii="微软雅黑" w:eastAsia="微软雅黑"/>
          <w:b/>
          <w:sz w:val="21"/>
        </w:rPr>
        <w:t>保</w:t>
      </w:r>
      <w:r>
        <w:rPr>
          <w:rFonts w:ascii="微软雅黑" w:eastAsia="微软雅黑"/>
          <w:b/>
          <w:sz w:val="21"/>
        </w:rPr>
        <w:t>险</w:t>
      </w:r>
      <w:r>
        <w:rPr>
          <w:rFonts w:ascii="微软雅黑" w:eastAsia="微软雅黑"/>
          <w:b/>
          <w:sz w:val="21"/>
        </w:rPr>
        <w:t>人</w:t>
      </w:r>
      <w:r>
        <w:rPr>
          <w:rFonts w:ascii="微软雅黑" w:eastAsia="微软雅黑"/>
          <w:b/>
          <w:sz w:val="21"/>
        </w:rPr>
        <w:t>在</w:t>
      </w:r>
      <w:r>
        <w:rPr>
          <w:rFonts w:ascii="微软雅黑" w:eastAsia="微软雅黑"/>
          <w:b/>
          <w:sz w:val="21"/>
        </w:rPr>
        <w:t>等</w:t>
      </w:r>
      <w:r>
        <w:rPr>
          <w:rFonts w:ascii="微软雅黑" w:eastAsia="微软雅黑"/>
          <w:b/>
          <w:sz w:val="21"/>
        </w:rPr>
        <w:t>待</w:t>
      </w:r>
      <w:r>
        <w:rPr>
          <w:rFonts w:ascii="微软雅黑" w:eastAsia="微软雅黑"/>
          <w:b/>
          <w:sz w:val="21"/>
        </w:rPr>
        <w:t>期</w:t>
      </w:r>
      <w:r>
        <w:rPr>
          <w:rFonts w:ascii="微软雅黑" w:eastAsia="微软雅黑"/>
          <w:b/>
          <w:sz w:val="21"/>
        </w:rPr>
        <w:t>内</w:t>
      </w:r>
      <w:r>
        <w:rPr>
          <w:rFonts w:ascii="微软雅黑" w:eastAsia="微软雅黑"/>
          <w:b/>
          <w:sz w:val="21"/>
        </w:rPr>
        <w:t>身</w:t>
      </w:r>
      <w:r>
        <w:rPr>
          <w:rFonts w:ascii="微软雅黑" w:eastAsia="微软雅黑"/>
          <w:b/>
          <w:sz w:val="21"/>
        </w:rPr>
        <w:t>故</w:t>
      </w:r>
      <w:r>
        <w:rPr>
          <w:rFonts w:ascii="微软雅黑" w:eastAsia="微软雅黑"/>
          <w:b/>
          <w:sz w:val="21"/>
        </w:rPr>
        <w:t>，</w:t>
      </w:r>
      <w:r>
        <w:rPr>
          <w:rFonts w:ascii="微软雅黑" w:eastAsia="微软雅黑"/>
          <w:b/>
          <w:sz w:val="21"/>
        </w:rPr>
        <w:t>我</w:t>
      </w:r>
      <w:r>
        <w:rPr>
          <w:rFonts w:ascii="微软雅黑" w:eastAsia="微软雅黑"/>
          <w:b/>
          <w:sz w:val="21"/>
        </w:rPr>
        <w:t>们</w:t>
      </w:r>
      <w:r>
        <w:rPr>
          <w:rFonts w:ascii="微软雅黑" w:eastAsia="微软雅黑"/>
          <w:b/>
          <w:sz w:val="21"/>
        </w:rPr>
        <w:t>将</w:t>
      </w:r>
      <w:r>
        <w:rPr>
          <w:rFonts w:ascii="微软雅黑" w:eastAsia="微软雅黑"/>
          <w:b/>
          <w:sz w:val="21"/>
        </w:rPr>
        <w:t>按</w:t>
      </w:r>
      <w:r>
        <w:rPr>
          <w:rFonts w:ascii="微软雅黑" w:eastAsia="微软雅黑"/>
          <w:b/>
          <w:sz w:val="21"/>
        </w:rPr>
        <w:t>照</w:t>
      </w:r>
      <w:r>
        <w:rPr>
          <w:rFonts w:ascii="微软雅黑" w:eastAsia="微软雅黑"/>
          <w:b/>
          <w:sz w:val="21"/>
        </w:rPr>
        <w:t>本合同已交纳</w:t>
      </w:r>
      <w:r>
        <w:rPr>
          <w:rFonts w:ascii="微软雅黑" w:eastAsia="微软雅黑"/>
          <w:b/>
          <w:sz w:val="21"/>
        </w:rPr>
        <w:t>的</w:t>
      </w:r>
      <w:r>
        <w:rPr>
          <w:rFonts w:ascii="微软雅黑" w:eastAsia="微软雅黑"/>
          <w:b/>
          <w:sz w:val="21"/>
        </w:rPr>
        <w:t>保</w:t>
      </w:r>
      <w:r>
        <w:rPr>
          <w:rFonts w:ascii="微软雅黑" w:eastAsia="微软雅黑"/>
          <w:b/>
          <w:sz w:val="21"/>
        </w:rPr>
        <w:t>险</w:t>
      </w:r>
      <w:r>
        <w:rPr>
          <w:rFonts w:ascii="微软雅黑" w:eastAsia="微软雅黑"/>
          <w:b/>
          <w:spacing w:val="-10"/>
          <w:sz w:val="21"/>
        </w:rPr>
        <w:t>费</w:t>
      </w:r>
    </w:p>
    <w:p>
      <w:pPr>
        <w:spacing w:line="168" w:lineRule="auto" w:before="27"/>
        <w:ind w:left="3153" w:right="732" w:firstLine="0"/>
        <w:jc w:val="left"/>
        <w:rPr>
          <w:rFonts w:ascii="微软雅黑" w:eastAsia="微软雅黑"/>
          <w:b/>
          <w:sz w:val="21"/>
        </w:rPr>
      </w:pPr>
      <w:r>
        <w:rPr>
          <w:rFonts w:ascii="微软雅黑" w:eastAsia="微软雅黑"/>
          <w:b/>
          <w:spacing w:val="-2"/>
          <w:sz w:val="21"/>
        </w:rPr>
        <w:t>（不包括其附加合同的保险费）向身故保险金受益人给付身故保险</w:t>
      </w:r>
      <w:r>
        <w:rPr>
          <w:rFonts w:ascii="微软雅黑" w:eastAsia="微软雅黑"/>
          <w:b/>
          <w:spacing w:val="-2"/>
          <w:sz w:val="21"/>
        </w:rPr>
        <w:t>金，同时本合同效力终止。</w:t>
      </w:r>
    </w:p>
    <w:p>
      <w:pPr>
        <w:pStyle w:val="BodyText"/>
        <w:spacing w:before="5"/>
        <w:ind w:left="0"/>
        <w:rPr>
          <w:rFonts w:ascii="微软雅黑"/>
          <w:b/>
          <w:sz w:val="12"/>
        </w:rPr>
      </w:pPr>
    </w:p>
    <w:p>
      <w:pPr>
        <w:pStyle w:val="BodyText"/>
        <w:spacing w:line="244" w:lineRule="auto"/>
        <w:ind w:right="628"/>
      </w:pPr>
      <w:r>
        <w:rPr>
          <w:spacing w:val="-2"/>
        </w:rPr>
        <w:t>若被保险人在等待期后身故，且身故时未满</w:t>
      </w:r>
      <w:r>
        <w:rPr>
          <w:rFonts w:ascii="Times New Roman" w:eastAsia="Times New Roman"/>
          <w:spacing w:val="-2"/>
        </w:rPr>
        <w:t>18</w:t>
      </w:r>
      <w:r>
        <w:rPr>
          <w:spacing w:val="-2"/>
        </w:rPr>
        <w:t>周岁，我们将向身故</w:t>
      </w:r>
      <w:r>
        <w:rPr>
          <w:spacing w:val="-7"/>
        </w:rPr>
        <w:t>保险金受益人给付下列两项金额中的较大者，同时本合同效力终止：</w:t>
      </w:r>
    </w:p>
    <w:p>
      <w:pPr>
        <w:pStyle w:val="ListParagraph"/>
        <w:numPr>
          <w:ilvl w:val="3"/>
          <w:numId w:val="16"/>
        </w:numPr>
        <w:tabs>
          <w:tab w:pos="3691" w:val="left" w:leader="none"/>
        </w:tabs>
        <w:spacing w:line="266" w:lineRule="exact" w:before="0" w:after="0"/>
        <w:ind w:left="3690" w:right="0" w:hanging="538"/>
        <w:jc w:val="left"/>
        <w:rPr>
          <w:sz w:val="19"/>
        </w:rPr>
      </w:pPr>
      <w:r>
        <w:rPr>
          <w:spacing w:val="-1"/>
          <w:sz w:val="21"/>
        </w:rPr>
        <w:t>被保险人身故时本合同基本保险金额对应的累计已付保险费</w:t>
      </w:r>
    </w:p>
    <w:p>
      <w:pPr>
        <w:pStyle w:val="BodyText"/>
        <w:spacing w:before="5"/>
        <w:ind w:left="3678"/>
      </w:pPr>
      <w:r>
        <w:rPr>
          <w:spacing w:val="-2"/>
        </w:rPr>
        <w:t>（不包括其附加合同的保险费</w:t>
      </w:r>
      <w:r>
        <w:rPr>
          <w:spacing w:val="-113"/>
        </w:rPr>
        <w:t>）</w:t>
      </w:r>
      <w:r>
        <w:rPr>
          <w:spacing w:val="-5"/>
        </w:rPr>
        <w:t>；</w:t>
      </w:r>
    </w:p>
    <w:p>
      <w:pPr>
        <w:pStyle w:val="ListParagraph"/>
        <w:numPr>
          <w:ilvl w:val="3"/>
          <w:numId w:val="16"/>
        </w:numPr>
        <w:tabs>
          <w:tab w:pos="3682" w:val="left" w:leader="none"/>
        </w:tabs>
        <w:spacing w:line="244" w:lineRule="auto" w:before="2" w:after="0"/>
        <w:ind w:left="3678" w:right="842" w:hanging="526"/>
        <w:jc w:val="left"/>
        <w:rPr>
          <w:sz w:val="19"/>
        </w:rPr>
      </w:pPr>
      <w:r>
        <w:rPr>
          <w:spacing w:val="-2"/>
          <w:sz w:val="21"/>
        </w:rPr>
        <w:t>本合同在被保险人身故时的现金价值（不包括其附加合同的</w:t>
      </w:r>
      <w:r>
        <w:rPr>
          <w:spacing w:val="-2"/>
          <w:sz w:val="21"/>
        </w:rPr>
        <w:t>现金价值</w:t>
      </w:r>
      <w:r>
        <w:rPr>
          <w:spacing w:val="-108"/>
          <w:sz w:val="21"/>
        </w:rPr>
        <w:t>）</w:t>
      </w:r>
      <w:r>
        <w:rPr>
          <w:spacing w:val="-2"/>
          <w:sz w:val="21"/>
        </w:rPr>
        <w:t>。</w:t>
      </w:r>
    </w:p>
    <w:p>
      <w:pPr>
        <w:pStyle w:val="BodyText"/>
        <w:spacing w:before="8"/>
        <w:ind w:left="0"/>
        <w:rPr>
          <w:sz w:val="18"/>
        </w:rPr>
      </w:pPr>
    </w:p>
    <w:p>
      <w:pPr>
        <w:pStyle w:val="BodyText"/>
        <w:spacing w:line="242" w:lineRule="auto"/>
        <w:ind w:right="626"/>
      </w:pPr>
      <w:r>
        <w:rPr>
          <w:spacing w:val="-2"/>
        </w:rPr>
        <w:t>若被保险人在等待期后身故，且身故时已满</w:t>
      </w:r>
      <w:r>
        <w:rPr>
          <w:rFonts w:ascii="Times New Roman" w:eastAsia="Times New Roman"/>
          <w:spacing w:val="-2"/>
        </w:rPr>
        <w:t>18</w:t>
      </w:r>
      <w:r>
        <w:rPr>
          <w:spacing w:val="-2"/>
        </w:rPr>
        <w:t>周岁，我们将向身故</w:t>
      </w:r>
      <w:r>
        <w:rPr>
          <w:spacing w:val="-7"/>
        </w:rPr>
        <w:t>保险金受益人给付下列三项金额中的较大者，同时本合同效力终止：</w:t>
      </w:r>
    </w:p>
    <w:p>
      <w:pPr>
        <w:pStyle w:val="ListParagraph"/>
        <w:numPr>
          <w:ilvl w:val="0"/>
          <w:numId w:val="17"/>
        </w:numPr>
        <w:tabs>
          <w:tab w:pos="3691" w:val="left" w:leader="none"/>
        </w:tabs>
        <w:spacing w:line="240" w:lineRule="auto" w:before="1" w:after="0"/>
        <w:ind w:left="3690" w:right="0" w:hanging="538"/>
        <w:jc w:val="left"/>
        <w:rPr>
          <w:sz w:val="21"/>
        </w:rPr>
      </w:pPr>
      <w:r>
        <w:rPr>
          <w:spacing w:val="-1"/>
          <w:sz w:val="21"/>
        </w:rPr>
        <w:t>被保险人身故时本合同基本保险金额对应的累计已付保险费</w:t>
      </w:r>
    </w:p>
    <w:p>
      <w:pPr>
        <w:pStyle w:val="BodyText"/>
        <w:spacing w:before="2"/>
        <w:ind w:left="3678"/>
      </w:pPr>
      <w:r>
        <w:rPr>
          <w:spacing w:val="-2"/>
        </w:rPr>
        <w:t>（不包括其附加合同的保险费</w:t>
      </w:r>
      <w:r>
        <w:rPr>
          <w:spacing w:val="-113"/>
        </w:rPr>
        <w:t>）</w:t>
      </w:r>
      <w:r>
        <w:rPr>
          <w:spacing w:val="-5"/>
        </w:rPr>
        <w:t>；</w:t>
      </w:r>
    </w:p>
    <w:p>
      <w:pPr>
        <w:pStyle w:val="ListParagraph"/>
        <w:numPr>
          <w:ilvl w:val="0"/>
          <w:numId w:val="17"/>
        </w:numPr>
        <w:tabs>
          <w:tab w:pos="3682" w:val="left" w:leader="none"/>
        </w:tabs>
        <w:spacing w:line="240" w:lineRule="auto" w:before="5" w:after="0"/>
        <w:ind w:left="3682" w:right="0" w:hanging="529"/>
        <w:jc w:val="left"/>
        <w:rPr>
          <w:sz w:val="21"/>
        </w:rPr>
      </w:pPr>
      <w:r>
        <w:rPr>
          <w:spacing w:val="-2"/>
          <w:sz w:val="21"/>
        </w:rPr>
        <w:t>本合同在被保险人身故时的现金价值（</w:t>
      </w:r>
      <w:r>
        <w:rPr>
          <w:spacing w:val="-3"/>
          <w:sz w:val="21"/>
        </w:rPr>
        <w:t>不包括其附加合同的</w:t>
      </w:r>
    </w:p>
    <w:p>
      <w:pPr>
        <w:spacing w:after="0" w:line="240" w:lineRule="auto"/>
        <w:jc w:val="left"/>
        <w:rPr>
          <w:sz w:val="21"/>
        </w:rPr>
        <w:sectPr>
          <w:type w:val="continuous"/>
          <w:pgSz w:w="11910" w:h="16840"/>
          <w:pgMar w:header="0" w:footer="878" w:top="160" w:bottom="280" w:left="1480" w:right="440"/>
        </w:sectPr>
      </w:pPr>
    </w:p>
    <w:p>
      <w:pPr>
        <w:pStyle w:val="BodyText"/>
        <w:spacing w:before="55"/>
        <w:ind w:left="3678"/>
      </w:pPr>
      <w:r>
        <w:rPr>
          <w:spacing w:val="-2"/>
        </w:rPr>
        <w:t>现金价值</w:t>
      </w:r>
      <w:r>
        <w:rPr>
          <w:spacing w:val="-113"/>
        </w:rPr>
        <w:t>）</w:t>
      </w:r>
      <w:r>
        <w:rPr>
          <w:spacing w:val="-5"/>
        </w:rPr>
        <w:t>；</w:t>
      </w:r>
    </w:p>
    <w:p>
      <w:pPr>
        <w:pStyle w:val="ListParagraph"/>
        <w:numPr>
          <w:ilvl w:val="0"/>
          <w:numId w:val="17"/>
        </w:numPr>
        <w:tabs>
          <w:tab w:pos="3682" w:val="left" w:leader="none"/>
        </w:tabs>
        <w:spacing w:line="240" w:lineRule="auto" w:before="5" w:after="0"/>
        <w:ind w:left="3682" w:right="0" w:hanging="529"/>
        <w:jc w:val="left"/>
        <w:rPr>
          <w:sz w:val="21"/>
        </w:rPr>
      </w:pPr>
      <w:r>
        <w:rPr>
          <w:spacing w:val="-3"/>
          <w:sz w:val="21"/>
        </w:rPr>
        <w:t>被保险人身故时本合同的基本保险金额。</w:t>
      </w:r>
    </w:p>
    <w:p>
      <w:pPr>
        <w:pStyle w:val="ListParagraph"/>
        <w:numPr>
          <w:ilvl w:val="2"/>
          <w:numId w:val="16"/>
        </w:numPr>
        <w:tabs>
          <w:tab w:pos="1071" w:val="left" w:leader="none"/>
          <w:tab w:pos="1072" w:val="left" w:leader="none"/>
          <w:tab w:pos="3152" w:val="left" w:leader="none"/>
        </w:tabs>
        <w:spacing w:line="330" w:lineRule="exact" w:before="178" w:after="0"/>
        <w:ind w:left="1071" w:right="0" w:hanging="850"/>
        <w:jc w:val="left"/>
        <w:rPr>
          <w:rFonts w:ascii="微软雅黑" w:eastAsia="微软雅黑"/>
          <w:b/>
          <w:sz w:val="21"/>
        </w:rPr>
      </w:pPr>
      <w:r>
        <w:rPr>
          <w:rFonts w:ascii="微软雅黑" w:eastAsia="微软雅黑"/>
          <w:b/>
          <w:sz w:val="21"/>
        </w:rPr>
        <w:t>全残保险</w:t>
      </w:r>
      <w:r>
        <w:rPr>
          <w:rFonts w:ascii="微软雅黑" w:eastAsia="微软雅黑"/>
          <w:b/>
          <w:spacing w:val="-10"/>
          <w:sz w:val="21"/>
        </w:rPr>
        <w:t>金</w:t>
      </w:r>
      <w:r>
        <w:rPr>
          <w:rFonts w:ascii="微软雅黑" w:eastAsia="微软雅黑"/>
          <w:b/>
          <w:sz w:val="21"/>
        </w:rPr>
        <w:tab/>
      </w:r>
      <w:r>
        <w:rPr>
          <w:rFonts w:ascii="微软雅黑" w:eastAsia="微软雅黑"/>
          <w:b/>
          <w:spacing w:val="-2"/>
          <w:sz w:val="21"/>
        </w:rPr>
        <w:t>若被保险人在等</w:t>
      </w:r>
      <w:r>
        <w:rPr>
          <w:rFonts w:ascii="微软雅黑" w:eastAsia="微软雅黑"/>
          <w:b/>
          <w:spacing w:val="-2"/>
          <w:sz w:val="21"/>
        </w:rPr>
        <w:t>待</w:t>
      </w:r>
      <w:r>
        <w:rPr>
          <w:rFonts w:ascii="微软雅黑" w:eastAsia="微软雅黑"/>
          <w:b/>
          <w:spacing w:val="-2"/>
          <w:sz w:val="21"/>
        </w:rPr>
        <w:t>期</w:t>
      </w:r>
      <w:r>
        <w:rPr>
          <w:rFonts w:ascii="微软雅黑" w:eastAsia="微软雅黑"/>
          <w:b/>
          <w:spacing w:val="-2"/>
          <w:sz w:val="21"/>
        </w:rPr>
        <w:t>内全残</w:t>
      </w:r>
      <w:r>
        <w:rPr>
          <w:spacing w:val="-2"/>
          <w:sz w:val="21"/>
        </w:rPr>
        <w:t>（</w:t>
      </w:r>
      <w:r>
        <w:rPr>
          <w:spacing w:val="-2"/>
          <w:sz w:val="21"/>
        </w:rPr>
        <w:t>见</w:t>
      </w:r>
      <w:r>
        <w:rPr>
          <w:spacing w:val="-15"/>
          <w:sz w:val="21"/>
        </w:rPr>
        <w:t> </w:t>
      </w:r>
      <w:r>
        <w:rPr>
          <w:rFonts w:ascii="Times New Roman" w:eastAsia="Times New Roman"/>
          <w:spacing w:val="15"/>
          <w:sz w:val="21"/>
        </w:rPr>
        <w:t>14</w:t>
      </w:r>
      <w:r>
        <w:rPr>
          <w:rFonts w:ascii="Times New Roman" w:eastAsia="Times New Roman"/>
          <w:spacing w:val="12"/>
          <w:sz w:val="21"/>
        </w:rPr>
        <w:t>.</w:t>
      </w:r>
      <w:r>
        <w:rPr>
          <w:rFonts w:ascii="Times New Roman" w:eastAsia="Times New Roman"/>
          <w:spacing w:val="15"/>
          <w:sz w:val="21"/>
        </w:rPr>
        <w:t>9</w:t>
      </w:r>
      <w:r>
        <w:rPr>
          <w:spacing w:val="-91"/>
          <w:sz w:val="21"/>
        </w:rPr>
        <w:t>）</w:t>
      </w:r>
      <w:r>
        <w:rPr>
          <w:rFonts w:ascii="微软雅黑" w:eastAsia="微软雅黑"/>
          <w:b/>
          <w:spacing w:val="17"/>
          <w:sz w:val="21"/>
        </w:rPr>
        <w:t>，</w:t>
      </w:r>
      <w:r>
        <w:rPr>
          <w:rFonts w:ascii="微软雅黑" w:eastAsia="微软雅黑"/>
          <w:b/>
          <w:spacing w:val="-2"/>
          <w:sz w:val="21"/>
        </w:rPr>
        <w:t>我们将按照本合</w:t>
      </w:r>
      <w:r>
        <w:rPr>
          <w:rFonts w:ascii="微软雅黑" w:eastAsia="微软雅黑"/>
          <w:b/>
          <w:spacing w:val="-2"/>
          <w:sz w:val="21"/>
        </w:rPr>
        <w:t>同</w:t>
      </w:r>
      <w:r>
        <w:rPr>
          <w:rFonts w:ascii="微软雅黑" w:eastAsia="微软雅黑"/>
          <w:b/>
          <w:spacing w:val="-2"/>
          <w:sz w:val="21"/>
        </w:rPr>
        <w:t>已</w:t>
      </w:r>
      <w:r>
        <w:rPr>
          <w:rFonts w:ascii="微软雅黑" w:eastAsia="微软雅黑"/>
          <w:b/>
          <w:spacing w:val="-2"/>
          <w:sz w:val="21"/>
        </w:rPr>
        <w:t>交</w:t>
      </w:r>
      <w:r>
        <w:rPr>
          <w:rFonts w:ascii="微软雅黑" w:eastAsia="微软雅黑"/>
          <w:b/>
          <w:spacing w:val="-10"/>
          <w:sz w:val="21"/>
        </w:rPr>
        <w:t>纳</w:t>
      </w:r>
    </w:p>
    <w:p>
      <w:pPr>
        <w:spacing w:line="168" w:lineRule="auto" w:before="26"/>
        <w:ind w:left="3153" w:right="732" w:firstLine="0"/>
        <w:jc w:val="left"/>
        <w:rPr>
          <w:rFonts w:ascii="微软雅黑" w:eastAsia="微软雅黑"/>
          <w:b/>
          <w:sz w:val="21"/>
        </w:rPr>
      </w:pPr>
      <w:r>
        <w:rPr>
          <w:rFonts w:ascii="微软雅黑" w:eastAsia="微软雅黑"/>
          <w:b/>
          <w:spacing w:val="-2"/>
          <w:sz w:val="21"/>
        </w:rPr>
        <w:t>的保险费（不包括其附加合同的保险费）给付全残保险金，同时本</w:t>
      </w:r>
      <w:r>
        <w:rPr>
          <w:rFonts w:ascii="微软雅黑" w:eastAsia="微软雅黑"/>
          <w:b/>
          <w:spacing w:val="-2"/>
          <w:sz w:val="21"/>
        </w:rPr>
        <w:t>合同效力终止。</w:t>
      </w:r>
    </w:p>
    <w:p>
      <w:pPr>
        <w:pStyle w:val="BodyText"/>
        <w:spacing w:before="6"/>
        <w:ind w:left="0"/>
        <w:rPr>
          <w:rFonts w:ascii="微软雅黑"/>
          <w:b/>
          <w:sz w:val="12"/>
        </w:rPr>
      </w:pPr>
    </w:p>
    <w:p>
      <w:pPr>
        <w:pStyle w:val="BodyText"/>
        <w:spacing w:line="244" w:lineRule="auto"/>
        <w:ind w:right="628"/>
      </w:pPr>
      <w:r>
        <w:rPr>
          <w:spacing w:val="-2"/>
        </w:rPr>
        <w:t>若被保险人在等待期后全残，且全残时未满</w:t>
      </w:r>
      <w:r>
        <w:rPr>
          <w:rFonts w:ascii="Times New Roman" w:eastAsia="Times New Roman"/>
          <w:spacing w:val="-2"/>
        </w:rPr>
        <w:t>18</w:t>
      </w:r>
      <w:r>
        <w:rPr>
          <w:spacing w:val="-2"/>
        </w:rPr>
        <w:t>周岁，我们将向全残</w:t>
      </w:r>
      <w:r>
        <w:rPr>
          <w:spacing w:val="-7"/>
        </w:rPr>
        <w:t>保险金受益人给付下列两项金额中的较大者，同时本合同效力终止：</w:t>
      </w:r>
    </w:p>
    <w:p>
      <w:pPr>
        <w:pStyle w:val="ListParagraph"/>
        <w:numPr>
          <w:ilvl w:val="0"/>
          <w:numId w:val="18"/>
        </w:numPr>
        <w:tabs>
          <w:tab w:pos="3691" w:val="left" w:leader="none"/>
        </w:tabs>
        <w:spacing w:line="265" w:lineRule="exact" w:before="0" w:after="0"/>
        <w:ind w:left="3690" w:right="0" w:hanging="538"/>
        <w:jc w:val="left"/>
        <w:rPr>
          <w:sz w:val="21"/>
        </w:rPr>
      </w:pPr>
      <w:r>
        <w:rPr>
          <w:spacing w:val="-1"/>
          <w:sz w:val="21"/>
        </w:rPr>
        <w:t>被保险人全残时本合同基本保险金额对应的累计已付保险费</w:t>
      </w:r>
    </w:p>
    <w:p>
      <w:pPr>
        <w:pStyle w:val="BodyText"/>
        <w:spacing w:before="4"/>
        <w:ind w:left="3678"/>
      </w:pPr>
      <w:r>
        <w:rPr>
          <w:spacing w:val="-2"/>
        </w:rPr>
        <w:t>（不包括其附加合同的保险费</w:t>
      </w:r>
      <w:r>
        <w:rPr>
          <w:spacing w:val="-113"/>
        </w:rPr>
        <w:t>）</w:t>
      </w:r>
      <w:r>
        <w:rPr>
          <w:spacing w:val="-5"/>
        </w:rPr>
        <w:t>；</w:t>
      </w:r>
    </w:p>
    <w:p>
      <w:pPr>
        <w:pStyle w:val="ListParagraph"/>
        <w:numPr>
          <w:ilvl w:val="0"/>
          <w:numId w:val="18"/>
        </w:numPr>
        <w:tabs>
          <w:tab w:pos="3682" w:val="left" w:leader="none"/>
        </w:tabs>
        <w:spacing w:line="242" w:lineRule="auto" w:before="2" w:after="0"/>
        <w:ind w:left="3678" w:right="842" w:hanging="526"/>
        <w:jc w:val="left"/>
        <w:rPr>
          <w:sz w:val="21"/>
        </w:rPr>
      </w:pPr>
      <w:r>
        <w:rPr>
          <w:spacing w:val="-2"/>
          <w:sz w:val="21"/>
        </w:rPr>
        <w:t>本合同在被保险人全残时的现金价值（不包括其附加合同的</w:t>
      </w:r>
      <w:r>
        <w:rPr>
          <w:spacing w:val="-2"/>
          <w:sz w:val="21"/>
        </w:rPr>
        <w:t>现金价值</w:t>
      </w:r>
      <w:r>
        <w:rPr>
          <w:spacing w:val="-108"/>
          <w:sz w:val="21"/>
        </w:rPr>
        <w:t>）</w:t>
      </w:r>
      <w:r>
        <w:rPr>
          <w:spacing w:val="-2"/>
          <w:sz w:val="21"/>
        </w:rPr>
        <w:t>。</w:t>
      </w:r>
    </w:p>
    <w:p>
      <w:pPr>
        <w:pStyle w:val="BodyText"/>
        <w:ind w:left="0"/>
        <w:rPr>
          <w:sz w:val="19"/>
        </w:rPr>
      </w:pPr>
    </w:p>
    <w:p>
      <w:pPr>
        <w:pStyle w:val="BodyText"/>
        <w:spacing w:line="242" w:lineRule="auto" w:before="1"/>
        <w:ind w:right="626"/>
      </w:pPr>
      <w:r>
        <w:rPr>
          <w:spacing w:val="-2"/>
        </w:rPr>
        <w:t>若被保险人在等待期后全残，且全残时已满</w:t>
      </w:r>
      <w:r>
        <w:rPr>
          <w:rFonts w:ascii="Times New Roman" w:eastAsia="Times New Roman"/>
          <w:spacing w:val="-2"/>
        </w:rPr>
        <w:t>18</w:t>
      </w:r>
      <w:r>
        <w:rPr>
          <w:spacing w:val="-2"/>
        </w:rPr>
        <w:t>周岁，我们将向全残</w:t>
      </w:r>
      <w:r>
        <w:rPr>
          <w:spacing w:val="-7"/>
        </w:rPr>
        <w:t>保险金受益人给付下列三项金额中的较大者，同时本合同效力终止：</w:t>
      </w:r>
    </w:p>
    <w:p>
      <w:pPr>
        <w:pStyle w:val="ListParagraph"/>
        <w:numPr>
          <w:ilvl w:val="0"/>
          <w:numId w:val="19"/>
        </w:numPr>
        <w:tabs>
          <w:tab w:pos="3691" w:val="left" w:leader="none"/>
        </w:tabs>
        <w:spacing w:line="240" w:lineRule="auto" w:before="2" w:after="0"/>
        <w:ind w:left="3690" w:right="0" w:hanging="538"/>
        <w:jc w:val="left"/>
        <w:rPr>
          <w:sz w:val="21"/>
        </w:rPr>
      </w:pPr>
      <w:r>
        <w:rPr>
          <w:spacing w:val="-1"/>
          <w:sz w:val="21"/>
        </w:rPr>
        <w:t>被保险人全残时本合同基本保险金额对应的累计已付保险费</w:t>
      </w:r>
    </w:p>
    <w:p>
      <w:pPr>
        <w:pStyle w:val="BodyText"/>
        <w:spacing w:before="2"/>
        <w:ind w:left="3688"/>
      </w:pPr>
      <w:r>
        <w:rPr>
          <w:spacing w:val="-2"/>
        </w:rPr>
        <w:t>（不包括其附加合同的保险费</w:t>
      </w:r>
      <w:r>
        <w:rPr>
          <w:spacing w:val="-113"/>
        </w:rPr>
        <w:t>）</w:t>
      </w:r>
      <w:r>
        <w:rPr>
          <w:spacing w:val="-5"/>
        </w:rPr>
        <w:t>；</w:t>
      </w:r>
    </w:p>
    <w:p>
      <w:pPr>
        <w:pStyle w:val="ListParagraph"/>
        <w:numPr>
          <w:ilvl w:val="0"/>
          <w:numId w:val="19"/>
        </w:numPr>
        <w:tabs>
          <w:tab w:pos="3682" w:val="left" w:leader="none"/>
        </w:tabs>
        <w:spacing w:line="244" w:lineRule="auto" w:before="2" w:after="0"/>
        <w:ind w:left="3678" w:right="842" w:hanging="526"/>
        <w:jc w:val="left"/>
        <w:rPr>
          <w:sz w:val="21"/>
        </w:rPr>
      </w:pPr>
      <w:r>
        <w:rPr>
          <w:spacing w:val="-2"/>
          <w:sz w:val="21"/>
        </w:rPr>
        <w:t>本合同在被保险人全残时的现金价值（不包括其附加合同的</w:t>
      </w:r>
      <w:r>
        <w:rPr>
          <w:spacing w:val="-4"/>
          <w:sz w:val="21"/>
        </w:rPr>
        <w:t>现金价值</w:t>
      </w:r>
      <w:r>
        <w:rPr>
          <w:spacing w:val="-108"/>
          <w:sz w:val="21"/>
        </w:rPr>
        <w:t>）</w:t>
      </w:r>
      <w:r>
        <w:rPr>
          <w:sz w:val="21"/>
        </w:rPr>
        <w:t>；</w:t>
      </w:r>
    </w:p>
    <w:p>
      <w:pPr>
        <w:pStyle w:val="ListParagraph"/>
        <w:numPr>
          <w:ilvl w:val="0"/>
          <w:numId w:val="19"/>
        </w:numPr>
        <w:tabs>
          <w:tab w:pos="3682" w:val="left" w:leader="none"/>
        </w:tabs>
        <w:spacing w:line="265" w:lineRule="exact" w:before="0" w:after="0"/>
        <w:ind w:left="3682" w:right="0" w:hanging="529"/>
        <w:jc w:val="left"/>
        <w:rPr>
          <w:sz w:val="21"/>
        </w:rPr>
      </w:pPr>
      <w:r>
        <w:rPr>
          <w:spacing w:val="-3"/>
          <w:sz w:val="21"/>
        </w:rPr>
        <w:t>被保险人全残时本合同的基本保险金额。</w:t>
      </w:r>
    </w:p>
    <w:p>
      <w:pPr>
        <w:pStyle w:val="ListParagraph"/>
        <w:numPr>
          <w:ilvl w:val="2"/>
          <w:numId w:val="16"/>
        </w:numPr>
        <w:tabs>
          <w:tab w:pos="1071" w:val="left" w:leader="none"/>
          <w:tab w:pos="1072" w:val="left" w:leader="none"/>
          <w:tab w:pos="3152" w:val="left" w:leader="none"/>
        </w:tabs>
        <w:spacing w:line="329" w:lineRule="exact" w:before="180" w:after="0"/>
        <w:ind w:left="1071" w:right="0" w:hanging="850"/>
        <w:jc w:val="left"/>
        <w:rPr>
          <w:rFonts w:ascii="微软雅黑" w:hAnsi="微软雅黑" w:eastAsia="微软雅黑"/>
          <w:b/>
          <w:sz w:val="21"/>
        </w:rPr>
      </w:pPr>
      <w:r>
        <w:rPr>
          <w:rFonts w:ascii="微软雅黑" w:hAnsi="微软雅黑" w:eastAsia="微软雅黑"/>
          <w:b/>
          <w:sz w:val="21"/>
        </w:rPr>
        <w:t>保险金给付限</w:t>
      </w:r>
      <w:r>
        <w:rPr>
          <w:rFonts w:ascii="微软雅黑" w:hAnsi="微软雅黑" w:eastAsia="微软雅黑"/>
          <w:b/>
          <w:spacing w:val="-10"/>
          <w:sz w:val="21"/>
        </w:rPr>
        <w:t>额</w:t>
      </w:r>
      <w:r>
        <w:rPr>
          <w:rFonts w:ascii="微软雅黑" w:hAnsi="微软雅黑" w:eastAsia="微软雅黑"/>
          <w:b/>
          <w:sz w:val="21"/>
        </w:rPr>
        <w:tab/>
      </w:r>
      <w:r>
        <w:rPr>
          <w:rFonts w:ascii="微软雅黑" w:hAnsi="微软雅黑" w:eastAsia="微软雅黑"/>
          <w:b/>
          <w:spacing w:val="-2"/>
          <w:sz w:val="21"/>
        </w:rPr>
        <w:t>本</w:t>
      </w:r>
      <w:r>
        <w:rPr>
          <w:rFonts w:ascii="微软雅黑" w:hAnsi="微软雅黑" w:eastAsia="微软雅黑"/>
          <w:b/>
          <w:spacing w:val="-2"/>
          <w:sz w:val="21"/>
        </w:rPr>
        <w:t>合</w:t>
      </w:r>
      <w:r>
        <w:rPr>
          <w:rFonts w:ascii="微软雅黑" w:hAnsi="微软雅黑" w:eastAsia="微软雅黑"/>
          <w:b/>
          <w:spacing w:val="-2"/>
          <w:sz w:val="21"/>
        </w:rPr>
        <w:t>同</w:t>
      </w:r>
      <w:r>
        <w:rPr>
          <w:rFonts w:ascii="微软雅黑" w:hAnsi="微软雅黑" w:eastAsia="微软雅黑"/>
          <w:b/>
          <w:spacing w:val="-2"/>
          <w:sz w:val="21"/>
        </w:rPr>
        <w:t>中</w:t>
      </w:r>
      <w:r>
        <w:rPr>
          <w:rFonts w:ascii="微软雅黑" w:hAnsi="微软雅黑" w:eastAsia="微软雅黑"/>
          <w:b/>
          <w:spacing w:val="-2"/>
          <w:sz w:val="21"/>
        </w:rPr>
        <w:t>的“</w:t>
      </w:r>
      <w:r>
        <w:rPr>
          <w:rFonts w:ascii="微软雅黑" w:hAnsi="微软雅黑" w:eastAsia="微软雅黑"/>
          <w:b/>
          <w:spacing w:val="-2"/>
          <w:sz w:val="21"/>
        </w:rPr>
        <w:t>身</w:t>
      </w:r>
      <w:r>
        <w:rPr>
          <w:rFonts w:ascii="微软雅黑" w:hAnsi="微软雅黑" w:eastAsia="微软雅黑"/>
          <w:b/>
          <w:spacing w:val="-2"/>
          <w:sz w:val="21"/>
        </w:rPr>
        <w:t>故</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108"/>
          <w:sz w:val="21"/>
        </w:rPr>
        <w:t>”</w:t>
      </w:r>
      <w:r>
        <w:rPr>
          <w:rFonts w:ascii="微软雅黑" w:hAnsi="微软雅黑" w:eastAsia="微软雅黑"/>
          <w:b/>
          <w:spacing w:val="-118"/>
          <w:sz w:val="21"/>
        </w:rPr>
        <w:t>、</w:t>
      </w:r>
      <w:r>
        <w:rPr>
          <w:rFonts w:ascii="微软雅黑" w:hAnsi="微软雅黑" w:eastAsia="微软雅黑"/>
          <w:b/>
          <w:spacing w:val="-2"/>
          <w:sz w:val="21"/>
        </w:rPr>
        <w:t>“</w:t>
      </w:r>
      <w:r>
        <w:rPr>
          <w:rFonts w:ascii="微软雅黑" w:hAnsi="微软雅黑" w:eastAsia="微软雅黑"/>
          <w:b/>
          <w:spacing w:val="-2"/>
          <w:sz w:val="21"/>
        </w:rPr>
        <w:t>全</w:t>
      </w:r>
      <w:r>
        <w:rPr>
          <w:rFonts w:ascii="微软雅黑" w:hAnsi="微软雅黑" w:eastAsia="微软雅黑"/>
          <w:b/>
          <w:spacing w:val="-2"/>
          <w:sz w:val="21"/>
        </w:rPr>
        <w:t>残</w:t>
      </w:r>
      <w:r>
        <w:rPr>
          <w:rFonts w:ascii="微软雅黑" w:hAnsi="微软雅黑" w:eastAsia="微软雅黑"/>
          <w:b/>
          <w:spacing w:val="-2"/>
          <w:sz w:val="21"/>
        </w:rPr>
        <w:t>保</w:t>
      </w:r>
      <w:r>
        <w:rPr>
          <w:rFonts w:ascii="微软雅黑" w:hAnsi="微软雅黑" w:eastAsia="微软雅黑"/>
          <w:b/>
          <w:spacing w:val="-2"/>
          <w:sz w:val="21"/>
        </w:rPr>
        <w:t>险</w:t>
      </w:r>
      <w:r>
        <w:rPr>
          <w:rFonts w:ascii="微软雅黑" w:hAnsi="微软雅黑" w:eastAsia="微软雅黑"/>
          <w:b/>
          <w:spacing w:val="-2"/>
          <w:sz w:val="21"/>
        </w:rPr>
        <w:t>金</w:t>
      </w:r>
      <w:r>
        <w:rPr>
          <w:rFonts w:ascii="微软雅黑" w:hAnsi="微软雅黑" w:eastAsia="微软雅黑"/>
          <w:b/>
          <w:spacing w:val="-2"/>
          <w:sz w:val="21"/>
        </w:rPr>
        <w:t>”与“</w:t>
      </w:r>
      <w:r>
        <w:rPr>
          <w:rFonts w:ascii="微软雅黑" w:hAnsi="微软雅黑" w:eastAsia="微软雅黑"/>
          <w:b/>
          <w:spacing w:val="-2"/>
          <w:sz w:val="21"/>
        </w:rPr>
        <w:t>首</w:t>
      </w:r>
      <w:r>
        <w:rPr>
          <w:rFonts w:ascii="微软雅黑" w:hAnsi="微软雅黑" w:eastAsia="微软雅黑"/>
          <w:b/>
          <w:spacing w:val="-2"/>
          <w:sz w:val="21"/>
        </w:rPr>
        <w:t>次重</w:t>
      </w:r>
      <w:r>
        <w:rPr>
          <w:rFonts w:ascii="微软雅黑" w:hAnsi="微软雅黑" w:eastAsia="微软雅黑"/>
          <w:b/>
          <w:spacing w:val="-2"/>
          <w:sz w:val="21"/>
        </w:rPr>
        <w:t>度</w:t>
      </w:r>
      <w:r>
        <w:rPr>
          <w:rFonts w:ascii="微软雅黑" w:hAnsi="微软雅黑" w:eastAsia="微软雅黑"/>
          <w:b/>
          <w:spacing w:val="-2"/>
          <w:sz w:val="21"/>
        </w:rPr>
        <w:t>疾</w:t>
      </w:r>
      <w:r>
        <w:rPr>
          <w:rFonts w:ascii="微软雅黑" w:hAnsi="微软雅黑" w:eastAsia="微软雅黑"/>
          <w:b/>
          <w:spacing w:val="-2"/>
          <w:sz w:val="21"/>
        </w:rPr>
        <w:t>病</w:t>
      </w:r>
      <w:r>
        <w:rPr>
          <w:rFonts w:ascii="微软雅黑" w:hAnsi="微软雅黑" w:eastAsia="微软雅黑"/>
          <w:b/>
          <w:spacing w:val="-2"/>
          <w:sz w:val="21"/>
        </w:rPr>
        <w:t>保</w:t>
      </w:r>
      <w:r>
        <w:rPr>
          <w:rFonts w:ascii="微软雅黑" w:hAnsi="微软雅黑" w:eastAsia="微软雅黑"/>
          <w:b/>
          <w:spacing w:val="-10"/>
          <w:sz w:val="21"/>
        </w:rPr>
        <w:t>险</w:t>
      </w:r>
    </w:p>
    <w:p>
      <w:pPr>
        <w:spacing w:line="168" w:lineRule="auto" w:before="25"/>
        <w:ind w:left="3153" w:right="758" w:firstLine="0"/>
        <w:jc w:val="left"/>
        <w:rPr>
          <w:sz w:val="21"/>
        </w:rPr>
      </w:pPr>
      <w:r>
        <w:rPr>
          <w:rFonts w:ascii="微软雅黑" w:hAnsi="微软雅黑" w:eastAsia="微软雅黑"/>
          <w:b/>
          <w:spacing w:val="-2"/>
          <w:sz w:val="21"/>
        </w:rPr>
        <w:t>金”三者不可兼得，即若我们给付其中一项保险金，则另外两项保</w:t>
      </w:r>
      <w:r>
        <w:rPr>
          <w:rFonts w:ascii="微软雅黑" w:hAnsi="微软雅黑" w:eastAsia="微软雅黑"/>
          <w:b/>
          <w:spacing w:val="-2"/>
          <w:sz w:val="21"/>
        </w:rPr>
        <w:t>险金将不再给付</w:t>
      </w:r>
      <w:r>
        <w:rPr>
          <w:spacing w:val="-2"/>
          <w:sz w:val="21"/>
        </w:rPr>
        <w:t>。</w:t>
      </w:r>
    </w:p>
    <w:p>
      <w:pPr>
        <w:pStyle w:val="ListParagraph"/>
        <w:numPr>
          <w:ilvl w:val="2"/>
          <w:numId w:val="16"/>
        </w:numPr>
        <w:tabs>
          <w:tab w:pos="1071" w:val="left" w:leader="none"/>
          <w:tab w:pos="1072" w:val="left" w:leader="none"/>
          <w:tab w:pos="3152" w:val="left" w:leader="none"/>
        </w:tabs>
        <w:spacing w:line="363" w:lineRule="exact" w:before="162" w:after="0"/>
        <w:ind w:left="1071" w:right="0" w:hanging="850"/>
        <w:jc w:val="left"/>
        <w:rPr>
          <w:sz w:val="21"/>
        </w:rPr>
      </w:pPr>
      <w:r>
        <w:rPr>
          <w:rFonts w:ascii="微软雅黑" w:eastAsia="微软雅黑"/>
          <w:b/>
          <w:sz w:val="21"/>
        </w:rPr>
        <w:t>身故关怀</w:t>
      </w:r>
      <w:r>
        <w:rPr>
          <w:rFonts w:ascii="微软雅黑" w:eastAsia="微软雅黑"/>
          <w:b/>
          <w:spacing w:val="-10"/>
          <w:sz w:val="21"/>
        </w:rPr>
        <w:t>金</w:t>
      </w:r>
      <w:r>
        <w:rPr>
          <w:rFonts w:ascii="微软雅黑" w:eastAsia="微软雅黑"/>
          <w:b/>
          <w:sz w:val="21"/>
        </w:rPr>
        <w:tab/>
      </w:r>
      <w:r>
        <w:rPr>
          <w:sz w:val="21"/>
        </w:rPr>
        <w:t>若被保险人在等待期后达</w:t>
      </w:r>
      <w:r>
        <w:rPr>
          <w:sz w:val="21"/>
        </w:rPr>
        <w:t>到本合</w:t>
      </w:r>
      <w:r>
        <w:rPr>
          <w:sz w:val="21"/>
        </w:rPr>
        <w:t>同第</w:t>
      </w:r>
      <w:r>
        <w:rPr>
          <w:spacing w:val="-27"/>
          <w:sz w:val="21"/>
        </w:rPr>
        <w:t> </w:t>
      </w:r>
      <w:r>
        <w:rPr>
          <w:rFonts w:ascii="Times New Roman" w:eastAsia="Times New Roman"/>
          <w:sz w:val="21"/>
        </w:rPr>
        <w:t>2.4.3</w:t>
      </w:r>
      <w:r>
        <w:rPr>
          <w:rFonts w:ascii="Times New Roman" w:eastAsia="Times New Roman"/>
          <w:spacing w:val="21"/>
          <w:sz w:val="21"/>
        </w:rPr>
        <w:t> </w:t>
      </w:r>
      <w:r>
        <w:rPr>
          <w:sz w:val="21"/>
        </w:rPr>
        <w:t>条约定</w:t>
      </w:r>
      <w:r>
        <w:rPr>
          <w:sz w:val="21"/>
        </w:rPr>
        <w:t>的首次重度</w:t>
      </w:r>
      <w:r>
        <w:rPr>
          <w:sz w:val="21"/>
        </w:rPr>
        <w:t>疾</w:t>
      </w:r>
      <w:r>
        <w:rPr>
          <w:spacing w:val="-10"/>
          <w:sz w:val="21"/>
        </w:rPr>
        <w:t>病</w:t>
      </w:r>
    </w:p>
    <w:p>
      <w:pPr>
        <w:pStyle w:val="BodyText"/>
        <w:spacing w:line="245" w:lineRule="exact"/>
      </w:pPr>
      <w:r>
        <w:rPr>
          <w:spacing w:val="-5"/>
        </w:rPr>
        <w:t>保险金给付条件，且被保险人于首次重度疾病确诊之日后身故，若</w:t>
      </w:r>
    </w:p>
    <w:p>
      <w:pPr>
        <w:pStyle w:val="BodyText"/>
        <w:spacing w:line="242" w:lineRule="auto" w:before="4"/>
        <w:ind w:right="736"/>
        <w:jc w:val="both"/>
      </w:pPr>
      <w:r>
        <w:rPr>
          <w:spacing w:val="-2"/>
        </w:rPr>
        <w:t>被保险人身故时未满 </w:t>
      </w:r>
      <w:r>
        <w:rPr>
          <w:rFonts w:ascii="Times New Roman" w:eastAsia="Times New Roman"/>
        </w:rPr>
        <w:t>18</w:t>
      </w:r>
      <w:r>
        <w:rPr>
          <w:rFonts w:ascii="Times New Roman" w:eastAsia="Times New Roman"/>
          <w:spacing w:val="37"/>
        </w:rPr>
        <w:t> </w:t>
      </w:r>
      <w:r>
        <w:rPr/>
        <w:t>周岁，我们将按被保险人身故时本合同基</w:t>
      </w:r>
      <w:r>
        <w:rPr>
          <w:spacing w:val="-2"/>
        </w:rPr>
        <w:t>本保险金额对应的累计已付保险费（不包括其附加合同的保险费）</w:t>
      </w:r>
      <w:r>
        <w:rPr>
          <w:spacing w:val="-2"/>
        </w:rPr>
        <w:t>向身故保险金受益人给付身故关怀金，同时本合同效力终止。</w:t>
      </w:r>
    </w:p>
    <w:p>
      <w:pPr>
        <w:pStyle w:val="BodyText"/>
        <w:spacing w:before="9"/>
        <w:ind w:left="0"/>
        <w:rPr>
          <w:sz w:val="20"/>
        </w:rPr>
      </w:pPr>
    </w:p>
    <w:p>
      <w:pPr>
        <w:spacing w:line="216" w:lineRule="auto" w:before="0"/>
        <w:ind w:left="3153" w:right="758" w:firstLine="0"/>
        <w:jc w:val="both"/>
        <w:rPr>
          <w:rFonts w:ascii="微软雅黑" w:eastAsia="微软雅黑"/>
          <w:b/>
          <w:sz w:val="21"/>
        </w:rPr>
      </w:pPr>
      <w:r>
        <w:rPr>
          <w:spacing w:val="-3"/>
          <w:sz w:val="21"/>
        </w:rPr>
        <w:t>若被保险人身故时已满 </w:t>
      </w:r>
      <w:r>
        <w:rPr>
          <w:rFonts w:ascii="Times New Roman" w:eastAsia="Times New Roman"/>
          <w:sz w:val="21"/>
        </w:rPr>
        <w:t>18</w:t>
      </w:r>
      <w:r>
        <w:rPr>
          <w:rFonts w:ascii="Times New Roman" w:eastAsia="Times New Roman"/>
          <w:spacing w:val="26"/>
          <w:sz w:val="21"/>
        </w:rPr>
        <w:t> </w:t>
      </w:r>
      <w:r>
        <w:rPr>
          <w:sz w:val="21"/>
        </w:rPr>
        <w:t>周岁，我们将按被保险人身故时本合同</w:t>
      </w:r>
      <w:r>
        <w:rPr>
          <w:spacing w:val="-4"/>
          <w:sz w:val="21"/>
        </w:rPr>
        <w:t>基本保险金额的 </w:t>
      </w:r>
      <w:r>
        <w:rPr>
          <w:rFonts w:ascii="Times New Roman" w:eastAsia="Times New Roman"/>
          <w:spacing w:val="-4"/>
          <w:sz w:val="21"/>
        </w:rPr>
        <w:t>10%</w:t>
      </w:r>
      <w:r>
        <w:rPr>
          <w:spacing w:val="-4"/>
          <w:sz w:val="21"/>
        </w:rPr>
        <w:t>向身故保险金受益人给付身故关怀金，同时本</w:t>
      </w:r>
      <w:r>
        <w:rPr>
          <w:spacing w:val="-4"/>
          <w:sz w:val="21"/>
        </w:rPr>
        <w:t>合同效力终止。</w:t>
      </w:r>
      <w:r>
        <w:rPr>
          <w:rFonts w:ascii="微软雅黑" w:eastAsia="微软雅黑"/>
          <w:b/>
          <w:spacing w:val="-5"/>
          <w:sz w:val="21"/>
        </w:rPr>
        <w:t>我们给付第二次重度疾病保险金后，不再承担给付</w:t>
      </w:r>
    </w:p>
    <w:p>
      <w:pPr>
        <w:spacing w:line="282" w:lineRule="exact" w:before="0"/>
        <w:ind w:left="3153" w:right="0" w:firstLine="0"/>
        <w:jc w:val="left"/>
        <w:rPr>
          <w:rFonts w:ascii="微软雅黑" w:eastAsia="微软雅黑"/>
          <w:b/>
          <w:sz w:val="21"/>
        </w:rPr>
      </w:pPr>
      <w:r>
        <w:rPr>
          <w:rFonts w:ascii="微软雅黑" w:eastAsia="微软雅黑"/>
          <w:b/>
          <w:spacing w:val="-2"/>
          <w:sz w:val="21"/>
        </w:rPr>
        <w:t>身故关怀金的责任。</w:t>
      </w:r>
    </w:p>
    <w:p>
      <w:pPr>
        <w:spacing w:after="0" w:line="282" w:lineRule="exact"/>
        <w:jc w:val="left"/>
        <w:rPr>
          <w:rFonts w:ascii="微软雅黑" w:eastAsia="微软雅黑"/>
          <w:sz w:val="21"/>
        </w:rPr>
        <w:sectPr>
          <w:pgSz w:w="11910" w:h="16840"/>
          <w:pgMar w:header="0" w:footer="878" w:top="1060" w:bottom="1060" w:left="1480" w:right="440"/>
        </w:sectPr>
      </w:pPr>
    </w:p>
    <w:p>
      <w:pPr>
        <w:pStyle w:val="ListParagraph"/>
        <w:numPr>
          <w:ilvl w:val="2"/>
          <w:numId w:val="16"/>
        </w:numPr>
        <w:tabs>
          <w:tab w:pos="1071" w:val="left" w:leader="none"/>
          <w:tab w:pos="1072" w:val="left" w:leader="none"/>
        </w:tabs>
        <w:spacing w:line="330" w:lineRule="exact" w:before="126" w:after="0"/>
        <w:ind w:left="1071" w:right="0" w:hanging="850"/>
        <w:jc w:val="left"/>
        <w:rPr>
          <w:rFonts w:ascii="微软雅黑" w:eastAsia="微软雅黑"/>
          <w:b/>
          <w:sz w:val="21"/>
        </w:rPr>
      </w:pPr>
      <w:r>
        <w:rPr>
          <w:rFonts w:ascii="微软雅黑" w:eastAsia="微软雅黑"/>
          <w:b/>
          <w:spacing w:val="18"/>
          <w:sz w:val="21"/>
        </w:rPr>
        <w:t>轻度疾病豁免保险</w:t>
      </w:r>
    </w:p>
    <w:p>
      <w:pPr>
        <w:spacing w:line="330" w:lineRule="exact" w:before="0"/>
        <w:ind w:left="1071" w:right="0" w:firstLine="0"/>
        <w:jc w:val="left"/>
        <w:rPr>
          <w:rFonts w:ascii="微软雅黑" w:eastAsia="微软雅黑"/>
          <w:b/>
          <w:sz w:val="21"/>
        </w:rPr>
      </w:pPr>
      <w:r>
        <w:rPr>
          <w:rFonts w:ascii="微软雅黑" w:eastAsia="微软雅黑"/>
          <w:b/>
          <w:w w:val="100"/>
          <w:sz w:val="21"/>
        </w:rPr>
        <w:t>费</w:t>
      </w:r>
    </w:p>
    <w:p>
      <w:pPr>
        <w:spacing w:line="240" w:lineRule="auto" w:before="9"/>
        <w:rPr>
          <w:rFonts w:ascii="微软雅黑"/>
          <w:b/>
          <w:sz w:val="10"/>
        </w:rPr>
      </w:pPr>
      <w:r>
        <w:rPr/>
        <w:br w:type="column"/>
      </w:r>
      <w:r>
        <w:rPr>
          <w:rFonts w:ascii="微软雅黑"/>
          <w:b/>
          <w:sz w:val="10"/>
        </w:rPr>
      </w:r>
    </w:p>
    <w:p>
      <w:pPr>
        <w:pStyle w:val="BodyText"/>
        <w:spacing w:line="242" w:lineRule="auto"/>
        <w:ind w:left="175" w:right="758"/>
        <w:jc w:val="both"/>
      </w:pPr>
      <w:r>
        <w:rPr>
          <w:spacing w:val="3"/>
          <w:w w:val="100"/>
        </w:rPr>
        <w:t>若被保险人在等待期后经专科医生首次确诊患有任何一项符合本合同第</w:t>
      </w:r>
      <w:r>
        <w:rPr>
          <w:spacing w:val="-14"/>
        </w:rPr>
        <w:t> </w:t>
      </w:r>
      <w:r>
        <w:rPr>
          <w:rFonts w:ascii="Times New Roman" w:eastAsia="Times New Roman"/>
          <w:w w:val="100"/>
        </w:rPr>
        <w:t>10</w:t>
      </w:r>
      <w:r>
        <w:rPr>
          <w:rFonts w:ascii="Times New Roman" w:eastAsia="Times New Roman"/>
          <w:spacing w:val="-6"/>
        </w:rPr>
        <w:t>  </w:t>
      </w:r>
      <w:r>
        <w:rPr>
          <w:spacing w:val="-3"/>
          <w:w w:val="100"/>
        </w:rPr>
        <w:t>条约定保障范围及定义的轻度疾病，我们将自确诊之日</w:t>
      </w:r>
      <w:r>
        <w:rPr>
          <w:spacing w:val="-5"/>
          <w:w w:val="100"/>
        </w:rPr>
        <w:t>后的首个保险费约定支付日开始，豁免本合同有效期内的剩余应付保险费</w:t>
      </w:r>
      <w:r>
        <w:rPr>
          <w:w w:val="100"/>
        </w:rPr>
        <w:t>（</w:t>
      </w:r>
      <w:r>
        <w:rPr>
          <w:spacing w:val="-3"/>
          <w:w w:val="100"/>
        </w:rPr>
        <w:t>不包括其附加合同的保险费</w:t>
      </w:r>
      <w:r>
        <w:rPr>
          <w:spacing w:val="-106"/>
          <w:w w:val="100"/>
        </w:rPr>
        <w:t>）</w:t>
      </w:r>
      <w:r>
        <w:rPr>
          <w:spacing w:val="-3"/>
          <w:w w:val="100"/>
        </w:rPr>
        <w:t>，本合同继续有效。</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BodyText"/>
        <w:spacing w:before="4"/>
        <w:ind w:left="0"/>
        <w:rPr>
          <w:sz w:val="11"/>
        </w:rPr>
      </w:pPr>
    </w:p>
    <w:p>
      <w:pPr>
        <w:spacing w:after="0"/>
        <w:rPr>
          <w:sz w:val="11"/>
        </w:rPr>
        <w:sectPr>
          <w:type w:val="continuous"/>
          <w:pgSz w:w="11910" w:h="16840"/>
          <w:pgMar w:header="0" w:footer="878" w:top="160" w:bottom="280" w:left="1480" w:right="440"/>
        </w:sectPr>
      </w:pPr>
    </w:p>
    <w:p>
      <w:pPr>
        <w:pStyle w:val="ListParagraph"/>
        <w:numPr>
          <w:ilvl w:val="2"/>
          <w:numId w:val="16"/>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中度疾病豁免保险</w:t>
      </w:r>
    </w:p>
    <w:p>
      <w:pPr>
        <w:spacing w:line="329" w:lineRule="exact" w:before="0"/>
        <w:ind w:left="1071" w:right="0" w:firstLine="0"/>
        <w:jc w:val="left"/>
        <w:rPr>
          <w:rFonts w:ascii="微软雅黑" w:eastAsia="微软雅黑"/>
          <w:b/>
          <w:sz w:val="21"/>
        </w:rPr>
      </w:pPr>
      <w:r>
        <w:rPr>
          <w:rFonts w:ascii="微软雅黑" w:eastAsia="微软雅黑"/>
          <w:b/>
          <w:w w:val="100"/>
          <w:sz w:val="21"/>
        </w:rPr>
        <w:t>费</w:t>
      </w:r>
    </w:p>
    <w:p>
      <w:pPr>
        <w:pStyle w:val="BodyText"/>
        <w:spacing w:line="242" w:lineRule="auto" w:before="100"/>
        <w:ind w:left="175" w:right="758"/>
        <w:jc w:val="both"/>
      </w:pPr>
      <w:r>
        <w:rPr/>
        <w:br w:type="column"/>
      </w:r>
      <w:r>
        <w:rPr>
          <w:spacing w:val="3"/>
          <w:w w:val="100"/>
        </w:rPr>
        <w:t>若被保险人在等待期后经专科医生首次确诊患有任何一项符合本</w:t>
      </w:r>
      <w:r>
        <w:rPr>
          <w:w w:val="100"/>
        </w:rPr>
        <w:t>合同第</w:t>
      </w:r>
      <w:r>
        <w:rPr>
          <w:spacing w:val="-7"/>
        </w:rPr>
        <w:t> </w:t>
      </w:r>
      <w:r>
        <w:rPr>
          <w:rFonts w:ascii="Times New Roman" w:eastAsia="Times New Roman"/>
          <w:spacing w:val="-10"/>
          <w:w w:val="100"/>
        </w:rPr>
        <w:t>1</w:t>
      </w:r>
      <w:r>
        <w:rPr>
          <w:rFonts w:ascii="Times New Roman" w:eastAsia="Times New Roman"/>
          <w:w w:val="100"/>
        </w:rPr>
        <w:t>1</w:t>
      </w:r>
      <w:r>
        <w:rPr>
          <w:rFonts w:ascii="Times New Roman" w:eastAsia="Times New Roman"/>
          <w:spacing w:val="-4"/>
        </w:rPr>
        <w:t>  </w:t>
      </w:r>
      <w:r>
        <w:rPr>
          <w:spacing w:val="-3"/>
          <w:w w:val="100"/>
        </w:rPr>
        <w:t>条约定保障范围及定义的中度疾病，我们将自确诊之日</w:t>
      </w:r>
      <w:r>
        <w:rPr>
          <w:spacing w:val="-5"/>
          <w:w w:val="100"/>
        </w:rPr>
        <w:t>后的首个保险费约定支付日开始，豁免本合同有效期内的剩余应付保险费</w:t>
      </w:r>
      <w:r>
        <w:rPr>
          <w:w w:val="100"/>
        </w:rPr>
        <w:t>（</w:t>
      </w:r>
      <w:r>
        <w:rPr>
          <w:spacing w:val="-3"/>
          <w:w w:val="100"/>
        </w:rPr>
        <w:t>不包括其附加合同的保险费</w:t>
      </w:r>
      <w:r>
        <w:rPr>
          <w:spacing w:val="-106"/>
          <w:w w:val="100"/>
        </w:rPr>
        <w:t>）</w:t>
      </w:r>
      <w:r>
        <w:rPr>
          <w:spacing w:val="-3"/>
          <w:w w:val="100"/>
        </w:rPr>
        <w:t>，本合同继续有效。</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BodyText"/>
        <w:spacing w:before="2"/>
        <w:ind w:left="0"/>
        <w:rPr>
          <w:sz w:val="11"/>
        </w:rPr>
      </w:pPr>
    </w:p>
    <w:p>
      <w:pPr>
        <w:spacing w:after="0"/>
        <w:rPr>
          <w:sz w:val="11"/>
        </w:rPr>
        <w:sectPr>
          <w:type w:val="continuous"/>
          <w:pgSz w:w="11910" w:h="16840"/>
          <w:pgMar w:header="0" w:footer="878" w:top="160" w:bottom="280" w:left="1480" w:right="440"/>
        </w:sectPr>
      </w:pPr>
    </w:p>
    <w:p>
      <w:pPr>
        <w:pStyle w:val="ListParagraph"/>
        <w:numPr>
          <w:ilvl w:val="2"/>
          <w:numId w:val="16"/>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重度疾病豁免保险</w:t>
      </w:r>
    </w:p>
    <w:p>
      <w:pPr>
        <w:spacing w:line="330" w:lineRule="exact" w:before="0"/>
        <w:ind w:left="1071" w:right="0" w:firstLine="0"/>
        <w:jc w:val="left"/>
        <w:rPr>
          <w:rFonts w:ascii="微软雅黑" w:eastAsia="微软雅黑"/>
          <w:b/>
          <w:sz w:val="21"/>
        </w:rPr>
      </w:pPr>
      <w:r>
        <w:rPr>
          <w:rFonts w:ascii="微软雅黑" w:eastAsia="微软雅黑"/>
          <w:b/>
          <w:w w:val="100"/>
          <w:sz w:val="21"/>
        </w:rPr>
        <w:t>费</w:t>
      </w:r>
    </w:p>
    <w:p>
      <w:pPr>
        <w:pStyle w:val="BodyText"/>
        <w:spacing w:line="242" w:lineRule="auto" w:before="100"/>
        <w:ind w:left="175" w:right="758"/>
        <w:jc w:val="both"/>
      </w:pPr>
      <w:r>
        <w:rPr/>
        <w:br w:type="column"/>
      </w:r>
      <w:r>
        <w:rPr>
          <w:spacing w:val="3"/>
          <w:w w:val="100"/>
        </w:rPr>
        <w:t>若被保险人在等待期后经专科医生首次确诊患有任何一项符合本合同第</w:t>
      </w:r>
      <w:r>
        <w:rPr>
          <w:spacing w:val="-14"/>
        </w:rPr>
        <w:t> </w:t>
      </w:r>
      <w:r>
        <w:rPr>
          <w:rFonts w:ascii="Times New Roman" w:eastAsia="Times New Roman"/>
          <w:w w:val="100"/>
        </w:rPr>
        <w:t>12</w:t>
      </w:r>
      <w:r>
        <w:rPr>
          <w:rFonts w:ascii="Times New Roman" w:eastAsia="Times New Roman"/>
          <w:spacing w:val="-6"/>
        </w:rPr>
        <w:t>  </w:t>
      </w:r>
      <w:r>
        <w:rPr>
          <w:spacing w:val="-3"/>
          <w:w w:val="100"/>
        </w:rPr>
        <w:t>条约定保障范围及定义的重度疾病，我们将自确诊之日</w:t>
      </w:r>
      <w:r>
        <w:rPr>
          <w:spacing w:val="-5"/>
          <w:w w:val="100"/>
        </w:rPr>
        <w:t>后的首个保险费约定支付日开始，豁免本合同有效期内的剩余应付保险费</w:t>
      </w:r>
      <w:r>
        <w:rPr>
          <w:w w:val="100"/>
        </w:rPr>
        <w:t>（</w:t>
      </w:r>
      <w:r>
        <w:rPr>
          <w:spacing w:val="-3"/>
          <w:w w:val="100"/>
        </w:rPr>
        <w:t>不包括其附加合同的保险费</w:t>
      </w:r>
      <w:r>
        <w:rPr>
          <w:spacing w:val="-106"/>
          <w:w w:val="100"/>
        </w:rPr>
        <w:t>）</w:t>
      </w:r>
      <w:r>
        <w:rPr>
          <w:spacing w:val="-3"/>
          <w:w w:val="100"/>
        </w:rPr>
        <w:t>，本合同继续有效。</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BodyText"/>
        <w:spacing w:before="4"/>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16"/>
        </w:numPr>
        <w:tabs>
          <w:tab w:pos="1071" w:val="left" w:leader="none"/>
          <w:tab w:pos="1072" w:val="left" w:leader="none"/>
        </w:tabs>
        <w:spacing w:line="168" w:lineRule="auto" w:before="116" w:after="0"/>
        <w:ind w:left="1071" w:right="38" w:hanging="850"/>
        <w:jc w:val="left"/>
        <w:rPr>
          <w:rFonts w:ascii="微软雅黑" w:eastAsia="微软雅黑"/>
          <w:b/>
          <w:sz w:val="21"/>
        </w:rPr>
      </w:pPr>
      <w:r>
        <w:rPr>
          <w:rFonts w:ascii="微软雅黑" w:eastAsia="微软雅黑"/>
          <w:b/>
          <w:spacing w:val="-2"/>
          <w:sz w:val="21"/>
        </w:rPr>
        <w:t>未成年人身故保险</w:t>
      </w:r>
      <w:r>
        <w:rPr>
          <w:rFonts w:ascii="微软雅黑" w:eastAsia="微软雅黑"/>
          <w:b/>
          <w:spacing w:val="-4"/>
          <w:sz w:val="21"/>
        </w:rPr>
        <w:t>金限制</w:t>
      </w:r>
    </w:p>
    <w:p>
      <w:pPr>
        <w:spacing w:line="168" w:lineRule="auto" w:before="116"/>
        <w:ind w:left="222" w:right="732" w:firstLine="0"/>
        <w:jc w:val="left"/>
        <w:rPr>
          <w:rFonts w:ascii="微软雅黑" w:eastAsia="微软雅黑"/>
          <w:b/>
          <w:sz w:val="21"/>
        </w:rPr>
      </w:pPr>
      <w:r>
        <w:rPr/>
        <w:br w:type="column"/>
      </w:r>
      <w:r>
        <w:rPr>
          <w:rFonts w:ascii="微软雅黑" w:eastAsia="微软雅黑"/>
          <w:b/>
          <w:spacing w:val="-2"/>
          <w:sz w:val="21"/>
        </w:rPr>
        <w:t>为未成年子女投保的人身保险，因被保险人身故给付的保险金总和</w:t>
      </w:r>
      <w:r>
        <w:rPr>
          <w:rFonts w:ascii="微软雅黑" w:eastAsia="微软雅黑"/>
          <w:b/>
          <w:spacing w:val="-3"/>
          <w:sz w:val="21"/>
        </w:rPr>
        <w:t>不得超过国务院保险监督管理机构规定的限额，身故给付的保险金</w:t>
      </w:r>
    </w:p>
    <w:p>
      <w:pPr>
        <w:spacing w:after="0" w:line="168" w:lineRule="auto"/>
        <w:jc w:val="left"/>
        <w:rPr>
          <w:rFonts w:ascii="微软雅黑" w:eastAsia="微软雅黑"/>
          <w:sz w:val="21"/>
        </w:rPr>
        <w:sectPr>
          <w:type w:val="continuous"/>
          <w:pgSz w:w="11910" w:h="16840"/>
          <w:pgMar w:header="0" w:footer="878" w:top="160" w:bottom="280" w:left="1480" w:right="440"/>
          <w:cols w:num="2" w:equalWidth="0">
            <w:col w:w="2802" w:space="129"/>
            <w:col w:w="7059"/>
          </w:cols>
        </w:sectPr>
      </w:pPr>
    </w:p>
    <w:p>
      <w:pPr>
        <w:spacing w:line="376" w:lineRule="exact" w:before="0"/>
        <w:ind w:left="3153" w:right="0" w:firstLine="0"/>
        <w:jc w:val="left"/>
        <w:rPr>
          <w:rFonts w:ascii="微软雅黑" w:eastAsia="微软雅黑"/>
          <w:b/>
          <w:sz w:val="21"/>
        </w:rPr>
      </w:pPr>
      <w:r>
        <w:rPr>
          <w:rFonts w:ascii="微软雅黑" w:eastAsia="微软雅黑"/>
          <w:b/>
          <w:spacing w:val="-3"/>
          <w:sz w:val="21"/>
        </w:rPr>
        <w:t>额总和约定也不得超过前述限制。</w:t>
      </w:r>
    </w:p>
    <w:p>
      <w:pPr>
        <w:pStyle w:val="ListParagraph"/>
        <w:numPr>
          <w:ilvl w:val="1"/>
          <w:numId w:val="16"/>
        </w:numPr>
        <w:tabs>
          <w:tab w:pos="1071" w:val="left" w:leader="none"/>
          <w:tab w:pos="1072" w:val="left" w:leader="none"/>
          <w:tab w:pos="3152" w:val="left" w:leader="none"/>
        </w:tabs>
        <w:spacing w:line="329" w:lineRule="exact" w:before="129" w:after="0"/>
        <w:ind w:left="1071" w:right="0" w:hanging="850"/>
        <w:jc w:val="left"/>
        <w:rPr>
          <w:rFonts w:ascii="微软雅黑" w:eastAsia="微软雅黑"/>
          <w:b/>
          <w:sz w:val="21"/>
        </w:rPr>
      </w:pPr>
      <w:r>
        <w:rPr>
          <w:rFonts w:ascii="微软雅黑" w:eastAsia="微软雅黑"/>
          <w:b/>
          <w:sz w:val="21"/>
        </w:rPr>
        <w:t>责任免</w:t>
      </w:r>
      <w:r>
        <w:rPr>
          <w:rFonts w:ascii="微软雅黑" w:eastAsia="微软雅黑"/>
          <w:b/>
          <w:spacing w:val="-10"/>
          <w:sz w:val="21"/>
        </w:rPr>
        <w:t>除</w:t>
      </w:r>
      <w:r>
        <w:rPr>
          <w:rFonts w:ascii="微软雅黑" w:eastAsia="微软雅黑"/>
          <w:b/>
          <w:sz w:val="21"/>
        </w:rPr>
        <w:tab/>
        <w:t>因</w:t>
      </w:r>
      <w:r>
        <w:rPr>
          <w:rFonts w:ascii="微软雅黑" w:eastAsia="微软雅黑"/>
          <w:b/>
          <w:sz w:val="21"/>
        </w:rPr>
        <w:t>下</w:t>
      </w:r>
      <w:r>
        <w:rPr>
          <w:rFonts w:ascii="微软雅黑" w:eastAsia="微软雅黑"/>
          <w:b/>
          <w:sz w:val="21"/>
        </w:rPr>
        <w:t>列</w:t>
      </w:r>
      <w:r>
        <w:rPr>
          <w:rFonts w:ascii="微软雅黑" w:eastAsia="微软雅黑"/>
          <w:b/>
          <w:sz w:val="21"/>
        </w:rPr>
        <w:t>情</w:t>
      </w:r>
      <w:r>
        <w:rPr>
          <w:rFonts w:ascii="微软雅黑" w:eastAsia="微软雅黑"/>
          <w:b/>
          <w:sz w:val="21"/>
        </w:rPr>
        <w:t>形</w:t>
      </w:r>
      <w:r>
        <w:rPr>
          <w:rFonts w:ascii="微软雅黑" w:eastAsia="微软雅黑"/>
          <w:b/>
          <w:sz w:val="21"/>
        </w:rPr>
        <w:t>之</w:t>
      </w:r>
      <w:r>
        <w:rPr>
          <w:rFonts w:ascii="微软雅黑" w:eastAsia="微软雅黑"/>
          <w:b/>
          <w:sz w:val="21"/>
        </w:rPr>
        <w:t>一</w:t>
      </w:r>
      <w:r>
        <w:rPr>
          <w:rFonts w:ascii="微软雅黑" w:eastAsia="微软雅黑"/>
          <w:b/>
          <w:sz w:val="21"/>
        </w:rPr>
        <w:t>导</w:t>
      </w:r>
      <w:r>
        <w:rPr>
          <w:rFonts w:ascii="微软雅黑" w:eastAsia="微软雅黑"/>
          <w:b/>
          <w:sz w:val="21"/>
        </w:rPr>
        <w:t>致</w:t>
      </w:r>
      <w:r>
        <w:rPr>
          <w:rFonts w:ascii="微软雅黑" w:eastAsia="微软雅黑"/>
          <w:b/>
          <w:sz w:val="21"/>
        </w:rPr>
        <w:t>被</w:t>
      </w:r>
      <w:r>
        <w:rPr>
          <w:rFonts w:ascii="微软雅黑" w:eastAsia="微软雅黑"/>
          <w:b/>
          <w:sz w:val="21"/>
        </w:rPr>
        <w:t>保</w:t>
      </w:r>
      <w:r>
        <w:rPr>
          <w:rFonts w:ascii="微软雅黑" w:eastAsia="微软雅黑"/>
          <w:b/>
          <w:sz w:val="21"/>
        </w:rPr>
        <w:t>险</w:t>
      </w:r>
      <w:r>
        <w:rPr>
          <w:rFonts w:ascii="微软雅黑" w:eastAsia="微软雅黑"/>
          <w:b/>
          <w:sz w:val="21"/>
        </w:rPr>
        <w:t>人</w:t>
      </w:r>
      <w:r>
        <w:rPr>
          <w:rFonts w:ascii="微软雅黑" w:eastAsia="微软雅黑"/>
          <w:b/>
          <w:sz w:val="21"/>
        </w:rPr>
        <w:t>患</w:t>
      </w:r>
      <w:r>
        <w:rPr>
          <w:rFonts w:ascii="微软雅黑" w:eastAsia="微软雅黑"/>
          <w:b/>
          <w:sz w:val="21"/>
        </w:rPr>
        <w:t>本</w:t>
      </w:r>
      <w:r>
        <w:rPr>
          <w:rFonts w:ascii="微软雅黑" w:eastAsia="微软雅黑"/>
          <w:b/>
          <w:sz w:val="21"/>
        </w:rPr>
        <w:t>合</w:t>
      </w:r>
      <w:r>
        <w:rPr>
          <w:rFonts w:ascii="微软雅黑" w:eastAsia="微软雅黑"/>
          <w:b/>
          <w:sz w:val="21"/>
        </w:rPr>
        <w:t>同</w:t>
      </w:r>
      <w:r>
        <w:rPr>
          <w:rFonts w:ascii="微软雅黑" w:eastAsia="微软雅黑"/>
          <w:b/>
          <w:sz w:val="21"/>
        </w:rPr>
        <w:t>约</w:t>
      </w:r>
      <w:r>
        <w:rPr>
          <w:rFonts w:ascii="微软雅黑" w:eastAsia="微软雅黑"/>
          <w:b/>
          <w:sz w:val="21"/>
        </w:rPr>
        <w:t>定</w:t>
      </w:r>
      <w:r>
        <w:rPr>
          <w:rFonts w:ascii="微软雅黑" w:eastAsia="微软雅黑"/>
          <w:b/>
          <w:sz w:val="21"/>
        </w:rPr>
        <w:t>保</w:t>
      </w:r>
      <w:r>
        <w:rPr>
          <w:rFonts w:ascii="微软雅黑" w:eastAsia="微软雅黑"/>
          <w:b/>
          <w:sz w:val="21"/>
        </w:rPr>
        <w:t>障</w:t>
      </w:r>
      <w:r>
        <w:rPr>
          <w:rFonts w:ascii="微软雅黑" w:eastAsia="微软雅黑"/>
          <w:b/>
          <w:sz w:val="21"/>
        </w:rPr>
        <w:t>范</w:t>
      </w:r>
      <w:r>
        <w:rPr>
          <w:rFonts w:ascii="微软雅黑" w:eastAsia="微软雅黑"/>
          <w:b/>
          <w:sz w:val="21"/>
        </w:rPr>
        <w:t>围</w:t>
      </w:r>
      <w:r>
        <w:rPr>
          <w:rFonts w:ascii="微软雅黑" w:eastAsia="微软雅黑"/>
          <w:b/>
          <w:sz w:val="21"/>
        </w:rPr>
        <w:t>及</w:t>
      </w:r>
      <w:r>
        <w:rPr>
          <w:rFonts w:ascii="微软雅黑" w:eastAsia="微软雅黑"/>
          <w:b/>
          <w:sz w:val="21"/>
        </w:rPr>
        <w:t>定</w:t>
      </w:r>
      <w:r>
        <w:rPr>
          <w:rFonts w:ascii="微软雅黑" w:eastAsia="微软雅黑"/>
          <w:b/>
          <w:sz w:val="21"/>
        </w:rPr>
        <w:t>义</w:t>
      </w:r>
      <w:r>
        <w:rPr>
          <w:rFonts w:ascii="微软雅黑" w:eastAsia="微软雅黑"/>
          <w:b/>
          <w:sz w:val="21"/>
        </w:rPr>
        <w:t>的</w:t>
      </w:r>
      <w:r>
        <w:rPr>
          <w:rFonts w:ascii="微软雅黑" w:eastAsia="微软雅黑"/>
          <w:b/>
          <w:spacing w:val="-10"/>
          <w:sz w:val="21"/>
        </w:rPr>
        <w:t>轻</w:t>
      </w:r>
    </w:p>
    <w:p>
      <w:pPr>
        <w:spacing w:line="170" w:lineRule="auto" w:before="22"/>
        <w:ind w:left="3153" w:right="732" w:firstLine="0"/>
        <w:jc w:val="left"/>
        <w:rPr>
          <w:rFonts w:ascii="微软雅黑" w:eastAsia="微软雅黑"/>
          <w:b/>
          <w:sz w:val="21"/>
        </w:rPr>
      </w:pPr>
      <w:r>
        <w:rPr>
          <w:rFonts w:ascii="微软雅黑" w:eastAsia="微软雅黑"/>
          <w:b/>
          <w:spacing w:val="-2"/>
          <w:sz w:val="21"/>
        </w:rPr>
        <w:t>度疾病、中度疾病、重度疾病，或导致被保险人身故或全残的，我</w:t>
      </w:r>
      <w:r>
        <w:rPr>
          <w:rFonts w:ascii="微软雅黑" w:eastAsia="微软雅黑"/>
          <w:b/>
          <w:spacing w:val="-2"/>
          <w:sz w:val="21"/>
        </w:rPr>
        <w:t>们不承担给付各项保险金和豁免保险费的责任：</w:t>
      </w:r>
    </w:p>
    <w:p>
      <w:pPr>
        <w:pStyle w:val="ListParagraph"/>
        <w:numPr>
          <w:ilvl w:val="0"/>
          <w:numId w:val="20"/>
        </w:numPr>
        <w:tabs>
          <w:tab w:pos="3682" w:val="left" w:leader="none"/>
        </w:tabs>
        <w:spacing w:line="244" w:lineRule="exact" w:before="0" w:after="0"/>
        <w:ind w:left="3682" w:right="0" w:hanging="529"/>
        <w:jc w:val="left"/>
        <w:rPr>
          <w:rFonts w:ascii="微软雅黑" w:eastAsia="微软雅黑"/>
          <w:b/>
          <w:sz w:val="21"/>
        </w:rPr>
      </w:pPr>
      <w:r>
        <w:rPr>
          <w:rFonts w:ascii="微软雅黑" w:eastAsia="微软雅黑"/>
          <w:b/>
          <w:spacing w:val="-3"/>
          <w:sz w:val="21"/>
        </w:rPr>
        <w:t>投保人对被保险人的故意杀害、故意伤害；</w:t>
      </w:r>
    </w:p>
    <w:p>
      <w:pPr>
        <w:pStyle w:val="ListParagraph"/>
        <w:numPr>
          <w:ilvl w:val="0"/>
          <w:numId w:val="20"/>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3"/>
          <w:sz w:val="21"/>
        </w:rPr>
        <w:t>被保险人故意犯罪或抗拒依法采取的刑事强制措施；</w:t>
      </w:r>
    </w:p>
    <w:p>
      <w:pPr>
        <w:pStyle w:val="ListParagraph"/>
        <w:numPr>
          <w:ilvl w:val="0"/>
          <w:numId w:val="20"/>
        </w:numPr>
        <w:tabs>
          <w:tab w:pos="3682" w:val="left" w:leader="none"/>
        </w:tabs>
        <w:spacing w:line="168" w:lineRule="auto" w:before="27" w:after="0"/>
        <w:ind w:left="3681" w:right="821" w:hanging="528"/>
        <w:jc w:val="left"/>
        <w:rPr>
          <w:rFonts w:ascii="微软雅黑" w:eastAsia="微软雅黑"/>
          <w:b/>
          <w:sz w:val="21"/>
        </w:rPr>
      </w:pPr>
      <w:r>
        <w:rPr>
          <w:rFonts w:ascii="微软雅黑" w:eastAsia="微软雅黑"/>
          <w:b/>
          <w:spacing w:val="-2"/>
          <w:sz w:val="21"/>
        </w:rPr>
        <w:t>被保险人故意自伤、或自本合同成立或者本合同效力恢复</w:t>
      </w:r>
      <w:r>
        <w:rPr>
          <w:rFonts w:ascii="微软雅黑" w:eastAsia="微软雅黑"/>
          <w:b/>
          <w:spacing w:val="80"/>
          <w:sz w:val="21"/>
        </w:rPr>
        <w:t> </w:t>
      </w:r>
      <w:r>
        <w:rPr>
          <w:rFonts w:ascii="微软雅黑" w:eastAsia="微软雅黑"/>
          <w:b/>
          <w:spacing w:val="-4"/>
          <w:sz w:val="21"/>
        </w:rPr>
        <w:t>之日起 </w:t>
      </w:r>
      <w:r>
        <w:rPr>
          <w:rFonts w:ascii="Times New Roman" w:eastAsia="Times New Roman"/>
          <w:b/>
          <w:sz w:val="21"/>
        </w:rPr>
        <w:t>2</w:t>
      </w:r>
      <w:r>
        <w:rPr>
          <w:rFonts w:ascii="Times New Roman" w:eastAsia="Times New Roman"/>
          <w:b/>
          <w:spacing w:val="-8"/>
          <w:sz w:val="21"/>
        </w:rPr>
        <w:t> </w:t>
      </w:r>
      <w:r>
        <w:rPr>
          <w:rFonts w:ascii="微软雅黑" w:eastAsia="微软雅黑"/>
          <w:b/>
          <w:sz w:val="21"/>
        </w:rPr>
        <w:t>年内自杀，但被保险人自杀时为无民事行为能力人</w:t>
      </w:r>
      <w:r>
        <w:rPr>
          <w:rFonts w:ascii="微软雅黑" w:eastAsia="微软雅黑"/>
          <w:b/>
          <w:spacing w:val="-4"/>
          <w:sz w:val="21"/>
        </w:rPr>
        <w:t>的除外；</w:t>
      </w:r>
    </w:p>
    <w:p>
      <w:pPr>
        <w:pStyle w:val="ListParagraph"/>
        <w:numPr>
          <w:ilvl w:val="0"/>
          <w:numId w:val="20"/>
        </w:numPr>
        <w:tabs>
          <w:tab w:pos="3682" w:val="left" w:leader="none"/>
        </w:tabs>
        <w:spacing w:line="250" w:lineRule="exact" w:before="0" w:after="0"/>
        <w:ind w:left="3682" w:right="0" w:hanging="529"/>
        <w:jc w:val="left"/>
        <w:rPr>
          <w:rFonts w:ascii="微软雅黑" w:eastAsia="微软雅黑"/>
          <w:b/>
          <w:sz w:val="21"/>
        </w:rPr>
      </w:pPr>
      <w:r>
        <w:rPr>
          <w:rFonts w:ascii="微软雅黑" w:eastAsia="微软雅黑"/>
          <w:b/>
          <w:spacing w:val="-2"/>
          <w:sz w:val="21"/>
        </w:rPr>
        <w:t>被保险人服用、吸食或注射毒品</w:t>
      </w:r>
      <w:r>
        <w:rPr>
          <w:spacing w:val="-2"/>
          <w:sz w:val="21"/>
        </w:rPr>
        <w:t>（</w:t>
      </w:r>
      <w:r>
        <w:rPr>
          <w:spacing w:val="-18"/>
          <w:sz w:val="21"/>
        </w:rPr>
        <w:t>见 </w:t>
      </w:r>
      <w:r>
        <w:rPr>
          <w:rFonts w:ascii="Times New Roman" w:eastAsia="Times New Roman"/>
          <w:spacing w:val="14"/>
          <w:sz w:val="21"/>
        </w:rPr>
        <w:t>14</w:t>
      </w:r>
      <w:r>
        <w:rPr>
          <w:rFonts w:ascii="Times New Roman" w:eastAsia="Times New Roman"/>
          <w:spacing w:val="11"/>
          <w:sz w:val="21"/>
        </w:rPr>
        <w:t>.</w:t>
      </w:r>
      <w:r>
        <w:rPr>
          <w:rFonts w:ascii="Times New Roman" w:eastAsia="Times New Roman"/>
          <w:spacing w:val="14"/>
          <w:sz w:val="21"/>
        </w:rPr>
        <w:t>1</w:t>
      </w:r>
      <w:r>
        <w:rPr>
          <w:rFonts w:ascii="Times New Roman" w:eastAsia="Times New Roman"/>
          <w:spacing w:val="13"/>
          <w:sz w:val="21"/>
        </w:rPr>
        <w:t>0</w:t>
      </w:r>
      <w:r>
        <w:rPr>
          <w:spacing w:val="-94"/>
          <w:sz w:val="21"/>
        </w:rPr>
        <w:t>）</w:t>
      </w:r>
      <w:r>
        <w:rPr>
          <w:rFonts w:ascii="微软雅黑" w:eastAsia="微软雅黑"/>
          <w:b/>
          <w:spacing w:val="14"/>
          <w:sz w:val="21"/>
        </w:rPr>
        <w:t>；</w:t>
      </w:r>
    </w:p>
    <w:p>
      <w:pPr>
        <w:pStyle w:val="ListParagraph"/>
        <w:numPr>
          <w:ilvl w:val="0"/>
          <w:numId w:val="20"/>
        </w:numPr>
        <w:tabs>
          <w:tab w:pos="3686" w:val="left" w:leader="none"/>
        </w:tabs>
        <w:spacing w:line="168" w:lineRule="auto" w:before="26" w:after="0"/>
        <w:ind w:left="3681" w:right="729" w:hanging="528"/>
        <w:jc w:val="left"/>
        <w:rPr>
          <w:sz w:val="21"/>
        </w:rPr>
      </w:pPr>
      <w:r>
        <w:rPr>
          <w:rFonts w:ascii="微软雅黑" w:eastAsia="微软雅黑"/>
          <w:b/>
          <w:spacing w:val="-2"/>
          <w:sz w:val="21"/>
        </w:rPr>
        <w:t>被保险人酒后驾驶</w:t>
      </w:r>
      <w:r>
        <w:rPr>
          <w:spacing w:val="-2"/>
          <w:sz w:val="21"/>
        </w:rPr>
        <w:t>（</w:t>
      </w:r>
      <w:r>
        <w:rPr>
          <w:spacing w:val="-10"/>
          <w:sz w:val="21"/>
        </w:rPr>
        <w:t>见 </w:t>
      </w:r>
      <w:r>
        <w:rPr>
          <w:rFonts w:ascii="Times New Roman" w:eastAsia="Times New Roman"/>
          <w:spacing w:val="17"/>
          <w:sz w:val="21"/>
        </w:rPr>
        <w:t>1</w:t>
      </w:r>
      <w:r>
        <w:rPr>
          <w:rFonts w:ascii="Times New Roman" w:eastAsia="Times New Roman"/>
          <w:spacing w:val="14"/>
          <w:sz w:val="21"/>
        </w:rPr>
        <w:t>4</w:t>
      </w:r>
      <w:r>
        <w:rPr>
          <w:rFonts w:ascii="Times New Roman" w:eastAsia="Times New Roman"/>
          <w:spacing w:val="17"/>
          <w:sz w:val="21"/>
        </w:rPr>
        <w:t>.</w:t>
      </w:r>
      <w:r>
        <w:rPr>
          <w:rFonts w:ascii="Times New Roman" w:eastAsia="Times New Roman"/>
          <w:spacing w:val="7"/>
          <w:sz w:val="21"/>
        </w:rPr>
        <w:t>1</w:t>
      </w:r>
      <w:r>
        <w:rPr>
          <w:rFonts w:ascii="Times New Roman" w:eastAsia="Times New Roman"/>
          <w:spacing w:val="19"/>
          <w:sz w:val="21"/>
        </w:rPr>
        <w:t>1</w:t>
      </w:r>
      <w:r>
        <w:rPr>
          <w:spacing w:val="-89"/>
          <w:sz w:val="21"/>
        </w:rPr>
        <w:t>）</w:t>
      </w:r>
      <w:r>
        <w:rPr>
          <w:rFonts w:ascii="微软雅黑" w:eastAsia="微软雅黑"/>
          <w:b/>
          <w:spacing w:val="-2"/>
          <w:sz w:val="21"/>
        </w:rPr>
        <w:t>、无合法有效驾驶证驾驶</w:t>
      </w:r>
      <w:r>
        <w:rPr>
          <w:spacing w:val="-2"/>
          <w:sz w:val="21"/>
        </w:rPr>
        <w:t>（见</w:t>
      </w:r>
      <w:r>
        <w:rPr>
          <w:spacing w:val="-2"/>
          <w:sz w:val="21"/>
        </w:rPr>
        <w:t> </w:t>
      </w:r>
      <w:r>
        <w:rPr>
          <w:rFonts w:ascii="Times New Roman" w:eastAsia="Times New Roman"/>
          <w:spacing w:val="11"/>
          <w:sz w:val="21"/>
        </w:rPr>
        <w:t>14.12</w:t>
      </w:r>
      <w:r>
        <w:rPr>
          <w:spacing w:val="-97"/>
          <w:sz w:val="21"/>
        </w:rPr>
        <w:t>）</w:t>
      </w:r>
      <w:r>
        <w:rPr>
          <w:rFonts w:ascii="微软雅黑" w:eastAsia="微软雅黑"/>
          <w:b/>
          <w:spacing w:val="-4"/>
          <w:sz w:val="21"/>
        </w:rPr>
        <w:t>，或驾驶无合法有效行驶证</w:t>
      </w:r>
      <w:r>
        <w:rPr>
          <w:spacing w:val="-4"/>
          <w:sz w:val="21"/>
        </w:rPr>
        <w:t>（见 </w:t>
      </w:r>
      <w:r>
        <w:rPr>
          <w:rFonts w:ascii="Times New Roman" w:eastAsia="Times New Roman"/>
          <w:spacing w:val="-4"/>
          <w:sz w:val="21"/>
        </w:rPr>
        <w:t>14.13</w:t>
      </w:r>
      <w:r>
        <w:rPr>
          <w:spacing w:val="-4"/>
          <w:sz w:val="21"/>
        </w:rPr>
        <w:t>）</w:t>
      </w:r>
      <w:r>
        <w:rPr>
          <w:rFonts w:ascii="微软雅黑" w:eastAsia="微软雅黑"/>
          <w:b/>
          <w:spacing w:val="-4"/>
          <w:sz w:val="21"/>
        </w:rPr>
        <w:t>的机动车</w:t>
      </w:r>
      <w:r>
        <w:rPr>
          <w:spacing w:val="-4"/>
          <w:sz w:val="21"/>
        </w:rPr>
        <w:t>（</w:t>
      </w:r>
      <w:r>
        <w:rPr>
          <w:spacing w:val="-4"/>
          <w:sz w:val="21"/>
        </w:rPr>
        <w:t>见</w:t>
      </w:r>
    </w:p>
    <w:p>
      <w:pPr>
        <w:pStyle w:val="BodyText"/>
        <w:spacing w:line="249" w:lineRule="exact"/>
        <w:ind w:left="3681"/>
        <w:rPr>
          <w:rFonts w:ascii="微软雅黑" w:eastAsia="微软雅黑"/>
          <w:b/>
        </w:rPr>
      </w:pPr>
      <w:r>
        <w:rPr>
          <w:rFonts w:ascii="Times New Roman" w:eastAsia="Times New Roman"/>
          <w:spacing w:val="13"/>
        </w:rPr>
        <w:t>14.14</w:t>
      </w:r>
      <w:r>
        <w:rPr>
          <w:spacing w:val="-95"/>
        </w:rPr>
        <w:t>）</w:t>
      </w:r>
      <w:r>
        <w:rPr>
          <w:rFonts w:ascii="微软雅黑" w:eastAsia="微软雅黑"/>
          <w:b/>
          <w:spacing w:val="13"/>
        </w:rPr>
        <w:t>；</w:t>
      </w:r>
    </w:p>
    <w:p>
      <w:pPr>
        <w:pStyle w:val="ListParagraph"/>
        <w:numPr>
          <w:ilvl w:val="0"/>
          <w:numId w:val="20"/>
        </w:numPr>
        <w:tabs>
          <w:tab w:pos="3682" w:val="left" w:leader="none"/>
        </w:tabs>
        <w:spacing w:line="170" w:lineRule="auto" w:before="23" w:after="0"/>
        <w:ind w:left="3681" w:right="1034" w:hanging="528"/>
        <w:jc w:val="left"/>
        <w:rPr>
          <w:rFonts w:ascii="微软雅黑" w:eastAsia="微软雅黑"/>
          <w:b/>
          <w:sz w:val="21"/>
        </w:rPr>
      </w:pPr>
      <w:r>
        <w:rPr>
          <w:rFonts w:ascii="微软雅黑" w:eastAsia="微软雅黑"/>
          <w:b/>
          <w:spacing w:val="-4"/>
          <w:sz w:val="21"/>
        </w:rPr>
        <w:t>被保险人感染艾滋病病毒或患艾滋病</w:t>
      </w:r>
      <w:r>
        <w:rPr>
          <w:spacing w:val="-4"/>
          <w:sz w:val="21"/>
        </w:rPr>
        <w:t>（</w:t>
      </w:r>
      <w:r>
        <w:rPr>
          <w:spacing w:val="-29"/>
          <w:sz w:val="21"/>
        </w:rPr>
        <w:t>见 </w:t>
      </w:r>
      <w:r>
        <w:rPr>
          <w:rFonts w:ascii="Times New Roman" w:eastAsia="Times New Roman"/>
          <w:spacing w:val="8"/>
          <w:sz w:val="21"/>
        </w:rPr>
        <w:t>1</w:t>
      </w:r>
      <w:r>
        <w:rPr>
          <w:rFonts w:ascii="Times New Roman" w:eastAsia="Times New Roman"/>
          <w:spacing w:val="11"/>
          <w:sz w:val="21"/>
        </w:rPr>
        <w:t>4.1</w:t>
      </w:r>
      <w:r>
        <w:rPr>
          <w:rFonts w:ascii="Times New Roman" w:eastAsia="Times New Roman"/>
          <w:spacing w:val="9"/>
          <w:sz w:val="21"/>
        </w:rPr>
        <w:t>5</w:t>
      </w:r>
      <w:r>
        <w:rPr>
          <w:spacing w:val="-95"/>
          <w:sz w:val="21"/>
        </w:rPr>
        <w:t>）</w:t>
      </w:r>
      <w:r>
        <w:rPr>
          <w:rFonts w:ascii="微软雅黑" w:eastAsia="微软雅黑"/>
          <w:b/>
          <w:spacing w:val="-1"/>
          <w:sz w:val="21"/>
        </w:rPr>
        <w:t>，但本合</w:t>
      </w:r>
      <w:r>
        <w:rPr>
          <w:rFonts w:ascii="微软雅黑" w:eastAsia="微软雅黑"/>
          <w:b/>
          <w:sz w:val="21"/>
        </w:rPr>
        <w:t>同第 </w:t>
      </w:r>
      <w:r>
        <w:rPr>
          <w:rFonts w:ascii="Times New Roman" w:eastAsia="Times New Roman"/>
          <w:b/>
          <w:sz w:val="21"/>
        </w:rPr>
        <w:t>12.31</w:t>
      </w:r>
      <w:r>
        <w:rPr>
          <w:rFonts w:ascii="微软雅黑" w:eastAsia="微软雅黑"/>
          <w:b/>
          <w:sz w:val="21"/>
        </w:rPr>
        <w:t>、</w:t>
      </w:r>
      <w:r>
        <w:rPr>
          <w:rFonts w:ascii="Times New Roman" w:eastAsia="Times New Roman"/>
          <w:b/>
          <w:sz w:val="21"/>
        </w:rPr>
        <w:t>12.35 </w:t>
      </w:r>
      <w:r>
        <w:rPr>
          <w:rFonts w:ascii="微软雅黑" w:eastAsia="微软雅黑"/>
          <w:b/>
          <w:sz w:val="21"/>
        </w:rPr>
        <w:t>以及 </w:t>
      </w:r>
      <w:r>
        <w:rPr>
          <w:rFonts w:ascii="Times New Roman" w:eastAsia="Times New Roman"/>
          <w:b/>
          <w:sz w:val="21"/>
        </w:rPr>
        <w:t>12.88 </w:t>
      </w:r>
      <w:r>
        <w:rPr>
          <w:rFonts w:ascii="微软雅黑" w:eastAsia="微软雅黑"/>
          <w:b/>
          <w:sz w:val="21"/>
        </w:rPr>
        <w:t>条约定的人类免疫缺陷病毒</w:t>
      </w:r>
    </w:p>
    <w:p>
      <w:pPr>
        <w:spacing w:line="246" w:lineRule="exact" w:before="0"/>
        <w:ind w:left="0" w:right="2952" w:firstLine="0"/>
        <w:jc w:val="right"/>
        <w:rPr>
          <w:rFonts w:ascii="微软雅黑" w:eastAsia="微软雅黑"/>
          <w:b/>
          <w:sz w:val="21"/>
        </w:rPr>
      </w:pPr>
      <w:r>
        <w:rPr>
          <w:rFonts w:ascii="微软雅黑" w:eastAsia="微软雅黑"/>
          <w:b/>
          <w:spacing w:val="-2"/>
          <w:sz w:val="21"/>
        </w:rPr>
        <w:t>（</w:t>
      </w:r>
      <w:r>
        <w:rPr>
          <w:rFonts w:ascii="Times New Roman" w:eastAsia="Times New Roman"/>
          <w:b/>
          <w:spacing w:val="-2"/>
          <w:sz w:val="21"/>
        </w:rPr>
        <w:t>HIV</w:t>
      </w:r>
      <w:r>
        <w:rPr>
          <w:rFonts w:ascii="微软雅黑" w:eastAsia="微软雅黑"/>
          <w:b/>
          <w:spacing w:val="-2"/>
          <w:sz w:val="21"/>
        </w:rPr>
        <w:t>）</w:t>
      </w:r>
      <w:r>
        <w:rPr>
          <w:rFonts w:ascii="微软雅黑" w:eastAsia="微软雅黑"/>
          <w:b/>
          <w:spacing w:val="-3"/>
          <w:sz w:val="21"/>
        </w:rPr>
        <w:t>感染不在责任免除范围内；</w:t>
      </w:r>
    </w:p>
    <w:p>
      <w:pPr>
        <w:pStyle w:val="ListParagraph"/>
        <w:numPr>
          <w:ilvl w:val="0"/>
          <w:numId w:val="20"/>
        </w:numPr>
        <w:tabs>
          <w:tab w:pos="3682" w:val="left" w:leader="none"/>
        </w:tabs>
        <w:spacing w:line="272" w:lineRule="exact" w:before="0" w:after="0"/>
        <w:ind w:left="3682" w:right="2928" w:hanging="3682"/>
        <w:jc w:val="right"/>
        <w:rPr>
          <w:rFonts w:ascii="微软雅黑" w:eastAsia="微软雅黑"/>
          <w:b/>
          <w:sz w:val="21"/>
        </w:rPr>
      </w:pPr>
      <w:r>
        <w:rPr>
          <w:rFonts w:ascii="微软雅黑" w:eastAsia="微软雅黑"/>
          <w:b/>
          <w:spacing w:val="-3"/>
          <w:sz w:val="21"/>
        </w:rPr>
        <w:t>战争、军事冲突、暴乱或武装叛乱；</w:t>
      </w:r>
    </w:p>
    <w:p>
      <w:pPr>
        <w:pStyle w:val="ListParagraph"/>
        <w:numPr>
          <w:ilvl w:val="0"/>
          <w:numId w:val="20"/>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3"/>
          <w:sz w:val="21"/>
        </w:rPr>
        <w:t>核爆炸、核辐射或核污染；</w:t>
      </w:r>
    </w:p>
    <w:p>
      <w:pPr>
        <w:pStyle w:val="ListParagraph"/>
        <w:numPr>
          <w:ilvl w:val="0"/>
          <w:numId w:val="20"/>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6"/>
          <w:sz w:val="21"/>
        </w:rPr>
        <w:t>遗传性疾病</w:t>
      </w:r>
      <w:r>
        <w:rPr>
          <w:spacing w:val="-6"/>
          <w:sz w:val="21"/>
        </w:rPr>
        <w:t>（</w:t>
      </w:r>
      <w:r>
        <w:rPr>
          <w:spacing w:val="-7"/>
          <w:sz w:val="21"/>
        </w:rPr>
        <w:t>见 </w:t>
      </w:r>
      <w:r>
        <w:rPr>
          <w:rFonts w:ascii="Times New Roman" w:eastAsia="Times New Roman"/>
          <w:spacing w:val="12"/>
          <w:sz w:val="21"/>
        </w:rPr>
        <w:t>14.</w:t>
      </w:r>
      <w:r>
        <w:rPr>
          <w:rFonts w:ascii="Times New Roman" w:eastAsia="Times New Roman"/>
          <w:spacing w:val="9"/>
          <w:sz w:val="21"/>
        </w:rPr>
        <w:t>1</w:t>
      </w:r>
      <w:r>
        <w:rPr>
          <w:rFonts w:ascii="Times New Roman" w:eastAsia="Times New Roman"/>
          <w:spacing w:val="11"/>
          <w:sz w:val="21"/>
        </w:rPr>
        <w:t>6</w:t>
      </w:r>
      <w:r>
        <w:rPr>
          <w:spacing w:val="-96"/>
          <w:sz w:val="21"/>
        </w:rPr>
        <w:t>）</w:t>
      </w:r>
      <w:r>
        <w:rPr>
          <w:rFonts w:ascii="微软雅黑" w:eastAsia="微软雅黑"/>
          <w:b/>
          <w:spacing w:val="-7"/>
          <w:sz w:val="21"/>
        </w:rPr>
        <w:t>、先天性畸形、变形或染色体异常</w:t>
      </w:r>
    </w:p>
    <w:p>
      <w:pPr>
        <w:spacing w:line="168" w:lineRule="auto" w:before="25"/>
        <w:ind w:left="3681" w:right="628" w:hanging="3"/>
        <w:jc w:val="left"/>
        <w:rPr>
          <w:rFonts w:ascii="微软雅黑" w:eastAsia="微软雅黑"/>
          <w:b/>
          <w:sz w:val="21"/>
        </w:rPr>
      </w:pPr>
      <w:r>
        <w:rPr>
          <w:spacing w:val="-6"/>
          <w:sz w:val="21"/>
        </w:rPr>
        <w:t>（</w:t>
      </w:r>
      <w:r>
        <w:rPr>
          <w:spacing w:val="-22"/>
          <w:sz w:val="21"/>
        </w:rPr>
        <w:t>见 </w:t>
      </w:r>
      <w:r>
        <w:rPr>
          <w:rFonts w:ascii="Times New Roman" w:eastAsia="Times New Roman"/>
          <w:spacing w:val="9"/>
          <w:sz w:val="21"/>
        </w:rPr>
        <w:t>1</w:t>
      </w:r>
      <w:r>
        <w:rPr>
          <w:rFonts w:ascii="Times New Roman" w:eastAsia="Times New Roman"/>
          <w:spacing w:val="12"/>
          <w:sz w:val="21"/>
        </w:rPr>
        <w:t>4.17</w:t>
      </w:r>
      <w:r>
        <w:rPr>
          <w:spacing w:val="-96"/>
          <w:sz w:val="21"/>
        </w:rPr>
        <w:t>）</w:t>
      </w:r>
      <w:r>
        <w:rPr>
          <w:rFonts w:ascii="微软雅黑" w:eastAsia="微软雅黑"/>
          <w:b/>
          <w:spacing w:val="-7"/>
          <w:sz w:val="21"/>
        </w:rPr>
        <w:t>，但本合同第 </w:t>
      </w:r>
      <w:r>
        <w:rPr>
          <w:rFonts w:ascii="Times New Roman" w:eastAsia="Times New Roman"/>
          <w:b/>
          <w:spacing w:val="-6"/>
          <w:sz w:val="21"/>
        </w:rPr>
        <w:t>10.37</w:t>
      </w:r>
      <w:r>
        <w:rPr>
          <w:rFonts w:ascii="微软雅黑" w:eastAsia="微软雅黑"/>
          <w:b/>
          <w:spacing w:val="-6"/>
          <w:sz w:val="21"/>
        </w:rPr>
        <w:t>、</w:t>
      </w:r>
      <w:r>
        <w:rPr>
          <w:rFonts w:ascii="Times New Roman" w:eastAsia="Times New Roman"/>
          <w:b/>
          <w:spacing w:val="-6"/>
          <w:sz w:val="21"/>
        </w:rPr>
        <w:t>11.19</w:t>
      </w:r>
      <w:r>
        <w:rPr>
          <w:rFonts w:ascii="微软雅黑" w:eastAsia="微软雅黑"/>
          <w:b/>
          <w:spacing w:val="-6"/>
          <w:sz w:val="21"/>
        </w:rPr>
        <w:t>、</w:t>
      </w:r>
      <w:r>
        <w:rPr>
          <w:rFonts w:ascii="Times New Roman" w:eastAsia="Times New Roman"/>
          <w:b/>
          <w:spacing w:val="-6"/>
          <w:sz w:val="21"/>
        </w:rPr>
        <w:t>12.36</w:t>
      </w:r>
      <w:r>
        <w:rPr>
          <w:rFonts w:ascii="微软雅黑" w:eastAsia="微软雅黑"/>
          <w:b/>
          <w:spacing w:val="-6"/>
          <w:sz w:val="21"/>
        </w:rPr>
        <w:t>、</w:t>
      </w:r>
      <w:r>
        <w:rPr>
          <w:rFonts w:ascii="Times New Roman" w:eastAsia="Times New Roman"/>
          <w:b/>
          <w:spacing w:val="-6"/>
          <w:sz w:val="21"/>
        </w:rPr>
        <w:t>12.70</w:t>
      </w:r>
      <w:r>
        <w:rPr>
          <w:rFonts w:ascii="微软雅黑" w:eastAsia="微软雅黑"/>
          <w:b/>
          <w:spacing w:val="-6"/>
          <w:sz w:val="21"/>
        </w:rPr>
        <w:t>、</w:t>
      </w:r>
      <w:r>
        <w:rPr>
          <w:rFonts w:ascii="Times New Roman" w:eastAsia="Times New Roman"/>
          <w:b/>
          <w:spacing w:val="-6"/>
          <w:sz w:val="21"/>
        </w:rPr>
        <w:t>12.81</w:t>
      </w:r>
      <w:r>
        <w:rPr>
          <w:rFonts w:ascii="微软雅黑" w:eastAsia="微软雅黑"/>
          <w:b/>
          <w:spacing w:val="-6"/>
          <w:sz w:val="21"/>
        </w:rPr>
        <w:t>、 </w:t>
      </w:r>
      <w:r>
        <w:rPr>
          <w:rFonts w:ascii="Times New Roman" w:eastAsia="Times New Roman"/>
          <w:b/>
          <w:sz w:val="21"/>
        </w:rPr>
        <w:t>12.82</w:t>
      </w:r>
      <w:r>
        <w:rPr>
          <w:rFonts w:ascii="微软雅黑" w:eastAsia="微软雅黑"/>
          <w:b/>
          <w:sz w:val="21"/>
        </w:rPr>
        <w:t>、</w:t>
      </w:r>
      <w:r>
        <w:rPr>
          <w:rFonts w:ascii="Times New Roman" w:eastAsia="Times New Roman"/>
          <w:b/>
          <w:sz w:val="21"/>
        </w:rPr>
        <w:t>12.84</w:t>
      </w:r>
      <w:r>
        <w:rPr>
          <w:rFonts w:ascii="微软雅黑" w:eastAsia="微软雅黑"/>
          <w:b/>
          <w:sz w:val="21"/>
        </w:rPr>
        <w:t>、</w:t>
      </w:r>
      <w:r>
        <w:rPr>
          <w:rFonts w:ascii="Times New Roman" w:eastAsia="Times New Roman"/>
          <w:b/>
          <w:sz w:val="21"/>
        </w:rPr>
        <w:t>12.98</w:t>
      </w:r>
      <w:r>
        <w:rPr>
          <w:rFonts w:ascii="微软雅黑" w:eastAsia="微软雅黑"/>
          <w:b/>
          <w:sz w:val="21"/>
        </w:rPr>
        <w:t>、</w:t>
      </w:r>
      <w:r>
        <w:rPr>
          <w:rFonts w:ascii="Times New Roman" w:eastAsia="Times New Roman"/>
          <w:b/>
          <w:sz w:val="21"/>
        </w:rPr>
        <w:t>12.105 </w:t>
      </w:r>
      <w:r>
        <w:rPr>
          <w:rFonts w:ascii="微软雅黑" w:eastAsia="微软雅黑"/>
          <w:b/>
          <w:sz w:val="21"/>
        </w:rPr>
        <w:t>以及 </w:t>
      </w:r>
      <w:r>
        <w:rPr>
          <w:rFonts w:ascii="Times New Roman" w:eastAsia="Times New Roman"/>
          <w:b/>
          <w:sz w:val="21"/>
        </w:rPr>
        <w:t>12.108 </w:t>
      </w:r>
      <w:r>
        <w:rPr>
          <w:rFonts w:ascii="微软雅黑" w:eastAsia="微软雅黑"/>
          <w:b/>
          <w:sz w:val="21"/>
        </w:rPr>
        <w:t>条约定的遗传性疾</w:t>
      </w:r>
      <w:r>
        <w:rPr>
          <w:rFonts w:ascii="微软雅黑" w:eastAsia="微软雅黑"/>
          <w:b/>
          <w:sz w:val="21"/>
        </w:rPr>
        <w:t> </w:t>
      </w:r>
      <w:r>
        <w:rPr>
          <w:rFonts w:ascii="微软雅黑" w:eastAsia="微软雅黑"/>
          <w:b/>
          <w:spacing w:val="-2"/>
          <w:sz w:val="21"/>
        </w:rPr>
        <w:t>病不在责任免除范围内。</w:t>
      </w:r>
    </w:p>
    <w:p>
      <w:pPr>
        <w:pStyle w:val="BodyText"/>
        <w:spacing w:before="11" w:after="1"/>
        <w:ind w:left="0"/>
        <w:rPr>
          <w:rFonts w:ascii="微软雅黑"/>
          <w:b/>
          <w:sz w:val="13"/>
        </w:r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5"/>
        <w:gridCol w:w="2056"/>
        <w:gridCol w:w="6524"/>
      </w:tblGrid>
      <w:tr>
        <w:trPr>
          <w:trHeight w:val="910" w:hRule="atLeast"/>
        </w:trPr>
        <w:tc>
          <w:tcPr>
            <w:tcW w:w="2721" w:type="dxa"/>
            <w:gridSpan w:val="2"/>
            <w:vMerge w:val="restart"/>
          </w:tcPr>
          <w:p>
            <w:pPr>
              <w:pStyle w:val="TableParagraph"/>
              <w:rPr>
                <w:rFonts w:ascii="Times New Roman"/>
                <w:sz w:val="20"/>
              </w:rPr>
            </w:pPr>
          </w:p>
        </w:tc>
        <w:tc>
          <w:tcPr>
            <w:tcW w:w="6524" w:type="dxa"/>
          </w:tcPr>
          <w:p>
            <w:pPr>
              <w:pStyle w:val="TableParagraph"/>
              <w:spacing w:line="168" w:lineRule="auto"/>
              <w:ind w:left="317" w:right="104"/>
              <w:jc w:val="both"/>
              <w:rPr>
                <w:rFonts w:ascii="微软雅黑" w:eastAsia="微软雅黑"/>
                <w:b/>
                <w:sz w:val="21"/>
              </w:rPr>
            </w:pPr>
            <w:r>
              <w:rPr>
                <w:rFonts w:ascii="微软雅黑" w:eastAsia="微软雅黑"/>
                <w:b/>
                <w:spacing w:val="-2"/>
                <w:sz w:val="21"/>
              </w:rPr>
              <w:t>发生上述第（</w:t>
            </w:r>
            <w:r>
              <w:rPr>
                <w:rFonts w:ascii="Times New Roman" w:eastAsia="Times New Roman"/>
                <w:b/>
                <w:spacing w:val="-2"/>
                <w:sz w:val="21"/>
              </w:rPr>
              <w:t>1</w:t>
            </w:r>
            <w:r>
              <w:rPr>
                <w:rFonts w:ascii="微软雅黑" w:eastAsia="微软雅黑"/>
                <w:b/>
                <w:spacing w:val="-2"/>
                <w:sz w:val="21"/>
              </w:rPr>
              <w:t>）项情形导致被保险人患本合同约定保障范围及定</w:t>
            </w:r>
            <w:r>
              <w:rPr>
                <w:rFonts w:ascii="微软雅黑" w:eastAsia="微软雅黑"/>
                <w:b/>
                <w:spacing w:val="-2"/>
                <w:sz w:val="21"/>
              </w:rPr>
              <w:t>义的轻度疾病、中度疾病、重度疾病或导致被保险人全残的，本合</w:t>
            </w:r>
            <w:r>
              <w:rPr>
                <w:rFonts w:ascii="微软雅黑" w:eastAsia="微软雅黑"/>
                <w:b/>
                <w:spacing w:val="-2"/>
                <w:sz w:val="21"/>
              </w:rPr>
              <w:t>同效力终止，我们向被保险人退还本合同的现金价值。</w:t>
            </w:r>
          </w:p>
        </w:tc>
      </w:tr>
      <w:tr>
        <w:trPr>
          <w:trHeight w:val="790" w:hRule="atLeast"/>
        </w:trPr>
        <w:tc>
          <w:tcPr>
            <w:tcW w:w="2721" w:type="dxa"/>
            <w:gridSpan w:val="2"/>
            <w:vMerge/>
            <w:tcBorders>
              <w:top w:val="nil"/>
            </w:tcBorders>
          </w:tcPr>
          <w:p>
            <w:pPr>
              <w:rPr>
                <w:sz w:val="2"/>
                <w:szCs w:val="2"/>
              </w:rPr>
            </w:pPr>
          </w:p>
        </w:tc>
        <w:tc>
          <w:tcPr>
            <w:tcW w:w="6524" w:type="dxa"/>
          </w:tcPr>
          <w:p>
            <w:pPr>
              <w:pStyle w:val="TableParagraph"/>
              <w:spacing w:line="170" w:lineRule="auto" w:before="139"/>
              <w:ind w:left="317" w:right="110"/>
              <w:rPr>
                <w:rFonts w:ascii="微软雅黑" w:eastAsia="微软雅黑"/>
                <w:b/>
                <w:sz w:val="21"/>
              </w:rPr>
            </w:pPr>
            <w:r>
              <w:rPr>
                <w:rFonts w:ascii="微软雅黑" w:eastAsia="微软雅黑"/>
                <w:b/>
                <w:spacing w:val="-2"/>
                <w:sz w:val="21"/>
              </w:rPr>
              <w:t>发生上述第（</w:t>
            </w:r>
            <w:r>
              <w:rPr>
                <w:rFonts w:ascii="Times New Roman" w:eastAsia="Times New Roman"/>
                <w:b/>
                <w:spacing w:val="-2"/>
                <w:sz w:val="21"/>
              </w:rPr>
              <w:t>1</w:t>
            </w:r>
            <w:r>
              <w:rPr>
                <w:rFonts w:ascii="微软雅黑" w:eastAsia="微软雅黑"/>
                <w:b/>
                <w:spacing w:val="-2"/>
                <w:sz w:val="21"/>
              </w:rPr>
              <w:t>）项情形导致被保险人身故的，本合同效力终止，</w:t>
            </w:r>
            <w:r>
              <w:rPr>
                <w:rFonts w:ascii="微软雅黑" w:eastAsia="微软雅黑"/>
                <w:b/>
                <w:spacing w:val="-2"/>
                <w:sz w:val="21"/>
              </w:rPr>
              <w:t>我们向被保险人的继承人退还本合同的现金价值。</w:t>
            </w:r>
          </w:p>
        </w:tc>
      </w:tr>
      <w:tr>
        <w:trPr>
          <w:trHeight w:val="392" w:hRule="atLeast"/>
        </w:trPr>
        <w:tc>
          <w:tcPr>
            <w:tcW w:w="2721" w:type="dxa"/>
            <w:gridSpan w:val="2"/>
            <w:vMerge/>
            <w:tcBorders>
              <w:top w:val="nil"/>
            </w:tcBorders>
          </w:tcPr>
          <w:p>
            <w:pPr>
              <w:rPr>
                <w:sz w:val="2"/>
                <w:szCs w:val="2"/>
              </w:rPr>
            </w:pPr>
          </w:p>
        </w:tc>
        <w:tc>
          <w:tcPr>
            <w:tcW w:w="6524" w:type="dxa"/>
          </w:tcPr>
          <w:p>
            <w:pPr>
              <w:pStyle w:val="TableParagraph"/>
              <w:spacing w:line="317" w:lineRule="exact" w:before="55"/>
              <w:ind w:left="317"/>
              <w:rPr>
                <w:rFonts w:ascii="微软雅黑" w:eastAsia="微软雅黑"/>
                <w:b/>
                <w:sz w:val="21"/>
              </w:rPr>
            </w:pPr>
            <w:r>
              <w:rPr>
                <w:rFonts w:ascii="微软雅黑" w:eastAsia="微软雅黑"/>
                <w:b/>
                <w:spacing w:val="-1"/>
                <w:sz w:val="21"/>
              </w:rPr>
              <w:t>发生上述其他情形导致被保险人患本合同约定保障范围及定义的</w:t>
            </w:r>
          </w:p>
        </w:tc>
      </w:tr>
      <w:tr>
        <w:trPr>
          <w:trHeight w:val="272" w:hRule="atLeast"/>
        </w:trPr>
        <w:tc>
          <w:tcPr>
            <w:tcW w:w="2721" w:type="dxa"/>
            <w:gridSpan w:val="2"/>
            <w:vMerge/>
            <w:tcBorders>
              <w:top w:val="nil"/>
            </w:tcBorders>
          </w:tcPr>
          <w:p>
            <w:pPr>
              <w:rPr>
                <w:sz w:val="2"/>
                <w:szCs w:val="2"/>
              </w:rPr>
            </w:pPr>
          </w:p>
        </w:tc>
        <w:tc>
          <w:tcPr>
            <w:tcW w:w="6524" w:type="dxa"/>
          </w:tcPr>
          <w:p>
            <w:pPr>
              <w:pStyle w:val="TableParagraph"/>
              <w:spacing w:line="252" w:lineRule="exact"/>
              <w:ind w:left="317"/>
              <w:rPr>
                <w:rFonts w:ascii="微软雅黑" w:eastAsia="微软雅黑"/>
                <w:b/>
                <w:sz w:val="21"/>
              </w:rPr>
            </w:pPr>
            <w:r>
              <w:rPr>
                <w:rFonts w:ascii="微软雅黑" w:eastAsia="微软雅黑"/>
                <w:b/>
                <w:spacing w:val="-3"/>
                <w:sz w:val="21"/>
              </w:rPr>
              <w:t>轻度疾病、中度疾病、重度疾病，或导致被保险人身故或全残的，</w:t>
            </w:r>
          </w:p>
        </w:tc>
      </w:tr>
      <w:tr>
        <w:trPr>
          <w:trHeight w:val="427" w:hRule="atLeast"/>
        </w:trPr>
        <w:tc>
          <w:tcPr>
            <w:tcW w:w="2721" w:type="dxa"/>
            <w:gridSpan w:val="2"/>
            <w:vMerge/>
            <w:tcBorders>
              <w:top w:val="nil"/>
            </w:tcBorders>
          </w:tcPr>
          <w:p>
            <w:pPr>
              <w:rPr>
                <w:sz w:val="2"/>
                <w:szCs w:val="2"/>
              </w:rPr>
            </w:pPr>
          </w:p>
        </w:tc>
        <w:tc>
          <w:tcPr>
            <w:tcW w:w="6524" w:type="dxa"/>
          </w:tcPr>
          <w:p>
            <w:pPr>
              <w:pStyle w:val="TableParagraph"/>
              <w:spacing w:line="323" w:lineRule="exact"/>
              <w:ind w:left="317"/>
              <w:rPr>
                <w:rFonts w:ascii="微软雅黑" w:eastAsia="微软雅黑"/>
                <w:b/>
                <w:sz w:val="21"/>
              </w:rPr>
            </w:pPr>
            <w:r>
              <w:rPr>
                <w:rFonts w:ascii="微软雅黑" w:eastAsia="微软雅黑"/>
                <w:b/>
                <w:spacing w:val="-3"/>
                <w:sz w:val="21"/>
              </w:rPr>
              <w:t>本合同效力终止，我们向您退还本合同的现金价值。</w:t>
            </w:r>
          </w:p>
        </w:tc>
      </w:tr>
      <w:tr>
        <w:trPr>
          <w:trHeight w:val="545" w:hRule="atLeast"/>
        </w:trPr>
        <w:tc>
          <w:tcPr>
            <w:tcW w:w="665" w:type="dxa"/>
            <w:tcBorders>
              <w:bottom w:val="single" w:sz="4" w:space="0" w:color="000000"/>
            </w:tcBorders>
          </w:tcPr>
          <w:p>
            <w:pPr>
              <w:pStyle w:val="TableParagraph"/>
              <w:spacing w:before="175"/>
              <w:ind w:left="108"/>
              <w:rPr>
                <w:rFonts w:ascii="Times New Roman"/>
                <w:b/>
                <w:sz w:val="24"/>
              </w:rPr>
            </w:pPr>
            <w:r>
              <w:rPr>
                <w:rFonts w:ascii="Times New Roman"/>
                <w:b/>
                <w:sz w:val="24"/>
              </w:rPr>
              <w:t>3</w:t>
            </w:r>
          </w:p>
        </w:tc>
        <w:tc>
          <w:tcPr>
            <w:tcW w:w="2056" w:type="dxa"/>
            <w:tcBorders>
              <w:bottom w:val="single" w:sz="4" w:space="0" w:color="000000"/>
            </w:tcBorders>
          </w:tcPr>
          <w:p>
            <w:pPr>
              <w:pStyle w:val="TableParagraph"/>
              <w:spacing w:line="441" w:lineRule="exact" w:before="85"/>
              <w:ind w:left="292"/>
              <w:rPr>
                <w:rFonts w:ascii="微软雅黑" w:eastAsia="微软雅黑"/>
                <w:b/>
                <w:sz w:val="24"/>
              </w:rPr>
            </w:pPr>
            <w:r>
              <w:rPr>
                <w:rFonts w:ascii="微软雅黑" w:eastAsia="微软雅黑"/>
                <w:b/>
                <w:spacing w:val="-2"/>
                <w:sz w:val="24"/>
              </w:rPr>
              <w:t>保险金的申请</w:t>
            </w:r>
          </w:p>
        </w:tc>
        <w:tc>
          <w:tcPr>
            <w:tcW w:w="6524" w:type="dxa"/>
            <w:tcBorders>
              <w:bottom w:val="single" w:sz="4" w:space="0" w:color="000000"/>
            </w:tcBorders>
          </w:tcPr>
          <w:p>
            <w:pPr>
              <w:pStyle w:val="TableParagraph"/>
              <w:rPr>
                <w:rFonts w:ascii="Times New Roman"/>
                <w:sz w:val="20"/>
              </w:rPr>
            </w:pPr>
          </w:p>
        </w:tc>
      </w:tr>
      <w:tr>
        <w:trPr>
          <w:trHeight w:val="513" w:hRule="atLeast"/>
        </w:trPr>
        <w:tc>
          <w:tcPr>
            <w:tcW w:w="665" w:type="dxa"/>
            <w:tcBorders>
              <w:top w:val="single" w:sz="4" w:space="0" w:color="000000"/>
            </w:tcBorders>
          </w:tcPr>
          <w:p>
            <w:pPr>
              <w:pStyle w:val="TableParagraph"/>
              <w:spacing w:before="14"/>
              <w:rPr>
                <w:rFonts w:ascii="微软雅黑"/>
                <w:b/>
                <w:sz w:val="12"/>
              </w:rPr>
            </w:pPr>
          </w:p>
          <w:p>
            <w:pPr>
              <w:pStyle w:val="TableParagraph"/>
              <w:ind w:left="108"/>
              <w:rPr>
                <w:rFonts w:ascii="Times New Roman"/>
                <w:sz w:val="21"/>
              </w:rPr>
            </w:pPr>
            <w:r>
              <w:rPr>
                <w:rFonts w:ascii="Times New Roman"/>
                <w:spacing w:val="-5"/>
                <w:sz w:val="21"/>
              </w:rPr>
              <w:t>3.1</w:t>
            </w:r>
          </w:p>
        </w:tc>
        <w:tc>
          <w:tcPr>
            <w:tcW w:w="2056" w:type="dxa"/>
            <w:tcBorders>
              <w:top w:val="single" w:sz="4" w:space="0" w:color="000000"/>
            </w:tcBorders>
          </w:tcPr>
          <w:p>
            <w:pPr>
              <w:pStyle w:val="TableParagraph"/>
              <w:spacing w:line="317" w:lineRule="exact" w:before="176"/>
              <w:ind w:left="292"/>
              <w:rPr>
                <w:rFonts w:ascii="微软雅黑" w:eastAsia="微软雅黑"/>
                <w:b/>
                <w:sz w:val="21"/>
              </w:rPr>
            </w:pPr>
            <w:r>
              <w:rPr>
                <w:rFonts w:ascii="微软雅黑" w:eastAsia="微软雅黑"/>
                <w:b/>
                <w:spacing w:val="-4"/>
                <w:sz w:val="21"/>
              </w:rPr>
              <w:t>受益人</w:t>
            </w:r>
          </w:p>
        </w:tc>
        <w:tc>
          <w:tcPr>
            <w:tcW w:w="6524" w:type="dxa"/>
            <w:tcBorders>
              <w:top w:val="single" w:sz="4" w:space="0" w:color="000000"/>
            </w:tcBorders>
          </w:tcPr>
          <w:p>
            <w:pPr>
              <w:pStyle w:val="TableParagraph"/>
              <w:spacing w:before="3"/>
              <w:rPr>
                <w:rFonts w:ascii="微软雅黑"/>
                <w:b/>
                <w:sz w:val="13"/>
              </w:rPr>
            </w:pPr>
          </w:p>
          <w:p>
            <w:pPr>
              <w:pStyle w:val="TableParagraph"/>
              <w:spacing w:line="250" w:lineRule="exact"/>
              <w:ind w:left="317"/>
              <w:rPr>
                <w:sz w:val="21"/>
              </w:rPr>
            </w:pPr>
            <w:r>
              <w:rPr>
                <w:spacing w:val="-3"/>
                <w:sz w:val="21"/>
              </w:rPr>
              <w:t>您或者被保险人可以指定一人或多人为身故保险金受益人。身故保</w:t>
            </w:r>
          </w:p>
        </w:tc>
      </w:tr>
      <w:tr>
        <w:trPr>
          <w:trHeight w:val="272" w:hRule="atLeast"/>
        </w:trPr>
        <w:tc>
          <w:tcPr>
            <w:tcW w:w="2721" w:type="dxa"/>
            <w:gridSpan w:val="2"/>
            <w:vMerge w:val="restart"/>
          </w:tcPr>
          <w:p>
            <w:pPr>
              <w:pStyle w:val="TableParagraph"/>
              <w:rPr>
                <w:rFonts w:ascii="Times New Roman"/>
                <w:sz w:val="20"/>
              </w:rPr>
            </w:pPr>
          </w:p>
        </w:tc>
        <w:tc>
          <w:tcPr>
            <w:tcW w:w="6524" w:type="dxa"/>
          </w:tcPr>
          <w:p>
            <w:pPr>
              <w:pStyle w:val="TableParagraph"/>
              <w:spacing w:line="251" w:lineRule="exact" w:before="1"/>
              <w:ind w:left="317"/>
              <w:rPr>
                <w:sz w:val="21"/>
              </w:rPr>
            </w:pPr>
            <w:r>
              <w:rPr>
                <w:spacing w:val="-3"/>
                <w:sz w:val="21"/>
              </w:rPr>
              <w:t>险金受益人为多人时，可以确定受益顺序和受益份额；如果没有确</w:t>
            </w:r>
          </w:p>
        </w:tc>
      </w:tr>
      <w:tr>
        <w:trPr>
          <w:trHeight w:val="393" w:hRule="atLeast"/>
        </w:trPr>
        <w:tc>
          <w:tcPr>
            <w:tcW w:w="2721" w:type="dxa"/>
            <w:gridSpan w:val="2"/>
            <w:vMerge/>
            <w:tcBorders>
              <w:top w:val="nil"/>
            </w:tcBorders>
          </w:tcPr>
          <w:p>
            <w:pPr>
              <w:rPr>
                <w:sz w:val="2"/>
                <w:szCs w:val="2"/>
              </w:rPr>
            </w:pPr>
          </w:p>
        </w:tc>
        <w:tc>
          <w:tcPr>
            <w:tcW w:w="6524" w:type="dxa"/>
          </w:tcPr>
          <w:p>
            <w:pPr>
              <w:pStyle w:val="TableParagraph"/>
              <w:spacing w:before="2"/>
              <w:ind w:left="317"/>
              <w:rPr>
                <w:sz w:val="21"/>
              </w:rPr>
            </w:pPr>
            <w:r>
              <w:rPr>
                <w:spacing w:val="-3"/>
                <w:sz w:val="21"/>
              </w:rPr>
              <w:t>定份额，各受益人按照相等份额享有受益权。</w:t>
            </w:r>
          </w:p>
        </w:tc>
      </w:tr>
      <w:tr>
        <w:trPr>
          <w:trHeight w:val="392" w:hRule="atLeast"/>
        </w:trPr>
        <w:tc>
          <w:tcPr>
            <w:tcW w:w="2721" w:type="dxa"/>
            <w:gridSpan w:val="2"/>
            <w:vMerge/>
            <w:tcBorders>
              <w:top w:val="nil"/>
            </w:tcBorders>
          </w:tcPr>
          <w:p>
            <w:pPr>
              <w:rPr>
                <w:sz w:val="2"/>
                <w:szCs w:val="2"/>
              </w:rPr>
            </w:pPr>
          </w:p>
        </w:tc>
        <w:tc>
          <w:tcPr>
            <w:tcW w:w="6524" w:type="dxa"/>
          </w:tcPr>
          <w:p>
            <w:pPr>
              <w:pStyle w:val="TableParagraph"/>
              <w:spacing w:line="250" w:lineRule="exact" w:before="122"/>
              <w:ind w:left="317"/>
              <w:rPr>
                <w:sz w:val="21"/>
              </w:rPr>
            </w:pPr>
            <w:r>
              <w:rPr>
                <w:spacing w:val="-3"/>
                <w:sz w:val="21"/>
              </w:rPr>
              <w:t>被保险人为无民事行为能力或限制民事行为能力人的，可以由其监</w:t>
            </w:r>
          </w:p>
        </w:tc>
      </w:tr>
      <w:tr>
        <w:trPr>
          <w:trHeight w:val="393" w:hRule="atLeast"/>
        </w:trPr>
        <w:tc>
          <w:tcPr>
            <w:tcW w:w="2721" w:type="dxa"/>
            <w:gridSpan w:val="2"/>
            <w:vMerge/>
            <w:tcBorders>
              <w:top w:val="nil"/>
            </w:tcBorders>
          </w:tcPr>
          <w:p>
            <w:pPr>
              <w:rPr>
                <w:sz w:val="2"/>
                <w:szCs w:val="2"/>
              </w:rPr>
            </w:pPr>
          </w:p>
        </w:tc>
        <w:tc>
          <w:tcPr>
            <w:tcW w:w="6524" w:type="dxa"/>
          </w:tcPr>
          <w:p>
            <w:pPr>
              <w:pStyle w:val="TableParagraph"/>
              <w:spacing w:before="1"/>
              <w:ind w:left="317"/>
              <w:rPr>
                <w:sz w:val="21"/>
              </w:rPr>
            </w:pPr>
            <w:r>
              <w:rPr>
                <w:spacing w:val="-4"/>
                <w:sz w:val="21"/>
              </w:rPr>
              <w:t>护人指定受益人。</w:t>
            </w:r>
          </w:p>
        </w:tc>
      </w:tr>
      <w:tr>
        <w:trPr>
          <w:trHeight w:val="393" w:hRule="atLeast"/>
        </w:trPr>
        <w:tc>
          <w:tcPr>
            <w:tcW w:w="2721" w:type="dxa"/>
            <w:gridSpan w:val="2"/>
            <w:vMerge/>
            <w:tcBorders>
              <w:top w:val="nil"/>
            </w:tcBorders>
          </w:tcPr>
          <w:p>
            <w:pPr>
              <w:rPr>
                <w:sz w:val="2"/>
                <w:szCs w:val="2"/>
              </w:rPr>
            </w:pPr>
          </w:p>
        </w:tc>
        <w:tc>
          <w:tcPr>
            <w:tcW w:w="6524" w:type="dxa"/>
          </w:tcPr>
          <w:p>
            <w:pPr>
              <w:pStyle w:val="TableParagraph"/>
              <w:spacing w:line="250" w:lineRule="exact" w:before="124"/>
              <w:ind w:left="317"/>
              <w:rPr>
                <w:sz w:val="21"/>
              </w:rPr>
            </w:pPr>
            <w:r>
              <w:rPr>
                <w:spacing w:val="-3"/>
                <w:sz w:val="21"/>
              </w:rPr>
              <w:t>您或者被保险人可以在被保险人身故前变更身故保险金受益人并书</w:t>
            </w:r>
          </w:p>
        </w:tc>
      </w:tr>
      <w:tr>
        <w:trPr>
          <w:trHeight w:val="271" w:hRule="atLeast"/>
        </w:trPr>
        <w:tc>
          <w:tcPr>
            <w:tcW w:w="2721" w:type="dxa"/>
            <w:gridSpan w:val="2"/>
            <w:vMerge/>
            <w:tcBorders>
              <w:top w:val="nil"/>
            </w:tcBorders>
          </w:tcPr>
          <w:p>
            <w:pPr>
              <w:rPr>
                <w:sz w:val="2"/>
                <w:szCs w:val="2"/>
              </w:rPr>
            </w:pPr>
          </w:p>
        </w:tc>
        <w:tc>
          <w:tcPr>
            <w:tcW w:w="6524" w:type="dxa"/>
          </w:tcPr>
          <w:p>
            <w:pPr>
              <w:pStyle w:val="TableParagraph"/>
              <w:spacing w:line="250" w:lineRule="exact" w:before="1"/>
              <w:ind w:left="317"/>
              <w:rPr>
                <w:sz w:val="21"/>
              </w:rPr>
            </w:pPr>
            <w:r>
              <w:rPr>
                <w:spacing w:val="-3"/>
                <w:sz w:val="21"/>
              </w:rPr>
              <w:t>面通知我们。我们收到变更受益人的书面通知后，在保险单或其他</w:t>
            </w:r>
          </w:p>
        </w:tc>
      </w:tr>
      <w:tr>
        <w:trPr>
          <w:trHeight w:val="272" w:hRule="atLeast"/>
        </w:trPr>
        <w:tc>
          <w:tcPr>
            <w:tcW w:w="2721" w:type="dxa"/>
            <w:gridSpan w:val="2"/>
            <w:vMerge/>
            <w:tcBorders>
              <w:top w:val="nil"/>
            </w:tcBorders>
          </w:tcPr>
          <w:p>
            <w:pPr>
              <w:rPr>
                <w:sz w:val="2"/>
                <w:szCs w:val="2"/>
              </w:rPr>
            </w:pPr>
          </w:p>
        </w:tc>
        <w:tc>
          <w:tcPr>
            <w:tcW w:w="6524" w:type="dxa"/>
          </w:tcPr>
          <w:p>
            <w:pPr>
              <w:pStyle w:val="TableParagraph"/>
              <w:spacing w:line="251" w:lineRule="exact" w:before="1"/>
              <w:ind w:left="317" w:right="-15"/>
              <w:rPr>
                <w:sz w:val="21"/>
              </w:rPr>
            </w:pPr>
            <w:r>
              <w:rPr>
                <w:spacing w:val="-10"/>
                <w:sz w:val="21"/>
              </w:rPr>
              <w:t>保险凭证上批注或附贴批单。您在指定和变更身故保险金受益人时，</w:t>
            </w:r>
          </w:p>
        </w:tc>
      </w:tr>
      <w:tr>
        <w:trPr>
          <w:trHeight w:val="393" w:hRule="atLeast"/>
        </w:trPr>
        <w:tc>
          <w:tcPr>
            <w:tcW w:w="2721" w:type="dxa"/>
            <w:gridSpan w:val="2"/>
            <w:vMerge/>
            <w:tcBorders>
              <w:top w:val="nil"/>
            </w:tcBorders>
          </w:tcPr>
          <w:p>
            <w:pPr>
              <w:rPr>
                <w:sz w:val="2"/>
                <w:szCs w:val="2"/>
              </w:rPr>
            </w:pPr>
          </w:p>
        </w:tc>
        <w:tc>
          <w:tcPr>
            <w:tcW w:w="6524" w:type="dxa"/>
          </w:tcPr>
          <w:p>
            <w:pPr>
              <w:pStyle w:val="TableParagraph"/>
              <w:spacing w:before="2"/>
              <w:ind w:left="317"/>
              <w:rPr>
                <w:sz w:val="21"/>
              </w:rPr>
            </w:pPr>
            <w:r>
              <w:rPr>
                <w:spacing w:val="-3"/>
                <w:sz w:val="21"/>
              </w:rPr>
              <w:t>必须经过被保险人同意。</w:t>
            </w:r>
          </w:p>
        </w:tc>
      </w:tr>
      <w:tr>
        <w:trPr>
          <w:trHeight w:val="393" w:hRule="atLeast"/>
        </w:trPr>
        <w:tc>
          <w:tcPr>
            <w:tcW w:w="2721" w:type="dxa"/>
            <w:gridSpan w:val="2"/>
            <w:vMerge/>
            <w:tcBorders>
              <w:top w:val="nil"/>
            </w:tcBorders>
          </w:tcPr>
          <w:p>
            <w:pPr>
              <w:rPr>
                <w:sz w:val="2"/>
                <w:szCs w:val="2"/>
              </w:rPr>
            </w:pPr>
          </w:p>
        </w:tc>
        <w:tc>
          <w:tcPr>
            <w:tcW w:w="6524" w:type="dxa"/>
          </w:tcPr>
          <w:p>
            <w:pPr>
              <w:pStyle w:val="TableParagraph"/>
              <w:spacing w:line="251" w:lineRule="exact" w:before="122"/>
              <w:ind w:left="317"/>
              <w:rPr>
                <w:sz w:val="21"/>
              </w:rPr>
            </w:pPr>
            <w:r>
              <w:rPr>
                <w:spacing w:val="-12"/>
                <w:sz w:val="21"/>
              </w:rPr>
              <w:t>被保险人身故后，有下列情形之一的，保险金作为被保险人的遗产，</w:t>
            </w:r>
          </w:p>
        </w:tc>
      </w:tr>
      <w:tr>
        <w:trPr>
          <w:trHeight w:val="272" w:hRule="atLeast"/>
        </w:trPr>
        <w:tc>
          <w:tcPr>
            <w:tcW w:w="2721" w:type="dxa"/>
            <w:gridSpan w:val="2"/>
            <w:vMerge/>
            <w:tcBorders>
              <w:top w:val="nil"/>
            </w:tcBorders>
          </w:tcPr>
          <w:p>
            <w:pPr>
              <w:rPr>
                <w:sz w:val="2"/>
                <w:szCs w:val="2"/>
              </w:rPr>
            </w:pPr>
          </w:p>
        </w:tc>
        <w:tc>
          <w:tcPr>
            <w:tcW w:w="6524" w:type="dxa"/>
          </w:tcPr>
          <w:p>
            <w:pPr>
              <w:pStyle w:val="TableParagraph"/>
              <w:spacing w:line="250" w:lineRule="exact" w:before="2"/>
              <w:ind w:left="317"/>
              <w:rPr>
                <w:sz w:val="21"/>
              </w:rPr>
            </w:pPr>
            <w:r>
              <w:rPr>
                <w:spacing w:val="-3"/>
                <w:sz w:val="21"/>
              </w:rPr>
              <w:t>由我们依照《中华人民共和国民法典》及相关法律法规的规定履行</w:t>
            </w:r>
          </w:p>
        </w:tc>
      </w:tr>
      <w:tr>
        <w:trPr>
          <w:trHeight w:val="528" w:hRule="atLeast"/>
        </w:trPr>
        <w:tc>
          <w:tcPr>
            <w:tcW w:w="2721" w:type="dxa"/>
            <w:gridSpan w:val="2"/>
            <w:vMerge/>
            <w:tcBorders>
              <w:top w:val="nil"/>
            </w:tcBorders>
          </w:tcPr>
          <w:p>
            <w:pPr>
              <w:rPr>
                <w:sz w:val="2"/>
                <w:szCs w:val="2"/>
              </w:rPr>
            </w:pPr>
          </w:p>
        </w:tc>
        <w:tc>
          <w:tcPr>
            <w:tcW w:w="6524" w:type="dxa"/>
          </w:tcPr>
          <w:p>
            <w:pPr>
              <w:pStyle w:val="TableParagraph"/>
              <w:spacing w:before="1"/>
              <w:ind w:left="317"/>
              <w:rPr>
                <w:sz w:val="21"/>
              </w:rPr>
            </w:pPr>
            <w:r>
              <w:rPr>
                <w:spacing w:val="-3"/>
                <w:sz w:val="21"/>
              </w:rPr>
              <w:t>给付保险金的义务：</w:t>
            </w:r>
          </w:p>
          <w:p>
            <w:pPr>
              <w:pStyle w:val="TableParagraph"/>
              <w:spacing w:line="236" w:lineRule="exact" w:before="2"/>
              <w:ind w:left="317"/>
              <w:rPr>
                <w:sz w:val="21"/>
              </w:rPr>
            </w:pPr>
            <w:r>
              <w:rPr>
                <w:spacing w:val="-2"/>
                <w:sz w:val="21"/>
              </w:rPr>
              <w:t>（</w:t>
            </w:r>
            <w:r>
              <w:rPr>
                <w:rFonts w:ascii="Times New Roman" w:eastAsia="Times New Roman"/>
                <w:spacing w:val="-2"/>
                <w:sz w:val="21"/>
              </w:rPr>
              <w:t>1</w:t>
            </w:r>
            <w:r>
              <w:rPr>
                <w:spacing w:val="-2"/>
                <w:sz w:val="21"/>
              </w:rPr>
              <w:t>）</w:t>
            </w:r>
            <w:r>
              <w:rPr>
                <w:spacing w:val="-3"/>
                <w:sz w:val="21"/>
              </w:rPr>
              <w:t>没有指定受益人，或者受益人指定不明无法确定的；</w:t>
            </w:r>
          </w:p>
        </w:tc>
      </w:tr>
    </w:tbl>
    <w:p>
      <w:pPr>
        <w:spacing w:after="0" w:line="236" w:lineRule="exact"/>
        <w:rPr>
          <w:sz w:val="21"/>
        </w:rPr>
        <w:sectPr>
          <w:pgSz w:w="11910" w:h="16840"/>
          <w:pgMar w:header="0" w:footer="878" w:top="1060" w:bottom="1060" w:left="1480" w:right="440"/>
        </w:sectPr>
      </w:pPr>
    </w:p>
    <w:p>
      <w:pPr>
        <w:pStyle w:val="ListParagraph"/>
        <w:numPr>
          <w:ilvl w:val="0"/>
          <w:numId w:val="21"/>
        </w:numPr>
        <w:tabs>
          <w:tab w:pos="3682" w:val="left" w:leader="none"/>
        </w:tabs>
        <w:spacing w:line="240" w:lineRule="auto" w:before="55" w:after="0"/>
        <w:ind w:left="3682" w:right="0" w:hanging="529"/>
        <w:jc w:val="left"/>
        <w:rPr>
          <w:sz w:val="21"/>
        </w:rPr>
      </w:pPr>
      <w:r>
        <w:rPr>
          <w:spacing w:val="-3"/>
          <w:sz w:val="21"/>
        </w:rPr>
        <w:t>受益人先于被保险人身故，没有其他受益人的；</w:t>
      </w:r>
    </w:p>
    <w:p>
      <w:pPr>
        <w:pStyle w:val="ListParagraph"/>
        <w:numPr>
          <w:ilvl w:val="0"/>
          <w:numId w:val="21"/>
        </w:numPr>
        <w:tabs>
          <w:tab w:pos="3682" w:val="left" w:leader="none"/>
        </w:tabs>
        <w:spacing w:line="240" w:lineRule="auto" w:before="5" w:after="0"/>
        <w:ind w:left="3682" w:right="0" w:hanging="529"/>
        <w:jc w:val="left"/>
        <w:rPr>
          <w:sz w:val="21"/>
        </w:rPr>
      </w:pPr>
      <w:r>
        <w:rPr>
          <w:spacing w:val="-3"/>
          <w:sz w:val="21"/>
        </w:rPr>
        <w:t>受益人依法丧失受益权或者放弃受益权，没有其他受益人的。</w:t>
      </w:r>
    </w:p>
    <w:p>
      <w:pPr>
        <w:pStyle w:val="BodyText"/>
        <w:spacing w:before="1"/>
        <w:ind w:left="0"/>
        <w:rPr>
          <w:sz w:val="19"/>
        </w:rPr>
      </w:pPr>
    </w:p>
    <w:p>
      <w:pPr>
        <w:pStyle w:val="BodyText"/>
        <w:spacing w:line="244" w:lineRule="auto"/>
        <w:ind w:right="624"/>
      </w:pPr>
      <w:r>
        <w:rPr>
          <w:spacing w:val="-8"/>
        </w:rPr>
        <w:t>受益人与被保险人在同一事件中身故，且不能确定身故先后顺序的，</w:t>
      </w:r>
      <w:r>
        <w:rPr>
          <w:spacing w:val="-2"/>
        </w:rPr>
        <w:t>推定受益人身故在先。</w:t>
      </w:r>
    </w:p>
    <w:p>
      <w:pPr>
        <w:pStyle w:val="BodyText"/>
        <w:spacing w:before="11"/>
        <w:ind w:left="0"/>
        <w:rPr>
          <w:sz w:val="19"/>
        </w:rPr>
      </w:pPr>
    </w:p>
    <w:p>
      <w:pPr>
        <w:spacing w:line="168" w:lineRule="auto" w:before="0"/>
        <w:ind w:left="3153" w:right="732" w:firstLine="0"/>
        <w:jc w:val="left"/>
        <w:rPr>
          <w:rFonts w:ascii="微软雅黑" w:eastAsia="微软雅黑"/>
          <w:b/>
          <w:sz w:val="21"/>
        </w:rPr>
      </w:pPr>
      <w:r>
        <w:rPr>
          <w:rFonts w:ascii="微软雅黑" w:eastAsia="微软雅黑"/>
          <w:b/>
          <w:spacing w:val="-2"/>
          <w:sz w:val="21"/>
        </w:rPr>
        <w:t>受益人故意造成被保险人身故、伤残、疾病的，或者故意杀害被保</w:t>
      </w:r>
      <w:r>
        <w:rPr>
          <w:rFonts w:ascii="微软雅黑" w:eastAsia="微软雅黑"/>
          <w:b/>
          <w:spacing w:val="-2"/>
          <w:sz w:val="21"/>
        </w:rPr>
        <w:t>险人未遂的，该受益人丧失受益权。</w:t>
      </w:r>
    </w:p>
    <w:p>
      <w:pPr>
        <w:pStyle w:val="BodyText"/>
        <w:spacing w:before="3"/>
        <w:ind w:left="0"/>
        <w:rPr>
          <w:rFonts w:ascii="微软雅黑"/>
          <w:b/>
          <w:sz w:val="13"/>
        </w:rPr>
      </w:pPr>
    </w:p>
    <w:p>
      <w:pPr>
        <w:spacing w:line="168" w:lineRule="auto" w:before="0"/>
        <w:ind w:left="3153" w:right="730" w:firstLine="0"/>
        <w:jc w:val="both"/>
        <w:rPr>
          <w:rFonts w:ascii="微软雅黑" w:eastAsia="微软雅黑"/>
          <w:b/>
          <w:sz w:val="21"/>
        </w:rPr>
      </w:pPr>
      <w:r>
        <w:rPr>
          <w:rFonts w:ascii="微软雅黑" w:eastAsia="微软雅黑"/>
          <w:b/>
          <w:spacing w:val="-2"/>
          <w:sz w:val="21"/>
        </w:rPr>
        <w:t>除另有约定外，轻度疾病保险金、中度疾病保险金、重度疾病保险金、第二次重度疾病特别关爱金、全残保险金的受益人为被保险人</w:t>
      </w:r>
      <w:r>
        <w:rPr>
          <w:rFonts w:ascii="微软雅黑" w:eastAsia="微软雅黑"/>
          <w:b/>
          <w:spacing w:val="-4"/>
          <w:sz w:val="21"/>
        </w:rPr>
        <w:t>本人。</w:t>
      </w:r>
    </w:p>
    <w:p>
      <w:pPr>
        <w:pStyle w:val="BodyText"/>
        <w:spacing w:before="10"/>
        <w:ind w:left="0"/>
        <w:rPr>
          <w:rFonts w:ascii="微软雅黑"/>
          <w:b/>
          <w:sz w:val="10"/>
        </w:rPr>
      </w:pPr>
    </w:p>
    <w:p>
      <w:pPr>
        <w:pStyle w:val="ListParagraph"/>
        <w:numPr>
          <w:ilvl w:val="1"/>
          <w:numId w:val="22"/>
        </w:numPr>
        <w:tabs>
          <w:tab w:pos="1071" w:val="left" w:leader="none"/>
          <w:tab w:pos="1072" w:val="left" w:leader="none"/>
          <w:tab w:pos="3152" w:val="left" w:leader="none"/>
        </w:tabs>
        <w:spacing w:line="330" w:lineRule="exact" w:before="0" w:after="0"/>
        <w:ind w:left="1071" w:right="0" w:hanging="850"/>
        <w:jc w:val="left"/>
        <w:rPr>
          <w:sz w:val="21"/>
        </w:rPr>
      </w:pPr>
      <w:r>
        <w:rPr>
          <w:rFonts w:ascii="微软雅黑" w:eastAsia="微软雅黑"/>
          <w:b/>
          <w:sz w:val="21"/>
        </w:rPr>
        <w:t>保险事故通</w:t>
      </w:r>
      <w:r>
        <w:rPr>
          <w:rFonts w:ascii="微软雅黑" w:eastAsia="微软雅黑"/>
          <w:b/>
          <w:spacing w:val="-10"/>
          <w:sz w:val="21"/>
        </w:rPr>
        <w:t>知</w:t>
      </w:r>
      <w:r>
        <w:rPr>
          <w:rFonts w:ascii="微软雅黑" w:eastAsia="微软雅黑"/>
          <w:b/>
          <w:sz w:val="21"/>
        </w:rPr>
        <w:tab/>
      </w:r>
      <w:r>
        <w:rPr>
          <w:spacing w:val="-2"/>
          <w:sz w:val="21"/>
        </w:rPr>
        <w:t>您</w:t>
      </w:r>
      <w:r>
        <w:rPr>
          <w:spacing w:val="-2"/>
          <w:sz w:val="21"/>
        </w:rPr>
        <w:t>、</w:t>
      </w:r>
      <w:r>
        <w:rPr>
          <w:spacing w:val="-2"/>
          <w:sz w:val="21"/>
        </w:rPr>
        <w:t>被</w:t>
      </w:r>
      <w:r>
        <w:rPr>
          <w:spacing w:val="-2"/>
          <w:sz w:val="21"/>
        </w:rPr>
        <w:t>保</w:t>
      </w:r>
      <w:r>
        <w:rPr>
          <w:spacing w:val="-2"/>
          <w:sz w:val="21"/>
        </w:rPr>
        <w:t>险</w:t>
      </w:r>
      <w:r>
        <w:rPr>
          <w:spacing w:val="-2"/>
          <w:sz w:val="21"/>
        </w:rPr>
        <w:t>人或受</w:t>
      </w:r>
      <w:r>
        <w:rPr>
          <w:spacing w:val="-2"/>
          <w:sz w:val="21"/>
        </w:rPr>
        <w:t>益</w:t>
      </w:r>
      <w:r>
        <w:rPr>
          <w:spacing w:val="-2"/>
          <w:sz w:val="21"/>
        </w:rPr>
        <w:t>人</w:t>
      </w:r>
      <w:r>
        <w:rPr>
          <w:spacing w:val="-2"/>
          <w:sz w:val="21"/>
        </w:rPr>
        <w:t>知</w:t>
      </w:r>
      <w:r>
        <w:rPr>
          <w:spacing w:val="-2"/>
          <w:sz w:val="21"/>
        </w:rPr>
        <w:t>道</w:t>
      </w:r>
      <w:r>
        <w:rPr>
          <w:spacing w:val="-2"/>
          <w:sz w:val="21"/>
        </w:rPr>
        <w:t>或</w:t>
      </w:r>
      <w:r>
        <w:rPr>
          <w:spacing w:val="-2"/>
          <w:sz w:val="21"/>
        </w:rPr>
        <w:t>应</w:t>
      </w:r>
      <w:r>
        <w:rPr>
          <w:spacing w:val="-2"/>
          <w:sz w:val="21"/>
        </w:rPr>
        <w:t>当</w:t>
      </w:r>
      <w:r>
        <w:rPr>
          <w:spacing w:val="-2"/>
          <w:sz w:val="21"/>
        </w:rPr>
        <w:t>知</w:t>
      </w:r>
      <w:r>
        <w:rPr>
          <w:spacing w:val="-2"/>
          <w:sz w:val="21"/>
        </w:rPr>
        <w:t>道保险</w:t>
      </w:r>
      <w:r>
        <w:rPr>
          <w:spacing w:val="-2"/>
          <w:sz w:val="21"/>
        </w:rPr>
        <w:t>事</w:t>
      </w:r>
      <w:r>
        <w:rPr>
          <w:spacing w:val="-2"/>
          <w:sz w:val="21"/>
        </w:rPr>
        <w:t>故</w:t>
      </w:r>
      <w:r>
        <w:rPr>
          <w:spacing w:val="-2"/>
          <w:sz w:val="21"/>
        </w:rPr>
        <w:t>后</w:t>
      </w:r>
      <w:r>
        <w:rPr>
          <w:spacing w:val="-2"/>
          <w:sz w:val="21"/>
        </w:rPr>
        <w:t>应</w:t>
      </w:r>
      <w:r>
        <w:rPr>
          <w:spacing w:val="-2"/>
          <w:sz w:val="21"/>
        </w:rPr>
        <w:t>当</w:t>
      </w:r>
      <w:r>
        <w:rPr>
          <w:spacing w:val="-2"/>
          <w:sz w:val="21"/>
        </w:rPr>
        <w:t>在</w:t>
      </w:r>
      <w:r>
        <w:rPr>
          <w:rFonts w:ascii="Times New Roman" w:eastAsia="Times New Roman"/>
          <w:spacing w:val="-2"/>
          <w:sz w:val="21"/>
        </w:rPr>
        <w:t>10</w:t>
      </w:r>
      <w:r>
        <w:rPr>
          <w:spacing w:val="-2"/>
          <w:sz w:val="21"/>
        </w:rPr>
        <w:t>日内</w:t>
      </w:r>
      <w:r>
        <w:rPr>
          <w:spacing w:val="-10"/>
          <w:sz w:val="21"/>
        </w:rPr>
        <w:t>通</w:t>
      </w:r>
    </w:p>
    <w:p>
      <w:pPr>
        <w:spacing w:line="180" w:lineRule="auto" w:before="12"/>
        <w:ind w:left="3153" w:right="729" w:firstLine="0"/>
        <w:jc w:val="both"/>
        <w:rPr>
          <w:sz w:val="21"/>
        </w:rPr>
      </w:pPr>
      <w:r>
        <w:rPr>
          <w:spacing w:val="-2"/>
          <w:sz w:val="21"/>
        </w:rPr>
        <w:t>知我们。</w:t>
      </w:r>
      <w:r>
        <w:rPr>
          <w:rFonts w:ascii="微软雅黑" w:eastAsia="微软雅黑"/>
          <w:b/>
          <w:spacing w:val="-2"/>
          <w:sz w:val="21"/>
        </w:rPr>
        <w:t>如果您、被保险人或受益人故意或者因重度过失未及时通知，致使保险事故的性质、原因、损失程度等难以确定的，我们对</w:t>
      </w:r>
      <w:r>
        <w:rPr>
          <w:rFonts w:ascii="微软雅黑" w:eastAsia="微软雅黑"/>
          <w:b/>
          <w:spacing w:val="-2"/>
          <w:sz w:val="21"/>
        </w:rPr>
        <w:t>无法确定的部分，不承担给付保险金的责任，</w:t>
      </w:r>
      <w:r>
        <w:rPr>
          <w:spacing w:val="-2"/>
          <w:sz w:val="21"/>
        </w:rPr>
        <w:t>但我们通过其他途径</w:t>
      </w:r>
      <w:r>
        <w:rPr>
          <w:spacing w:val="-3"/>
          <w:sz w:val="21"/>
        </w:rPr>
        <w:t>已经及时知道或者应当及时知道保险事故发生或者虽未及时通知但</w:t>
      </w:r>
    </w:p>
    <w:p>
      <w:pPr>
        <w:pStyle w:val="BodyText"/>
        <w:spacing w:before="13"/>
      </w:pPr>
      <w:r>
        <w:rPr>
          <w:spacing w:val="-3"/>
        </w:rPr>
        <w:t>不影响我们确定保险事故的性质、原因、损失程度的除外。</w:t>
      </w:r>
    </w:p>
    <w:p>
      <w:pPr>
        <w:pStyle w:val="BodyText"/>
        <w:ind w:left="0"/>
        <w:rPr>
          <w:sz w:val="14"/>
        </w:rPr>
      </w:pPr>
    </w:p>
    <w:p>
      <w:pPr>
        <w:pStyle w:val="ListParagraph"/>
        <w:numPr>
          <w:ilvl w:val="1"/>
          <w:numId w:val="22"/>
        </w:numPr>
        <w:tabs>
          <w:tab w:pos="1071" w:val="left" w:leader="none"/>
          <w:tab w:pos="1072" w:val="left" w:leader="none"/>
          <w:tab w:pos="3152" w:val="left" w:leader="none"/>
        </w:tabs>
        <w:spacing w:line="363" w:lineRule="exact" w:before="1" w:after="0"/>
        <w:ind w:left="1071" w:right="0" w:hanging="850"/>
        <w:jc w:val="left"/>
        <w:rPr>
          <w:sz w:val="21"/>
        </w:rPr>
      </w:pPr>
      <w:r>
        <w:rPr>
          <w:rFonts w:ascii="微软雅黑" w:hAnsi="微软雅黑" w:eastAsia="微软雅黑"/>
          <w:b/>
          <w:sz w:val="21"/>
        </w:rPr>
        <w:t>保险金的申</w:t>
      </w:r>
      <w:r>
        <w:rPr>
          <w:rFonts w:ascii="微软雅黑" w:hAnsi="微软雅黑" w:eastAsia="微软雅黑"/>
          <w:b/>
          <w:spacing w:val="-10"/>
          <w:sz w:val="21"/>
        </w:rPr>
        <w:t>请</w:t>
      </w:r>
      <w:r>
        <w:rPr>
          <w:rFonts w:ascii="微软雅黑" w:hAnsi="微软雅黑" w:eastAsia="微软雅黑"/>
          <w:b/>
          <w:sz w:val="21"/>
        </w:rPr>
        <w:tab/>
      </w:r>
      <w:r>
        <w:rPr>
          <w:spacing w:val="-4"/>
          <w:sz w:val="21"/>
        </w:rPr>
        <w:t>受</w:t>
      </w:r>
      <w:r>
        <w:rPr>
          <w:spacing w:val="-4"/>
          <w:sz w:val="21"/>
        </w:rPr>
        <w:t>益</w:t>
      </w:r>
      <w:r>
        <w:rPr>
          <w:spacing w:val="-4"/>
          <w:sz w:val="21"/>
        </w:rPr>
        <w:t>人或者其他有权领取</w:t>
      </w:r>
      <w:r>
        <w:rPr>
          <w:spacing w:val="-4"/>
          <w:sz w:val="21"/>
        </w:rPr>
        <w:t>保</w:t>
      </w:r>
      <w:r>
        <w:rPr>
          <w:spacing w:val="-4"/>
          <w:sz w:val="21"/>
        </w:rPr>
        <w:t>险</w:t>
      </w:r>
      <w:r>
        <w:rPr>
          <w:spacing w:val="-4"/>
          <w:sz w:val="21"/>
        </w:rPr>
        <w:t>金的人（简称“保险金</w:t>
      </w:r>
      <w:r>
        <w:rPr>
          <w:spacing w:val="-4"/>
          <w:sz w:val="21"/>
        </w:rPr>
        <w:t>申</w:t>
      </w:r>
      <w:r>
        <w:rPr>
          <w:spacing w:val="-4"/>
          <w:sz w:val="21"/>
        </w:rPr>
        <w:t>请</w:t>
      </w:r>
      <w:r>
        <w:rPr>
          <w:spacing w:val="-4"/>
          <w:sz w:val="21"/>
        </w:rPr>
        <w:t>人</w:t>
      </w:r>
      <w:r>
        <w:rPr>
          <w:spacing w:val="-70"/>
          <w:sz w:val="21"/>
        </w:rPr>
        <w:t>”）</w:t>
      </w:r>
      <w:r>
        <w:rPr>
          <w:spacing w:val="-4"/>
          <w:sz w:val="21"/>
        </w:rPr>
        <w:t>可</w:t>
      </w:r>
      <w:r>
        <w:rPr>
          <w:spacing w:val="-10"/>
          <w:sz w:val="21"/>
        </w:rPr>
        <w:t>以</w:t>
      </w:r>
    </w:p>
    <w:p>
      <w:pPr>
        <w:pStyle w:val="BodyText"/>
        <w:spacing w:line="245" w:lineRule="exact"/>
      </w:pPr>
      <w:r>
        <w:rPr>
          <w:spacing w:val="-4"/>
        </w:rPr>
        <w:t>申请保险金。</w:t>
      </w:r>
    </w:p>
    <w:p>
      <w:pPr>
        <w:pStyle w:val="BodyText"/>
        <w:spacing w:before="3"/>
        <w:ind w:left="0"/>
        <w:rPr>
          <w:sz w:val="11"/>
        </w:rPr>
      </w:pPr>
    </w:p>
    <w:p>
      <w:pPr>
        <w:spacing w:after="0"/>
        <w:rPr>
          <w:sz w:val="11"/>
        </w:rPr>
        <w:sectPr>
          <w:pgSz w:w="11910" w:h="16840"/>
          <w:pgMar w:header="0" w:footer="878" w:top="1060" w:bottom="1060" w:left="1480" w:right="440"/>
        </w:sectPr>
      </w:pPr>
    </w:p>
    <w:p>
      <w:pPr>
        <w:pStyle w:val="ListParagraph"/>
        <w:numPr>
          <w:ilvl w:val="2"/>
          <w:numId w:val="22"/>
        </w:numPr>
        <w:tabs>
          <w:tab w:pos="1072" w:val="left" w:leader="none"/>
        </w:tabs>
        <w:spacing w:line="330" w:lineRule="exact" w:before="33" w:after="0"/>
        <w:ind w:left="1071" w:right="0" w:hanging="850"/>
        <w:jc w:val="both"/>
        <w:rPr>
          <w:rFonts w:ascii="微软雅黑" w:eastAsia="微软雅黑"/>
          <w:b/>
          <w:sz w:val="21"/>
        </w:rPr>
      </w:pPr>
      <w:r>
        <w:rPr>
          <w:rFonts w:ascii="微软雅黑" w:eastAsia="微软雅黑"/>
          <w:b/>
          <w:spacing w:val="-7"/>
          <w:sz w:val="21"/>
        </w:rPr>
        <w:t>轻度疾病保险金、中</w:t>
      </w:r>
    </w:p>
    <w:p>
      <w:pPr>
        <w:spacing w:line="168" w:lineRule="auto" w:before="26"/>
        <w:ind w:left="1071" w:right="0" w:firstLine="0"/>
        <w:jc w:val="both"/>
        <w:rPr>
          <w:rFonts w:ascii="微软雅黑" w:eastAsia="微软雅黑"/>
          <w:b/>
          <w:sz w:val="21"/>
        </w:rPr>
      </w:pPr>
      <w:r>
        <w:rPr>
          <w:rFonts w:ascii="微软雅黑" w:eastAsia="微软雅黑"/>
          <w:b/>
          <w:spacing w:val="-4"/>
          <w:sz w:val="21"/>
        </w:rPr>
        <w:t>度疾病保险金、重度</w:t>
      </w:r>
      <w:r>
        <w:rPr>
          <w:rFonts w:ascii="微软雅黑" w:eastAsia="微软雅黑"/>
          <w:b/>
          <w:spacing w:val="-4"/>
          <w:sz w:val="21"/>
        </w:rPr>
        <w:t>疾病保险金、第二次</w:t>
      </w:r>
      <w:r>
        <w:rPr>
          <w:rFonts w:ascii="微软雅黑" w:eastAsia="微软雅黑"/>
          <w:b/>
          <w:spacing w:val="19"/>
          <w:sz w:val="21"/>
        </w:rPr>
        <w:t>重度疾病特别关爱</w:t>
      </w:r>
      <w:r>
        <w:rPr>
          <w:rFonts w:ascii="微软雅黑" w:eastAsia="微软雅黑"/>
          <w:b/>
          <w:spacing w:val="-4"/>
          <w:sz w:val="21"/>
        </w:rPr>
        <w:t>金、轻度疾病豁免保</w:t>
      </w:r>
      <w:r>
        <w:rPr>
          <w:rFonts w:ascii="微软雅黑" w:eastAsia="微软雅黑"/>
          <w:b/>
          <w:spacing w:val="-4"/>
          <w:sz w:val="21"/>
        </w:rPr>
        <w:t>险费、中度疾病豁免</w:t>
      </w:r>
      <w:r>
        <w:rPr>
          <w:rFonts w:ascii="微软雅黑" w:eastAsia="微软雅黑"/>
          <w:b/>
          <w:spacing w:val="19"/>
          <w:sz w:val="21"/>
        </w:rPr>
        <w:t>保险费和重度疾病</w:t>
      </w:r>
      <w:r>
        <w:rPr>
          <w:rFonts w:ascii="微软雅黑" w:eastAsia="微软雅黑"/>
          <w:b/>
          <w:spacing w:val="-2"/>
          <w:sz w:val="21"/>
        </w:rPr>
        <w:t>豁免保险费的申请</w:t>
      </w:r>
    </w:p>
    <w:p>
      <w:pPr>
        <w:pStyle w:val="BodyText"/>
        <w:spacing w:before="100"/>
        <w:ind w:left="173"/>
      </w:pPr>
      <w:r>
        <w:rPr/>
        <w:br w:type="column"/>
      </w:r>
      <w:r>
        <w:rPr>
          <w:spacing w:val="-9"/>
        </w:rPr>
        <w:t>保险金申请人须填写保险金给付申请书，并须提供下列证明和资料：</w:t>
      </w:r>
    </w:p>
    <w:p>
      <w:pPr>
        <w:pStyle w:val="ListParagraph"/>
        <w:numPr>
          <w:ilvl w:val="0"/>
          <w:numId w:val="23"/>
        </w:numPr>
        <w:tabs>
          <w:tab w:pos="703" w:val="left" w:leader="none"/>
        </w:tabs>
        <w:spacing w:line="240" w:lineRule="auto" w:before="5" w:after="0"/>
        <w:ind w:left="702" w:right="0" w:hanging="530"/>
        <w:jc w:val="left"/>
        <w:rPr>
          <w:sz w:val="21"/>
        </w:rPr>
      </w:pPr>
      <w:r>
        <w:rPr>
          <w:spacing w:val="-4"/>
          <w:sz w:val="21"/>
        </w:rPr>
        <w:t>保险合同；</w:t>
      </w:r>
    </w:p>
    <w:p>
      <w:pPr>
        <w:pStyle w:val="ListParagraph"/>
        <w:numPr>
          <w:ilvl w:val="0"/>
          <w:numId w:val="23"/>
        </w:numPr>
        <w:tabs>
          <w:tab w:pos="703" w:val="left" w:leader="none"/>
        </w:tabs>
        <w:spacing w:line="238" w:lineRule="exact" w:before="2" w:after="0"/>
        <w:ind w:left="702" w:right="0" w:hanging="530"/>
        <w:jc w:val="left"/>
        <w:rPr>
          <w:sz w:val="21"/>
        </w:rPr>
      </w:pPr>
      <w:r>
        <w:rPr>
          <w:spacing w:val="-3"/>
          <w:sz w:val="21"/>
        </w:rPr>
        <w:t>保险金申请人的有效身份证件；</w:t>
      </w:r>
    </w:p>
    <w:p>
      <w:pPr>
        <w:pStyle w:val="ListParagraph"/>
        <w:numPr>
          <w:ilvl w:val="0"/>
          <w:numId w:val="23"/>
        </w:numPr>
        <w:tabs>
          <w:tab w:pos="703" w:val="left" w:leader="none"/>
        </w:tabs>
        <w:spacing w:line="331" w:lineRule="exact" w:before="0" w:after="0"/>
        <w:ind w:left="702" w:right="0" w:hanging="530"/>
        <w:jc w:val="left"/>
        <w:rPr>
          <w:sz w:val="21"/>
        </w:rPr>
      </w:pPr>
      <w:r>
        <w:rPr>
          <w:rFonts w:ascii="微软雅黑" w:eastAsia="微软雅黑"/>
          <w:b/>
          <w:spacing w:val="-2"/>
          <w:sz w:val="21"/>
        </w:rPr>
        <w:t>医院</w:t>
      </w:r>
      <w:r>
        <w:rPr>
          <w:spacing w:val="-2"/>
          <w:sz w:val="21"/>
        </w:rPr>
        <w:t>（见</w:t>
      </w:r>
      <w:r>
        <w:rPr>
          <w:rFonts w:ascii="Times New Roman" w:eastAsia="Times New Roman"/>
          <w:spacing w:val="-2"/>
          <w:sz w:val="21"/>
        </w:rPr>
        <w:t>14.18</w:t>
      </w:r>
      <w:r>
        <w:rPr>
          <w:spacing w:val="-2"/>
          <w:sz w:val="21"/>
        </w:rPr>
        <w:t>）</w:t>
      </w:r>
      <w:r>
        <w:rPr>
          <w:spacing w:val="-3"/>
          <w:sz w:val="21"/>
        </w:rPr>
        <w:t>出具的诊断证明、病历及检查报告；</w:t>
      </w:r>
    </w:p>
    <w:p>
      <w:pPr>
        <w:pStyle w:val="ListParagraph"/>
        <w:numPr>
          <w:ilvl w:val="0"/>
          <w:numId w:val="23"/>
        </w:numPr>
        <w:tabs>
          <w:tab w:pos="703" w:val="left" w:leader="none"/>
        </w:tabs>
        <w:spacing w:line="245" w:lineRule="exact" w:before="0" w:after="0"/>
        <w:ind w:left="702" w:right="0" w:hanging="530"/>
        <w:jc w:val="left"/>
        <w:rPr>
          <w:sz w:val="21"/>
        </w:rPr>
      </w:pPr>
      <w:r>
        <w:rPr>
          <w:spacing w:val="-7"/>
          <w:sz w:val="21"/>
        </w:rPr>
        <w:t>所能提供的与确认保险事故的性质、原因等有关的其他证明和</w:t>
      </w:r>
    </w:p>
    <w:p>
      <w:pPr>
        <w:pStyle w:val="BodyText"/>
        <w:spacing w:before="4"/>
        <w:ind w:left="699"/>
      </w:pPr>
      <w:r>
        <w:rPr>
          <w:spacing w:val="-4"/>
        </w:rPr>
        <w:t>资料。</w:t>
      </w:r>
    </w:p>
    <w:p>
      <w:pPr>
        <w:spacing w:after="0"/>
        <w:sectPr>
          <w:type w:val="continuous"/>
          <w:pgSz w:w="11910" w:h="16840"/>
          <w:pgMar w:header="0" w:footer="878" w:top="160" w:bottom="280" w:left="1480" w:right="440"/>
          <w:cols w:num="2" w:equalWidth="0">
            <w:col w:w="2940" w:space="40"/>
            <w:col w:w="7010"/>
          </w:cols>
        </w:sectPr>
      </w:pPr>
    </w:p>
    <w:p>
      <w:pPr>
        <w:pStyle w:val="BodyText"/>
        <w:spacing w:before="8"/>
        <w:ind w:left="0"/>
        <w:rPr>
          <w:sz w:val="10"/>
        </w:rPr>
      </w:pPr>
    </w:p>
    <w:p>
      <w:pPr>
        <w:spacing w:after="0"/>
        <w:rPr>
          <w:sz w:val="10"/>
        </w:rPr>
        <w:sectPr>
          <w:type w:val="continuous"/>
          <w:pgSz w:w="11910" w:h="16840"/>
          <w:pgMar w:header="0" w:footer="878" w:top="160" w:bottom="280" w:left="1480" w:right="440"/>
        </w:sectPr>
      </w:pPr>
    </w:p>
    <w:p>
      <w:pPr>
        <w:pStyle w:val="ListParagraph"/>
        <w:numPr>
          <w:ilvl w:val="2"/>
          <w:numId w:val="22"/>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20"/>
          <w:sz w:val="21"/>
        </w:rPr>
        <w:t>身故保险金和身故</w:t>
      </w:r>
    </w:p>
    <w:p>
      <w:pPr>
        <w:spacing w:line="329" w:lineRule="exact" w:before="0"/>
        <w:ind w:left="1071" w:right="0" w:firstLine="0"/>
        <w:jc w:val="left"/>
        <w:rPr>
          <w:rFonts w:ascii="微软雅黑" w:eastAsia="微软雅黑"/>
          <w:b/>
          <w:sz w:val="21"/>
        </w:rPr>
      </w:pPr>
      <w:r>
        <w:rPr>
          <w:rFonts w:ascii="微软雅黑" w:eastAsia="微软雅黑"/>
          <w:b/>
          <w:spacing w:val="-2"/>
          <w:sz w:val="21"/>
        </w:rPr>
        <w:t>关怀金的申请</w:t>
      </w:r>
    </w:p>
    <w:p>
      <w:pPr>
        <w:pStyle w:val="BodyText"/>
        <w:spacing w:before="100"/>
        <w:ind w:left="147"/>
      </w:pPr>
      <w:r>
        <w:rPr/>
        <w:br w:type="column"/>
      </w:r>
      <w:r>
        <w:rPr>
          <w:spacing w:val="-9"/>
        </w:rPr>
        <w:t>保险金申请人须填写保险金给付申请书，并须提供下列证明和资料：</w:t>
      </w:r>
    </w:p>
    <w:p>
      <w:pPr>
        <w:pStyle w:val="ListParagraph"/>
        <w:numPr>
          <w:ilvl w:val="0"/>
          <w:numId w:val="24"/>
        </w:numPr>
        <w:tabs>
          <w:tab w:pos="677" w:val="left" w:leader="none"/>
        </w:tabs>
        <w:spacing w:line="240" w:lineRule="auto" w:before="2" w:after="0"/>
        <w:ind w:left="676" w:right="0" w:hanging="530"/>
        <w:jc w:val="left"/>
        <w:rPr>
          <w:sz w:val="21"/>
        </w:rPr>
      </w:pPr>
      <w:r>
        <w:rPr>
          <w:spacing w:val="-4"/>
          <w:sz w:val="21"/>
        </w:rPr>
        <w:t>保险合同；</w:t>
      </w:r>
    </w:p>
    <w:p>
      <w:pPr>
        <w:pStyle w:val="ListParagraph"/>
        <w:numPr>
          <w:ilvl w:val="0"/>
          <w:numId w:val="24"/>
        </w:numPr>
        <w:tabs>
          <w:tab w:pos="677" w:val="left" w:leader="none"/>
        </w:tabs>
        <w:spacing w:line="240" w:lineRule="auto" w:before="5" w:after="0"/>
        <w:ind w:left="676" w:right="0" w:hanging="530"/>
        <w:jc w:val="left"/>
        <w:rPr>
          <w:sz w:val="21"/>
        </w:rPr>
      </w:pPr>
      <w:r>
        <w:rPr>
          <w:spacing w:val="-3"/>
          <w:sz w:val="21"/>
        </w:rPr>
        <w:t>保险金申请人的有效身份证件；</w:t>
      </w:r>
    </w:p>
    <w:p>
      <w:pPr>
        <w:pStyle w:val="ListParagraph"/>
        <w:numPr>
          <w:ilvl w:val="0"/>
          <w:numId w:val="24"/>
        </w:numPr>
        <w:tabs>
          <w:tab w:pos="677" w:val="left" w:leader="none"/>
        </w:tabs>
        <w:spacing w:line="242" w:lineRule="auto" w:before="2" w:after="0"/>
        <w:ind w:left="673" w:right="626" w:hanging="526"/>
        <w:jc w:val="left"/>
        <w:rPr>
          <w:sz w:val="21"/>
        </w:rPr>
      </w:pPr>
      <w:r>
        <w:rPr>
          <w:spacing w:val="-2"/>
          <w:sz w:val="21"/>
        </w:rPr>
        <w:t>国家卫生行政部门认定的医疗机构、公安部门或其他相关机构</w:t>
      </w:r>
      <w:r>
        <w:rPr>
          <w:spacing w:val="-2"/>
          <w:sz w:val="21"/>
        </w:rPr>
        <w:t>出具的被保险人的死亡证明；</w:t>
      </w:r>
    </w:p>
    <w:p>
      <w:pPr>
        <w:pStyle w:val="ListParagraph"/>
        <w:numPr>
          <w:ilvl w:val="0"/>
          <w:numId w:val="24"/>
        </w:numPr>
        <w:tabs>
          <w:tab w:pos="677" w:val="left" w:leader="none"/>
        </w:tabs>
        <w:spacing w:line="242" w:lineRule="auto" w:before="1" w:after="0"/>
        <w:ind w:left="673" w:right="626" w:hanging="526"/>
        <w:jc w:val="left"/>
        <w:rPr>
          <w:sz w:val="21"/>
        </w:rPr>
      </w:pPr>
      <w:r>
        <w:rPr>
          <w:spacing w:val="-2"/>
          <w:sz w:val="21"/>
        </w:rPr>
        <w:t>被保险人因意外伤害导致身故的，需提供相关意外伤害的证明</w:t>
      </w:r>
      <w:r>
        <w:rPr>
          <w:spacing w:val="-4"/>
          <w:sz w:val="21"/>
        </w:rPr>
        <w:t>和资料；</w:t>
      </w:r>
    </w:p>
    <w:p>
      <w:pPr>
        <w:pStyle w:val="ListParagraph"/>
        <w:numPr>
          <w:ilvl w:val="0"/>
          <w:numId w:val="24"/>
        </w:numPr>
        <w:tabs>
          <w:tab w:pos="677" w:val="left" w:leader="none"/>
        </w:tabs>
        <w:spacing w:line="242" w:lineRule="auto" w:before="1" w:after="0"/>
        <w:ind w:left="673" w:right="626" w:hanging="526"/>
        <w:jc w:val="left"/>
        <w:rPr>
          <w:sz w:val="21"/>
        </w:rPr>
      </w:pPr>
      <w:r>
        <w:rPr>
          <w:spacing w:val="-2"/>
          <w:sz w:val="21"/>
        </w:rPr>
        <w:t>所能提供的与确认保险事故的性质、原因等有关的其他证明和</w:t>
      </w:r>
      <w:r>
        <w:rPr>
          <w:spacing w:val="-4"/>
          <w:sz w:val="21"/>
        </w:rPr>
        <w:t>资料。</w:t>
      </w:r>
    </w:p>
    <w:p>
      <w:pPr>
        <w:spacing w:after="0" w:line="242" w:lineRule="auto"/>
        <w:jc w:val="left"/>
        <w:rPr>
          <w:sz w:val="21"/>
        </w:rPr>
        <w:sectPr>
          <w:type w:val="continuous"/>
          <w:pgSz w:w="11910" w:h="16840"/>
          <w:pgMar w:header="0" w:footer="878" w:top="160" w:bottom="280" w:left="1480" w:right="440"/>
          <w:cols w:num="2" w:equalWidth="0">
            <w:col w:w="2966" w:space="40"/>
            <w:col w:w="6984"/>
          </w:cols>
        </w:sectPr>
      </w:pPr>
    </w:p>
    <w:p>
      <w:pPr>
        <w:pStyle w:val="BodyText"/>
        <w:spacing w:before="6"/>
        <w:ind w:left="0"/>
        <w:rPr>
          <w:sz w:val="13"/>
        </w:rPr>
      </w:pPr>
    </w:p>
    <w:p>
      <w:pPr>
        <w:pStyle w:val="ListParagraph"/>
        <w:numPr>
          <w:ilvl w:val="2"/>
          <w:numId w:val="22"/>
        </w:numPr>
        <w:tabs>
          <w:tab w:pos="1071" w:val="left" w:leader="none"/>
          <w:tab w:pos="1072" w:val="left" w:leader="none"/>
          <w:tab w:pos="3152" w:val="left" w:leader="none"/>
        </w:tabs>
        <w:spacing w:line="364" w:lineRule="exact" w:before="33" w:after="0"/>
        <w:ind w:left="1071" w:right="0" w:hanging="850"/>
        <w:jc w:val="left"/>
        <w:rPr>
          <w:sz w:val="21"/>
        </w:rPr>
      </w:pPr>
      <w:r>
        <w:rPr>
          <w:rFonts w:ascii="微软雅黑" w:eastAsia="微软雅黑"/>
          <w:b/>
          <w:sz w:val="21"/>
        </w:rPr>
        <w:t>全残保险金的申</w:t>
      </w:r>
      <w:r>
        <w:rPr>
          <w:rFonts w:ascii="微软雅黑" w:eastAsia="微软雅黑"/>
          <w:b/>
          <w:spacing w:val="-10"/>
          <w:sz w:val="21"/>
        </w:rPr>
        <w:t>请</w:t>
      </w:r>
      <w:r>
        <w:rPr>
          <w:rFonts w:ascii="微软雅黑" w:eastAsia="微软雅黑"/>
          <w:b/>
          <w:sz w:val="21"/>
        </w:rPr>
        <w:tab/>
      </w:r>
      <w:r>
        <w:rPr>
          <w:spacing w:val="-2"/>
          <w:sz w:val="21"/>
        </w:rPr>
        <w:t>保</w:t>
      </w:r>
      <w:r>
        <w:rPr>
          <w:spacing w:val="-2"/>
          <w:sz w:val="21"/>
        </w:rPr>
        <w:t>险</w:t>
      </w:r>
      <w:r>
        <w:rPr>
          <w:spacing w:val="-2"/>
          <w:sz w:val="21"/>
        </w:rPr>
        <w:t>金申请人须填写保险</w:t>
      </w:r>
      <w:r>
        <w:rPr>
          <w:spacing w:val="-2"/>
          <w:sz w:val="21"/>
        </w:rPr>
        <w:t>金</w:t>
      </w:r>
      <w:r>
        <w:rPr>
          <w:spacing w:val="-2"/>
          <w:sz w:val="21"/>
        </w:rPr>
        <w:t>给</w:t>
      </w:r>
      <w:r>
        <w:rPr>
          <w:spacing w:val="-2"/>
          <w:sz w:val="21"/>
        </w:rPr>
        <w:t>付申请书</w:t>
      </w:r>
      <w:r>
        <w:rPr>
          <w:spacing w:val="-99"/>
          <w:sz w:val="21"/>
        </w:rPr>
        <w:t>，</w:t>
      </w:r>
      <w:r>
        <w:rPr>
          <w:spacing w:val="-2"/>
          <w:sz w:val="21"/>
        </w:rPr>
        <w:t>并须提供下</w:t>
      </w:r>
      <w:r>
        <w:rPr>
          <w:spacing w:val="-2"/>
          <w:sz w:val="21"/>
        </w:rPr>
        <w:t>列</w:t>
      </w:r>
      <w:r>
        <w:rPr>
          <w:spacing w:val="-2"/>
          <w:sz w:val="21"/>
        </w:rPr>
        <w:t>证</w:t>
      </w:r>
      <w:r>
        <w:rPr>
          <w:spacing w:val="-2"/>
          <w:sz w:val="21"/>
        </w:rPr>
        <w:t>明和资料</w:t>
      </w:r>
      <w:r>
        <w:rPr>
          <w:spacing w:val="-10"/>
          <w:sz w:val="21"/>
        </w:rPr>
        <w:t>：</w:t>
      </w:r>
    </w:p>
    <w:p>
      <w:pPr>
        <w:pStyle w:val="ListParagraph"/>
        <w:numPr>
          <w:ilvl w:val="3"/>
          <w:numId w:val="22"/>
        </w:numPr>
        <w:tabs>
          <w:tab w:pos="3682" w:val="left" w:leader="none"/>
        </w:tabs>
        <w:spacing w:line="246" w:lineRule="exact" w:before="0" w:after="0"/>
        <w:ind w:left="3682" w:right="0" w:hanging="529"/>
        <w:jc w:val="left"/>
        <w:rPr>
          <w:sz w:val="21"/>
        </w:rPr>
      </w:pPr>
      <w:r>
        <w:rPr>
          <w:spacing w:val="-4"/>
          <w:sz w:val="21"/>
        </w:rPr>
        <w:t>保险合同；</w:t>
      </w:r>
    </w:p>
    <w:p>
      <w:pPr>
        <w:pStyle w:val="ListParagraph"/>
        <w:numPr>
          <w:ilvl w:val="3"/>
          <w:numId w:val="22"/>
        </w:numPr>
        <w:tabs>
          <w:tab w:pos="3682" w:val="left" w:leader="none"/>
        </w:tabs>
        <w:spacing w:line="240" w:lineRule="auto" w:before="3" w:after="0"/>
        <w:ind w:left="3682" w:right="0" w:hanging="529"/>
        <w:jc w:val="left"/>
        <w:rPr>
          <w:sz w:val="21"/>
        </w:rPr>
      </w:pPr>
      <w:r>
        <w:rPr>
          <w:spacing w:val="-3"/>
          <w:sz w:val="21"/>
        </w:rPr>
        <w:t>保险金申请人的有效身份证件；</w:t>
      </w:r>
    </w:p>
    <w:p>
      <w:pPr>
        <w:pStyle w:val="ListParagraph"/>
        <w:numPr>
          <w:ilvl w:val="3"/>
          <w:numId w:val="22"/>
        </w:numPr>
        <w:tabs>
          <w:tab w:pos="3682" w:val="left" w:leader="none"/>
        </w:tabs>
        <w:spacing w:line="242" w:lineRule="auto" w:before="4" w:after="0"/>
        <w:ind w:left="3678" w:right="626" w:hanging="526"/>
        <w:jc w:val="left"/>
        <w:rPr>
          <w:sz w:val="21"/>
        </w:rPr>
      </w:pPr>
      <w:r>
        <w:rPr>
          <w:spacing w:val="-2"/>
          <w:sz w:val="21"/>
        </w:rPr>
        <w:t>国家有关机关认可或具有合法资质的伤残鉴定机构出具的被保</w:t>
      </w:r>
      <w:r>
        <w:rPr>
          <w:spacing w:val="-2"/>
          <w:sz w:val="21"/>
        </w:rPr>
        <w:t>险人全残鉴定证明；</w:t>
      </w:r>
    </w:p>
    <w:p>
      <w:pPr>
        <w:pStyle w:val="ListParagraph"/>
        <w:numPr>
          <w:ilvl w:val="3"/>
          <w:numId w:val="22"/>
        </w:numPr>
        <w:tabs>
          <w:tab w:pos="3682" w:val="left" w:leader="none"/>
        </w:tabs>
        <w:spacing w:line="242" w:lineRule="auto" w:before="2" w:after="0"/>
        <w:ind w:left="3678" w:right="626" w:hanging="526"/>
        <w:jc w:val="left"/>
        <w:rPr>
          <w:sz w:val="21"/>
        </w:rPr>
      </w:pPr>
      <w:r>
        <w:rPr>
          <w:spacing w:val="-2"/>
          <w:sz w:val="21"/>
        </w:rPr>
        <w:t>被保险人因意外伤害导致全残的，需提供相关意外伤害的证明</w:t>
      </w:r>
      <w:r>
        <w:rPr>
          <w:spacing w:val="-4"/>
          <w:sz w:val="21"/>
        </w:rPr>
        <w:t>和资料；</w:t>
      </w:r>
    </w:p>
    <w:p>
      <w:pPr>
        <w:pStyle w:val="ListParagraph"/>
        <w:numPr>
          <w:ilvl w:val="3"/>
          <w:numId w:val="22"/>
        </w:numPr>
        <w:tabs>
          <w:tab w:pos="3682" w:val="left" w:leader="none"/>
        </w:tabs>
        <w:spacing w:line="242" w:lineRule="auto" w:before="1" w:after="0"/>
        <w:ind w:left="3678" w:right="626" w:hanging="526"/>
        <w:jc w:val="left"/>
        <w:rPr>
          <w:sz w:val="21"/>
        </w:rPr>
      </w:pPr>
      <w:r>
        <w:rPr>
          <w:spacing w:val="-2"/>
          <w:sz w:val="21"/>
        </w:rPr>
        <w:t>所能提供的与确认保险事故的性质、原因等有关的其他证明和</w:t>
      </w:r>
      <w:r>
        <w:rPr>
          <w:spacing w:val="-4"/>
          <w:sz w:val="21"/>
        </w:rPr>
        <w:t>资料。</w:t>
      </w:r>
    </w:p>
    <w:p>
      <w:pPr>
        <w:pStyle w:val="BodyText"/>
        <w:spacing w:before="10"/>
        <w:ind w:left="0"/>
        <w:rPr>
          <w:sz w:val="18"/>
        </w:rPr>
      </w:pPr>
    </w:p>
    <w:p>
      <w:pPr>
        <w:pStyle w:val="BodyText"/>
        <w:spacing w:line="244" w:lineRule="auto" w:before="1"/>
        <w:ind w:right="945"/>
      </w:pPr>
      <w:r>
        <w:rPr>
          <w:spacing w:val="-2"/>
        </w:rPr>
        <w:t>保险金作为被保险人遗产时，必须提供可证明合法继承权的相关</w:t>
      </w:r>
      <w:r>
        <w:rPr>
          <w:spacing w:val="-2"/>
        </w:rPr>
        <w:t>权利文件。</w:t>
      </w:r>
    </w:p>
    <w:p>
      <w:pPr>
        <w:spacing w:after="0" w:line="244" w:lineRule="auto"/>
        <w:sectPr>
          <w:type w:val="continuous"/>
          <w:pgSz w:w="11910" w:h="16840"/>
          <w:pgMar w:header="0" w:footer="878" w:top="160" w:bottom="280" w:left="1480" w:right="440"/>
        </w:sectPr>
      </w:pPr>
    </w:p>
    <w:p>
      <w:pPr>
        <w:pStyle w:val="BodyText"/>
        <w:spacing w:line="242" w:lineRule="auto" w:before="43"/>
        <w:ind w:right="729"/>
      </w:pPr>
      <w:r>
        <w:rPr>
          <w:spacing w:val="-2"/>
        </w:rPr>
        <w:t>若以上申请资料和证明不完整的，我们将及时一次性通知保险金申</w:t>
      </w:r>
      <w:r>
        <w:rPr>
          <w:spacing w:val="-2"/>
        </w:rPr>
        <w:t>请人补充提供有关资料和证明。</w:t>
      </w:r>
    </w:p>
    <w:p>
      <w:pPr>
        <w:pStyle w:val="ListParagraph"/>
        <w:numPr>
          <w:ilvl w:val="1"/>
          <w:numId w:val="22"/>
        </w:numPr>
        <w:tabs>
          <w:tab w:pos="1071" w:val="left" w:leader="none"/>
          <w:tab w:pos="1072" w:val="left" w:leader="none"/>
          <w:tab w:pos="3152" w:val="left" w:leader="none"/>
        </w:tabs>
        <w:spacing w:line="364" w:lineRule="exact" w:before="174" w:after="0"/>
        <w:ind w:left="1071" w:right="0" w:hanging="850"/>
        <w:jc w:val="left"/>
        <w:rPr>
          <w:rFonts w:ascii="Times New Roman" w:eastAsia="Times New Roman"/>
          <w:sz w:val="21"/>
        </w:rPr>
      </w:pPr>
      <w:r>
        <w:rPr>
          <w:rFonts w:ascii="微软雅黑" w:eastAsia="微软雅黑"/>
          <w:b/>
          <w:sz w:val="21"/>
        </w:rPr>
        <w:t>保险金给</w:t>
      </w:r>
      <w:r>
        <w:rPr>
          <w:rFonts w:ascii="微软雅黑" w:eastAsia="微软雅黑"/>
          <w:b/>
          <w:spacing w:val="-10"/>
          <w:sz w:val="21"/>
        </w:rPr>
        <w:t>付</w:t>
      </w:r>
      <w:r>
        <w:rPr>
          <w:rFonts w:ascii="微软雅黑" w:eastAsia="微软雅黑"/>
          <w:b/>
          <w:sz w:val="21"/>
        </w:rPr>
        <w:tab/>
      </w:r>
      <w:r>
        <w:rPr>
          <w:sz w:val="21"/>
        </w:rPr>
        <w:t>我们在收到保险金给付申请书及合同约定的证明和资料后，将</w:t>
      </w:r>
      <w:r>
        <w:rPr>
          <w:spacing w:val="12"/>
          <w:sz w:val="21"/>
        </w:rPr>
        <w:t>在</w:t>
      </w:r>
      <w:r>
        <w:rPr>
          <w:rFonts w:ascii="Times New Roman" w:eastAsia="Times New Roman"/>
          <w:spacing w:val="-10"/>
          <w:sz w:val="21"/>
        </w:rPr>
        <w:t>5</w:t>
      </w:r>
    </w:p>
    <w:p>
      <w:pPr>
        <w:pStyle w:val="BodyText"/>
        <w:spacing w:line="246" w:lineRule="exact"/>
      </w:pPr>
      <w:r>
        <w:rPr>
          <w:spacing w:val="-2"/>
        </w:rPr>
        <w:t>个工作日内作出核定；情形复杂的，在</w:t>
      </w:r>
      <w:r>
        <w:rPr>
          <w:rFonts w:ascii="Times New Roman" w:eastAsia="Times New Roman"/>
          <w:spacing w:val="-2"/>
        </w:rPr>
        <w:t>30</w:t>
      </w:r>
      <w:r>
        <w:rPr>
          <w:spacing w:val="-3"/>
        </w:rPr>
        <w:t>日内作出核定。对属于保</w:t>
      </w:r>
    </w:p>
    <w:p>
      <w:pPr>
        <w:pStyle w:val="BodyText"/>
        <w:spacing w:line="242" w:lineRule="auto" w:before="2"/>
        <w:ind w:right="623"/>
      </w:pPr>
      <w:r>
        <w:rPr>
          <w:spacing w:val="-13"/>
        </w:rPr>
        <w:t>险责任的，我们在与保险金申请人达成给付保险金的协议后</w:t>
      </w:r>
      <w:r>
        <w:rPr>
          <w:rFonts w:ascii="Times New Roman" w:eastAsia="Times New Roman"/>
          <w:spacing w:val="-2"/>
        </w:rPr>
        <w:t>10</w:t>
      </w:r>
      <w:r>
        <w:rPr>
          <w:spacing w:val="-2"/>
        </w:rPr>
        <w:t>日内，</w:t>
      </w:r>
      <w:r>
        <w:rPr>
          <w:spacing w:val="-2"/>
        </w:rPr>
        <w:t>履行给付保险金义务；若我们在收到保险金给付申请书及上述有关</w:t>
      </w:r>
      <w:r>
        <w:rPr>
          <w:spacing w:val="-2"/>
        </w:rPr>
        <w:t>证明和资料后第</w:t>
      </w:r>
      <w:r>
        <w:rPr>
          <w:rFonts w:ascii="Times New Roman" w:eastAsia="Times New Roman"/>
          <w:spacing w:val="-2"/>
        </w:rPr>
        <w:t>30</w:t>
      </w:r>
      <w:r>
        <w:rPr>
          <w:spacing w:val="-2"/>
        </w:rPr>
        <w:t>日仍未作出核定，除支付保险金外，我们将从第 </w:t>
      </w:r>
      <w:r>
        <w:rPr>
          <w:rFonts w:ascii="Times New Roman" w:eastAsia="Times New Roman"/>
          <w:spacing w:val="-2"/>
        </w:rPr>
        <w:t>31</w:t>
      </w:r>
      <w:r>
        <w:rPr>
          <w:spacing w:val="-2"/>
        </w:rPr>
        <w:t>日起按超过天数赔偿保险金申请人因此受到的利息损失。利息按</w:t>
      </w:r>
      <w:r>
        <w:rPr>
          <w:spacing w:val="-2"/>
        </w:rPr>
        <w:t>照中国人民银行公布的同期金融机构人民币一年期定期存款利率单</w:t>
      </w:r>
      <w:r>
        <w:rPr>
          <w:spacing w:val="-2"/>
        </w:rPr>
        <w:t>利计算。若我们要求保险金申请人补充提供有关证明和资料的，则</w:t>
      </w:r>
      <w:r>
        <w:rPr>
          <w:spacing w:val="-2"/>
        </w:rPr>
        <w:t>上述的</w:t>
      </w:r>
      <w:r>
        <w:rPr>
          <w:rFonts w:ascii="Times New Roman" w:eastAsia="Times New Roman"/>
          <w:spacing w:val="-2"/>
        </w:rPr>
        <w:t>30</w:t>
      </w:r>
      <w:r>
        <w:rPr>
          <w:spacing w:val="-2"/>
        </w:rPr>
        <w:t>日不包括补充提供有关证明和资料的期间。对不属于保险</w:t>
      </w:r>
      <w:r>
        <w:rPr>
          <w:spacing w:val="-13"/>
        </w:rPr>
        <w:t>责任的，我们自作出核定之日起</w:t>
      </w:r>
      <w:r>
        <w:rPr>
          <w:rFonts w:ascii="Times New Roman" w:eastAsia="Times New Roman"/>
          <w:spacing w:val="-2"/>
        </w:rPr>
        <w:t>3</w:t>
      </w:r>
      <w:r>
        <w:rPr>
          <w:spacing w:val="-2"/>
        </w:rPr>
        <w:t>日内向保险金申请人发出拒绝给付</w:t>
      </w:r>
      <w:r>
        <w:rPr>
          <w:spacing w:val="-2"/>
        </w:rPr>
        <w:t>保险金通知书并说明理由。</w:t>
      </w:r>
    </w:p>
    <w:p>
      <w:pPr>
        <w:pStyle w:val="BodyText"/>
        <w:spacing w:before="4"/>
        <w:ind w:left="0"/>
        <w:rPr>
          <w:sz w:val="19"/>
        </w:rPr>
      </w:pPr>
    </w:p>
    <w:p>
      <w:pPr>
        <w:pStyle w:val="BodyText"/>
        <w:spacing w:line="242" w:lineRule="auto"/>
        <w:ind w:right="729"/>
        <w:jc w:val="both"/>
      </w:pPr>
      <w:r>
        <w:rPr>
          <w:spacing w:val="-2"/>
        </w:rPr>
        <w:t>我们在收到保险金给付申请书及有关证明和资料之日起</w:t>
      </w:r>
      <w:r>
        <w:rPr>
          <w:rFonts w:ascii="Times New Roman" w:eastAsia="Times New Roman"/>
          <w:spacing w:val="-2"/>
        </w:rPr>
        <w:t>60</w:t>
      </w:r>
      <w:r>
        <w:rPr>
          <w:spacing w:val="-2"/>
        </w:rPr>
        <w:t>日内，对</w:t>
      </w:r>
      <w:r>
        <w:rPr>
          <w:spacing w:val="-2"/>
        </w:rPr>
        <w:t>给付保险金的数额不能确定的，根据已有证明和资料可以确定的数</w:t>
      </w:r>
      <w:r>
        <w:rPr>
          <w:spacing w:val="-2"/>
        </w:rPr>
        <w:t>额先予支付；我们最终确定给付保险金的数额后，将支付相应的差</w:t>
      </w:r>
      <w:r>
        <w:rPr>
          <w:spacing w:val="-6"/>
        </w:rPr>
        <w:t>额。</w:t>
      </w:r>
    </w:p>
    <w:p>
      <w:pPr>
        <w:pStyle w:val="ListParagraph"/>
        <w:numPr>
          <w:ilvl w:val="1"/>
          <w:numId w:val="22"/>
        </w:numPr>
        <w:tabs>
          <w:tab w:pos="1071" w:val="left" w:leader="none"/>
          <w:tab w:pos="1072" w:val="left" w:leader="none"/>
          <w:tab w:pos="3152" w:val="left" w:leader="none"/>
        </w:tabs>
        <w:spacing w:line="363" w:lineRule="exact" w:before="178" w:after="0"/>
        <w:ind w:left="1071" w:right="0" w:hanging="850"/>
        <w:jc w:val="both"/>
        <w:rPr>
          <w:sz w:val="21"/>
        </w:rPr>
      </w:pPr>
      <w:r>
        <w:rPr>
          <w:rFonts w:ascii="微软雅黑" w:eastAsia="微软雅黑"/>
          <w:b/>
          <w:sz w:val="21"/>
        </w:rPr>
        <w:t>宣告死亡处</w:t>
      </w:r>
      <w:r>
        <w:rPr>
          <w:rFonts w:ascii="微软雅黑" w:eastAsia="微软雅黑"/>
          <w:b/>
          <w:spacing w:val="-10"/>
          <w:sz w:val="21"/>
        </w:rPr>
        <w:t>理</w:t>
      </w:r>
      <w:r>
        <w:rPr>
          <w:rFonts w:ascii="微软雅黑" w:eastAsia="微软雅黑"/>
          <w:b/>
          <w:sz w:val="21"/>
        </w:rPr>
        <w:tab/>
      </w:r>
      <w:r>
        <w:rPr>
          <w:spacing w:val="-2"/>
          <w:sz w:val="21"/>
        </w:rPr>
        <w:t>如</w:t>
      </w:r>
      <w:r>
        <w:rPr>
          <w:spacing w:val="-2"/>
          <w:sz w:val="21"/>
        </w:rPr>
        <w:t>果</w:t>
      </w:r>
      <w:r>
        <w:rPr>
          <w:spacing w:val="-2"/>
          <w:sz w:val="21"/>
        </w:rPr>
        <w:t>被</w:t>
      </w:r>
      <w:r>
        <w:rPr>
          <w:spacing w:val="-2"/>
          <w:sz w:val="21"/>
        </w:rPr>
        <w:t>保</w:t>
      </w:r>
      <w:r>
        <w:rPr>
          <w:spacing w:val="-2"/>
          <w:sz w:val="21"/>
        </w:rPr>
        <w:t>险</w:t>
      </w:r>
      <w:r>
        <w:rPr>
          <w:spacing w:val="-2"/>
          <w:sz w:val="21"/>
        </w:rPr>
        <w:t>人在本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失</w:t>
      </w:r>
      <w:r>
        <w:rPr>
          <w:spacing w:val="-2"/>
          <w:sz w:val="21"/>
        </w:rPr>
        <w:t>踪</w:t>
      </w:r>
      <w:r>
        <w:rPr>
          <w:spacing w:val="-2"/>
          <w:sz w:val="21"/>
        </w:rPr>
        <w:t>，而且</w:t>
      </w:r>
      <w:r>
        <w:rPr>
          <w:spacing w:val="-2"/>
          <w:sz w:val="21"/>
        </w:rPr>
        <w:t>被</w:t>
      </w:r>
      <w:r>
        <w:rPr>
          <w:spacing w:val="-2"/>
          <w:sz w:val="21"/>
        </w:rPr>
        <w:t>法</w:t>
      </w:r>
      <w:r>
        <w:rPr>
          <w:spacing w:val="-2"/>
          <w:sz w:val="21"/>
        </w:rPr>
        <w:t>院</w:t>
      </w:r>
      <w:r>
        <w:rPr>
          <w:spacing w:val="-2"/>
          <w:sz w:val="21"/>
        </w:rPr>
        <w:t>宣</w:t>
      </w:r>
      <w:r>
        <w:rPr>
          <w:spacing w:val="-2"/>
          <w:sz w:val="21"/>
        </w:rPr>
        <w:t>告</w:t>
      </w:r>
      <w:r>
        <w:rPr>
          <w:spacing w:val="-2"/>
          <w:sz w:val="21"/>
        </w:rPr>
        <w:t>死</w:t>
      </w:r>
      <w:r>
        <w:rPr>
          <w:spacing w:val="-2"/>
          <w:sz w:val="21"/>
        </w:rPr>
        <w:t>亡</w:t>
      </w:r>
      <w:r>
        <w:rPr>
          <w:spacing w:val="-2"/>
          <w:sz w:val="21"/>
        </w:rPr>
        <w:t>，我</w:t>
      </w:r>
      <w:r>
        <w:rPr>
          <w:spacing w:val="-10"/>
          <w:sz w:val="21"/>
        </w:rPr>
        <w:t>们</w:t>
      </w:r>
    </w:p>
    <w:p>
      <w:pPr>
        <w:pStyle w:val="BodyText"/>
        <w:spacing w:line="245" w:lineRule="exact"/>
      </w:pPr>
      <w:r>
        <w:rPr>
          <w:spacing w:val="-3"/>
        </w:rPr>
        <w:t>将根据法院宣告被保险人死亡之日的年龄按本合同约定给付身故保</w:t>
      </w:r>
    </w:p>
    <w:p>
      <w:pPr>
        <w:pStyle w:val="BodyText"/>
        <w:spacing w:before="2"/>
      </w:pPr>
      <w:r>
        <w:rPr>
          <w:spacing w:val="-3"/>
        </w:rPr>
        <w:t>险金，同时本合同效力终止。</w:t>
      </w:r>
    </w:p>
    <w:p>
      <w:pPr>
        <w:pStyle w:val="BodyText"/>
        <w:spacing w:before="4"/>
        <w:ind w:left="0"/>
        <w:rPr>
          <w:sz w:val="19"/>
        </w:rPr>
      </w:pPr>
    </w:p>
    <w:p>
      <w:pPr>
        <w:pStyle w:val="BodyText"/>
        <w:spacing w:line="242" w:lineRule="auto"/>
        <w:ind w:right="729"/>
        <w:jc w:val="both"/>
      </w:pPr>
      <w:r>
        <w:rPr>
          <w:spacing w:val="-2"/>
        </w:rPr>
        <w:t>如果被保险人在宣告死亡后重新出现或者确知其没有死亡，受益人</w:t>
      </w:r>
      <w:r>
        <w:rPr>
          <w:spacing w:val="-2"/>
        </w:rPr>
        <w:t>或者其他领取保险金的人应于知道后</w:t>
      </w:r>
      <w:r>
        <w:rPr>
          <w:rFonts w:ascii="Times New Roman" w:eastAsia="Times New Roman"/>
          <w:spacing w:val="-2"/>
        </w:rPr>
        <w:t>30</w:t>
      </w:r>
      <w:r>
        <w:rPr>
          <w:spacing w:val="-2"/>
        </w:rPr>
        <w:t>日内向我们退还已给付的保</w:t>
      </w:r>
      <w:r>
        <w:rPr>
          <w:spacing w:val="-2"/>
        </w:rPr>
        <w:t>险金，本合同的效力由我们与您依法协商处理。</w:t>
      </w:r>
    </w:p>
    <w:p>
      <w:pPr>
        <w:pStyle w:val="ListParagraph"/>
        <w:numPr>
          <w:ilvl w:val="1"/>
          <w:numId w:val="22"/>
        </w:numPr>
        <w:tabs>
          <w:tab w:pos="1071" w:val="left" w:leader="none"/>
          <w:tab w:pos="1072" w:val="left" w:leader="none"/>
          <w:tab w:pos="3152" w:val="left" w:leader="none"/>
        </w:tabs>
        <w:spacing w:line="363" w:lineRule="exact" w:before="176" w:after="0"/>
        <w:ind w:left="1071" w:right="0" w:hanging="850"/>
        <w:jc w:val="both"/>
        <w:rPr>
          <w:sz w:val="21"/>
        </w:rPr>
      </w:pPr>
      <w:r>
        <w:rPr>
          <w:rFonts w:ascii="微软雅黑" w:eastAsia="微软雅黑"/>
          <w:b/>
          <w:sz w:val="21"/>
        </w:rPr>
        <w:t>诉讼时</w:t>
      </w:r>
      <w:r>
        <w:rPr>
          <w:rFonts w:ascii="微软雅黑" w:eastAsia="微软雅黑"/>
          <w:b/>
          <w:spacing w:val="-10"/>
          <w:sz w:val="21"/>
        </w:rPr>
        <w:t>效</w:t>
      </w:r>
      <w:r>
        <w:rPr>
          <w:rFonts w:ascii="微软雅黑" w:eastAsia="微软雅黑"/>
          <w:b/>
          <w:sz w:val="21"/>
        </w:rPr>
        <w:tab/>
      </w:r>
      <w:r>
        <w:rPr>
          <w:spacing w:val="-2"/>
          <w:sz w:val="21"/>
        </w:rPr>
        <w:t>保</w:t>
      </w:r>
      <w:r>
        <w:rPr>
          <w:spacing w:val="-2"/>
          <w:sz w:val="21"/>
        </w:rPr>
        <w:t>险</w:t>
      </w:r>
      <w:r>
        <w:rPr>
          <w:spacing w:val="-2"/>
          <w:sz w:val="21"/>
        </w:rPr>
        <w:t>金申请人向我们请求</w:t>
      </w:r>
      <w:r>
        <w:rPr>
          <w:spacing w:val="-2"/>
          <w:sz w:val="21"/>
        </w:rPr>
        <w:t>给</w:t>
      </w:r>
      <w:r>
        <w:rPr>
          <w:spacing w:val="-2"/>
          <w:sz w:val="21"/>
        </w:rPr>
        <w:t>付</w:t>
      </w:r>
      <w:r>
        <w:rPr>
          <w:spacing w:val="-2"/>
          <w:sz w:val="21"/>
        </w:rPr>
        <w:t>保险金的诉讼时效期</w:t>
      </w:r>
      <w:r>
        <w:rPr>
          <w:spacing w:val="-2"/>
          <w:sz w:val="21"/>
        </w:rPr>
        <w:t>间</w:t>
      </w:r>
      <w:r>
        <w:rPr>
          <w:spacing w:val="-2"/>
          <w:sz w:val="21"/>
        </w:rPr>
        <w:t>为</w:t>
      </w:r>
      <w:r>
        <w:rPr>
          <w:rFonts w:ascii="Times New Roman" w:eastAsia="Times New Roman"/>
          <w:spacing w:val="-2"/>
          <w:sz w:val="21"/>
        </w:rPr>
        <w:t>5</w:t>
      </w:r>
      <w:r>
        <w:rPr>
          <w:spacing w:val="-2"/>
          <w:sz w:val="21"/>
        </w:rPr>
        <w:t>年</w:t>
      </w:r>
      <w:r>
        <w:rPr>
          <w:spacing w:val="-101"/>
          <w:sz w:val="21"/>
        </w:rPr>
        <w:t>，</w:t>
      </w:r>
      <w:r>
        <w:rPr>
          <w:spacing w:val="-2"/>
          <w:sz w:val="21"/>
        </w:rPr>
        <w:t>自其</w:t>
      </w:r>
      <w:r>
        <w:rPr>
          <w:spacing w:val="-10"/>
          <w:sz w:val="21"/>
        </w:rPr>
        <w:t>知</w:t>
      </w:r>
    </w:p>
    <w:p>
      <w:pPr>
        <w:pStyle w:val="BodyText"/>
        <w:spacing w:line="245" w:lineRule="exact"/>
      </w:pPr>
      <w:r>
        <w:rPr>
          <w:spacing w:val="-3"/>
        </w:rPr>
        <w:t>道或者应当知道保险事故发生之日起计算。</w:t>
      </w:r>
    </w:p>
    <w:p>
      <w:pPr>
        <w:pStyle w:val="BodyText"/>
        <w:spacing w:before="10"/>
        <w:ind w:left="0"/>
        <w:rPr>
          <w:sz w:val="18"/>
        </w:rPr>
      </w:pPr>
    </w:p>
    <w:p>
      <w:pPr>
        <w:pStyle w:val="Heading1"/>
        <w:numPr>
          <w:ilvl w:val="0"/>
          <w:numId w:val="25"/>
        </w:numPr>
        <w:tabs>
          <w:tab w:pos="1071" w:val="left" w:leader="none"/>
          <w:tab w:pos="1072" w:val="left" w:leader="none"/>
        </w:tabs>
        <w:spacing w:line="240" w:lineRule="auto" w:before="0" w:after="0"/>
        <w:ind w:left="1071" w:right="0" w:hanging="850"/>
        <w:jc w:val="both"/>
      </w:pPr>
      <w:r>
        <w:rPr/>
        <w:drawing>
          <wp:anchor distT="0" distB="0" distL="0" distR="0" allowOverlap="1" layoutInCell="1" locked="0" behindDoc="0" simplePos="0" relativeHeight="7">
            <wp:simplePos x="0" y="0"/>
            <wp:positionH relativeFrom="page">
              <wp:posOffset>1012240</wp:posOffset>
            </wp:positionH>
            <wp:positionV relativeFrom="paragraph">
              <wp:posOffset>292580</wp:posOffset>
            </wp:positionV>
            <wp:extent cx="5869766"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5869766" cy="6096"/>
                    </a:xfrm>
                    <a:prstGeom prst="rect">
                      <a:avLst/>
                    </a:prstGeom>
                  </pic:spPr>
                </pic:pic>
              </a:graphicData>
            </a:graphic>
          </wp:anchor>
        </w:drawing>
      </w:r>
      <w:r>
        <w:rPr>
          <w:spacing w:val="-2"/>
        </w:rPr>
        <w:t>保险费的支付</w:t>
      </w:r>
    </w:p>
    <w:p>
      <w:pPr>
        <w:pStyle w:val="ListParagraph"/>
        <w:numPr>
          <w:ilvl w:val="1"/>
          <w:numId w:val="25"/>
        </w:numPr>
        <w:tabs>
          <w:tab w:pos="1071" w:val="left" w:leader="none"/>
          <w:tab w:pos="1072" w:val="left" w:leader="none"/>
          <w:tab w:pos="3152" w:val="left" w:leader="none"/>
        </w:tabs>
        <w:spacing w:line="364" w:lineRule="exact" w:before="176" w:after="0"/>
        <w:ind w:left="1071" w:right="0" w:hanging="850"/>
        <w:jc w:val="left"/>
        <w:rPr>
          <w:sz w:val="21"/>
        </w:rPr>
      </w:pPr>
      <w:r>
        <w:rPr>
          <w:rFonts w:ascii="微软雅黑" w:eastAsia="微软雅黑"/>
          <w:b/>
          <w:sz w:val="21"/>
        </w:rPr>
        <w:t>保险费的支</w:t>
      </w:r>
      <w:r>
        <w:rPr>
          <w:rFonts w:ascii="微软雅黑" w:eastAsia="微软雅黑"/>
          <w:b/>
          <w:spacing w:val="-10"/>
          <w:sz w:val="21"/>
        </w:rPr>
        <w:t>付</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费的支</w:t>
      </w:r>
      <w:r>
        <w:rPr>
          <w:spacing w:val="-2"/>
          <w:sz w:val="21"/>
        </w:rPr>
        <w:t>付</w:t>
      </w:r>
      <w:r>
        <w:rPr>
          <w:spacing w:val="-2"/>
          <w:sz w:val="21"/>
        </w:rPr>
        <w:t>方</w:t>
      </w:r>
      <w:r>
        <w:rPr>
          <w:spacing w:val="-2"/>
          <w:sz w:val="21"/>
        </w:rPr>
        <w:t>式</w:t>
      </w:r>
      <w:r>
        <w:rPr>
          <w:spacing w:val="-2"/>
          <w:sz w:val="21"/>
        </w:rPr>
        <w:t>和</w:t>
      </w:r>
      <w:r>
        <w:rPr>
          <w:spacing w:val="-2"/>
          <w:sz w:val="21"/>
        </w:rPr>
        <w:t>支</w:t>
      </w:r>
      <w:r>
        <w:rPr>
          <w:spacing w:val="-2"/>
          <w:sz w:val="21"/>
        </w:rPr>
        <w:t>付</w:t>
      </w:r>
      <w:r>
        <w:rPr>
          <w:spacing w:val="-2"/>
          <w:sz w:val="21"/>
        </w:rPr>
        <w:t>期</w:t>
      </w:r>
      <w:r>
        <w:rPr>
          <w:spacing w:val="-2"/>
          <w:sz w:val="21"/>
        </w:rPr>
        <w:t>限</w:t>
      </w:r>
      <w:r>
        <w:rPr>
          <w:spacing w:val="-2"/>
          <w:sz w:val="21"/>
        </w:rPr>
        <w:t>由您和</w:t>
      </w:r>
      <w:r>
        <w:rPr>
          <w:spacing w:val="-2"/>
          <w:sz w:val="21"/>
        </w:rPr>
        <w:t>我</w:t>
      </w:r>
      <w:r>
        <w:rPr>
          <w:spacing w:val="-2"/>
          <w:sz w:val="21"/>
        </w:rPr>
        <w:t>们</w:t>
      </w:r>
      <w:r>
        <w:rPr>
          <w:spacing w:val="-2"/>
          <w:sz w:val="21"/>
        </w:rPr>
        <w:t>约</w:t>
      </w:r>
      <w:r>
        <w:rPr>
          <w:spacing w:val="-2"/>
          <w:sz w:val="21"/>
        </w:rPr>
        <w:t>定</w:t>
      </w:r>
      <w:r>
        <w:rPr>
          <w:spacing w:val="-2"/>
          <w:sz w:val="21"/>
        </w:rPr>
        <w:t>并</w:t>
      </w:r>
      <w:r>
        <w:rPr>
          <w:spacing w:val="-2"/>
          <w:sz w:val="21"/>
        </w:rPr>
        <w:t>在</w:t>
      </w:r>
      <w:r>
        <w:rPr>
          <w:spacing w:val="-2"/>
          <w:sz w:val="21"/>
        </w:rPr>
        <w:t>保</w:t>
      </w:r>
      <w:r>
        <w:rPr>
          <w:spacing w:val="-2"/>
          <w:sz w:val="21"/>
        </w:rPr>
        <w:t>险</w:t>
      </w:r>
      <w:r>
        <w:rPr>
          <w:spacing w:val="-2"/>
          <w:sz w:val="21"/>
        </w:rPr>
        <w:t>单</w:t>
      </w:r>
      <w:r>
        <w:rPr>
          <w:spacing w:val="-10"/>
          <w:sz w:val="21"/>
        </w:rPr>
        <w:t>上</w:t>
      </w:r>
    </w:p>
    <w:p>
      <w:pPr>
        <w:pStyle w:val="BodyText"/>
        <w:spacing w:line="246" w:lineRule="exact"/>
      </w:pPr>
      <w:r>
        <w:rPr>
          <w:spacing w:val="-4"/>
        </w:rPr>
        <w:t>载明。</w:t>
      </w:r>
    </w:p>
    <w:p>
      <w:pPr>
        <w:pStyle w:val="BodyText"/>
        <w:spacing w:before="1"/>
        <w:ind w:left="0"/>
        <w:rPr>
          <w:sz w:val="19"/>
        </w:rPr>
      </w:pPr>
    </w:p>
    <w:p>
      <w:pPr>
        <w:pStyle w:val="BodyText"/>
        <w:spacing w:line="242" w:lineRule="auto"/>
        <w:ind w:right="730"/>
      </w:pPr>
      <w:r>
        <w:rPr>
          <w:spacing w:val="-2"/>
        </w:rPr>
        <w:t>分期支付保险费的，在支付首期保险费后，您应当在每个保险费约</w:t>
      </w:r>
      <w:r>
        <w:rPr>
          <w:spacing w:val="-2"/>
        </w:rPr>
        <w:t>定支付日或之前支付当期保险费。</w:t>
      </w:r>
    </w:p>
    <w:p>
      <w:pPr>
        <w:pStyle w:val="ListParagraph"/>
        <w:numPr>
          <w:ilvl w:val="1"/>
          <w:numId w:val="25"/>
        </w:numPr>
        <w:tabs>
          <w:tab w:pos="1071" w:val="left" w:leader="none"/>
          <w:tab w:pos="1072" w:val="left" w:leader="none"/>
          <w:tab w:pos="3152" w:val="left" w:leader="none"/>
        </w:tabs>
        <w:spacing w:line="364" w:lineRule="exact" w:before="174" w:after="0"/>
        <w:ind w:left="1071" w:right="0" w:hanging="850"/>
        <w:jc w:val="left"/>
        <w:rPr>
          <w:sz w:val="21"/>
        </w:rPr>
      </w:pPr>
      <w:r>
        <w:rPr>
          <w:rFonts w:ascii="微软雅黑" w:eastAsia="微软雅黑"/>
          <w:b/>
          <w:sz w:val="21"/>
        </w:rPr>
        <w:t>宽限</w:t>
      </w:r>
      <w:r>
        <w:rPr>
          <w:rFonts w:ascii="微软雅黑" w:eastAsia="微软雅黑"/>
          <w:b/>
          <w:spacing w:val="-10"/>
          <w:sz w:val="21"/>
        </w:rPr>
        <w:t>期</w:t>
      </w:r>
      <w:r>
        <w:rPr>
          <w:rFonts w:ascii="微软雅黑" w:eastAsia="微软雅黑"/>
          <w:b/>
          <w:sz w:val="21"/>
        </w:rPr>
        <w:tab/>
      </w:r>
      <w:r>
        <w:rPr>
          <w:spacing w:val="-2"/>
          <w:sz w:val="21"/>
        </w:rPr>
        <w:t>分</w:t>
      </w:r>
      <w:r>
        <w:rPr>
          <w:spacing w:val="-2"/>
          <w:sz w:val="21"/>
        </w:rPr>
        <w:t>期</w:t>
      </w:r>
      <w:r>
        <w:rPr>
          <w:spacing w:val="-2"/>
          <w:sz w:val="21"/>
        </w:rPr>
        <w:t>支</w:t>
      </w:r>
      <w:r>
        <w:rPr>
          <w:spacing w:val="-2"/>
          <w:sz w:val="21"/>
        </w:rPr>
        <w:t>付</w:t>
      </w:r>
      <w:r>
        <w:rPr>
          <w:spacing w:val="-2"/>
          <w:sz w:val="21"/>
        </w:rPr>
        <w:t>保</w:t>
      </w:r>
      <w:r>
        <w:rPr>
          <w:spacing w:val="-2"/>
          <w:sz w:val="21"/>
        </w:rPr>
        <w:t>险费的，</w:t>
      </w:r>
      <w:r>
        <w:rPr>
          <w:spacing w:val="-2"/>
          <w:sz w:val="21"/>
        </w:rPr>
        <w:t>您</w:t>
      </w:r>
      <w:r>
        <w:rPr>
          <w:spacing w:val="-2"/>
          <w:sz w:val="21"/>
        </w:rPr>
        <w:t>支</w:t>
      </w:r>
      <w:r>
        <w:rPr>
          <w:spacing w:val="-2"/>
          <w:sz w:val="21"/>
        </w:rPr>
        <w:t>付</w:t>
      </w:r>
      <w:r>
        <w:rPr>
          <w:spacing w:val="-2"/>
          <w:sz w:val="21"/>
        </w:rPr>
        <w:t>首</w:t>
      </w:r>
      <w:r>
        <w:rPr>
          <w:spacing w:val="-2"/>
          <w:sz w:val="21"/>
        </w:rPr>
        <w:t>期</w:t>
      </w:r>
      <w:r>
        <w:rPr>
          <w:spacing w:val="-2"/>
          <w:sz w:val="21"/>
        </w:rPr>
        <w:t>保</w:t>
      </w:r>
      <w:r>
        <w:rPr>
          <w:spacing w:val="-2"/>
          <w:sz w:val="21"/>
        </w:rPr>
        <w:t>险</w:t>
      </w:r>
      <w:r>
        <w:rPr>
          <w:spacing w:val="-2"/>
          <w:sz w:val="21"/>
        </w:rPr>
        <w:t>费后，</w:t>
      </w:r>
      <w:r>
        <w:rPr>
          <w:spacing w:val="-2"/>
          <w:sz w:val="21"/>
        </w:rPr>
        <w:t>除</w:t>
      </w:r>
      <w:r>
        <w:rPr>
          <w:spacing w:val="-2"/>
          <w:sz w:val="21"/>
        </w:rPr>
        <w:t>本</w:t>
      </w:r>
      <w:r>
        <w:rPr>
          <w:spacing w:val="-2"/>
          <w:sz w:val="21"/>
        </w:rPr>
        <w:t>合</w:t>
      </w:r>
      <w:r>
        <w:rPr>
          <w:spacing w:val="-2"/>
          <w:sz w:val="21"/>
        </w:rPr>
        <w:t>同</w:t>
      </w:r>
      <w:r>
        <w:rPr>
          <w:spacing w:val="-2"/>
          <w:sz w:val="21"/>
        </w:rPr>
        <w:t>另</w:t>
      </w:r>
      <w:r>
        <w:rPr>
          <w:spacing w:val="-2"/>
          <w:sz w:val="21"/>
        </w:rPr>
        <w:t>有</w:t>
      </w:r>
      <w:r>
        <w:rPr>
          <w:spacing w:val="-2"/>
          <w:sz w:val="21"/>
        </w:rPr>
        <w:t>约</w:t>
      </w:r>
      <w:r>
        <w:rPr>
          <w:spacing w:val="-2"/>
          <w:sz w:val="21"/>
        </w:rPr>
        <w:t>定</w:t>
      </w:r>
      <w:r>
        <w:rPr>
          <w:spacing w:val="-2"/>
          <w:sz w:val="21"/>
        </w:rPr>
        <w:t>外</w:t>
      </w:r>
      <w:r>
        <w:rPr>
          <w:spacing w:val="-10"/>
          <w:sz w:val="21"/>
        </w:rPr>
        <w:t>，</w:t>
      </w:r>
    </w:p>
    <w:p>
      <w:pPr>
        <w:pStyle w:val="BodyText"/>
        <w:spacing w:line="246" w:lineRule="exact"/>
      </w:pPr>
      <w:r>
        <w:rPr>
          <w:spacing w:val="-2"/>
        </w:rPr>
        <w:t>如果您到期未支付保险费，自保险费约定支付日的次日零时起</w:t>
      </w:r>
      <w:r>
        <w:rPr>
          <w:rFonts w:ascii="Times New Roman" w:eastAsia="Times New Roman"/>
          <w:spacing w:val="-2"/>
        </w:rPr>
        <w:t>60</w:t>
      </w:r>
      <w:r>
        <w:rPr>
          <w:spacing w:val="-10"/>
        </w:rPr>
        <w:t>日</w:t>
      </w:r>
    </w:p>
    <w:p>
      <w:pPr>
        <w:pStyle w:val="BodyText"/>
        <w:spacing w:line="244" w:lineRule="auto" w:before="3"/>
        <w:ind w:right="729"/>
      </w:pPr>
      <w:r>
        <w:rPr>
          <w:spacing w:val="-2"/>
        </w:rPr>
        <w:t>为宽限期。宽限期内发生的保险事故，我们仍会承担保险责任，但</w:t>
      </w:r>
      <w:r>
        <w:rPr>
          <w:spacing w:val="-2"/>
        </w:rPr>
        <w:t>在给付保险金时会扣减您欠付的保险费。</w:t>
      </w:r>
    </w:p>
    <w:p>
      <w:pPr>
        <w:pStyle w:val="BodyText"/>
        <w:spacing w:before="11"/>
        <w:ind w:left="0"/>
        <w:rPr>
          <w:sz w:val="19"/>
        </w:rPr>
      </w:pPr>
    </w:p>
    <w:p>
      <w:pPr>
        <w:spacing w:line="168" w:lineRule="auto" w:before="0"/>
        <w:ind w:left="3153" w:right="732" w:firstLine="0"/>
        <w:jc w:val="left"/>
        <w:rPr>
          <w:rFonts w:ascii="微软雅黑" w:eastAsia="微软雅黑"/>
          <w:b/>
          <w:sz w:val="21"/>
        </w:rPr>
      </w:pPr>
      <w:r>
        <w:rPr>
          <w:rFonts w:ascii="微软雅黑" w:eastAsia="微软雅黑"/>
          <w:b/>
          <w:spacing w:val="-2"/>
          <w:sz w:val="21"/>
        </w:rPr>
        <w:t>如果您在宽限期结束之后仍未支付保险费，则本合同自宽限期满的</w:t>
      </w:r>
      <w:r>
        <w:rPr>
          <w:rFonts w:ascii="微软雅黑" w:eastAsia="微软雅黑"/>
          <w:b/>
          <w:spacing w:val="-2"/>
          <w:sz w:val="21"/>
        </w:rPr>
        <w:t>次日零时起效力中止。</w:t>
      </w:r>
    </w:p>
    <w:p>
      <w:pPr>
        <w:pStyle w:val="ListParagraph"/>
        <w:numPr>
          <w:ilvl w:val="1"/>
          <w:numId w:val="25"/>
        </w:numPr>
        <w:tabs>
          <w:tab w:pos="1071" w:val="left" w:leader="none"/>
          <w:tab w:pos="1072" w:val="left" w:leader="none"/>
          <w:tab w:pos="3152" w:val="left" w:leader="none"/>
        </w:tabs>
        <w:spacing w:line="364" w:lineRule="exact" w:before="160" w:after="0"/>
        <w:ind w:left="1071" w:right="0" w:hanging="850"/>
        <w:jc w:val="left"/>
        <w:rPr>
          <w:sz w:val="21"/>
        </w:rPr>
      </w:pPr>
      <w:r>
        <w:rPr>
          <w:rFonts w:ascii="微软雅黑" w:eastAsia="微软雅黑"/>
          <w:b/>
          <w:sz w:val="21"/>
        </w:rPr>
        <w:t>保险费自动垫</w:t>
      </w:r>
      <w:r>
        <w:rPr>
          <w:rFonts w:ascii="微软雅黑" w:eastAsia="微软雅黑"/>
          <w:b/>
          <w:spacing w:val="-10"/>
          <w:sz w:val="21"/>
        </w:rPr>
        <w:t>交</w:t>
      </w:r>
      <w:r>
        <w:rPr>
          <w:rFonts w:ascii="微软雅黑" w:eastAsia="微软雅黑"/>
          <w:b/>
          <w:sz w:val="21"/>
        </w:rPr>
        <w:tab/>
      </w:r>
      <w:r>
        <w:rPr>
          <w:spacing w:val="-2"/>
          <w:sz w:val="21"/>
        </w:rPr>
        <w:t>您</w:t>
      </w:r>
      <w:r>
        <w:rPr>
          <w:spacing w:val="-2"/>
          <w:sz w:val="21"/>
        </w:rPr>
        <w:t>可</w:t>
      </w:r>
      <w:r>
        <w:rPr>
          <w:spacing w:val="-2"/>
          <w:sz w:val="21"/>
        </w:rPr>
        <w:t>以</w:t>
      </w:r>
      <w:r>
        <w:rPr>
          <w:spacing w:val="-2"/>
          <w:sz w:val="21"/>
        </w:rPr>
        <w:t>选</w:t>
      </w:r>
      <w:r>
        <w:rPr>
          <w:spacing w:val="-2"/>
          <w:sz w:val="21"/>
        </w:rPr>
        <w:t>择</w:t>
      </w:r>
      <w:r>
        <w:rPr>
          <w:spacing w:val="-2"/>
          <w:sz w:val="21"/>
        </w:rPr>
        <w:t>保险费</w:t>
      </w:r>
      <w:r>
        <w:rPr>
          <w:spacing w:val="-2"/>
          <w:sz w:val="21"/>
        </w:rPr>
        <w:t>自</w:t>
      </w:r>
      <w:r>
        <w:rPr>
          <w:spacing w:val="-2"/>
          <w:sz w:val="21"/>
        </w:rPr>
        <w:t>动</w:t>
      </w:r>
      <w:r>
        <w:rPr>
          <w:spacing w:val="-2"/>
          <w:sz w:val="21"/>
        </w:rPr>
        <w:t>垫</w:t>
      </w:r>
      <w:r>
        <w:rPr>
          <w:spacing w:val="-2"/>
          <w:sz w:val="21"/>
        </w:rPr>
        <w:t>交</w:t>
      </w:r>
      <w:r>
        <w:rPr>
          <w:spacing w:val="-2"/>
          <w:sz w:val="21"/>
        </w:rPr>
        <w:t>功</w:t>
      </w:r>
      <w:r>
        <w:rPr>
          <w:spacing w:val="-2"/>
          <w:sz w:val="21"/>
        </w:rPr>
        <w:t>能，</w:t>
      </w:r>
      <w:r>
        <w:rPr>
          <w:spacing w:val="-2"/>
          <w:sz w:val="21"/>
        </w:rPr>
        <w:t>即</w:t>
      </w:r>
      <w:r>
        <w:rPr>
          <w:spacing w:val="-2"/>
          <w:sz w:val="21"/>
        </w:rPr>
        <w:t>如果您</w:t>
      </w:r>
      <w:r>
        <w:rPr>
          <w:spacing w:val="-2"/>
          <w:sz w:val="21"/>
        </w:rPr>
        <w:t>在</w:t>
      </w:r>
      <w:r>
        <w:rPr>
          <w:spacing w:val="-2"/>
          <w:sz w:val="21"/>
        </w:rPr>
        <w:t>宽</w:t>
      </w:r>
      <w:r>
        <w:rPr>
          <w:spacing w:val="-2"/>
          <w:sz w:val="21"/>
        </w:rPr>
        <w:t>限</w:t>
      </w:r>
      <w:r>
        <w:rPr>
          <w:spacing w:val="-2"/>
          <w:sz w:val="21"/>
        </w:rPr>
        <w:t>期</w:t>
      </w:r>
      <w:r>
        <w:rPr>
          <w:spacing w:val="-2"/>
          <w:sz w:val="21"/>
        </w:rPr>
        <w:t>结</w:t>
      </w:r>
      <w:r>
        <w:rPr>
          <w:spacing w:val="-2"/>
          <w:sz w:val="21"/>
        </w:rPr>
        <w:t>束</w:t>
      </w:r>
      <w:r>
        <w:rPr>
          <w:spacing w:val="-2"/>
          <w:sz w:val="21"/>
        </w:rPr>
        <w:t>时</w:t>
      </w:r>
      <w:r>
        <w:rPr>
          <w:spacing w:val="-2"/>
          <w:sz w:val="21"/>
        </w:rPr>
        <w:t>仍</w:t>
      </w:r>
      <w:r>
        <w:rPr>
          <w:spacing w:val="-2"/>
          <w:sz w:val="21"/>
        </w:rPr>
        <w:t>未</w:t>
      </w:r>
      <w:r>
        <w:rPr>
          <w:spacing w:val="-10"/>
          <w:sz w:val="21"/>
        </w:rPr>
        <w:t>支</w:t>
      </w:r>
    </w:p>
    <w:p>
      <w:pPr>
        <w:pStyle w:val="BodyText"/>
        <w:spacing w:line="246" w:lineRule="exact"/>
      </w:pPr>
      <w:r>
        <w:rPr>
          <w:spacing w:val="-3"/>
        </w:rPr>
        <w:t>付保险费，我们将按以下情况自动垫交当期应付的保险费：</w:t>
      </w:r>
    </w:p>
    <w:p>
      <w:pPr>
        <w:pStyle w:val="BodyText"/>
        <w:spacing w:before="1"/>
        <w:ind w:left="0"/>
        <w:rPr>
          <w:sz w:val="19"/>
        </w:rPr>
      </w:pPr>
    </w:p>
    <w:p>
      <w:pPr>
        <w:pStyle w:val="BodyText"/>
        <w:spacing w:line="244" w:lineRule="auto"/>
        <w:ind w:right="729"/>
      </w:pPr>
      <w:r>
        <w:rPr>
          <w:spacing w:val="-2"/>
        </w:rPr>
        <w:t>若本合同的现金价值扣除您尚未偿还的各项欠款及应付利息（利率</w:t>
      </w:r>
      <w:r>
        <w:rPr>
          <w:spacing w:val="-4"/>
        </w:rPr>
        <w:t>同贷款利率，参照本合同第</w:t>
      </w:r>
      <w:r>
        <w:rPr>
          <w:rFonts w:ascii="Times New Roman" w:hAnsi="Times New Roman" w:eastAsia="Times New Roman"/>
          <w:spacing w:val="-4"/>
        </w:rPr>
        <w:t>5.2</w:t>
      </w:r>
      <w:r>
        <w:rPr>
          <w:spacing w:val="-4"/>
        </w:rPr>
        <w:t>条）之后的余额（</w:t>
      </w:r>
      <w:r>
        <w:rPr>
          <w:spacing w:val="-5"/>
        </w:rPr>
        <w:t>简称“现金价值余</w:t>
      </w:r>
    </w:p>
    <w:p>
      <w:pPr>
        <w:spacing w:after="0" w:line="244" w:lineRule="auto"/>
        <w:sectPr>
          <w:pgSz w:w="11910" w:h="16840"/>
          <w:pgMar w:header="0" w:footer="878" w:top="1440" w:bottom="1060" w:left="1480" w:right="440"/>
        </w:sect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5"/>
        <w:gridCol w:w="2056"/>
        <w:gridCol w:w="6524"/>
      </w:tblGrid>
      <w:tr>
        <w:trPr>
          <w:trHeight w:val="636" w:hRule="atLeast"/>
        </w:trPr>
        <w:tc>
          <w:tcPr>
            <w:tcW w:w="2721" w:type="dxa"/>
            <w:gridSpan w:val="2"/>
            <w:vMerge w:val="restart"/>
          </w:tcPr>
          <w:p>
            <w:pPr>
              <w:pStyle w:val="TableParagraph"/>
              <w:rPr>
                <w:rFonts w:ascii="Times New Roman"/>
                <w:sz w:val="20"/>
              </w:rPr>
            </w:pPr>
          </w:p>
        </w:tc>
        <w:tc>
          <w:tcPr>
            <w:tcW w:w="6524" w:type="dxa"/>
          </w:tcPr>
          <w:p>
            <w:pPr>
              <w:pStyle w:val="TableParagraph"/>
              <w:spacing w:line="241" w:lineRule="exact"/>
              <w:ind w:left="317"/>
              <w:rPr>
                <w:sz w:val="21"/>
              </w:rPr>
            </w:pPr>
            <w:r>
              <w:rPr>
                <w:spacing w:val="-41"/>
                <w:sz w:val="21"/>
              </w:rPr>
              <w:t>额”</w:t>
            </w:r>
            <w:r>
              <w:rPr>
                <w:spacing w:val="-79"/>
                <w:sz w:val="21"/>
              </w:rPr>
              <w:t>）</w:t>
            </w:r>
            <w:r>
              <w:rPr>
                <w:spacing w:val="-7"/>
                <w:sz w:val="21"/>
              </w:rPr>
              <w:t>足以垫交当期应付的保险费时，我们将先行垫交当期应付的保</w:t>
            </w:r>
          </w:p>
          <w:p>
            <w:pPr>
              <w:pStyle w:val="TableParagraph"/>
              <w:spacing w:before="4"/>
              <w:ind w:left="317"/>
              <w:rPr>
                <w:sz w:val="21"/>
              </w:rPr>
            </w:pPr>
            <w:r>
              <w:rPr>
                <w:spacing w:val="-3"/>
                <w:sz w:val="21"/>
              </w:rPr>
              <w:t>险费，本合同继续有效。</w:t>
            </w:r>
          </w:p>
        </w:tc>
      </w:tr>
      <w:tr>
        <w:trPr>
          <w:trHeight w:val="393" w:hRule="atLeast"/>
        </w:trPr>
        <w:tc>
          <w:tcPr>
            <w:tcW w:w="2721" w:type="dxa"/>
            <w:gridSpan w:val="2"/>
            <w:vMerge/>
            <w:tcBorders>
              <w:top w:val="nil"/>
            </w:tcBorders>
          </w:tcPr>
          <w:p>
            <w:pPr>
              <w:rPr>
                <w:sz w:val="2"/>
                <w:szCs w:val="2"/>
              </w:rPr>
            </w:pPr>
          </w:p>
        </w:tc>
        <w:tc>
          <w:tcPr>
            <w:tcW w:w="6524" w:type="dxa"/>
          </w:tcPr>
          <w:p>
            <w:pPr>
              <w:pStyle w:val="TableParagraph"/>
              <w:spacing w:line="251" w:lineRule="exact" w:before="123"/>
              <w:ind w:left="317"/>
              <w:rPr>
                <w:sz w:val="21"/>
              </w:rPr>
            </w:pPr>
            <w:r>
              <w:rPr>
                <w:spacing w:val="-3"/>
                <w:sz w:val="21"/>
              </w:rPr>
              <w:t>若现金价值余额不足以垫交当期应付保险费时，我们将以该余额计</w:t>
            </w:r>
          </w:p>
        </w:tc>
      </w:tr>
      <w:tr>
        <w:trPr>
          <w:trHeight w:val="272" w:hRule="atLeast"/>
        </w:trPr>
        <w:tc>
          <w:tcPr>
            <w:tcW w:w="2721" w:type="dxa"/>
            <w:gridSpan w:val="2"/>
            <w:vMerge/>
            <w:tcBorders>
              <w:top w:val="nil"/>
            </w:tcBorders>
          </w:tcPr>
          <w:p>
            <w:pPr>
              <w:rPr>
                <w:sz w:val="2"/>
                <w:szCs w:val="2"/>
              </w:rPr>
            </w:pPr>
          </w:p>
        </w:tc>
        <w:tc>
          <w:tcPr>
            <w:tcW w:w="6524" w:type="dxa"/>
          </w:tcPr>
          <w:p>
            <w:pPr>
              <w:pStyle w:val="TableParagraph"/>
              <w:spacing w:line="250" w:lineRule="exact" w:before="2"/>
              <w:ind w:left="317"/>
              <w:rPr>
                <w:sz w:val="21"/>
              </w:rPr>
            </w:pPr>
            <w:r>
              <w:rPr>
                <w:spacing w:val="-3"/>
                <w:sz w:val="21"/>
              </w:rPr>
              <w:t>算本合同可以继续有效的天数，先行垫交您相应的保险费，本合同</w:t>
            </w:r>
          </w:p>
        </w:tc>
      </w:tr>
      <w:tr>
        <w:trPr>
          <w:trHeight w:val="271" w:hRule="atLeast"/>
        </w:trPr>
        <w:tc>
          <w:tcPr>
            <w:tcW w:w="2721" w:type="dxa"/>
            <w:gridSpan w:val="2"/>
            <w:vMerge/>
            <w:tcBorders>
              <w:top w:val="nil"/>
            </w:tcBorders>
          </w:tcPr>
          <w:p>
            <w:pPr>
              <w:rPr>
                <w:sz w:val="2"/>
                <w:szCs w:val="2"/>
              </w:rPr>
            </w:pPr>
          </w:p>
        </w:tc>
        <w:tc>
          <w:tcPr>
            <w:tcW w:w="6524" w:type="dxa"/>
          </w:tcPr>
          <w:p>
            <w:pPr>
              <w:pStyle w:val="TableParagraph"/>
              <w:spacing w:line="251" w:lineRule="exact"/>
              <w:ind w:left="317"/>
              <w:rPr>
                <w:rFonts w:ascii="微软雅黑" w:eastAsia="微软雅黑"/>
                <w:b/>
                <w:sz w:val="21"/>
              </w:rPr>
            </w:pPr>
            <w:r>
              <w:rPr>
                <w:spacing w:val="-2"/>
                <w:sz w:val="21"/>
              </w:rPr>
              <w:t>在此期间继续有效。</w:t>
            </w:r>
            <w:r>
              <w:rPr>
                <w:rFonts w:ascii="微软雅黑" w:eastAsia="微软雅黑"/>
                <w:b/>
                <w:spacing w:val="-3"/>
                <w:sz w:val="21"/>
              </w:rPr>
              <w:t>当所垫交的保险费及利息加上其他各项欠款及</w:t>
            </w:r>
          </w:p>
        </w:tc>
      </w:tr>
      <w:tr>
        <w:trPr>
          <w:trHeight w:val="393" w:hRule="atLeast"/>
        </w:trPr>
        <w:tc>
          <w:tcPr>
            <w:tcW w:w="2721" w:type="dxa"/>
            <w:gridSpan w:val="2"/>
            <w:vMerge/>
            <w:tcBorders>
              <w:top w:val="nil"/>
            </w:tcBorders>
          </w:tcPr>
          <w:p>
            <w:pPr>
              <w:rPr>
                <w:sz w:val="2"/>
                <w:szCs w:val="2"/>
              </w:rPr>
            </w:pPr>
          </w:p>
        </w:tc>
        <w:tc>
          <w:tcPr>
            <w:tcW w:w="6524" w:type="dxa"/>
          </w:tcPr>
          <w:p>
            <w:pPr>
              <w:pStyle w:val="TableParagraph"/>
              <w:spacing w:line="321" w:lineRule="exact"/>
              <w:ind w:left="317"/>
              <w:rPr>
                <w:rFonts w:ascii="微软雅黑" w:eastAsia="微软雅黑"/>
                <w:b/>
                <w:sz w:val="21"/>
              </w:rPr>
            </w:pPr>
            <w:r>
              <w:rPr>
                <w:rFonts w:ascii="微软雅黑" w:eastAsia="微软雅黑"/>
                <w:b/>
                <w:spacing w:val="-3"/>
                <w:sz w:val="21"/>
              </w:rPr>
              <w:t>利息达到本合同现金价值时，本合同中止。</w:t>
            </w:r>
          </w:p>
        </w:tc>
      </w:tr>
      <w:tr>
        <w:trPr>
          <w:trHeight w:val="390" w:hRule="atLeast"/>
        </w:trPr>
        <w:tc>
          <w:tcPr>
            <w:tcW w:w="2721" w:type="dxa"/>
            <w:gridSpan w:val="2"/>
            <w:vMerge/>
            <w:tcBorders>
              <w:top w:val="nil"/>
            </w:tcBorders>
          </w:tcPr>
          <w:p>
            <w:pPr>
              <w:rPr>
                <w:sz w:val="2"/>
                <w:szCs w:val="2"/>
              </w:rPr>
            </w:pPr>
          </w:p>
        </w:tc>
        <w:tc>
          <w:tcPr>
            <w:tcW w:w="6524" w:type="dxa"/>
          </w:tcPr>
          <w:p>
            <w:pPr>
              <w:pStyle w:val="TableParagraph"/>
              <w:spacing w:line="314" w:lineRule="exact" w:before="56"/>
              <w:ind w:left="317"/>
              <w:rPr>
                <w:rFonts w:ascii="微软雅黑" w:eastAsia="微软雅黑"/>
                <w:b/>
                <w:sz w:val="21"/>
              </w:rPr>
            </w:pPr>
            <w:r>
              <w:rPr>
                <w:rFonts w:ascii="微软雅黑" w:eastAsia="微软雅黑"/>
                <w:b/>
                <w:spacing w:val="-11"/>
                <w:sz w:val="21"/>
              </w:rPr>
              <w:t>所垫交的保险费视同贷款，我们将向您收取利息</w:t>
            </w:r>
            <w:r>
              <w:rPr>
                <w:rFonts w:ascii="微软雅黑" w:eastAsia="微软雅黑"/>
                <w:b/>
                <w:spacing w:val="-2"/>
                <w:sz w:val="21"/>
              </w:rPr>
              <w:t>（</w:t>
            </w:r>
            <w:r>
              <w:rPr>
                <w:rFonts w:ascii="微软雅黑" w:eastAsia="微软雅黑"/>
                <w:b/>
                <w:spacing w:val="-3"/>
                <w:sz w:val="21"/>
              </w:rPr>
              <w:t>利息同贷款利率，</w:t>
            </w:r>
          </w:p>
        </w:tc>
      </w:tr>
      <w:tr>
        <w:trPr>
          <w:trHeight w:val="283" w:hRule="atLeast"/>
        </w:trPr>
        <w:tc>
          <w:tcPr>
            <w:tcW w:w="2721" w:type="dxa"/>
            <w:gridSpan w:val="2"/>
            <w:vMerge/>
            <w:tcBorders>
              <w:top w:val="nil"/>
            </w:tcBorders>
          </w:tcPr>
          <w:p>
            <w:pPr>
              <w:rPr>
                <w:sz w:val="2"/>
                <w:szCs w:val="2"/>
              </w:rPr>
            </w:pPr>
          </w:p>
        </w:tc>
        <w:tc>
          <w:tcPr>
            <w:tcW w:w="6524" w:type="dxa"/>
          </w:tcPr>
          <w:p>
            <w:pPr>
              <w:pStyle w:val="TableParagraph"/>
              <w:spacing w:line="264" w:lineRule="exact"/>
              <w:ind w:left="317"/>
              <w:rPr>
                <w:rFonts w:ascii="微软雅黑" w:eastAsia="微软雅黑"/>
                <w:b/>
                <w:sz w:val="21"/>
              </w:rPr>
            </w:pPr>
            <w:r>
              <w:rPr>
                <w:rFonts w:ascii="微软雅黑" w:eastAsia="微软雅黑"/>
                <w:b/>
                <w:sz w:val="21"/>
              </w:rPr>
              <w:t>参照本合同第</w:t>
            </w:r>
            <w:r>
              <w:rPr>
                <w:rFonts w:ascii="Times New Roman" w:eastAsia="Times New Roman"/>
                <w:b/>
                <w:sz w:val="21"/>
              </w:rPr>
              <w:t>5.2</w:t>
            </w:r>
            <w:r>
              <w:rPr>
                <w:rFonts w:ascii="微软雅黑" w:eastAsia="微软雅黑"/>
                <w:b/>
                <w:sz w:val="21"/>
              </w:rPr>
              <w:t>条</w:t>
            </w:r>
            <w:r>
              <w:rPr>
                <w:rFonts w:ascii="微软雅黑" w:eastAsia="微软雅黑"/>
                <w:b/>
                <w:spacing w:val="-106"/>
                <w:sz w:val="21"/>
              </w:rPr>
              <w:t>）</w:t>
            </w:r>
            <w:r>
              <w:rPr>
                <w:rFonts w:ascii="微软雅黑" w:eastAsia="微软雅黑"/>
                <w:b/>
                <w:spacing w:val="-1"/>
                <w:sz w:val="21"/>
              </w:rPr>
              <w:t>。您在保险费自动垫交开始后申请结束保险费</w:t>
            </w:r>
          </w:p>
        </w:tc>
      </w:tr>
      <w:tr>
        <w:trPr>
          <w:trHeight w:val="371" w:hRule="atLeast"/>
        </w:trPr>
        <w:tc>
          <w:tcPr>
            <w:tcW w:w="2721" w:type="dxa"/>
            <w:gridSpan w:val="2"/>
            <w:vMerge/>
            <w:tcBorders>
              <w:top w:val="nil"/>
            </w:tcBorders>
          </w:tcPr>
          <w:p>
            <w:pPr>
              <w:rPr>
                <w:sz w:val="2"/>
                <w:szCs w:val="2"/>
              </w:rPr>
            </w:pPr>
          </w:p>
        </w:tc>
        <w:tc>
          <w:tcPr>
            <w:tcW w:w="6524" w:type="dxa"/>
          </w:tcPr>
          <w:p>
            <w:pPr>
              <w:pStyle w:val="TableParagraph"/>
              <w:spacing w:line="315" w:lineRule="exact"/>
              <w:ind w:left="317"/>
              <w:rPr>
                <w:rFonts w:ascii="微软雅黑" w:eastAsia="微软雅黑"/>
                <w:b/>
                <w:sz w:val="21"/>
              </w:rPr>
            </w:pPr>
            <w:r>
              <w:rPr>
                <w:rFonts w:ascii="微软雅黑" w:eastAsia="微软雅黑"/>
                <w:b/>
                <w:spacing w:val="-3"/>
                <w:sz w:val="21"/>
              </w:rPr>
              <w:t>的自动垫交的，须补交所垫交的保险费及利息。</w:t>
            </w:r>
          </w:p>
        </w:tc>
      </w:tr>
      <w:tr>
        <w:trPr>
          <w:trHeight w:val="406" w:hRule="atLeast"/>
        </w:trPr>
        <w:tc>
          <w:tcPr>
            <w:tcW w:w="665" w:type="dxa"/>
          </w:tcPr>
          <w:p>
            <w:pPr>
              <w:pStyle w:val="TableParagraph"/>
              <w:spacing w:before="129"/>
              <w:ind w:left="108"/>
              <w:rPr>
                <w:rFonts w:ascii="Times New Roman"/>
                <w:sz w:val="21"/>
              </w:rPr>
            </w:pPr>
            <w:r>
              <w:rPr>
                <w:rFonts w:ascii="Times New Roman"/>
                <w:spacing w:val="-5"/>
                <w:sz w:val="21"/>
              </w:rPr>
              <w:t>4.4</w:t>
            </w:r>
          </w:p>
        </w:tc>
        <w:tc>
          <w:tcPr>
            <w:tcW w:w="2056" w:type="dxa"/>
          </w:tcPr>
          <w:p>
            <w:pPr>
              <w:pStyle w:val="TableParagraph"/>
              <w:spacing w:line="317" w:lineRule="exact" w:before="69"/>
              <w:ind w:left="292"/>
              <w:rPr>
                <w:rFonts w:ascii="微软雅黑" w:eastAsia="微软雅黑"/>
                <w:b/>
                <w:sz w:val="21"/>
              </w:rPr>
            </w:pPr>
            <w:r>
              <w:rPr>
                <w:rFonts w:ascii="微软雅黑" w:eastAsia="微软雅黑"/>
                <w:b/>
                <w:spacing w:val="-2"/>
                <w:sz w:val="21"/>
              </w:rPr>
              <w:t>减额交清保险</w:t>
            </w:r>
          </w:p>
        </w:tc>
        <w:tc>
          <w:tcPr>
            <w:tcW w:w="6524" w:type="dxa"/>
          </w:tcPr>
          <w:p>
            <w:pPr>
              <w:pStyle w:val="TableParagraph"/>
              <w:spacing w:line="250" w:lineRule="exact" w:before="137"/>
              <w:ind w:left="317"/>
              <w:rPr>
                <w:sz w:val="21"/>
              </w:rPr>
            </w:pPr>
            <w:r>
              <w:rPr>
                <w:spacing w:val="-3"/>
                <w:sz w:val="21"/>
              </w:rPr>
              <w:t>分期支付保险费的，在本合同有效期内，若本合同有现金价值，您</w:t>
            </w:r>
          </w:p>
        </w:tc>
      </w:tr>
      <w:tr>
        <w:trPr>
          <w:trHeight w:val="272"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251" w:lineRule="exact" w:before="1"/>
              <w:ind w:left="317"/>
              <w:rPr>
                <w:sz w:val="21"/>
              </w:rPr>
            </w:pPr>
            <w:r>
              <w:rPr>
                <w:spacing w:val="-3"/>
                <w:sz w:val="21"/>
              </w:rPr>
              <w:t>可以以书面形式向我们申请将本合同变更为减额交清保险，您无需</w:t>
            </w:r>
          </w:p>
        </w:tc>
      </w:tr>
      <w:tr>
        <w:trPr>
          <w:trHeight w:val="272"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250" w:lineRule="exact" w:before="2"/>
              <w:ind w:left="317"/>
              <w:rPr>
                <w:sz w:val="21"/>
              </w:rPr>
            </w:pPr>
            <w:r>
              <w:rPr>
                <w:spacing w:val="-3"/>
                <w:sz w:val="21"/>
              </w:rPr>
              <w:t>再支付任何保险费，本合同继续有效，给付金额根据变更为减额交</w:t>
            </w:r>
          </w:p>
        </w:tc>
      </w:tr>
      <w:tr>
        <w:trPr>
          <w:trHeight w:val="272"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253" w:lineRule="exact"/>
              <w:ind w:left="317"/>
              <w:rPr>
                <w:rFonts w:ascii="微软雅黑" w:eastAsia="微软雅黑"/>
                <w:b/>
                <w:sz w:val="21"/>
              </w:rPr>
            </w:pPr>
            <w:r>
              <w:rPr>
                <w:spacing w:val="-2"/>
                <w:sz w:val="21"/>
              </w:rPr>
              <w:t>清保险后的基本保险金额计算。</w:t>
            </w:r>
            <w:r>
              <w:rPr>
                <w:rFonts w:ascii="微软雅黑" w:eastAsia="微软雅黑"/>
                <w:b/>
                <w:spacing w:val="-3"/>
                <w:sz w:val="21"/>
              </w:rPr>
              <w:t>变更为减额交清保险后的基本保险</w:t>
            </w:r>
          </w:p>
        </w:tc>
      </w:tr>
      <w:tr>
        <w:trPr>
          <w:trHeight w:val="272"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253" w:lineRule="exact"/>
              <w:ind w:left="317"/>
              <w:rPr>
                <w:rFonts w:ascii="微软雅黑" w:eastAsia="微软雅黑"/>
                <w:b/>
                <w:sz w:val="21"/>
              </w:rPr>
            </w:pPr>
            <w:r>
              <w:rPr>
                <w:rFonts w:ascii="微软雅黑" w:eastAsia="微软雅黑"/>
                <w:b/>
                <w:spacing w:val="-3"/>
                <w:sz w:val="21"/>
              </w:rPr>
              <w:t>金额以宽限期开始前一日本合同的现金价值余额计算得出。本合同</w:t>
            </w:r>
          </w:p>
        </w:tc>
      </w:tr>
      <w:tr>
        <w:trPr>
          <w:trHeight w:val="271"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251" w:lineRule="exact"/>
              <w:ind w:left="317"/>
              <w:rPr>
                <w:rFonts w:ascii="微软雅黑" w:hAnsi="微软雅黑" w:eastAsia="微软雅黑"/>
                <w:b/>
                <w:sz w:val="21"/>
              </w:rPr>
            </w:pPr>
            <w:r>
              <w:rPr>
                <w:rFonts w:ascii="微软雅黑" w:hAnsi="微软雅黑" w:eastAsia="微软雅黑"/>
                <w:b/>
                <w:spacing w:val="-2"/>
                <w:sz w:val="21"/>
              </w:rPr>
              <w:t>所指“本合同基本保险金额对应的累计已付保险费（</w:t>
            </w:r>
            <w:r>
              <w:rPr>
                <w:rFonts w:ascii="微软雅黑" w:hAnsi="微软雅黑" w:eastAsia="微软雅黑"/>
                <w:b/>
                <w:spacing w:val="-4"/>
                <w:sz w:val="21"/>
              </w:rPr>
              <w:t>不包括其附加</w:t>
            </w:r>
          </w:p>
        </w:tc>
      </w:tr>
      <w:tr>
        <w:trPr>
          <w:trHeight w:val="408"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321" w:lineRule="exact"/>
              <w:ind w:left="317"/>
              <w:rPr>
                <w:rFonts w:ascii="微软雅黑" w:hAnsi="微软雅黑" w:eastAsia="微软雅黑"/>
                <w:b/>
                <w:sz w:val="21"/>
              </w:rPr>
            </w:pPr>
            <w:r>
              <w:rPr>
                <w:rFonts w:ascii="微软雅黑" w:hAnsi="微软雅黑" w:eastAsia="微软雅黑"/>
                <w:b/>
                <w:spacing w:val="-2"/>
                <w:sz w:val="21"/>
              </w:rPr>
              <w:t>合同的保险费</w:t>
            </w:r>
            <w:r>
              <w:rPr>
                <w:rFonts w:ascii="微软雅黑" w:hAnsi="微软雅黑" w:eastAsia="微软雅黑"/>
                <w:b/>
                <w:spacing w:val="-63"/>
                <w:sz w:val="21"/>
              </w:rPr>
              <w:t>）</w:t>
            </w:r>
            <w:r>
              <w:rPr>
                <w:rFonts w:ascii="微软雅黑" w:hAnsi="微软雅黑" w:eastAsia="微软雅黑"/>
                <w:b/>
                <w:spacing w:val="-10"/>
                <w:sz w:val="21"/>
              </w:rPr>
              <w:t>”将基于减额交清后的基本保险金额进行重新计算。</w:t>
            </w:r>
          </w:p>
        </w:tc>
      </w:tr>
      <w:tr>
        <w:trPr>
          <w:trHeight w:val="409"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251" w:lineRule="exact" w:before="138"/>
              <w:ind w:left="317"/>
              <w:rPr>
                <w:sz w:val="21"/>
              </w:rPr>
            </w:pPr>
            <w:r>
              <w:rPr>
                <w:spacing w:val="-3"/>
                <w:sz w:val="21"/>
              </w:rPr>
              <w:t>变更为减额交清保险后的基本保险金额不得低于申请减额时我们规</w:t>
            </w:r>
          </w:p>
        </w:tc>
      </w:tr>
      <w:tr>
        <w:trPr>
          <w:trHeight w:val="409"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before="2"/>
              <w:ind w:left="317"/>
              <w:rPr>
                <w:sz w:val="21"/>
              </w:rPr>
            </w:pPr>
            <w:r>
              <w:rPr>
                <w:spacing w:val="-3"/>
                <w:sz w:val="21"/>
              </w:rPr>
              <w:t>定的最低基本保险金额。</w:t>
            </w:r>
          </w:p>
        </w:tc>
      </w:tr>
      <w:tr>
        <w:trPr>
          <w:trHeight w:val="407"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250" w:lineRule="exact" w:before="138"/>
              <w:ind w:left="317"/>
              <w:rPr>
                <w:sz w:val="21"/>
              </w:rPr>
            </w:pPr>
            <w:r>
              <w:rPr>
                <w:spacing w:val="-3"/>
                <w:sz w:val="21"/>
              </w:rPr>
              <w:t>若您选择变更为减额交清保险，您附加的其他所有附加险合同即刻</w:t>
            </w:r>
          </w:p>
        </w:tc>
      </w:tr>
      <w:tr>
        <w:trPr>
          <w:trHeight w:val="427"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before="1"/>
              <w:ind w:left="317"/>
              <w:rPr>
                <w:sz w:val="21"/>
              </w:rPr>
            </w:pPr>
            <w:r>
              <w:rPr>
                <w:spacing w:val="-3"/>
                <w:sz w:val="21"/>
              </w:rPr>
              <w:t>终止，同时我们退还申请减额交清时所有附加险合同的现金价值。</w:t>
            </w:r>
          </w:p>
        </w:tc>
      </w:tr>
      <w:tr>
        <w:trPr>
          <w:trHeight w:val="546" w:hRule="atLeast"/>
        </w:trPr>
        <w:tc>
          <w:tcPr>
            <w:tcW w:w="665" w:type="dxa"/>
            <w:tcBorders>
              <w:bottom w:val="single" w:sz="4" w:space="0" w:color="000000"/>
            </w:tcBorders>
          </w:tcPr>
          <w:p>
            <w:pPr>
              <w:pStyle w:val="TableParagraph"/>
              <w:spacing w:before="176"/>
              <w:ind w:left="108"/>
              <w:rPr>
                <w:rFonts w:ascii="Times New Roman"/>
                <w:b/>
                <w:sz w:val="24"/>
              </w:rPr>
            </w:pPr>
            <w:r>
              <w:rPr>
                <w:rFonts w:ascii="Times New Roman"/>
                <w:b/>
                <w:sz w:val="24"/>
              </w:rPr>
              <w:t>5</w:t>
            </w:r>
          </w:p>
        </w:tc>
        <w:tc>
          <w:tcPr>
            <w:tcW w:w="2056" w:type="dxa"/>
            <w:tcBorders>
              <w:bottom w:val="single" w:sz="4" w:space="0" w:color="000000"/>
            </w:tcBorders>
          </w:tcPr>
          <w:p>
            <w:pPr>
              <w:pStyle w:val="TableParagraph"/>
              <w:spacing w:before="83"/>
              <w:ind w:left="292"/>
              <w:rPr>
                <w:rFonts w:ascii="微软雅黑" w:eastAsia="微软雅黑"/>
                <w:b/>
                <w:sz w:val="24"/>
              </w:rPr>
            </w:pPr>
            <w:r>
              <w:rPr>
                <w:rFonts w:ascii="微软雅黑" w:eastAsia="微软雅黑"/>
                <w:b/>
                <w:spacing w:val="-2"/>
                <w:sz w:val="24"/>
              </w:rPr>
              <w:t>现金价值权益</w:t>
            </w:r>
          </w:p>
        </w:tc>
        <w:tc>
          <w:tcPr>
            <w:tcW w:w="6524" w:type="dxa"/>
            <w:tcBorders>
              <w:bottom w:val="single" w:sz="4" w:space="0" w:color="000000"/>
            </w:tcBorders>
          </w:tcPr>
          <w:p>
            <w:pPr>
              <w:pStyle w:val="TableParagraph"/>
              <w:rPr>
                <w:rFonts w:ascii="Times New Roman"/>
                <w:sz w:val="20"/>
              </w:rPr>
            </w:pPr>
          </w:p>
        </w:tc>
      </w:tr>
      <w:tr>
        <w:trPr>
          <w:trHeight w:val="511" w:hRule="atLeast"/>
        </w:trPr>
        <w:tc>
          <w:tcPr>
            <w:tcW w:w="665" w:type="dxa"/>
            <w:tcBorders>
              <w:top w:val="single" w:sz="4" w:space="0" w:color="000000"/>
            </w:tcBorders>
          </w:tcPr>
          <w:p>
            <w:pPr>
              <w:pStyle w:val="TableParagraph"/>
              <w:spacing w:before="2"/>
              <w:rPr>
                <w:sz w:val="18"/>
              </w:rPr>
            </w:pPr>
          </w:p>
          <w:p>
            <w:pPr>
              <w:pStyle w:val="TableParagraph"/>
              <w:ind w:left="108"/>
              <w:rPr>
                <w:rFonts w:ascii="Times New Roman"/>
                <w:sz w:val="21"/>
              </w:rPr>
            </w:pPr>
            <w:r>
              <w:rPr>
                <w:rFonts w:ascii="Times New Roman"/>
                <w:spacing w:val="-5"/>
                <w:sz w:val="21"/>
              </w:rPr>
              <w:t>5.1</w:t>
            </w:r>
          </w:p>
        </w:tc>
        <w:tc>
          <w:tcPr>
            <w:tcW w:w="2056" w:type="dxa"/>
            <w:tcBorders>
              <w:top w:val="single" w:sz="4" w:space="0" w:color="000000"/>
            </w:tcBorders>
          </w:tcPr>
          <w:p>
            <w:pPr>
              <w:pStyle w:val="TableParagraph"/>
              <w:spacing w:line="318" w:lineRule="exact" w:before="174"/>
              <w:ind w:left="292"/>
              <w:rPr>
                <w:rFonts w:ascii="微软雅黑" w:eastAsia="微软雅黑"/>
                <w:b/>
                <w:sz w:val="21"/>
              </w:rPr>
            </w:pPr>
            <w:r>
              <w:rPr>
                <w:rFonts w:ascii="微软雅黑" w:eastAsia="微软雅黑"/>
                <w:b/>
                <w:spacing w:val="-3"/>
                <w:sz w:val="21"/>
              </w:rPr>
              <w:t>现金价值</w:t>
            </w:r>
          </w:p>
        </w:tc>
        <w:tc>
          <w:tcPr>
            <w:tcW w:w="6524" w:type="dxa"/>
            <w:tcBorders>
              <w:top w:val="single" w:sz="4" w:space="0" w:color="000000"/>
            </w:tcBorders>
          </w:tcPr>
          <w:p>
            <w:pPr>
              <w:pStyle w:val="TableParagraph"/>
              <w:spacing w:before="10"/>
              <w:rPr>
                <w:sz w:val="18"/>
              </w:rPr>
            </w:pPr>
          </w:p>
          <w:p>
            <w:pPr>
              <w:pStyle w:val="TableParagraph"/>
              <w:spacing w:line="251" w:lineRule="exact"/>
              <w:ind w:left="317"/>
              <w:rPr>
                <w:sz w:val="21"/>
              </w:rPr>
            </w:pPr>
            <w:r>
              <w:rPr>
                <w:spacing w:val="-3"/>
                <w:sz w:val="21"/>
              </w:rPr>
              <w:t>本合同的每个保单年度末的现金价值会在保险单上载明。如您欠交</w:t>
            </w:r>
          </w:p>
        </w:tc>
      </w:tr>
      <w:tr>
        <w:trPr>
          <w:trHeight w:val="379"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before="2"/>
              <w:ind w:left="317"/>
              <w:rPr>
                <w:sz w:val="21"/>
              </w:rPr>
            </w:pPr>
            <w:r>
              <w:rPr>
                <w:spacing w:val="-3"/>
                <w:sz w:val="21"/>
              </w:rPr>
              <w:t>保险费，则现金价值为您已交最后一期保险费所对应的现金价值。</w:t>
            </w:r>
          </w:p>
        </w:tc>
      </w:tr>
      <w:tr>
        <w:trPr>
          <w:trHeight w:val="404" w:hRule="atLeast"/>
        </w:trPr>
        <w:tc>
          <w:tcPr>
            <w:tcW w:w="665" w:type="dxa"/>
          </w:tcPr>
          <w:p>
            <w:pPr>
              <w:pStyle w:val="TableParagraph"/>
              <w:spacing w:before="129"/>
              <w:ind w:left="108"/>
              <w:rPr>
                <w:rFonts w:ascii="Times New Roman"/>
                <w:sz w:val="21"/>
              </w:rPr>
            </w:pPr>
            <w:r>
              <w:rPr>
                <w:rFonts w:ascii="Times New Roman"/>
                <w:spacing w:val="-5"/>
                <w:sz w:val="21"/>
              </w:rPr>
              <w:t>5.2</w:t>
            </w:r>
          </w:p>
        </w:tc>
        <w:tc>
          <w:tcPr>
            <w:tcW w:w="2056" w:type="dxa"/>
          </w:tcPr>
          <w:p>
            <w:pPr>
              <w:pStyle w:val="TableParagraph"/>
              <w:spacing w:line="315" w:lineRule="exact" w:before="70"/>
              <w:ind w:left="292"/>
              <w:rPr>
                <w:rFonts w:ascii="微软雅黑" w:eastAsia="微软雅黑"/>
                <w:b/>
                <w:sz w:val="21"/>
              </w:rPr>
            </w:pPr>
            <w:r>
              <w:rPr>
                <w:rFonts w:ascii="微软雅黑" w:eastAsia="微软雅黑"/>
                <w:b/>
                <w:spacing w:val="-3"/>
                <w:sz w:val="21"/>
              </w:rPr>
              <w:t>保单贷款</w:t>
            </w:r>
          </w:p>
        </w:tc>
        <w:tc>
          <w:tcPr>
            <w:tcW w:w="6524" w:type="dxa"/>
          </w:tcPr>
          <w:p>
            <w:pPr>
              <w:pStyle w:val="TableParagraph"/>
              <w:spacing w:line="248" w:lineRule="exact" w:before="137"/>
              <w:ind w:left="317"/>
              <w:rPr>
                <w:sz w:val="21"/>
              </w:rPr>
            </w:pPr>
            <w:r>
              <w:rPr>
                <w:spacing w:val="-3"/>
                <w:sz w:val="21"/>
              </w:rPr>
              <w:t>在本合同有效期内，您可以向我们申请贷款。贷款金额不得超过本</w:t>
            </w:r>
          </w:p>
        </w:tc>
      </w:tr>
      <w:tr>
        <w:trPr>
          <w:trHeight w:val="676"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242" w:lineRule="auto" w:before="6"/>
              <w:ind w:left="317" w:right="105"/>
              <w:rPr>
                <w:sz w:val="21"/>
              </w:rPr>
            </w:pPr>
            <w:r>
              <w:rPr>
                <w:spacing w:val="-2"/>
                <w:sz w:val="21"/>
              </w:rPr>
              <w:t>合同现金价值的</w:t>
            </w:r>
            <w:r>
              <w:rPr>
                <w:rFonts w:ascii="Times New Roman" w:eastAsia="Times New Roman"/>
                <w:spacing w:val="-2"/>
                <w:sz w:val="21"/>
              </w:rPr>
              <w:t>80%</w:t>
            </w:r>
            <w:r>
              <w:rPr>
                <w:spacing w:val="-2"/>
                <w:sz w:val="21"/>
              </w:rPr>
              <w:t>扣除各项欠款后的余额，每次贷款期限最长不</w:t>
            </w:r>
            <w:r>
              <w:rPr>
                <w:spacing w:val="-2"/>
                <w:sz w:val="21"/>
              </w:rPr>
              <w:t>超过</w:t>
            </w:r>
            <w:r>
              <w:rPr>
                <w:rFonts w:ascii="Times New Roman" w:eastAsia="Times New Roman"/>
                <w:spacing w:val="-2"/>
                <w:sz w:val="21"/>
              </w:rPr>
              <w:t>6</w:t>
            </w:r>
            <w:r>
              <w:rPr>
                <w:spacing w:val="-2"/>
                <w:sz w:val="21"/>
              </w:rPr>
              <w:t>个月。贷款利率可向我公司查询。</w:t>
            </w:r>
          </w:p>
        </w:tc>
      </w:tr>
      <w:tr>
        <w:trPr>
          <w:trHeight w:val="385"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318" w:lineRule="exact" w:before="47"/>
              <w:ind w:left="317"/>
              <w:rPr>
                <w:rFonts w:ascii="微软雅黑" w:eastAsia="微软雅黑"/>
                <w:b/>
                <w:sz w:val="21"/>
              </w:rPr>
            </w:pPr>
            <w:r>
              <w:rPr>
                <w:rFonts w:ascii="微软雅黑" w:eastAsia="微软雅黑"/>
                <w:b/>
                <w:spacing w:val="-3"/>
                <w:sz w:val="21"/>
              </w:rPr>
              <w:t>贷款本金及利息应在贷款当期期限届满日前偿还。未能偿还的利息</w:t>
            </w:r>
          </w:p>
        </w:tc>
      </w:tr>
      <w:tr>
        <w:trPr>
          <w:trHeight w:val="393"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323" w:lineRule="exact"/>
              <w:ind w:left="317"/>
              <w:rPr>
                <w:rFonts w:ascii="微软雅黑" w:eastAsia="微软雅黑"/>
                <w:b/>
                <w:sz w:val="21"/>
              </w:rPr>
            </w:pPr>
            <w:r>
              <w:rPr>
                <w:rFonts w:ascii="微软雅黑" w:eastAsia="微软雅黑"/>
                <w:b/>
                <w:spacing w:val="-3"/>
                <w:sz w:val="21"/>
              </w:rPr>
              <w:t>将被并入原贷款金额中，视同重新贷款。</w:t>
            </w:r>
          </w:p>
        </w:tc>
      </w:tr>
      <w:tr>
        <w:trPr>
          <w:trHeight w:val="392" w:hRule="atLeast"/>
        </w:trPr>
        <w:tc>
          <w:tcPr>
            <w:tcW w:w="665" w:type="dxa"/>
          </w:tcPr>
          <w:p>
            <w:pPr>
              <w:pStyle w:val="TableParagraph"/>
              <w:rPr>
                <w:rFonts w:ascii="Times New Roman"/>
                <w:sz w:val="20"/>
              </w:rPr>
            </w:pPr>
          </w:p>
        </w:tc>
        <w:tc>
          <w:tcPr>
            <w:tcW w:w="2056" w:type="dxa"/>
          </w:tcPr>
          <w:p>
            <w:pPr>
              <w:pStyle w:val="TableParagraph"/>
              <w:rPr>
                <w:rFonts w:ascii="Times New Roman"/>
                <w:sz w:val="20"/>
              </w:rPr>
            </w:pPr>
          </w:p>
        </w:tc>
        <w:tc>
          <w:tcPr>
            <w:tcW w:w="6524" w:type="dxa"/>
          </w:tcPr>
          <w:p>
            <w:pPr>
              <w:pStyle w:val="TableParagraph"/>
              <w:spacing w:line="317" w:lineRule="exact" w:before="55"/>
              <w:ind w:left="317"/>
              <w:rPr>
                <w:rFonts w:ascii="微软雅黑" w:eastAsia="微软雅黑"/>
                <w:b/>
                <w:sz w:val="21"/>
              </w:rPr>
            </w:pPr>
            <w:r>
              <w:rPr>
                <w:rFonts w:ascii="微软雅黑" w:eastAsia="微软雅黑"/>
                <w:b/>
                <w:spacing w:val="-1"/>
                <w:sz w:val="21"/>
              </w:rPr>
              <w:t>自贷款本金及利息加上其他各项欠款达到本合同现金价值的次日</w:t>
            </w:r>
          </w:p>
        </w:tc>
      </w:tr>
      <w:tr>
        <w:trPr>
          <w:trHeight w:val="241" w:hRule="atLeast"/>
        </w:trPr>
        <w:tc>
          <w:tcPr>
            <w:tcW w:w="665" w:type="dxa"/>
          </w:tcPr>
          <w:p>
            <w:pPr>
              <w:pStyle w:val="TableParagraph"/>
              <w:rPr>
                <w:rFonts w:ascii="Times New Roman"/>
                <w:sz w:val="16"/>
              </w:rPr>
            </w:pPr>
          </w:p>
        </w:tc>
        <w:tc>
          <w:tcPr>
            <w:tcW w:w="2056" w:type="dxa"/>
          </w:tcPr>
          <w:p>
            <w:pPr>
              <w:pStyle w:val="TableParagraph"/>
              <w:rPr>
                <w:rFonts w:ascii="Times New Roman"/>
                <w:sz w:val="16"/>
              </w:rPr>
            </w:pPr>
          </w:p>
        </w:tc>
        <w:tc>
          <w:tcPr>
            <w:tcW w:w="6524" w:type="dxa"/>
          </w:tcPr>
          <w:p>
            <w:pPr>
              <w:pStyle w:val="TableParagraph"/>
              <w:spacing w:line="221" w:lineRule="exact"/>
              <w:ind w:left="317"/>
              <w:rPr>
                <w:rFonts w:ascii="微软雅黑" w:eastAsia="微软雅黑"/>
                <w:b/>
                <w:sz w:val="21"/>
              </w:rPr>
            </w:pPr>
            <w:r>
              <w:rPr>
                <w:rFonts w:ascii="微软雅黑" w:eastAsia="微软雅黑"/>
                <w:b/>
                <w:spacing w:val="-3"/>
                <w:sz w:val="21"/>
              </w:rPr>
              <w:t>零时起，本合同效力中止。</w:t>
            </w:r>
          </w:p>
        </w:tc>
      </w:tr>
    </w:tbl>
    <w:p>
      <w:pPr>
        <w:pStyle w:val="BodyText"/>
        <w:spacing w:before="4"/>
        <w:ind w:left="0"/>
        <w:rPr>
          <w:sz w:val="22"/>
        </w:rPr>
      </w:pPr>
    </w:p>
    <w:p>
      <w:pPr>
        <w:pStyle w:val="Heading1"/>
        <w:numPr>
          <w:ilvl w:val="0"/>
          <w:numId w:val="26"/>
        </w:numPr>
        <w:tabs>
          <w:tab w:pos="1071" w:val="left" w:leader="none"/>
          <w:tab w:pos="1072" w:val="left" w:leader="none"/>
        </w:tabs>
        <w:spacing w:line="442" w:lineRule="exact" w:before="0" w:after="0"/>
        <w:ind w:left="1071" w:right="0" w:hanging="850"/>
        <w:jc w:val="left"/>
      </w:pPr>
      <w:r>
        <w:rPr/>
        <w:drawing>
          <wp:anchor distT="0" distB="0" distL="0" distR="0" allowOverlap="1" layoutInCell="1" locked="0" behindDoc="0" simplePos="0" relativeHeight="8">
            <wp:simplePos x="0" y="0"/>
            <wp:positionH relativeFrom="page">
              <wp:posOffset>1012240</wp:posOffset>
            </wp:positionH>
            <wp:positionV relativeFrom="paragraph">
              <wp:posOffset>290909</wp:posOffset>
            </wp:positionV>
            <wp:extent cx="5870133" cy="6095"/>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10" cstate="print"/>
                    <a:stretch>
                      <a:fillRect/>
                    </a:stretch>
                  </pic:blipFill>
                  <pic:spPr>
                    <a:xfrm>
                      <a:off x="0" y="0"/>
                      <a:ext cx="5870133" cy="6095"/>
                    </a:xfrm>
                    <a:prstGeom prst="rect">
                      <a:avLst/>
                    </a:prstGeom>
                  </pic:spPr>
                </pic:pic>
              </a:graphicData>
            </a:graphic>
          </wp:anchor>
        </w:drawing>
      </w:r>
      <w:r>
        <w:rPr>
          <w:spacing w:val="-1"/>
        </w:rPr>
        <w:t>合同效力的中止及恢复</w:t>
      </w:r>
    </w:p>
    <w:p>
      <w:pPr>
        <w:pStyle w:val="ListParagraph"/>
        <w:numPr>
          <w:ilvl w:val="1"/>
          <w:numId w:val="26"/>
        </w:numPr>
        <w:tabs>
          <w:tab w:pos="1071" w:val="left" w:leader="none"/>
          <w:tab w:pos="1072" w:val="left" w:leader="none"/>
          <w:tab w:pos="3152" w:val="left" w:leader="none"/>
        </w:tabs>
        <w:spacing w:line="240" w:lineRule="auto" w:before="177" w:after="0"/>
        <w:ind w:left="1071" w:right="0" w:hanging="850"/>
        <w:jc w:val="left"/>
        <w:rPr>
          <w:rFonts w:ascii="微软雅黑" w:eastAsia="微软雅黑"/>
          <w:b/>
          <w:sz w:val="21"/>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rFonts w:ascii="微软雅黑" w:eastAsia="微软雅黑"/>
          <w:b/>
          <w:spacing w:val="-2"/>
          <w:sz w:val="21"/>
        </w:rPr>
        <w:t>在</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效</w:t>
      </w:r>
      <w:r>
        <w:rPr>
          <w:rFonts w:ascii="微软雅黑" w:eastAsia="微软雅黑"/>
          <w:b/>
          <w:spacing w:val="-2"/>
          <w:sz w:val="21"/>
        </w:rPr>
        <w:t>力</w:t>
      </w:r>
      <w:r>
        <w:rPr>
          <w:rFonts w:ascii="微软雅黑" w:eastAsia="微软雅黑"/>
          <w:b/>
          <w:spacing w:val="-2"/>
          <w:sz w:val="21"/>
        </w:rPr>
        <w:t>中</w:t>
      </w:r>
      <w:r>
        <w:rPr>
          <w:rFonts w:ascii="微软雅黑" w:eastAsia="微软雅黑"/>
          <w:b/>
          <w:spacing w:val="-2"/>
          <w:sz w:val="21"/>
        </w:rPr>
        <w:t>止</w:t>
      </w:r>
      <w:r>
        <w:rPr>
          <w:rFonts w:ascii="微软雅黑" w:eastAsia="微软雅黑"/>
          <w:b/>
          <w:spacing w:val="-2"/>
          <w:sz w:val="21"/>
        </w:rPr>
        <w:t>期间，</w:t>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10"/>
          <w:sz w:val="21"/>
        </w:rPr>
        <w:t>。</w:t>
      </w:r>
    </w:p>
    <w:p>
      <w:pPr>
        <w:pStyle w:val="ListParagraph"/>
        <w:numPr>
          <w:ilvl w:val="1"/>
          <w:numId w:val="26"/>
        </w:numPr>
        <w:tabs>
          <w:tab w:pos="1071" w:val="left" w:leader="none"/>
          <w:tab w:pos="1072" w:val="left" w:leader="none"/>
          <w:tab w:pos="3152" w:val="left" w:leader="none"/>
        </w:tabs>
        <w:spacing w:line="364" w:lineRule="exact" w:before="126" w:after="0"/>
        <w:ind w:left="1071" w:right="0" w:hanging="850"/>
        <w:jc w:val="left"/>
        <w:rPr>
          <w:sz w:val="21"/>
        </w:rPr>
      </w:pPr>
      <w:r>
        <w:rPr>
          <w:rFonts w:ascii="微软雅黑" w:eastAsia="微软雅黑"/>
          <w:b/>
          <w:sz w:val="21"/>
        </w:rPr>
        <w:t>效力恢</w:t>
      </w:r>
      <w:r>
        <w:rPr>
          <w:rFonts w:ascii="微软雅黑" w:eastAsia="微软雅黑"/>
          <w:b/>
          <w:spacing w:val="-10"/>
          <w:sz w:val="21"/>
        </w:rPr>
        <w:t>复</w:t>
      </w:r>
      <w:r>
        <w:rPr>
          <w:rFonts w:ascii="微软雅黑" w:eastAsia="微软雅黑"/>
          <w:b/>
          <w:sz w:val="21"/>
        </w:rPr>
        <w:tab/>
      </w:r>
      <w:r>
        <w:rPr>
          <w:spacing w:val="-4"/>
          <w:sz w:val="21"/>
        </w:rPr>
        <w:t>本</w:t>
      </w:r>
      <w:r>
        <w:rPr>
          <w:spacing w:val="-4"/>
          <w:sz w:val="21"/>
        </w:rPr>
        <w:t>合</w:t>
      </w:r>
      <w:r>
        <w:rPr>
          <w:spacing w:val="-4"/>
          <w:sz w:val="21"/>
        </w:rPr>
        <w:t>同效力中止后</w:t>
      </w:r>
      <w:r>
        <w:rPr>
          <w:rFonts w:ascii="Times New Roman" w:eastAsia="Times New Roman"/>
          <w:spacing w:val="-4"/>
          <w:sz w:val="21"/>
        </w:rPr>
        <w:t>2</w:t>
      </w:r>
      <w:r>
        <w:rPr>
          <w:spacing w:val="-4"/>
          <w:sz w:val="21"/>
        </w:rPr>
        <w:t>年</w:t>
      </w:r>
      <w:r>
        <w:rPr>
          <w:spacing w:val="-4"/>
          <w:sz w:val="21"/>
        </w:rPr>
        <w:t>内</w:t>
      </w:r>
      <w:r>
        <w:rPr>
          <w:spacing w:val="-53"/>
          <w:sz w:val="21"/>
        </w:rPr>
        <w:t>，</w:t>
      </w:r>
      <w:r>
        <w:rPr>
          <w:spacing w:val="-4"/>
          <w:sz w:val="21"/>
        </w:rPr>
        <w:t>您</w:t>
      </w:r>
      <w:r>
        <w:rPr>
          <w:spacing w:val="-4"/>
          <w:sz w:val="21"/>
        </w:rPr>
        <w:t>可</w:t>
      </w:r>
      <w:r>
        <w:rPr>
          <w:spacing w:val="-4"/>
          <w:sz w:val="21"/>
        </w:rPr>
        <w:t>以申请恢复合同效力。除被保险</w:t>
      </w:r>
      <w:r>
        <w:rPr>
          <w:spacing w:val="-4"/>
          <w:sz w:val="21"/>
        </w:rPr>
        <w:t>人</w:t>
      </w:r>
      <w:r>
        <w:rPr>
          <w:spacing w:val="-10"/>
          <w:sz w:val="21"/>
        </w:rPr>
        <w:t>的</w:t>
      </w:r>
    </w:p>
    <w:p>
      <w:pPr>
        <w:pStyle w:val="BodyText"/>
        <w:spacing w:line="246" w:lineRule="exact"/>
      </w:pPr>
      <w:r>
        <w:rPr>
          <w:spacing w:val="-3"/>
        </w:rPr>
        <w:t>危险程度在中止期间内显著增加外，在您补付保险费及利息，以及</w:t>
      </w:r>
    </w:p>
    <w:p>
      <w:pPr>
        <w:pStyle w:val="BodyText"/>
        <w:spacing w:before="2"/>
      </w:pPr>
      <w:r>
        <w:rPr>
          <w:spacing w:val="-3"/>
        </w:rPr>
        <w:t>其他所有未还款项之日起，合同效力恢复。</w:t>
      </w:r>
    </w:p>
    <w:p>
      <w:pPr>
        <w:pStyle w:val="BodyText"/>
        <w:spacing w:before="1"/>
        <w:ind w:left="0"/>
        <w:rPr>
          <w:sz w:val="19"/>
        </w:rPr>
      </w:pPr>
    </w:p>
    <w:p>
      <w:pPr>
        <w:pStyle w:val="BodyText"/>
        <w:spacing w:line="242" w:lineRule="auto"/>
        <w:ind w:right="729"/>
        <w:jc w:val="both"/>
      </w:pPr>
      <w:r>
        <w:rPr>
          <w:spacing w:val="-2"/>
        </w:rPr>
        <w:t>若本合同效力中止之日起满</w:t>
      </w:r>
      <w:r>
        <w:rPr>
          <w:rFonts w:ascii="Times New Roman" w:eastAsia="Times New Roman"/>
          <w:spacing w:val="-2"/>
        </w:rPr>
        <w:t>2</w:t>
      </w:r>
      <w:r>
        <w:rPr>
          <w:spacing w:val="-12"/>
        </w:rPr>
        <w:t>年未恢复合同效力的，我们有权解除合</w:t>
      </w:r>
      <w:r>
        <w:rPr>
          <w:spacing w:val="-2"/>
        </w:rPr>
        <w:t>同。我们解除合同的，向您退还合同效力中止时本合同的现金价值</w:t>
      </w:r>
      <w:r>
        <w:rPr>
          <w:spacing w:val="-2"/>
        </w:rPr>
        <w:t>扣除您尚未偿还的各项欠款之后的余额。</w:t>
      </w:r>
    </w:p>
    <w:p>
      <w:pPr>
        <w:spacing w:after="0" w:line="242" w:lineRule="auto"/>
        <w:jc w:val="both"/>
        <w:sectPr>
          <w:pgSz w:w="11910" w:h="16840"/>
          <w:pgMar w:header="0" w:footer="878" w:top="1140" w:bottom="1060" w:left="1480" w:right="440"/>
        </w:sect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65"/>
        <w:gridCol w:w="2267"/>
        <w:gridCol w:w="6313"/>
      </w:tblGrid>
      <w:tr>
        <w:trPr>
          <w:trHeight w:val="357" w:hRule="atLeast"/>
        </w:trPr>
        <w:tc>
          <w:tcPr>
            <w:tcW w:w="665" w:type="dxa"/>
            <w:tcBorders>
              <w:bottom w:val="single" w:sz="4" w:space="0" w:color="000000"/>
            </w:tcBorders>
          </w:tcPr>
          <w:p>
            <w:pPr>
              <w:pStyle w:val="TableParagraph"/>
              <w:spacing w:line="258" w:lineRule="exact"/>
              <w:ind w:left="108"/>
              <w:rPr>
                <w:rFonts w:ascii="Times New Roman"/>
                <w:b/>
                <w:sz w:val="24"/>
              </w:rPr>
            </w:pPr>
            <w:r>
              <w:rPr>
                <w:rFonts w:ascii="Times New Roman"/>
                <w:b/>
                <w:sz w:val="24"/>
              </w:rPr>
              <w:t>7</w:t>
            </w:r>
          </w:p>
        </w:tc>
        <w:tc>
          <w:tcPr>
            <w:tcW w:w="2267" w:type="dxa"/>
            <w:tcBorders>
              <w:bottom w:val="single" w:sz="4" w:space="0" w:color="000000"/>
            </w:tcBorders>
          </w:tcPr>
          <w:p>
            <w:pPr>
              <w:pStyle w:val="TableParagraph"/>
              <w:spacing w:line="332" w:lineRule="exact"/>
              <w:ind w:left="292"/>
              <w:rPr>
                <w:rFonts w:ascii="微软雅黑" w:eastAsia="微软雅黑"/>
                <w:b/>
                <w:sz w:val="24"/>
              </w:rPr>
            </w:pPr>
            <w:r>
              <w:rPr>
                <w:rFonts w:ascii="微软雅黑" w:eastAsia="微软雅黑"/>
                <w:b/>
                <w:spacing w:val="-3"/>
                <w:sz w:val="24"/>
              </w:rPr>
              <w:t>合同解除</w:t>
            </w:r>
          </w:p>
        </w:tc>
        <w:tc>
          <w:tcPr>
            <w:tcW w:w="6313" w:type="dxa"/>
            <w:tcBorders>
              <w:bottom w:val="single" w:sz="4" w:space="0" w:color="000000"/>
            </w:tcBorders>
          </w:tcPr>
          <w:p>
            <w:pPr>
              <w:pStyle w:val="TableParagraph"/>
              <w:rPr>
                <w:rFonts w:ascii="Times New Roman"/>
                <w:sz w:val="20"/>
              </w:rPr>
            </w:pPr>
          </w:p>
        </w:tc>
      </w:tr>
      <w:tr>
        <w:trPr>
          <w:trHeight w:val="512" w:hRule="atLeast"/>
        </w:trPr>
        <w:tc>
          <w:tcPr>
            <w:tcW w:w="665" w:type="dxa"/>
            <w:tcBorders>
              <w:top w:val="single" w:sz="4" w:space="0" w:color="000000"/>
            </w:tcBorders>
          </w:tcPr>
          <w:p>
            <w:pPr>
              <w:pStyle w:val="TableParagraph"/>
              <w:spacing w:before="8"/>
              <w:rPr>
                <w:sz w:val="17"/>
              </w:rPr>
            </w:pPr>
          </w:p>
          <w:p>
            <w:pPr>
              <w:pStyle w:val="TableParagraph"/>
              <w:ind w:left="108"/>
              <w:rPr>
                <w:rFonts w:ascii="Times New Roman"/>
                <w:sz w:val="21"/>
              </w:rPr>
            </w:pPr>
            <w:r>
              <w:rPr>
                <w:rFonts w:ascii="Times New Roman"/>
                <w:spacing w:val="-5"/>
                <w:sz w:val="21"/>
              </w:rPr>
              <w:t>7.1</w:t>
            </w:r>
          </w:p>
        </w:tc>
        <w:tc>
          <w:tcPr>
            <w:tcW w:w="2267" w:type="dxa"/>
            <w:tcBorders>
              <w:top w:val="single" w:sz="4" w:space="0" w:color="000000"/>
            </w:tcBorders>
          </w:tcPr>
          <w:p>
            <w:pPr>
              <w:pStyle w:val="TableParagraph"/>
              <w:spacing w:line="326" w:lineRule="exact" w:before="166"/>
              <w:ind w:left="292"/>
              <w:rPr>
                <w:rFonts w:ascii="微软雅黑" w:eastAsia="微软雅黑"/>
                <w:b/>
                <w:sz w:val="21"/>
              </w:rPr>
            </w:pPr>
            <w:r>
              <w:rPr>
                <w:rFonts w:ascii="微软雅黑" w:eastAsia="微软雅黑"/>
                <w:b/>
                <w:spacing w:val="18"/>
                <w:sz w:val="21"/>
              </w:rPr>
              <w:t>解除合同的手续及</w:t>
            </w:r>
          </w:p>
        </w:tc>
        <w:tc>
          <w:tcPr>
            <w:tcW w:w="6313" w:type="dxa"/>
            <w:tcBorders>
              <w:top w:val="single" w:sz="4" w:space="0" w:color="000000"/>
            </w:tcBorders>
          </w:tcPr>
          <w:p>
            <w:pPr>
              <w:pStyle w:val="TableParagraph"/>
              <w:spacing w:before="3"/>
              <w:rPr>
                <w:sz w:val="18"/>
              </w:rPr>
            </w:pPr>
          </w:p>
          <w:p>
            <w:pPr>
              <w:pStyle w:val="TableParagraph"/>
              <w:spacing w:line="258" w:lineRule="exact"/>
              <w:ind w:left="106"/>
              <w:rPr>
                <w:sz w:val="21"/>
              </w:rPr>
            </w:pPr>
            <w:r>
              <w:rPr>
                <w:spacing w:val="-3"/>
                <w:sz w:val="21"/>
              </w:rPr>
              <w:t>如您在犹豫期后申请解除本合同，请填写解除合同申请书并向我们</w:t>
            </w:r>
          </w:p>
        </w:tc>
      </w:tr>
      <w:tr>
        <w:trPr>
          <w:trHeight w:val="269" w:hRule="atLeast"/>
        </w:trPr>
        <w:tc>
          <w:tcPr>
            <w:tcW w:w="665" w:type="dxa"/>
          </w:tcPr>
          <w:p>
            <w:pPr>
              <w:pStyle w:val="TableParagraph"/>
              <w:rPr>
                <w:rFonts w:ascii="Times New Roman"/>
                <w:sz w:val="18"/>
              </w:rPr>
            </w:pPr>
          </w:p>
        </w:tc>
        <w:tc>
          <w:tcPr>
            <w:tcW w:w="2267" w:type="dxa"/>
          </w:tcPr>
          <w:p>
            <w:pPr>
              <w:pStyle w:val="TableParagraph"/>
              <w:spacing w:line="249" w:lineRule="exact"/>
              <w:ind w:left="292"/>
              <w:rPr>
                <w:rFonts w:ascii="微软雅黑" w:eastAsia="微软雅黑"/>
                <w:b/>
                <w:sz w:val="21"/>
              </w:rPr>
            </w:pPr>
            <w:r>
              <w:rPr>
                <w:rFonts w:ascii="微软雅黑" w:eastAsia="微软雅黑"/>
                <w:b/>
                <w:spacing w:val="-5"/>
                <w:sz w:val="21"/>
              </w:rPr>
              <w:t>风险</w:t>
            </w:r>
          </w:p>
        </w:tc>
        <w:tc>
          <w:tcPr>
            <w:tcW w:w="6313" w:type="dxa"/>
          </w:tcPr>
          <w:p>
            <w:pPr>
              <w:pStyle w:val="TableParagraph"/>
              <w:spacing w:line="249" w:lineRule="exact"/>
              <w:ind w:left="106"/>
              <w:rPr>
                <w:sz w:val="21"/>
              </w:rPr>
            </w:pPr>
            <w:r>
              <w:rPr>
                <w:spacing w:val="-4"/>
                <w:sz w:val="21"/>
              </w:rPr>
              <w:t>提供下列资料：</w:t>
            </w:r>
          </w:p>
        </w:tc>
      </w:tr>
      <w:tr>
        <w:trPr>
          <w:trHeight w:val="280"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60" w:lineRule="exact"/>
              <w:ind w:left="106"/>
              <w:rPr>
                <w:sz w:val="21"/>
              </w:rPr>
            </w:pPr>
            <w:r>
              <w:rPr>
                <w:spacing w:val="-2"/>
                <w:sz w:val="21"/>
              </w:rPr>
              <w:t>（</w:t>
            </w:r>
            <w:r>
              <w:rPr>
                <w:rFonts w:ascii="Times New Roman" w:eastAsia="Times New Roman"/>
                <w:spacing w:val="-2"/>
                <w:sz w:val="21"/>
              </w:rPr>
              <w:t>1</w:t>
            </w:r>
            <w:r>
              <w:rPr>
                <w:spacing w:val="-2"/>
                <w:sz w:val="21"/>
              </w:rPr>
              <w:t>）</w:t>
            </w:r>
            <w:r>
              <w:rPr>
                <w:spacing w:val="-4"/>
                <w:sz w:val="21"/>
              </w:rPr>
              <w:t>保险合同；</w:t>
            </w:r>
          </w:p>
        </w:tc>
      </w:tr>
      <w:tr>
        <w:trPr>
          <w:trHeight w:val="396"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60" w:lineRule="exact"/>
              <w:ind w:left="106"/>
              <w:rPr>
                <w:sz w:val="21"/>
              </w:rPr>
            </w:pPr>
            <w:r>
              <w:rPr>
                <w:spacing w:val="-2"/>
                <w:sz w:val="21"/>
              </w:rPr>
              <w:t>（</w:t>
            </w:r>
            <w:r>
              <w:rPr>
                <w:rFonts w:ascii="Times New Roman" w:eastAsia="Times New Roman"/>
                <w:spacing w:val="-2"/>
                <w:sz w:val="21"/>
              </w:rPr>
              <w:t>2</w:t>
            </w:r>
            <w:r>
              <w:rPr>
                <w:spacing w:val="-2"/>
                <w:sz w:val="21"/>
              </w:rPr>
              <w:t>）</w:t>
            </w:r>
            <w:r>
              <w:rPr>
                <w:spacing w:val="-3"/>
                <w:sz w:val="21"/>
              </w:rPr>
              <w:t>您的有效身份证件。</w:t>
            </w:r>
          </w:p>
        </w:tc>
      </w:tr>
      <w:tr>
        <w:trPr>
          <w:trHeight w:val="381"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54" w:lineRule="exact" w:before="107"/>
              <w:ind w:left="106"/>
              <w:rPr>
                <w:sz w:val="21"/>
              </w:rPr>
            </w:pPr>
            <w:r>
              <w:rPr>
                <w:spacing w:val="-3"/>
                <w:sz w:val="21"/>
              </w:rPr>
              <w:t>自我们收到解除合同申请书时起，本合同效力终止。我们自收到解</w:t>
            </w:r>
          </w:p>
        </w:tc>
      </w:tr>
      <w:tr>
        <w:trPr>
          <w:trHeight w:val="283"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64" w:lineRule="exact"/>
              <w:ind w:left="106"/>
              <w:rPr>
                <w:sz w:val="21"/>
              </w:rPr>
            </w:pPr>
            <w:r>
              <w:rPr>
                <w:spacing w:val="-2"/>
                <w:sz w:val="21"/>
              </w:rPr>
              <w:t>除合同申请书之日起</w:t>
            </w:r>
            <w:r>
              <w:rPr>
                <w:rFonts w:ascii="Times New Roman" w:eastAsia="Times New Roman"/>
                <w:spacing w:val="-2"/>
                <w:sz w:val="21"/>
              </w:rPr>
              <w:t>30</w:t>
            </w:r>
            <w:r>
              <w:rPr>
                <w:spacing w:val="-3"/>
                <w:sz w:val="21"/>
              </w:rPr>
              <w:t>日内向您退还本合同的现金价值扣除您尚未</w:t>
            </w:r>
          </w:p>
        </w:tc>
      </w:tr>
      <w:tr>
        <w:trPr>
          <w:trHeight w:val="264" w:hRule="atLeast"/>
        </w:trPr>
        <w:tc>
          <w:tcPr>
            <w:tcW w:w="665" w:type="dxa"/>
          </w:tcPr>
          <w:p>
            <w:pPr>
              <w:pStyle w:val="TableParagraph"/>
              <w:rPr>
                <w:rFonts w:ascii="Times New Roman"/>
                <w:sz w:val="18"/>
              </w:rPr>
            </w:pPr>
          </w:p>
        </w:tc>
        <w:tc>
          <w:tcPr>
            <w:tcW w:w="2267" w:type="dxa"/>
          </w:tcPr>
          <w:p>
            <w:pPr>
              <w:pStyle w:val="TableParagraph"/>
              <w:rPr>
                <w:rFonts w:ascii="Times New Roman"/>
                <w:sz w:val="18"/>
              </w:rPr>
            </w:pPr>
          </w:p>
        </w:tc>
        <w:tc>
          <w:tcPr>
            <w:tcW w:w="6313" w:type="dxa"/>
          </w:tcPr>
          <w:p>
            <w:pPr>
              <w:pStyle w:val="TableParagraph"/>
              <w:spacing w:line="244" w:lineRule="exact"/>
              <w:ind w:left="106"/>
              <w:rPr>
                <w:sz w:val="21"/>
              </w:rPr>
            </w:pPr>
            <w:r>
              <w:rPr>
                <w:spacing w:val="-3"/>
                <w:sz w:val="21"/>
              </w:rPr>
              <w:t>偿还的各项欠款之后的余额。</w:t>
            </w:r>
          </w:p>
        </w:tc>
      </w:tr>
      <w:tr>
        <w:trPr>
          <w:trHeight w:val="426"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314" w:lineRule="exact"/>
              <w:ind w:left="106"/>
              <w:rPr>
                <w:rFonts w:ascii="微软雅黑" w:eastAsia="微软雅黑"/>
                <w:b/>
                <w:sz w:val="21"/>
              </w:rPr>
            </w:pPr>
            <w:r>
              <w:rPr>
                <w:rFonts w:ascii="微软雅黑" w:eastAsia="微软雅黑"/>
                <w:b/>
                <w:spacing w:val="-3"/>
                <w:sz w:val="21"/>
              </w:rPr>
              <w:t>您犹豫期后解除合同会遭受一定损失。</w:t>
            </w:r>
          </w:p>
        </w:tc>
      </w:tr>
      <w:tr>
        <w:trPr>
          <w:trHeight w:val="543" w:hRule="atLeast"/>
        </w:trPr>
        <w:tc>
          <w:tcPr>
            <w:tcW w:w="665" w:type="dxa"/>
            <w:tcBorders>
              <w:bottom w:val="single" w:sz="4" w:space="0" w:color="000000"/>
            </w:tcBorders>
          </w:tcPr>
          <w:p>
            <w:pPr>
              <w:pStyle w:val="TableParagraph"/>
              <w:spacing w:before="167"/>
              <w:ind w:left="108"/>
              <w:rPr>
                <w:rFonts w:ascii="Times New Roman"/>
                <w:b/>
                <w:sz w:val="24"/>
              </w:rPr>
            </w:pPr>
            <w:r>
              <w:rPr>
                <w:rFonts w:ascii="Times New Roman"/>
                <w:b/>
                <w:sz w:val="24"/>
              </w:rPr>
              <w:t>8</w:t>
            </w:r>
          </w:p>
        </w:tc>
        <w:tc>
          <w:tcPr>
            <w:tcW w:w="2267" w:type="dxa"/>
            <w:tcBorders>
              <w:bottom w:val="single" w:sz="4" w:space="0" w:color="000000"/>
            </w:tcBorders>
          </w:tcPr>
          <w:p>
            <w:pPr>
              <w:pStyle w:val="TableParagraph"/>
              <w:spacing w:before="75"/>
              <w:ind w:left="292"/>
              <w:rPr>
                <w:rFonts w:ascii="微软雅黑" w:eastAsia="微软雅黑"/>
                <w:b/>
                <w:sz w:val="24"/>
              </w:rPr>
            </w:pPr>
            <w:r>
              <w:rPr>
                <w:rFonts w:ascii="微软雅黑" w:eastAsia="微软雅黑"/>
                <w:b/>
                <w:spacing w:val="-2"/>
                <w:sz w:val="24"/>
              </w:rPr>
              <w:t>合同效力的终止</w:t>
            </w:r>
          </w:p>
        </w:tc>
        <w:tc>
          <w:tcPr>
            <w:tcW w:w="6313" w:type="dxa"/>
            <w:tcBorders>
              <w:bottom w:val="single" w:sz="4" w:space="0" w:color="000000"/>
            </w:tcBorders>
          </w:tcPr>
          <w:p>
            <w:pPr>
              <w:pStyle w:val="TableParagraph"/>
              <w:rPr>
                <w:rFonts w:ascii="Times New Roman"/>
                <w:sz w:val="20"/>
              </w:rPr>
            </w:pPr>
          </w:p>
        </w:tc>
      </w:tr>
      <w:tr>
        <w:trPr>
          <w:trHeight w:val="508" w:hRule="atLeast"/>
        </w:trPr>
        <w:tc>
          <w:tcPr>
            <w:tcW w:w="665" w:type="dxa"/>
            <w:tcBorders>
              <w:top w:val="single" w:sz="4" w:space="0" w:color="000000"/>
            </w:tcBorders>
          </w:tcPr>
          <w:p>
            <w:pPr>
              <w:pStyle w:val="TableParagraph"/>
              <w:spacing w:before="8"/>
              <w:rPr>
                <w:sz w:val="17"/>
              </w:rPr>
            </w:pPr>
          </w:p>
          <w:p>
            <w:pPr>
              <w:pStyle w:val="TableParagraph"/>
              <w:ind w:left="108"/>
              <w:rPr>
                <w:rFonts w:ascii="Times New Roman"/>
                <w:sz w:val="21"/>
              </w:rPr>
            </w:pPr>
            <w:r>
              <w:rPr>
                <w:rFonts w:ascii="Times New Roman"/>
                <w:spacing w:val="-5"/>
                <w:sz w:val="21"/>
              </w:rPr>
              <w:t>8.1</w:t>
            </w:r>
          </w:p>
        </w:tc>
        <w:tc>
          <w:tcPr>
            <w:tcW w:w="2267" w:type="dxa"/>
            <w:tcBorders>
              <w:top w:val="single" w:sz="4" w:space="0" w:color="000000"/>
            </w:tcBorders>
          </w:tcPr>
          <w:p>
            <w:pPr>
              <w:pStyle w:val="TableParagraph"/>
              <w:spacing w:line="322" w:lineRule="exact" w:before="166"/>
              <w:ind w:left="292"/>
              <w:rPr>
                <w:rFonts w:ascii="微软雅黑" w:eastAsia="微软雅黑"/>
                <w:b/>
                <w:sz w:val="21"/>
              </w:rPr>
            </w:pPr>
            <w:r>
              <w:rPr>
                <w:rFonts w:ascii="微软雅黑" w:eastAsia="微软雅黑"/>
                <w:b/>
                <w:spacing w:val="-2"/>
                <w:sz w:val="21"/>
              </w:rPr>
              <w:t>合同效力的终止</w:t>
            </w:r>
          </w:p>
        </w:tc>
        <w:tc>
          <w:tcPr>
            <w:tcW w:w="6313" w:type="dxa"/>
            <w:tcBorders>
              <w:top w:val="single" w:sz="4" w:space="0" w:color="000000"/>
            </w:tcBorders>
          </w:tcPr>
          <w:p>
            <w:pPr>
              <w:pStyle w:val="TableParagraph"/>
              <w:spacing w:before="2"/>
              <w:rPr>
                <w:sz w:val="18"/>
              </w:rPr>
            </w:pPr>
          </w:p>
          <w:p>
            <w:pPr>
              <w:pStyle w:val="TableParagraph"/>
              <w:spacing w:line="255" w:lineRule="exact" w:before="1"/>
              <w:ind w:left="106"/>
              <w:rPr>
                <w:sz w:val="21"/>
              </w:rPr>
            </w:pPr>
            <w:r>
              <w:rPr>
                <w:spacing w:val="-3"/>
                <w:sz w:val="21"/>
              </w:rPr>
              <w:t>发生下列情况之一，本合同效力即时终止：</w:t>
            </w:r>
          </w:p>
        </w:tc>
      </w:tr>
      <w:tr>
        <w:trPr>
          <w:trHeight w:val="280"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61" w:lineRule="exact"/>
              <w:ind w:left="106"/>
              <w:rPr>
                <w:sz w:val="21"/>
              </w:rPr>
            </w:pPr>
            <w:r>
              <w:rPr>
                <w:spacing w:val="-2"/>
                <w:sz w:val="21"/>
              </w:rPr>
              <w:t>（</w:t>
            </w:r>
            <w:r>
              <w:rPr>
                <w:rFonts w:ascii="Times New Roman" w:eastAsia="Times New Roman"/>
                <w:spacing w:val="-2"/>
                <w:sz w:val="21"/>
              </w:rPr>
              <w:t>1</w:t>
            </w:r>
            <w:r>
              <w:rPr>
                <w:spacing w:val="-2"/>
                <w:sz w:val="21"/>
              </w:rPr>
              <w:t>）</w:t>
            </w:r>
            <w:r>
              <w:rPr>
                <w:spacing w:val="-3"/>
                <w:sz w:val="21"/>
              </w:rPr>
              <w:t>我们收到解除合同申请书；</w:t>
            </w:r>
          </w:p>
        </w:tc>
      </w:tr>
      <w:tr>
        <w:trPr>
          <w:trHeight w:val="27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52" w:lineRule="exact"/>
              <w:ind w:left="106"/>
              <w:rPr>
                <w:sz w:val="21"/>
              </w:rPr>
            </w:pPr>
            <w:r>
              <w:rPr>
                <w:spacing w:val="-2"/>
                <w:sz w:val="21"/>
              </w:rPr>
              <w:t>（</w:t>
            </w:r>
            <w:r>
              <w:rPr>
                <w:rFonts w:ascii="Times New Roman" w:eastAsia="Times New Roman"/>
                <w:spacing w:val="-2"/>
                <w:sz w:val="21"/>
              </w:rPr>
              <w:t>2</w:t>
            </w:r>
            <w:r>
              <w:rPr>
                <w:spacing w:val="-2"/>
                <w:sz w:val="21"/>
              </w:rPr>
              <w:t>）</w:t>
            </w:r>
            <w:r>
              <w:rPr>
                <w:spacing w:val="-4"/>
                <w:sz w:val="21"/>
              </w:rPr>
              <w:t>被保险人身故；</w:t>
            </w:r>
          </w:p>
        </w:tc>
      </w:tr>
      <w:tr>
        <w:trPr>
          <w:trHeight w:val="431"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60" w:lineRule="exact"/>
              <w:ind w:left="106"/>
              <w:rPr>
                <w:sz w:val="21"/>
              </w:rPr>
            </w:pPr>
            <w:r>
              <w:rPr>
                <w:spacing w:val="-2"/>
                <w:sz w:val="21"/>
              </w:rPr>
              <w:t>（</w:t>
            </w:r>
            <w:r>
              <w:rPr>
                <w:rFonts w:ascii="Times New Roman" w:eastAsia="Times New Roman"/>
                <w:spacing w:val="-2"/>
                <w:sz w:val="21"/>
              </w:rPr>
              <w:t>3</w:t>
            </w:r>
            <w:r>
              <w:rPr>
                <w:spacing w:val="-2"/>
                <w:sz w:val="21"/>
              </w:rPr>
              <w:t>）</w:t>
            </w:r>
            <w:r>
              <w:rPr>
                <w:spacing w:val="-3"/>
                <w:sz w:val="21"/>
              </w:rPr>
              <w:t>因本合同其他条款约定情形而终止。</w:t>
            </w:r>
          </w:p>
        </w:tc>
      </w:tr>
      <w:tr>
        <w:trPr>
          <w:trHeight w:val="537" w:hRule="atLeast"/>
        </w:trPr>
        <w:tc>
          <w:tcPr>
            <w:tcW w:w="665" w:type="dxa"/>
            <w:tcBorders>
              <w:bottom w:val="single" w:sz="4" w:space="0" w:color="000000"/>
            </w:tcBorders>
          </w:tcPr>
          <w:p>
            <w:pPr>
              <w:pStyle w:val="TableParagraph"/>
              <w:spacing w:before="159"/>
              <w:ind w:left="108"/>
              <w:rPr>
                <w:rFonts w:ascii="Times New Roman"/>
                <w:b/>
                <w:sz w:val="24"/>
              </w:rPr>
            </w:pPr>
            <w:r>
              <w:rPr>
                <w:rFonts w:ascii="Times New Roman"/>
                <w:b/>
                <w:sz w:val="24"/>
              </w:rPr>
              <w:t>9</w:t>
            </w:r>
          </w:p>
        </w:tc>
        <w:tc>
          <w:tcPr>
            <w:tcW w:w="2267" w:type="dxa"/>
            <w:tcBorders>
              <w:bottom w:val="single" w:sz="4" w:space="0" w:color="000000"/>
            </w:tcBorders>
          </w:tcPr>
          <w:p>
            <w:pPr>
              <w:pStyle w:val="TableParagraph"/>
              <w:spacing w:before="69"/>
              <w:ind w:left="292"/>
              <w:rPr>
                <w:rFonts w:ascii="微软雅黑" w:eastAsia="微软雅黑"/>
                <w:b/>
                <w:sz w:val="24"/>
              </w:rPr>
            </w:pPr>
            <w:r>
              <w:rPr>
                <w:rFonts w:ascii="微软雅黑" w:eastAsia="微软雅黑"/>
                <w:b/>
                <w:spacing w:val="-3"/>
                <w:sz w:val="24"/>
              </w:rPr>
              <w:t>如实告知</w:t>
            </w:r>
          </w:p>
        </w:tc>
        <w:tc>
          <w:tcPr>
            <w:tcW w:w="6313" w:type="dxa"/>
            <w:tcBorders>
              <w:bottom w:val="single" w:sz="4" w:space="0" w:color="000000"/>
            </w:tcBorders>
          </w:tcPr>
          <w:p>
            <w:pPr>
              <w:pStyle w:val="TableParagraph"/>
              <w:rPr>
                <w:rFonts w:ascii="Times New Roman"/>
                <w:sz w:val="20"/>
              </w:rPr>
            </w:pPr>
          </w:p>
        </w:tc>
      </w:tr>
      <w:tr>
        <w:trPr>
          <w:trHeight w:val="513" w:hRule="atLeast"/>
        </w:trPr>
        <w:tc>
          <w:tcPr>
            <w:tcW w:w="665" w:type="dxa"/>
            <w:tcBorders>
              <w:top w:val="single" w:sz="4" w:space="0" w:color="000000"/>
            </w:tcBorders>
          </w:tcPr>
          <w:p>
            <w:pPr>
              <w:pStyle w:val="TableParagraph"/>
              <w:spacing w:before="10"/>
              <w:rPr>
                <w:sz w:val="17"/>
              </w:rPr>
            </w:pPr>
          </w:p>
          <w:p>
            <w:pPr>
              <w:pStyle w:val="TableParagraph"/>
              <w:ind w:left="108"/>
              <w:rPr>
                <w:rFonts w:ascii="Times New Roman"/>
                <w:sz w:val="21"/>
              </w:rPr>
            </w:pPr>
            <w:r>
              <w:rPr>
                <w:rFonts w:ascii="Times New Roman"/>
                <w:spacing w:val="-5"/>
                <w:sz w:val="21"/>
              </w:rPr>
              <w:t>9.1</w:t>
            </w:r>
          </w:p>
        </w:tc>
        <w:tc>
          <w:tcPr>
            <w:tcW w:w="2267" w:type="dxa"/>
            <w:tcBorders>
              <w:top w:val="single" w:sz="4" w:space="0" w:color="000000"/>
            </w:tcBorders>
          </w:tcPr>
          <w:p>
            <w:pPr>
              <w:pStyle w:val="TableParagraph"/>
              <w:spacing w:line="324" w:lineRule="exact" w:before="168"/>
              <w:ind w:left="292"/>
              <w:rPr>
                <w:rFonts w:ascii="微软雅黑" w:eastAsia="微软雅黑"/>
                <w:b/>
                <w:sz w:val="21"/>
              </w:rPr>
            </w:pPr>
            <w:r>
              <w:rPr>
                <w:rFonts w:ascii="微软雅黑" w:eastAsia="微软雅黑"/>
                <w:b/>
                <w:spacing w:val="18"/>
                <w:sz w:val="21"/>
              </w:rPr>
              <w:t>明确说明与如实告</w:t>
            </w:r>
          </w:p>
        </w:tc>
        <w:tc>
          <w:tcPr>
            <w:tcW w:w="6313" w:type="dxa"/>
            <w:tcBorders>
              <w:top w:val="single" w:sz="4" w:space="0" w:color="000000"/>
            </w:tcBorders>
          </w:tcPr>
          <w:p>
            <w:pPr>
              <w:pStyle w:val="TableParagraph"/>
              <w:spacing w:before="5"/>
              <w:rPr>
                <w:sz w:val="18"/>
              </w:rPr>
            </w:pPr>
          </w:p>
          <w:p>
            <w:pPr>
              <w:pStyle w:val="TableParagraph"/>
              <w:spacing w:line="257" w:lineRule="exact"/>
              <w:ind w:left="106"/>
              <w:rPr>
                <w:sz w:val="21"/>
              </w:rPr>
            </w:pPr>
            <w:r>
              <w:rPr>
                <w:spacing w:val="-3"/>
                <w:sz w:val="21"/>
              </w:rPr>
              <w:t>订立本合同时，我们应向您说明本合同的内容。</w:t>
            </w:r>
          </w:p>
        </w:tc>
      </w:tr>
      <w:tr>
        <w:trPr>
          <w:trHeight w:val="514" w:hRule="atLeast"/>
        </w:trPr>
        <w:tc>
          <w:tcPr>
            <w:tcW w:w="665" w:type="dxa"/>
          </w:tcPr>
          <w:p>
            <w:pPr>
              <w:pStyle w:val="TableParagraph"/>
              <w:rPr>
                <w:rFonts w:ascii="Times New Roman"/>
                <w:sz w:val="20"/>
              </w:rPr>
            </w:pPr>
          </w:p>
        </w:tc>
        <w:tc>
          <w:tcPr>
            <w:tcW w:w="2267" w:type="dxa"/>
          </w:tcPr>
          <w:p>
            <w:pPr>
              <w:pStyle w:val="TableParagraph"/>
              <w:spacing w:line="314" w:lineRule="exact"/>
              <w:ind w:left="292"/>
              <w:rPr>
                <w:rFonts w:ascii="微软雅黑" w:eastAsia="微软雅黑"/>
                <w:b/>
                <w:sz w:val="21"/>
              </w:rPr>
            </w:pPr>
            <w:r>
              <w:rPr>
                <w:rFonts w:ascii="微软雅黑" w:eastAsia="微软雅黑"/>
                <w:b/>
                <w:w w:val="100"/>
                <w:sz w:val="21"/>
              </w:rPr>
              <w:t>知</w:t>
            </w:r>
          </w:p>
        </w:tc>
        <w:tc>
          <w:tcPr>
            <w:tcW w:w="6313" w:type="dxa"/>
          </w:tcPr>
          <w:p>
            <w:pPr>
              <w:pStyle w:val="TableParagraph"/>
              <w:spacing w:before="5"/>
              <w:rPr>
                <w:sz w:val="18"/>
              </w:rPr>
            </w:pPr>
          </w:p>
          <w:p>
            <w:pPr>
              <w:pStyle w:val="TableParagraph"/>
              <w:spacing w:line="258" w:lineRule="exact" w:before="1"/>
              <w:ind w:left="106"/>
              <w:rPr>
                <w:sz w:val="21"/>
              </w:rPr>
            </w:pPr>
            <w:r>
              <w:rPr>
                <w:spacing w:val="-3"/>
                <w:sz w:val="21"/>
              </w:rPr>
              <w:t>对保险条款中免除我们责任的条款，我们在订立合同时应当在投保</w:t>
            </w:r>
          </w:p>
        </w:tc>
      </w:tr>
      <w:tr>
        <w:trPr>
          <w:trHeight w:val="27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52" w:lineRule="exact"/>
              <w:ind w:left="106"/>
              <w:rPr>
                <w:sz w:val="21"/>
              </w:rPr>
            </w:pPr>
            <w:r>
              <w:rPr>
                <w:spacing w:val="-3"/>
                <w:sz w:val="21"/>
              </w:rPr>
              <w:t>单、保险单或者其他保险凭证上作出足以引起您注意的提示，并对</w:t>
            </w:r>
          </w:p>
        </w:tc>
      </w:tr>
      <w:tr>
        <w:trPr>
          <w:trHeight w:val="27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52" w:lineRule="exact"/>
              <w:ind w:left="106"/>
              <w:rPr>
                <w:sz w:val="21"/>
              </w:rPr>
            </w:pPr>
            <w:r>
              <w:rPr>
                <w:spacing w:val="-3"/>
                <w:sz w:val="21"/>
              </w:rPr>
              <w:t>该条款的内容以书面或者口头形式向您作出明确说明，未作提示或</w:t>
            </w:r>
          </w:p>
        </w:tc>
      </w:tr>
      <w:tr>
        <w:trPr>
          <w:trHeight w:val="393"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64" w:lineRule="exact"/>
              <w:ind w:left="106"/>
              <w:rPr>
                <w:sz w:val="21"/>
              </w:rPr>
            </w:pPr>
            <w:r>
              <w:rPr>
                <w:spacing w:val="-3"/>
                <w:sz w:val="21"/>
              </w:rPr>
              <w:t>者明确说明的，该条款不产生效力。</w:t>
            </w:r>
          </w:p>
        </w:tc>
      </w:tr>
      <w:tr>
        <w:trPr>
          <w:trHeight w:val="513"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before="115"/>
              <w:ind w:left="106"/>
              <w:rPr>
                <w:sz w:val="21"/>
              </w:rPr>
            </w:pPr>
            <w:r>
              <w:rPr>
                <w:spacing w:val="-3"/>
                <w:sz w:val="21"/>
              </w:rPr>
              <w:t>我们就您和被保险人的有关情况提出询问，您应当如实告知。</w:t>
            </w:r>
          </w:p>
        </w:tc>
      </w:tr>
      <w:tr>
        <w:trPr>
          <w:trHeight w:val="39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324" w:lineRule="exact" w:before="48"/>
              <w:ind w:left="106"/>
              <w:rPr>
                <w:rFonts w:ascii="微软雅黑" w:eastAsia="微软雅黑"/>
                <w:b/>
                <w:sz w:val="21"/>
              </w:rPr>
            </w:pPr>
            <w:r>
              <w:rPr>
                <w:rFonts w:ascii="微软雅黑" w:eastAsia="微软雅黑"/>
                <w:b/>
                <w:spacing w:val="-3"/>
                <w:sz w:val="21"/>
              </w:rPr>
              <w:t>如果您故意或者因重大过失未履行前款规定的如实告知义务，足以</w:t>
            </w:r>
          </w:p>
        </w:tc>
      </w:tr>
      <w:tr>
        <w:trPr>
          <w:trHeight w:val="27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52" w:lineRule="exact"/>
              <w:ind w:left="106"/>
              <w:rPr>
                <w:rFonts w:ascii="微软雅黑" w:eastAsia="微软雅黑"/>
                <w:b/>
                <w:sz w:val="21"/>
              </w:rPr>
            </w:pPr>
            <w:r>
              <w:rPr>
                <w:rFonts w:ascii="微软雅黑" w:eastAsia="微软雅黑"/>
                <w:b/>
                <w:spacing w:val="-3"/>
                <w:sz w:val="21"/>
              </w:rPr>
              <w:t>影响我们决定是否同意承保或者提高保险费率的，我们有权解除本</w:t>
            </w:r>
          </w:p>
        </w:tc>
      </w:tr>
      <w:tr>
        <w:trPr>
          <w:trHeight w:val="393"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315" w:lineRule="exact"/>
              <w:ind w:left="106"/>
              <w:rPr>
                <w:rFonts w:ascii="微软雅黑" w:eastAsia="微软雅黑"/>
                <w:b/>
                <w:sz w:val="21"/>
              </w:rPr>
            </w:pPr>
            <w:r>
              <w:rPr>
                <w:rFonts w:ascii="微软雅黑" w:eastAsia="微软雅黑"/>
                <w:b/>
                <w:spacing w:val="-4"/>
                <w:sz w:val="21"/>
              </w:rPr>
              <w:t>合同。</w:t>
            </w:r>
          </w:p>
        </w:tc>
      </w:tr>
      <w:tr>
        <w:trPr>
          <w:trHeight w:val="39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324" w:lineRule="exact" w:before="48"/>
              <w:ind w:left="106"/>
              <w:rPr>
                <w:rFonts w:ascii="微软雅黑" w:eastAsia="微软雅黑"/>
                <w:b/>
                <w:sz w:val="21"/>
              </w:rPr>
            </w:pPr>
            <w:r>
              <w:rPr>
                <w:rFonts w:ascii="微软雅黑" w:eastAsia="微软雅黑"/>
                <w:b/>
                <w:spacing w:val="-3"/>
                <w:sz w:val="21"/>
              </w:rPr>
              <w:t>如果您故意不履行如实告知义务，对于本合同解除前发生的保险事</w:t>
            </w:r>
          </w:p>
        </w:tc>
      </w:tr>
      <w:tr>
        <w:trPr>
          <w:trHeight w:val="39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314" w:lineRule="exact"/>
              <w:ind w:left="106"/>
              <w:rPr>
                <w:rFonts w:ascii="微软雅黑" w:eastAsia="微软雅黑"/>
                <w:b/>
                <w:sz w:val="21"/>
              </w:rPr>
            </w:pPr>
            <w:r>
              <w:rPr>
                <w:rFonts w:ascii="微软雅黑" w:eastAsia="微软雅黑"/>
                <w:b/>
                <w:spacing w:val="-3"/>
                <w:sz w:val="21"/>
              </w:rPr>
              <w:t>故，我们不承担给付保险金的责任，并不退还保险费。</w:t>
            </w:r>
          </w:p>
        </w:tc>
      </w:tr>
      <w:tr>
        <w:trPr>
          <w:trHeight w:val="393"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326" w:lineRule="exact" w:before="48"/>
              <w:ind w:left="106"/>
              <w:rPr>
                <w:rFonts w:ascii="微软雅黑" w:eastAsia="微软雅黑"/>
                <w:b/>
                <w:sz w:val="21"/>
              </w:rPr>
            </w:pPr>
            <w:r>
              <w:rPr>
                <w:rFonts w:ascii="微软雅黑" w:eastAsia="微软雅黑"/>
                <w:b/>
                <w:spacing w:val="-3"/>
                <w:sz w:val="21"/>
              </w:rPr>
              <w:t>如果您因重大过失未履行如实告知义务，对保险事故的发生有严重</w:t>
            </w:r>
          </w:p>
        </w:tc>
      </w:tr>
      <w:tr>
        <w:trPr>
          <w:trHeight w:val="27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52" w:lineRule="exact"/>
              <w:ind w:left="106"/>
              <w:rPr>
                <w:rFonts w:ascii="微软雅黑" w:eastAsia="微软雅黑"/>
                <w:b/>
                <w:sz w:val="21"/>
              </w:rPr>
            </w:pPr>
            <w:r>
              <w:rPr>
                <w:rFonts w:ascii="微软雅黑" w:eastAsia="微软雅黑"/>
                <w:b/>
                <w:spacing w:val="-3"/>
                <w:sz w:val="21"/>
              </w:rPr>
              <w:t>影响的，对于本合同解除前发生的保险事故，我们不承担给付保险</w:t>
            </w:r>
          </w:p>
        </w:tc>
      </w:tr>
      <w:tr>
        <w:trPr>
          <w:trHeight w:val="392"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314" w:lineRule="exact"/>
              <w:ind w:left="106"/>
              <w:rPr>
                <w:rFonts w:ascii="微软雅黑" w:eastAsia="微软雅黑"/>
                <w:b/>
                <w:sz w:val="21"/>
              </w:rPr>
            </w:pPr>
            <w:r>
              <w:rPr>
                <w:rFonts w:ascii="微软雅黑" w:eastAsia="微软雅黑"/>
                <w:b/>
                <w:spacing w:val="-3"/>
                <w:sz w:val="21"/>
              </w:rPr>
              <w:t>金的责任，但应当退还保险费。</w:t>
            </w:r>
          </w:p>
        </w:tc>
      </w:tr>
      <w:tr>
        <w:trPr>
          <w:trHeight w:val="393"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58" w:lineRule="exact" w:before="115"/>
              <w:ind w:left="106"/>
              <w:rPr>
                <w:sz w:val="21"/>
              </w:rPr>
            </w:pPr>
            <w:r>
              <w:rPr>
                <w:spacing w:val="-3"/>
                <w:sz w:val="21"/>
              </w:rPr>
              <w:t>我们在合同订立时已经知道您未如实告知的情况的，我们不得解除</w:t>
            </w:r>
          </w:p>
        </w:tc>
      </w:tr>
      <w:tr>
        <w:trPr>
          <w:trHeight w:val="379" w:hRule="atLeast"/>
        </w:trPr>
        <w:tc>
          <w:tcPr>
            <w:tcW w:w="665" w:type="dxa"/>
          </w:tcPr>
          <w:p>
            <w:pPr>
              <w:pStyle w:val="TableParagraph"/>
              <w:rPr>
                <w:rFonts w:ascii="Times New Roman"/>
                <w:sz w:val="20"/>
              </w:rPr>
            </w:pPr>
          </w:p>
        </w:tc>
        <w:tc>
          <w:tcPr>
            <w:tcW w:w="2267" w:type="dxa"/>
          </w:tcPr>
          <w:p>
            <w:pPr>
              <w:pStyle w:val="TableParagraph"/>
              <w:rPr>
                <w:rFonts w:ascii="Times New Roman"/>
                <w:sz w:val="20"/>
              </w:rPr>
            </w:pPr>
          </w:p>
        </w:tc>
        <w:tc>
          <w:tcPr>
            <w:tcW w:w="6313" w:type="dxa"/>
          </w:tcPr>
          <w:p>
            <w:pPr>
              <w:pStyle w:val="TableParagraph"/>
              <w:spacing w:line="264" w:lineRule="exact"/>
              <w:ind w:left="106"/>
              <w:rPr>
                <w:sz w:val="21"/>
              </w:rPr>
            </w:pPr>
            <w:r>
              <w:rPr>
                <w:spacing w:val="-3"/>
                <w:sz w:val="21"/>
              </w:rPr>
              <w:t>合同；发生保险事故的，我们承担给付保险金的责任。</w:t>
            </w:r>
          </w:p>
        </w:tc>
      </w:tr>
      <w:tr>
        <w:trPr>
          <w:trHeight w:val="411" w:hRule="atLeast"/>
        </w:trPr>
        <w:tc>
          <w:tcPr>
            <w:tcW w:w="665" w:type="dxa"/>
          </w:tcPr>
          <w:p>
            <w:pPr>
              <w:pStyle w:val="TableParagraph"/>
              <w:spacing w:before="122"/>
              <w:ind w:left="108"/>
              <w:rPr>
                <w:rFonts w:ascii="Times New Roman"/>
                <w:sz w:val="21"/>
              </w:rPr>
            </w:pPr>
            <w:r>
              <w:rPr>
                <w:rFonts w:ascii="Times New Roman"/>
                <w:spacing w:val="-5"/>
                <w:sz w:val="21"/>
              </w:rPr>
              <w:t>9.2</w:t>
            </w:r>
          </w:p>
        </w:tc>
        <w:tc>
          <w:tcPr>
            <w:tcW w:w="2267" w:type="dxa"/>
          </w:tcPr>
          <w:p>
            <w:pPr>
              <w:pStyle w:val="TableParagraph"/>
              <w:spacing w:line="329" w:lineRule="exact" w:before="62"/>
              <w:ind w:left="292"/>
              <w:rPr>
                <w:rFonts w:ascii="微软雅黑" w:eastAsia="微软雅黑"/>
                <w:b/>
                <w:sz w:val="21"/>
              </w:rPr>
            </w:pPr>
            <w:r>
              <w:rPr>
                <w:rFonts w:ascii="微软雅黑" w:eastAsia="微软雅黑"/>
                <w:b/>
                <w:spacing w:val="18"/>
                <w:sz w:val="21"/>
              </w:rPr>
              <w:t>本公司合同解除权</w:t>
            </w:r>
          </w:p>
        </w:tc>
        <w:tc>
          <w:tcPr>
            <w:tcW w:w="6313" w:type="dxa"/>
          </w:tcPr>
          <w:p>
            <w:pPr>
              <w:pStyle w:val="TableParagraph"/>
              <w:spacing w:line="262" w:lineRule="exact" w:before="129"/>
              <w:ind w:left="106"/>
              <w:rPr>
                <w:sz w:val="21"/>
              </w:rPr>
            </w:pPr>
            <w:r>
              <w:rPr>
                <w:spacing w:val="-2"/>
                <w:sz w:val="21"/>
              </w:rPr>
              <w:t>前条规定的合同解除权，自我们知道有解除事由之日起，超过</w:t>
            </w:r>
            <w:r>
              <w:rPr>
                <w:rFonts w:ascii="Times New Roman" w:eastAsia="Times New Roman"/>
                <w:spacing w:val="-2"/>
                <w:sz w:val="21"/>
              </w:rPr>
              <w:t>30</w:t>
            </w:r>
            <w:r>
              <w:rPr>
                <w:spacing w:val="-10"/>
                <w:sz w:val="21"/>
              </w:rPr>
              <w:t>日</w:t>
            </w:r>
          </w:p>
        </w:tc>
      </w:tr>
      <w:tr>
        <w:trPr>
          <w:trHeight w:val="275" w:hRule="atLeast"/>
        </w:trPr>
        <w:tc>
          <w:tcPr>
            <w:tcW w:w="665" w:type="dxa"/>
          </w:tcPr>
          <w:p>
            <w:pPr>
              <w:pStyle w:val="TableParagraph"/>
              <w:rPr>
                <w:rFonts w:ascii="Times New Roman"/>
                <w:sz w:val="20"/>
              </w:rPr>
            </w:pPr>
          </w:p>
        </w:tc>
        <w:tc>
          <w:tcPr>
            <w:tcW w:w="2267" w:type="dxa"/>
          </w:tcPr>
          <w:p>
            <w:pPr>
              <w:pStyle w:val="TableParagraph"/>
              <w:spacing w:line="256" w:lineRule="exact"/>
              <w:ind w:left="292"/>
              <w:rPr>
                <w:rFonts w:ascii="微软雅黑" w:eastAsia="微软雅黑"/>
                <w:b/>
                <w:sz w:val="21"/>
              </w:rPr>
            </w:pPr>
            <w:r>
              <w:rPr>
                <w:rFonts w:ascii="微软雅黑" w:eastAsia="微软雅黑"/>
                <w:b/>
                <w:spacing w:val="-4"/>
                <w:sz w:val="21"/>
              </w:rPr>
              <w:t>的限制</w:t>
            </w:r>
          </w:p>
        </w:tc>
        <w:tc>
          <w:tcPr>
            <w:tcW w:w="6313" w:type="dxa"/>
          </w:tcPr>
          <w:p>
            <w:pPr>
              <w:pStyle w:val="TableParagraph"/>
              <w:spacing w:line="256" w:lineRule="exact"/>
              <w:ind w:left="106" w:right="-15"/>
              <w:rPr>
                <w:sz w:val="21"/>
              </w:rPr>
            </w:pPr>
            <w:r>
              <w:rPr>
                <w:spacing w:val="-13"/>
                <w:sz w:val="21"/>
              </w:rPr>
              <w:t>不行使而消灭。自本合同成立之日起超过</w:t>
            </w:r>
            <w:r>
              <w:rPr>
                <w:rFonts w:ascii="Times New Roman" w:eastAsia="Times New Roman"/>
                <w:spacing w:val="-2"/>
                <w:sz w:val="21"/>
              </w:rPr>
              <w:t>2</w:t>
            </w:r>
            <w:r>
              <w:rPr>
                <w:spacing w:val="-14"/>
                <w:sz w:val="21"/>
              </w:rPr>
              <w:t>年的，我们不得解除合同；</w:t>
            </w:r>
          </w:p>
        </w:tc>
      </w:tr>
      <w:tr>
        <w:trPr>
          <w:trHeight w:val="234" w:hRule="atLeast"/>
        </w:trPr>
        <w:tc>
          <w:tcPr>
            <w:tcW w:w="665" w:type="dxa"/>
          </w:tcPr>
          <w:p>
            <w:pPr>
              <w:pStyle w:val="TableParagraph"/>
              <w:rPr>
                <w:rFonts w:ascii="Times New Roman"/>
                <w:sz w:val="16"/>
              </w:rPr>
            </w:pPr>
          </w:p>
        </w:tc>
        <w:tc>
          <w:tcPr>
            <w:tcW w:w="2267" w:type="dxa"/>
          </w:tcPr>
          <w:p>
            <w:pPr>
              <w:pStyle w:val="TableParagraph"/>
              <w:rPr>
                <w:rFonts w:ascii="Times New Roman"/>
                <w:sz w:val="16"/>
              </w:rPr>
            </w:pPr>
          </w:p>
        </w:tc>
        <w:tc>
          <w:tcPr>
            <w:tcW w:w="6313" w:type="dxa"/>
          </w:tcPr>
          <w:p>
            <w:pPr>
              <w:pStyle w:val="TableParagraph"/>
              <w:spacing w:line="214" w:lineRule="exact"/>
              <w:ind w:left="106"/>
              <w:rPr>
                <w:sz w:val="21"/>
              </w:rPr>
            </w:pPr>
            <w:r>
              <w:rPr>
                <w:spacing w:val="-3"/>
                <w:sz w:val="21"/>
              </w:rPr>
              <w:t>发生保险事故的，我们承担给付保险金的责任。</w:t>
            </w:r>
          </w:p>
        </w:tc>
      </w:tr>
    </w:tbl>
    <w:p>
      <w:pPr>
        <w:pStyle w:val="BodyText"/>
        <w:spacing w:before="3"/>
        <w:ind w:left="0"/>
      </w:pPr>
    </w:p>
    <w:p>
      <w:pPr>
        <w:pStyle w:val="Heading1"/>
        <w:numPr>
          <w:ilvl w:val="0"/>
          <w:numId w:val="27"/>
        </w:numPr>
        <w:tabs>
          <w:tab w:pos="1071" w:val="left" w:leader="none"/>
          <w:tab w:pos="1072" w:val="left" w:leader="none"/>
        </w:tabs>
        <w:spacing w:line="440" w:lineRule="exact" w:before="0" w:after="0"/>
        <w:ind w:left="1071" w:right="0" w:hanging="850"/>
        <w:jc w:val="left"/>
      </w:pPr>
      <w:r>
        <w:rPr/>
        <w:drawing>
          <wp:anchor distT="0" distB="0" distL="0" distR="0" allowOverlap="1" layoutInCell="1" locked="0" behindDoc="0" simplePos="0" relativeHeight="9">
            <wp:simplePos x="0" y="0"/>
            <wp:positionH relativeFrom="page">
              <wp:posOffset>1012240</wp:posOffset>
            </wp:positionH>
            <wp:positionV relativeFrom="paragraph">
              <wp:posOffset>286726</wp:posOffset>
            </wp:positionV>
            <wp:extent cx="5870133" cy="6096"/>
            <wp:effectExtent l="0" t="0" r="0" b="0"/>
            <wp:wrapTopAndBottom/>
            <wp:docPr id="17" name="image7.png"/>
            <wp:cNvGraphicFramePr>
              <a:graphicFrameLocks noChangeAspect="1"/>
            </wp:cNvGraphicFramePr>
            <a:graphic>
              <a:graphicData uri="http://schemas.openxmlformats.org/drawingml/2006/picture">
                <pic:pic>
                  <pic:nvPicPr>
                    <pic:cNvPr id="18" name="image7.png"/>
                    <pic:cNvPicPr/>
                  </pic:nvPicPr>
                  <pic:blipFill>
                    <a:blip r:embed="rId12" cstate="print"/>
                    <a:stretch>
                      <a:fillRect/>
                    </a:stretch>
                  </pic:blipFill>
                  <pic:spPr>
                    <a:xfrm>
                      <a:off x="0" y="0"/>
                      <a:ext cx="5870133" cy="6096"/>
                    </a:xfrm>
                    <a:prstGeom prst="rect">
                      <a:avLst/>
                    </a:prstGeom>
                  </pic:spPr>
                </pic:pic>
              </a:graphicData>
            </a:graphic>
          </wp:anchor>
        </w:drawing>
      </w:r>
      <w:r>
        <w:rPr>
          <w:spacing w:val="-1"/>
        </w:rPr>
        <w:t>轻度疾病的定义及范围</w:t>
      </w:r>
    </w:p>
    <w:p>
      <w:pPr>
        <w:pStyle w:val="BodyText"/>
        <w:spacing w:before="3"/>
        <w:ind w:left="0"/>
        <w:rPr>
          <w:rFonts w:ascii="微软雅黑"/>
          <w:b/>
          <w:sz w:val="13"/>
        </w:rPr>
      </w:pPr>
    </w:p>
    <w:p>
      <w:pPr>
        <w:pStyle w:val="BodyText"/>
        <w:spacing w:line="242" w:lineRule="auto" w:before="1"/>
        <w:ind w:left="1071" w:right="715"/>
      </w:pPr>
      <w:r>
        <w:rPr>
          <w:spacing w:val="-2"/>
        </w:rPr>
        <w:t>本合同所指轻度疾病，是被保险人发生符合以下定义所述条件的疾病、疾病状态或手术，</w:t>
      </w:r>
      <w:r>
        <w:rPr>
          <w:spacing w:val="-2"/>
        </w:rPr>
        <w:t>应当由专科医生明确诊断。其中第</w:t>
      </w:r>
      <w:r>
        <w:rPr>
          <w:rFonts w:ascii="Times New Roman" w:eastAsia="Times New Roman"/>
          <w:spacing w:val="-2"/>
        </w:rPr>
        <w:t>1</w:t>
      </w:r>
      <w:r>
        <w:rPr>
          <w:spacing w:val="-2"/>
        </w:rPr>
        <w:t>至</w:t>
      </w:r>
      <w:r>
        <w:rPr>
          <w:rFonts w:ascii="Times New Roman" w:eastAsia="Times New Roman"/>
          <w:spacing w:val="-2"/>
        </w:rPr>
        <w:t>3</w:t>
      </w:r>
      <w:r>
        <w:rPr>
          <w:spacing w:val="-3"/>
        </w:rPr>
        <w:t>项轻度疾病为中国保险行业协会发布的《重大疾病</w:t>
      </w:r>
    </w:p>
    <w:p>
      <w:pPr>
        <w:spacing w:after="0" w:line="242" w:lineRule="auto"/>
        <w:sectPr>
          <w:pgSz w:w="11910" w:h="16840"/>
          <w:pgMar w:header="0" w:footer="878" w:top="1220" w:bottom="1060" w:left="1480" w:right="440"/>
        </w:sectPr>
      </w:pPr>
    </w:p>
    <w:p>
      <w:pPr>
        <w:pStyle w:val="BodyText"/>
        <w:spacing w:line="244" w:lineRule="auto" w:before="55"/>
        <w:ind w:left="1071" w:right="731"/>
      </w:pPr>
      <w:r>
        <w:rPr>
          <w:spacing w:val="-2"/>
        </w:rPr>
        <w:t>保险的疾病定义使用规范（</w:t>
      </w:r>
      <w:r>
        <w:rPr>
          <w:rFonts w:ascii="Times New Roman" w:eastAsia="Times New Roman"/>
          <w:spacing w:val="-2"/>
        </w:rPr>
        <w:t>2020</w:t>
      </w:r>
      <w:r>
        <w:rPr>
          <w:spacing w:val="-2"/>
        </w:rPr>
        <w:t>年修订版</w:t>
      </w:r>
      <w:r>
        <w:rPr>
          <w:spacing w:val="-106"/>
        </w:rPr>
        <w:t>）</w:t>
      </w:r>
      <w:r>
        <w:rPr>
          <w:spacing w:val="-2"/>
        </w:rPr>
        <w:t>》规定的</w:t>
      </w:r>
      <w:r>
        <w:rPr>
          <w:rFonts w:ascii="Times New Roman" w:eastAsia="Times New Roman"/>
          <w:spacing w:val="-2"/>
        </w:rPr>
        <w:t>3</w:t>
      </w:r>
      <w:r>
        <w:rPr>
          <w:spacing w:val="-2"/>
        </w:rPr>
        <w:t>种轻度疾病，其他为我们增加的轻度</w:t>
      </w:r>
      <w:r>
        <w:rPr>
          <w:spacing w:val="-4"/>
        </w:rPr>
        <w:t>疾病。</w:t>
      </w:r>
    </w:p>
    <w:p>
      <w:pPr>
        <w:pStyle w:val="ListParagraph"/>
        <w:numPr>
          <w:ilvl w:val="1"/>
          <w:numId w:val="27"/>
        </w:numPr>
        <w:tabs>
          <w:tab w:pos="1071" w:val="left" w:leader="none"/>
          <w:tab w:pos="1072" w:val="left" w:leader="none"/>
          <w:tab w:pos="3152" w:val="left" w:leader="none"/>
        </w:tabs>
        <w:spacing w:line="364" w:lineRule="exact" w:before="172" w:after="0"/>
        <w:ind w:left="1071" w:right="0" w:hanging="850"/>
        <w:jc w:val="left"/>
        <w:rPr>
          <w:sz w:val="21"/>
        </w:rPr>
      </w:pP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轻</w:t>
      </w:r>
      <w:r>
        <w:rPr>
          <w:rFonts w:ascii="微软雅黑" w:hAnsi="微软雅黑" w:eastAsia="微软雅黑"/>
          <w:b/>
          <w:spacing w:val="-10"/>
          <w:w w:val="95"/>
          <w:sz w:val="21"/>
        </w:rPr>
        <w:t>度</w:t>
      </w:r>
      <w:r>
        <w:rPr>
          <w:rFonts w:ascii="微软雅黑" w:hAnsi="微软雅黑" w:eastAsia="微软雅黑"/>
          <w:b/>
          <w:sz w:val="21"/>
        </w:rPr>
        <w:tab/>
      </w:r>
      <w:r>
        <w:rPr>
          <w:spacing w:val="-2"/>
          <w:sz w:val="21"/>
        </w:rPr>
        <w:t>指</w:t>
      </w:r>
      <w:r>
        <w:rPr>
          <w:spacing w:val="-2"/>
          <w:sz w:val="21"/>
        </w:rPr>
        <w:t>恶</w:t>
      </w:r>
      <w:r>
        <w:rPr>
          <w:spacing w:val="-2"/>
          <w:sz w:val="21"/>
        </w:rPr>
        <w:t>性</w:t>
      </w:r>
      <w:r>
        <w:rPr>
          <w:spacing w:val="-2"/>
          <w:sz w:val="21"/>
        </w:rPr>
        <w:t>细</w:t>
      </w:r>
      <w:r>
        <w:rPr>
          <w:spacing w:val="-2"/>
          <w:sz w:val="21"/>
        </w:rPr>
        <w:t>胞</w:t>
      </w:r>
      <w:r>
        <w:rPr>
          <w:spacing w:val="-2"/>
          <w:sz w:val="21"/>
        </w:rPr>
        <w:t>不受控</w:t>
      </w:r>
      <w:r>
        <w:rPr>
          <w:spacing w:val="-2"/>
          <w:sz w:val="21"/>
        </w:rPr>
        <w:t>制</w:t>
      </w:r>
      <w:r>
        <w:rPr>
          <w:spacing w:val="-2"/>
          <w:sz w:val="21"/>
        </w:rPr>
        <w:t>的</w:t>
      </w:r>
      <w:r>
        <w:rPr>
          <w:spacing w:val="-2"/>
          <w:sz w:val="21"/>
        </w:rPr>
        <w:t>进</w:t>
      </w:r>
      <w:r>
        <w:rPr>
          <w:spacing w:val="-2"/>
          <w:sz w:val="21"/>
        </w:rPr>
        <w:t>行</w:t>
      </w:r>
      <w:r>
        <w:rPr>
          <w:spacing w:val="-2"/>
          <w:sz w:val="21"/>
        </w:rPr>
        <w:t>性</w:t>
      </w:r>
      <w:r>
        <w:rPr>
          <w:spacing w:val="-2"/>
          <w:sz w:val="21"/>
        </w:rPr>
        <w:t>增</w:t>
      </w:r>
      <w:r>
        <w:rPr>
          <w:spacing w:val="-2"/>
          <w:sz w:val="21"/>
        </w:rPr>
        <w:t>长</w:t>
      </w:r>
      <w:r>
        <w:rPr>
          <w:spacing w:val="-2"/>
          <w:sz w:val="21"/>
        </w:rPr>
        <w:t>和</w:t>
      </w:r>
      <w:r>
        <w:rPr>
          <w:spacing w:val="-2"/>
          <w:sz w:val="21"/>
        </w:rPr>
        <w:t>扩散，</w:t>
      </w:r>
      <w:r>
        <w:rPr>
          <w:spacing w:val="-2"/>
          <w:sz w:val="21"/>
        </w:rPr>
        <w:t>浸</w:t>
      </w:r>
      <w:r>
        <w:rPr>
          <w:spacing w:val="-2"/>
          <w:sz w:val="21"/>
        </w:rPr>
        <w:t>润</w:t>
      </w:r>
      <w:r>
        <w:rPr>
          <w:spacing w:val="-2"/>
          <w:sz w:val="21"/>
        </w:rPr>
        <w:t>和</w:t>
      </w:r>
      <w:r>
        <w:rPr>
          <w:spacing w:val="-2"/>
          <w:sz w:val="21"/>
        </w:rPr>
        <w:t>破</w:t>
      </w:r>
      <w:r>
        <w:rPr>
          <w:spacing w:val="-2"/>
          <w:sz w:val="21"/>
        </w:rPr>
        <w:t>坏</w:t>
      </w:r>
      <w:r>
        <w:rPr>
          <w:spacing w:val="-2"/>
          <w:sz w:val="21"/>
        </w:rPr>
        <w:t>周</w:t>
      </w:r>
      <w:r>
        <w:rPr>
          <w:spacing w:val="-2"/>
          <w:sz w:val="21"/>
        </w:rPr>
        <w:t>围</w:t>
      </w:r>
      <w:r>
        <w:rPr>
          <w:spacing w:val="-2"/>
          <w:sz w:val="21"/>
        </w:rPr>
        <w:t>正</w:t>
      </w:r>
      <w:r>
        <w:rPr>
          <w:spacing w:val="-2"/>
          <w:sz w:val="21"/>
        </w:rPr>
        <w:t>常</w:t>
      </w:r>
      <w:r>
        <w:rPr>
          <w:spacing w:val="-10"/>
          <w:sz w:val="21"/>
        </w:rPr>
        <w:t>组</w:t>
      </w:r>
    </w:p>
    <w:p>
      <w:pPr>
        <w:pStyle w:val="BodyText"/>
        <w:spacing w:line="199" w:lineRule="auto" w:before="12"/>
        <w:ind w:right="626"/>
      </w:pPr>
      <w:r>
        <w:rPr>
          <w:spacing w:val="-2"/>
        </w:rPr>
        <w:t>织，可以经血管、淋巴管和体腔扩散转移到身体其他部位，病灶经</w:t>
      </w:r>
      <w:r>
        <w:rPr>
          <w:rFonts w:ascii="微软雅黑" w:eastAsia="微软雅黑"/>
          <w:b/>
          <w:spacing w:val="-8"/>
        </w:rPr>
        <w:t>组织病理学检查</w:t>
      </w:r>
      <w:r>
        <w:rPr>
          <w:spacing w:val="-8"/>
        </w:rPr>
        <w:t>（</w:t>
      </w:r>
      <w:r>
        <w:rPr>
          <w:spacing w:val="-25"/>
        </w:rPr>
        <w:t>见 </w:t>
      </w:r>
      <w:r>
        <w:rPr>
          <w:rFonts w:ascii="Times New Roman" w:eastAsia="Times New Roman"/>
          <w:spacing w:val="13"/>
        </w:rPr>
        <w:t>14</w:t>
      </w:r>
      <w:r>
        <w:rPr>
          <w:rFonts w:ascii="Times New Roman" w:eastAsia="Times New Roman"/>
          <w:spacing w:val="10"/>
        </w:rPr>
        <w:t>.</w:t>
      </w:r>
      <w:r>
        <w:rPr>
          <w:rFonts w:ascii="Times New Roman" w:eastAsia="Times New Roman"/>
          <w:spacing w:val="13"/>
        </w:rPr>
        <w:t>1</w:t>
      </w:r>
      <w:r>
        <w:rPr>
          <w:rFonts w:ascii="Times New Roman" w:eastAsia="Times New Roman"/>
          <w:spacing w:val="10"/>
        </w:rPr>
        <w:t>9</w:t>
      </w:r>
      <w:r>
        <w:rPr>
          <w:spacing w:val="-129"/>
        </w:rPr>
        <w:t>）</w:t>
      </w:r>
      <w:r>
        <w:rPr>
          <w:spacing w:val="13"/>
        </w:rPr>
        <w:t>（</w:t>
      </w:r>
      <w:r>
        <w:rPr>
          <w:spacing w:val="-8"/>
        </w:rPr>
        <w:t>涵盖骨髓病理学检查）结果明确诊断，</w:t>
      </w:r>
      <w:r>
        <w:rPr>
          <w:spacing w:val="-4"/>
        </w:rPr>
        <w:t>临床诊断属于世界卫生组织（</w:t>
      </w:r>
      <w:r>
        <w:rPr>
          <w:rFonts w:ascii="Times New Roman" w:eastAsia="Times New Roman"/>
          <w:spacing w:val="-4"/>
        </w:rPr>
        <w:t>WHO</w:t>
      </w:r>
      <w:r>
        <w:rPr>
          <w:spacing w:val="-4"/>
        </w:rPr>
        <w:t>，</w:t>
      </w:r>
      <w:r>
        <w:rPr>
          <w:rFonts w:ascii="Times New Roman" w:eastAsia="Times New Roman"/>
          <w:spacing w:val="-4"/>
        </w:rPr>
        <w:t>World</w:t>
      </w:r>
      <w:r>
        <w:rPr>
          <w:rFonts w:ascii="Times New Roman" w:eastAsia="Times New Roman"/>
          <w:spacing w:val="-10"/>
        </w:rPr>
        <w:t> </w:t>
      </w:r>
      <w:r>
        <w:rPr>
          <w:rFonts w:ascii="Times New Roman" w:eastAsia="Times New Roman"/>
          <w:spacing w:val="-4"/>
        </w:rPr>
        <w:t>Health</w:t>
      </w:r>
      <w:r>
        <w:rPr>
          <w:rFonts w:ascii="Times New Roman" w:eastAsia="Times New Roman"/>
          <w:spacing w:val="-9"/>
        </w:rPr>
        <w:t> </w:t>
      </w:r>
      <w:r>
        <w:rPr>
          <w:rFonts w:ascii="Times New Roman" w:eastAsia="Times New Roman"/>
          <w:spacing w:val="9"/>
        </w:rPr>
        <w:t>O</w:t>
      </w:r>
      <w:r>
        <w:rPr>
          <w:rFonts w:ascii="Times New Roman" w:eastAsia="Times New Roman"/>
          <w:spacing w:val="3"/>
        </w:rPr>
        <w:t>r</w:t>
      </w:r>
      <w:r>
        <w:rPr>
          <w:rFonts w:ascii="Times New Roman" w:eastAsia="Times New Roman"/>
          <w:spacing w:val="9"/>
        </w:rPr>
        <w:t>gan</w:t>
      </w:r>
      <w:r>
        <w:rPr>
          <w:rFonts w:ascii="Times New Roman" w:eastAsia="Times New Roman"/>
          <w:spacing w:val="7"/>
        </w:rPr>
        <w:t>i</w:t>
      </w:r>
      <w:r>
        <w:rPr>
          <w:rFonts w:ascii="Times New Roman" w:eastAsia="Times New Roman"/>
          <w:spacing w:val="9"/>
        </w:rPr>
        <w:t>za</w:t>
      </w:r>
      <w:r>
        <w:rPr>
          <w:rFonts w:ascii="Times New Roman" w:eastAsia="Times New Roman"/>
          <w:spacing w:val="7"/>
        </w:rPr>
        <w:t>ti</w:t>
      </w:r>
      <w:r>
        <w:rPr>
          <w:rFonts w:ascii="Times New Roman" w:eastAsia="Times New Roman"/>
          <w:spacing w:val="9"/>
        </w:rPr>
        <w:t>on</w:t>
      </w:r>
      <w:r>
        <w:rPr>
          <w:spacing w:val="-148"/>
        </w:rPr>
        <w:t>）</w:t>
      </w:r>
      <w:r>
        <w:rPr>
          <w:spacing w:val="-4"/>
        </w:rPr>
        <w:t>《疾</w:t>
      </w:r>
    </w:p>
    <w:p>
      <w:pPr>
        <w:pStyle w:val="BodyText"/>
        <w:spacing w:before="13"/>
      </w:pPr>
      <w:r>
        <w:rPr/>
        <w:t>病和有关健康问题的国际统计分类》第十次修订版（</w:t>
      </w:r>
      <w:r>
        <w:rPr>
          <w:rFonts w:ascii="Times New Roman" w:eastAsia="Times New Roman"/>
          <w:b/>
        </w:rPr>
        <w:t>ICD-10</w:t>
      </w:r>
      <w:r>
        <w:rPr>
          <w:spacing w:val="-5"/>
        </w:rPr>
        <w:t>，见</w:t>
      </w:r>
    </w:p>
    <w:p>
      <w:pPr>
        <w:pStyle w:val="BodyText"/>
        <w:spacing w:before="2"/>
      </w:pPr>
      <w:r>
        <w:rPr>
          <w:rFonts w:ascii="Times New Roman" w:eastAsia="Times New Roman"/>
        </w:rPr>
        <w:t>14.20</w:t>
      </w:r>
      <w:r>
        <w:rPr/>
        <w:t>）</w:t>
      </w:r>
      <w:r>
        <w:rPr>
          <w:spacing w:val="10"/>
        </w:rPr>
        <w:t>的恶性肿瘤类别及《国际疾病分类肿瘤学专辑》第三版</w:t>
      </w:r>
    </w:p>
    <w:p>
      <w:pPr>
        <w:pStyle w:val="BodyText"/>
        <w:spacing w:line="242" w:lineRule="auto" w:before="4"/>
        <w:ind w:right="626"/>
      </w:pPr>
      <w:r>
        <w:rPr>
          <w:spacing w:val="-4"/>
        </w:rPr>
        <w:t>（</w:t>
      </w:r>
      <w:r>
        <w:rPr>
          <w:rFonts w:ascii="Times New Roman" w:hAnsi="Times New Roman" w:eastAsia="Times New Roman"/>
          <w:b/>
          <w:spacing w:val="-4"/>
        </w:rPr>
        <w:t>ICD-O-3</w:t>
      </w:r>
      <w:r>
        <w:rPr>
          <w:spacing w:val="-18"/>
        </w:rPr>
        <w:t>，见 </w:t>
      </w:r>
      <w:r>
        <w:rPr>
          <w:rFonts w:ascii="Times New Roman" w:hAnsi="Times New Roman" w:eastAsia="Times New Roman"/>
          <w:spacing w:val="-4"/>
        </w:rPr>
        <w:t>14.21</w:t>
      </w:r>
      <w:r>
        <w:rPr>
          <w:spacing w:val="-4"/>
        </w:rPr>
        <w:t>）</w:t>
      </w:r>
      <w:r>
        <w:rPr>
          <w:spacing w:val="-8"/>
        </w:rPr>
        <w:t>的肿瘤形态学编码属于 </w:t>
      </w:r>
      <w:r>
        <w:rPr>
          <w:rFonts w:ascii="Times New Roman" w:hAnsi="Times New Roman" w:eastAsia="Times New Roman"/>
          <w:spacing w:val="-4"/>
        </w:rPr>
        <w:t>3</w:t>
      </w:r>
      <w:r>
        <w:rPr>
          <w:spacing w:val="-4"/>
        </w:rPr>
        <w:t>、</w:t>
      </w:r>
      <w:r>
        <w:rPr>
          <w:rFonts w:ascii="Times New Roman" w:hAnsi="Times New Roman" w:eastAsia="Times New Roman"/>
          <w:spacing w:val="-4"/>
        </w:rPr>
        <w:t>6</w:t>
      </w:r>
      <w:r>
        <w:rPr>
          <w:spacing w:val="-4"/>
        </w:rPr>
        <w:t>、</w:t>
      </w:r>
      <w:r>
        <w:rPr>
          <w:rFonts w:ascii="Times New Roman" w:hAnsi="Times New Roman" w:eastAsia="Times New Roman"/>
          <w:spacing w:val="-4"/>
        </w:rPr>
        <w:t>9</w:t>
      </w:r>
      <w:r>
        <w:rPr>
          <w:spacing w:val="-4"/>
        </w:rPr>
        <w:t>（恶性肿瘤）</w:t>
      </w:r>
      <w:r>
        <w:rPr>
          <w:spacing w:val="-2"/>
        </w:rPr>
        <w:t>范畴，但不在“恶性肿瘤——重度”保障范围的疾病。且特指下列</w:t>
      </w:r>
      <w:r>
        <w:rPr>
          <w:spacing w:val="-2"/>
        </w:rPr>
        <w:t>六项之一：</w:t>
      </w:r>
    </w:p>
    <w:p>
      <w:pPr>
        <w:pStyle w:val="ListParagraph"/>
        <w:numPr>
          <w:ilvl w:val="2"/>
          <w:numId w:val="27"/>
        </w:numPr>
        <w:tabs>
          <w:tab w:pos="3682" w:val="left" w:leader="none"/>
        </w:tabs>
        <w:spacing w:line="297" w:lineRule="exact" w:before="0" w:after="0"/>
        <w:ind w:left="3682" w:right="0" w:hanging="529"/>
        <w:jc w:val="left"/>
        <w:rPr>
          <w:sz w:val="19"/>
        </w:rPr>
      </w:pPr>
      <w:r>
        <w:rPr>
          <w:rFonts w:ascii="Times New Roman" w:hAnsi="Times New Roman" w:eastAsia="Times New Roman"/>
          <w:b/>
          <w:spacing w:val="-2"/>
          <w:sz w:val="21"/>
        </w:rPr>
        <w:t>TNM</w:t>
      </w:r>
      <w:r>
        <w:rPr>
          <w:rFonts w:ascii="Times New Roman" w:hAnsi="Times New Roman" w:eastAsia="Times New Roman"/>
          <w:b/>
          <w:spacing w:val="5"/>
          <w:sz w:val="21"/>
        </w:rPr>
        <w:t> </w:t>
      </w:r>
      <w:r>
        <w:rPr>
          <w:rFonts w:ascii="微软雅黑" w:hAnsi="微软雅黑" w:eastAsia="微软雅黑"/>
          <w:b/>
          <w:spacing w:val="-2"/>
          <w:sz w:val="21"/>
        </w:rPr>
        <w:t>分期</w:t>
      </w:r>
      <w:r>
        <w:rPr>
          <w:spacing w:val="-2"/>
          <w:sz w:val="21"/>
        </w:rPr>
        <w:t>（</w:t>
      </w:r>
      <w:r>
        <w:rPr>
          <w:spacing w:val="-23"/>
          <w:sz w:val="21"/>
        </w:rPr>
        <w:t>见 </w:t>
      </w:r>
      <w:r>
        <w:rPr>
          <w:rFonts w:ascii="Times New Roman" w:hAnsi="Times New Roman" w:eastAsia="Times New Roman"/>
          <w:spacing w:val="-2"/>
          <w:sz w:val="21"/>
        </w:rPr>
        <w:t>14.22</w:t>
      </w:r>
      <w:r>
        <w:rPr>
          <w:spacing w:val="-2"/>
          <w:sz w:val="21"/>
        </w:rPr>
        <w:t>）</w:t>
      </w:r>
      <w:r>
        <w:rPr>
          <w:spacing w:val="-3"/>
          <w:sz w:val="21"/>
        </w:rPr>
        <w:t>为Ⅰ期的甲状腺癌；</w:t>
      </w:r>
    </w:p>
    <w:p>
      <w:pPr>
        <w:pStyle w:val="ListParagraph"/>
        <w:numPr>
          <w:ilvl w:val="2"/>
          <w:numId w:val="27"/>
        </w:numPr>
        <w:tabs>
          <w:tab w:pos="3682" w:val="left" w:leader="none"/>
        </w:tabs>
        <w:spacing w:line="246" w:lineRule="exact" w:before="0" w:after="0"/>
        <w:ind w:left="3682" w:right="0" w:hanging="529"/>
        <w:jc w:val="left"/>
        <w:rPr>
          <w:sz w:val="19"/>
        </w:rPr>
      </w:pPr>
      <w:r>
        <w:rPr>
          <w:rFonts w:ascii="Times New Roman" w:eastAsia="Times New Roman"/>
          <w:position w:val="2"/>
          <w:sz w:val="21"/>
        </w:rPr>
        <w:t>TNM</w:t>
      </w:r>
      <w:r>
        <w:rPr>
          <w:rFonts w:ascii="Times New Roman" w:eastAsia="Times New Roman"/>
          <w:spacing w:val="-14"/>
          <w:position w:val="2"/>
          <w:sz w:val="21"/>
        </w:rPr>
        <w:t> </w:t>
      </w:r>
      <w:r>
        <w:rPr>
          <w:spacing w:val="-14"/>
          <w:position w:val="2"/>
          <w:sz w:val="21"/>
        </w:rPr>
        <w:t>分期为 </w:t>
      </w:r>
      <w:r>
        <w:rPr>
          <w:rFonts w:ascii="Times New Roman" w:eastAsia="Times New Roman"/>
          <w:position w:val="2"/>
          <w:sz w:val="21"/>
        </w:rPr>
        <w:t>T</w:t>
      </w:r>
      <w:r>
        <w:rPr>
          <w:rFonts w:ascii="Times New Roman" w:eastAsia="Times New Roman"/>
          <w:sz w:val="14"/>
        </w:rPr>
        <w:t>1</w:t>
      </w:r>
      <w:r>
        <w:rPr>
          <w:rFonts w:ascii="Times New Roman" w:eastAsia="Times New Roman"/>
          <w:position w:val="2"/>
          <w:sz w:val="21"/>
        </w:rPr>
        <w:t>N</w:t>
      </w:r>
      <w:r>
        <w:rPr>
          <w:rFonts w:ascii="Times New Roman" w:eastAsia="Times New Roman"/>
          <w:sz w:val="14"/>
        </w:rPr>
        <w:t>0</w:t>
      </w:r>
      <w:r>
        <w:rPr>
          <w:rFonts w:ascii="Times New Roman" w:eastAsia="Times New Roman"/>
          <w:position w:val="2"/>
          <w:sz w:val="21"/>
        </w:rPr>
        <w:t>M</w:t>
      </w:r>
      <w:r>
        <w:rPr>
          <w:rFonts w:ascii="Times New Roman" w:eastAsia="Times New Roman"/>
          <w:sz w:val="14"/>
        </w:rPr>
        <w:t>0</w:t>
      </w:r>
      <w:r>
        <w:rPr>
          <w:rFonts w:ascii="Times New Roman" w:eastAsia="Times New Roman"/>
          <w:spacing w:val="-8"/>
          <w:sz w:val="14"/>
        </w:rPr>
        <w:t> </w:t>
      </w:r>
      <w:r>
        <w:rPr>
          <w:spacing w:val="-2"/>
          <w:position w:val="2"/>
          <w:sz w:val="21"/>
        </w:rPr>
        <w:t>期的前列腺癌；</w:t>
      </w:r>
    </w:p>
    <w:p>
      <w:pPr>
        <w:pStyle w:val="ListParagraph"/>
        <w:numPr>
          <w:ilvl w:val="2"/>
          <w:numId w:val="27"/>
        </w:numPr>
        <w:tabs>
          <w:tab w:pos="3682" w:val="left" w:leader="none"/>
        </w:tabs>
        <w:spacing w:line="240" w:lineRule="auto" w:before="3" w:after="0"/>
        <w:ind w:left="3682" w:right="0" w:hanging="529"/>
        <w:jc w:val="left"/>
        <w:rPr>
          <w:sz w:val="19"/>
        </w:rPr>
      </w:pPr>
      <w:r>
        <w:rPr>
          <w:spacing w:val="-3"/>
          <w:sz w:val="21"/>
        </w:rPr>
        <w:t>黑色素瘤以外的未发生淋巴结和远处转移的皮肤恶性肿瘤；</w:t>
      </w:r>
    </w:p>
    <w:p>
      <w:pPr>
        <w:pStyle w:val="ListParagraph"/>
        <w:numPr>
          <w:ilvl w:val="2"/>
          <w:numId w:val="27"/>
        </w:numPr>
        <w:tabs>
          <w:tab w:pos="3682" w:val="left" w:leader="none"/>
        </w:tabs>
        <w:spacing w:line="240" w:lineRule="auto" w:before="5" w:after="0"/>
        <w:ind w:left="3682" w:right="0" w:hanging="529"/>
        <w:jc w:val="left"/>
        <w:rPr>
          <w:sz w:val="19"/>
        </w:rPr>
      </w:pPr>
      <w:r>
        <w:rPr>
          <w:spacing w:val="-14"/>
          <w:sz w:val="21"/>
        </w:rPr>
        <w:t>相当于 </w:t>
      </w:r>
      <w:r>
        <w:rPr>
          <w:rFonts w:ascii="Times New Roman" w:eastAsia="Times New Roman"/>
          <w:sz w:val="21"/>
        </w:rPr>
        <w:t>Binet</w:t>
      </w:r>
      <w:r>
        <w:rPr>
          <w:rFonts w:ascii="Times New Roman" w:eastAsia="Times New Roman"/>
          <w:spacing w:val="-14"/>
          <w:sz w:val="21"/>
        </w:rPr>
        <w:t> </w:t>
      </w:r>
      <w:r>
        <w:rPr>
          <w:spacing w:val="11"/>
          <w:sz w:val="21"/>
        </w:rPr>
        <w:t>分期方案</w:t>
      </w:r>
      <w:r>
        <w:rPr>
          <w:rFonts w:ascii="Times New Roman" w:eastAsia="Times New Roman"/>
          <w:sz w:val="21"/>
        </w:rPr>
        <w:t>A</w:t>
      </w:r>
      <w:r>
        <w:rPr>
          <w:rFonts w:ascii="Times New Roman" w:eastAsia="Times New Roman"/>
          <w:spacing w:val="-12"/>
          <w:sz w:val="21"/>
        </w:rPr>
        <w:t> </w:t>
      </w:r>
      <w:r>
        <w:rPr>
          <w:spacing w:val="-1"/>
          <w:sz w:val="21"/>
        </w:rPr>
        <w:t>期程度的慢性淋巴细胞白血病；</w:t>
      </w:r>
    </w:p>
    <w:p>
      <w:pPr>
        <w:pStyle w:val="ListParagraph"/>
        <w:numPr>
          <w:ilvl w:val="2"/>
          <w:numId w:val="27"/>
        </w:numPr>
        <w:tabs>
          <w:tab w:pos="3682" w:val="left" w:leader="none"/>
        </w:tabs>
        <w:spacing w:line="240" w:lineRule="auto" w:before="3" w:after="0"/>
        <w:ind w:left="3682" w:right="0" w:hanging="529"/>
        <w:jc w:val="left"/>
        <w:rPr>
          <w:sz w:val="19"/>
        </w:rPr>
      </w:pPr>
      <w:r>
        <w:rPr>
          <w:spacing w:val="12"/>
          <w:sz w:val="21"/>
        </w:rPr>
        <w:t>相当于</w:t>
      </w:r>
      <w:r>
        <w:rPr>
          <w:rFonts w:ascii="Times New Roman" w:hAnsi="Times New Roman" w:eastAsia="Times New Roman"/>
          <w:sz w:val="21"/>
        </w:rPr>
        <w:t>Ann</w:t>
      </w:r>
      <w:r>
        <w:rPr>
          <w:rFonts w:ascii="Times New Roman" w:hAnsi="Times New Roman" w:eastAsia="Times New Roman"/>
          <w:spacing w:val="-17"/>
          <w:sz w:val="21"/>
        </w:rPr>
        <w:t> </w:t>
      </w:r>
      <w:r>
        <w:rPr>
          <w:rFonts w:ascii="Times New Roman" w:hAnsi="Times New Roman" w:eastAsia="Times New Roman"/>
          <w:sz w:val="21"/>
        </w:rPr>
        <w:t>Arbor</w:t>
      </w:r>
      <w:r>
        <w:rPr>
          <w:rFonts w:ascii="Times New Roman" w:hAnsi="Times New Roman" w:eastAsia="Times New Roman"/>
          <w:spacing w:val="-13"/>
          <w:sz w:val="21"/>
        </w:rPr>
        <w:t> </w:t>
      </w:r>
      <w:r>
        <w:rPr>
          <w:spacing w:val="-1"/>
          <w:sz w:val="21"/>
        </w:rPr>
        <w:t>分期方案Ⅰ期程度的何杰金氏病；</w:t>
      </w:r>
    </w:p>
    <w:p>
      <w:pPr>
        <w:pStyle w:val="ListParagraph"/>
        <w:numPr>
          <w:ilvl w:val="2"/>
          <w:numId w:val="27"/>
        </w:numPr>
        <w:tabs>
          <w:tab w:pos="3682" w:val="left" w:leader="none"/>
        </w:tabs>
        <w:spacing w:line="240" w:lineRule="auto" w:before="4" w:after="0"/>
        <w:ind w:left="3682" w:right="0" w:hanging="529"/>
        <w:jc w:val="left"/>
        <w:rPr>
          <w:sz w:val="19"/>
        </w:rPr>
      </w:pPr>
      <w:r>
        <w:rPr>
          <w:spacing w:val="-7"/>
          <w:sz w:val="21"/>
        </w:rPr>
        <w:t>未发生淋巴结和远处转移且 </w:t>
      </w:r>
      <w:r>
        <w:rPr>
          <w:rFonts w:ascii="Times New Roman" w:eastAsia="Times New Roman"/>
          <w:spacing w:val="-2"/>
          <w:sz w:val="21"/>
        </w:rPr>
        <w:t>WHO</w:t>
      </w:r>
      <w:r>
        <w:rPr>
          <w:rFonts w:ascii="Times New Roman" w:eastAsia="Times New Roman"/>
          <w:spacing w:val="2"/>
          <w:sz w:val="21"/>
        </w:rPr>
        <w:t> </w:t>
      </w:r>
      <w:r>
        <w:rPr>
          <w:spacing w:val="-15"/>
          <w:sz w:val="21"/>
        </w:rPr>
        <w:t>分级为 </w:t>
      </w:r>
      <w:r>
        <w:rPr>
          <w:rFonts w:ascii="Times New Roman" w:eastAsia="Times New Roman"/>
          <w:spacing w:val="-2"/>
          <w:sz w:val="21"/>
        </w:rPr>
        <w:t>G1</w:t>
      </w:r>
      <w:r>
        <w:rPr>
          <w:rFonts w:ascii="Times New Roman" w:eastAsia="Times New Roman"/>
          <w:spacing w:val="2"/>
          <w:sz w:val="21"/>
        </w:rPr>
        <w:t> </w:t>
      </w:r>
      <w:r>
        <w:rPr>
          <w:spacing w:val="-2"/>
          <w:sz w:val="21"/>
        </w:rPr>
        <w:t>级别（</w:t>
      </w:r>
      <w:r>
        <w:rPr>
          <w:spacing w:val="-4"/>
          <w:sz w:val="21"/>
        </w:rPr>
        <w:t>核分裂像</w:t>
      </w:r>
    </w:p>
    <w:p>
      <w:pPr>
        <w:pStyle w:val="BodyText"/>
        <w:spacing w:before="2"/>
        <w:ind w:left="3678"/>
      </w:pPr>
      <w:r>
        <w:rPr>
          <w:rFonts w:ascii="Times New Roman" w:hAnsi="Times New Roman" w:eastAsia="Times New Roman"/>
          <w:spacing w:val="-2"/>
        </w:rPr>
        <w:t>&lt;10/50</w:t>
      </w:r>
      <w:r>
        <w:rPr>
          <w:rFonts w:ascii="Times New Roman" w:hAnsi="Times New Roman" w:eastAsia="Times New Roman"/>
          <w:spacing w:val="5"/>
        </w:rPr>
        <w:t> </w:t>
      </w:r>
      <w:r>
        <w:rPr>
          <w:rFonts w:ascii="Times New Roman" w:hAnsi="Times New Roman" w:eastAsia="Times New Roman"/>
          <w:spacing w:val="-2"/>
        </w:rPr>
        <w:t>HPF</w:t>
      </w:r>
      <w:r>
        <w:rPr>
          <w:rFonts w:ascii="Times New Roman" w:hAnsi="Times New Roman" w:eastAsia="Times New Roman"/>
          <w:spacing w:val="6"/>
        </w:rPr>
        <w:t> </w:t>
      </w:r>
      <w:r>
        <w:rPr>
          <w:spacing w:val="-22"/>
        </w:rPr>
        <w:t>和 </w:t>
      </w:r>
      <w:r>
        <w:rPr>
          <w:rFonts w:ascii="Times New Roman" w:hAnsi="Times New Roman" w:eastAsia="Times New Roman"/>
          <w:spacing w:val="-2"/>
        </w:rPr>
        <w:t>ki-67</w:t>
      </w:r>
      <w:r>
        <w:rPr>
          <w:spacing w:val="-2"/>
        </w:rPr>
        <w:t>≤</w:t>
      </w:r>
      <w:r>
        <w:rPr>
          <w:rFonts w:ascii="Times New Roman" w:hAnsi="Times New Roman" w:eastAsia="Times New Roman"/>
          <w:spacing w:val="-2"/>
        </w:rPr>
        <w:t>2%</w:t>
      </w:r>
      <w:r>
        <w:rPr>
          <w:spacing w:val="-2"/>
        </w:rPr>
        <w:t>）</w:t>
      </w:r>
      <w:r>
        <w:rPr>
          <w:spacing w:val="-3"/>
        </w:rPr>
        <w:t>的神经内分泌肿瘤。</w:t>
      </w:r>
    </w:p>
    <w:p>
      <w:pPr>
        <w:spacing w:line="330" w:lineRule="exact" w:before="178"/>
        <w:ind w:left="3153"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Times New Roman" w:hAnsi="Times New Roman" w:eastAsia="Times New Roman"/>
          <w:b/>
          <w:w w:val="95"/>
          <w:sz w:val="21"/>
        </w:rPr>
        <w:t>“</w:t>
      </w: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轻</w:t>
      </w:r>
      <w:r>
        <w:rPr>
          <w:rFonts w:ascii="微软雅黑" w:hAnsi="微软雅黑" w:eastAsia="微软雅黑"/>
          <w:b/>
          <w:w w:val="95"/>
          <w:sz w:val="21"/>
        </w:rPr>
        <w:t>度</w:t>
      </w:r>
      <w:r>
        <w:rPr>
          <w:rFonts w:ascii="Times New Roman" w:hAnsi="Times New Roman" w:eastAsia="Times New Roman"/>
          <w:b/>
          <w:w w:val="95"/>
          <w:sz w:val="21"/>
        </w:rPr>
        <w:t>”</w:t>
      </w:r>
      <w:r>
        <w:rPr>
          <w:rFonts w:ascii="微软雅黑" w:hAnsi="微软雅黑" w:eastAsia="微软雅黑"/>
          <w:b/>
          <w:w w:val="95"/>
          <w:sz w:val="21"/>
        </w:rPr>
        <w:t>，</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保</w:t>
      </w:r>
      <w:r>
        <w:rPr>
          <w:rFonts w:ascii="微软雅黑" w:hAnsi="微软雅黑" w:eastAsia="微软雅黑"/>
          <w:b/>
          <w:w w:val="95"/>
          <w:sz w:val="21"/>
        </w:rPr>
        <w:t>障</w:t>
      </w:r>
      <w:r>
        <w:rPr>
          <w:rFonts w:ascii="微软雅黑" w:hAnsi="微软雅黑" w:eastAsia="微软雅黑"/>
          <w:b/>
          <w:w w:val="95"/>
          <w:sz w:val="21"/>
        </w:rPr>
        <w:t>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spacing w:line="272" w:lineRule="exact" w:before="0"/>
        <w:ind w:left="3153" w:right="0" w:firstLine="0"/>
        <w:jc w:val="left"/>
        <w:rPr>
          <w:rFonts w:ascii="微软雅黑" w:eastAsia="微软雅黑"/>
          <w:b/>
          <w:sz w:val="21"/>
        </w:rPr>
      </w:pPr>
      <w:r>
        <w:rPr>
          <w:rFonts w:ascii="Times New Roman" w:eastAsia="Times New Roman"/>
          <w:b/>
          <w:spacing w:val="-4"/>
          <w:sz w:val="21"/>
        </w:rPr>
        <w:t>ICD-O-3</w:t>
      </w:r>
      <w:r>
        <w:rPr>
          <w:rFonts w:ascii="Times New Roman" w:eastAsia="Times New Roman"/>
          <w:b/>
          <w:spacing w:val="-11"/>
          <w:sz w:val="21"/>
        </w:rPr>
        <w:t> </w:t>
      </w:r>
      <w:r>
        <w:rPr>
          <w:rFonts w:ascii="微软雅黑" w:eastAsia="微软雅黑"/>
          <w:b/>
          <w:spacing w:val="-5"/>
          <w:sz w:val="21"/>
        </w:rPr>
        <w:t>肿瘤形态学编码属于 </w:t>
      </w:r>
      <w:r>
        <w:rPr>
          <w:rFonts w:ascii="Times New Roman" w:eastAsia="Times New Roman"/>
          <w:b/>
          <w:spacing w:val="-4"/>
          <w:sz w:val="21"/>
        </w:rPr>
        <w:t>0</w:t>
      </w:r>
      <w:r>
        <w:rPr>
          <w:rFonts w:ascii="微软雅黑" w:eastAsia="微软雅黑"/>
          <w:b/>
          <w:spacing w:val="-4"/>
          <w:sz w:val="21"/>
        </w:rPr>
        <w:t>（良性肿瘤</w:t>
      </w:r>
      <w:r>
        <w:rPr>
          <w:rFonts w:ascii="微软雅黑" w:eastAsia="微软雅黑"/>
          <w:b/>
          <w:spacing w:val="-106"/>
          <w:sz w:val="21"/>
        </w:rPr>
        <w:t>）</w:t>
      </w:r>
      <w:r>
        <w:rPr>
          <w:rFonts w:ascii="微软雅黑" w:eastAsia="微软雅黑"/>
          <w:b/>
          <w:spacing w:val="-60"/>
          <w:sz w:val="21"/>
        </w:rPr>
        <w:t>、</w:t>
      </w:r>
      <w:r>
        <w:rPr>
          <w:rFonts w:ascii="Times New Roman" w:eastAsia="Times New Roman"/>
          <w:b/>
          <w:spacing w:val="-4"/>
          <w:sz w:val="21"/>
        </w:rPr>
        <w:t>1</w:t>
      </w:r>
      <w:r>
        <w:rPr>
          <w:rFonts w:ascii="微软雅黑" w:eastAsia="微软雅黑"/>
          <w:b/>
          <w:spacing w:val="-4"/>
          <w:sz w:val="21"/>
        </w:rPr>
        <w:t>（动态未定性肿瘤</w:t>
      </w:r>
      <w:r>
        <w:rPr>
          <w:rFonts w:ascii="微软雅黑" w:eastAsia="微软雅黑"/>
          <w:b/>
          <w:spacing w:val="-106"/>
          <w:sz w:val="21"/>
        </w:rPr>
        <w:t>）</w:t>
      </w:r>
      <w:r>
        <w:rPr>
          <w:rFonts w:ascii="微软雅黑" w:eastAsia="微软雅黑"/>
          <w:b/>
          <w:spacing w:val="-10"/>
          <w:sz w:val="21"/>
        </w:rPr>
        <w:t>、</w:t>
      </w:r>
    </w:p>
    <w:p>
      <w:pPr>
        <w:spacing w:line="272" w:lineRule="exact" w:before="0"/>
        <w:ind w:left="3153" w:right="0" w:firstLine="0"/>
        <w:jc w:val="left"/>
        <w:rPr>
          <w:rFonts w:ascii="微软雅黑" w:eastAsia="微软雅黑"/>
          <w:b/>
          <w:sz w:val="21"/>
        </w:rPr>
      </w:pPr>
      <w:r>
        <w:rPr>
          <w:rFonts w:ascii="Times New Roman" w:eastAsia="Times New Roman"/>
          <w:b/>
          <w:spacing w:val="-2"/>
          <w:sz w:val="21"/>
        </w:rPr>
        <w:t>2</w:t>
      </w:r>
      <w:r>
        <w:rPr>
          <w:rFonts w:ascii="微软雅黑" w:eastAsia="微软雅黑"/>
          <w:b/>
          <w:spacing w:val="-2"/>
          <w:sz w:val="21"/>
        </w:rPr>
        <w:t>（原位癌和非侵袭性癌）</w:t>
      </w:r>
      <w:r>
        <w:rPr>
          <w:rFonts w:ascii="微软雅黑" w:eastAsia="微软雅黑"/>
          <w:b/>
          <w:spacing w:val="-4"/>
          <w:sz w:val="21"/>
        </w:rPr>
        <w:t>范畴的疾病，如：</w:t>
      </w:r>
    </w:p>
    <w:p>
      <w:pPr>
        <w:pStyle w:val="ListParagraph"/>
        <w:numPr>
          <w:ilvl w:val="0"/>
          <w:numId w:val="28"/>
        </w:numPr>
        <w:tabs>
          <w:tab w:pos="3313" w:val="left" w:leader="none"/>
        </w:tabs>
        <w:spacing w:line="168" w:lineRule="auto" w:before="26" w:after="0"/>
        <w:ind w:left="3311" w:right="736" w:hanging="159"/>
        <w:jc w:val="left"/>
        <w:rPr>
          <w:rFonts w:ascii="微软雅黑" w:eastAsia="微软雅黑"/>
          <w:b/>
          <w:sz w:val="21"/>
        </w:rPr>
      </w:pPr>
      <w:r>
        <w:rPr>
          <w:rFonts w:ascii="微软雅黑" w:eastAsia="微软雅黑"/>
          <w:b/>
          <w:spacing w:val="-2"/>
          <w:sz w:val="21"/>
        </w:rPr>
        <w:t>原位癌，癌前病变，非浸润性癌，非侵袭性癌，肿瘤细胞未侵犯</w:t>
      </w:r>
      <w:r>
        <w:rPr>
          <w:rFonts w:ascii="微软雅黑" w:eastAsia="微软雅黑"/>
          <w:b/>
          <w:spacing w:val="-2"/>
          <w:sz w:val="21"/>
        </w:rPr>
        <w:t>基底层，上皮内瘤变，细胞不典型性增生等；</w:t>
      </w:r>
    </w:p>
    <w:p>
      <w:pPr>
        <w:pStyle w:val="ListParagraph"/>
        <w:numPr>
          <w:ilvl w:val="0"/>
          <w:numId w:val="28"/>
        </w:numPr>
        <w:tabs>
          <w:tab w:pos="3325" w:val="left" w:leader="none"/>
        </w:tabs>
        <w:spacing w:line="168" w:lineRule="auto" w:before="3" w:after="0"/>
        <w:ind w:left="3321" w:right="736" w:hanging="168"/>
        <w:jc w:val="left"/>
        <w:rPr>
          <w:rFonts w:ascii="微软雅黑" w:eastAsia="微软雅黑"/>
          <w:b/>
          <w:sz w:val="21"/>
        </w:rPr>
      </w:pPr>
      <w:r>
        <w:rPr>
          <w:rFonts w:ascii="微软雅黑" w:eastAsia="微软雅黑"/>
          <w:b/>
          <w:spacing w:val="-2"/>
          <w:sz w:val="21"/>
        </w:rPr>
        <w:t>交界性肿瘤，交界恶性肿瘤，肿瘤低度恶性潜能，潜在低度恶性</w:t>
      </w:r>
      <w:r>
        <w:rPr>
          <w:rFonts w:ascii="微软雅黑" w:eastAsia="微软雅黑"/>
          <w:b/>
          <w:spacing w:val="-4"/>
          <w:sz w:val="21"/>
        </w:rPr>
        <w:t>肿瘤等。</w:t>
      </w:r>
    </w:p>
    <w:p>
      <w:pPr>
        <w:pStyle w:val="BodyText"/>
        <w:spacing w:before="6"/>
        <w:ind w:left="0"/>
        <w:rPr>
          <w:rFonts w:ascii="微软雅黑"/>
          <w:b/>
          <w:sz w:val="10"/>
        </w:rPr>
      </w:pPr>
    </w:p>
    <w:p>
      <w:pPr>
        <w:pStyle w:val="ListParagraph"/>
        <w:numPr>
          <w:ilvl w:val="1"/>
          <w:numId w:val="27"/>
        </w:numPr>
        <w:tabs>
          <w:tab w:pos="849" w:val="left" w:leader="none"/>
          <w:tab w:pos="1072" w:val="left" w:leader="none"/>
          <w:tab w:pos="2930" w:val="left" w:leader="none"/>
        </w:tabs>
        <w:spacing w:line="364" w:lineRule="exact" w:before="1" w:after="0"/>
        <w:ind w:left="1071" w:right="729" w:hanging="1072"/>
        <w:jc w:val="right"/>
        <w:rPr>
          <w:sz w:val="21"/>
        </w:rPr>
      </w:pPr>
      <w:r>
        <w:rPr>
          <w:rFonts w:ascii="微软雅黑" w:eastAsia="微软雅黑"/>
          <w:b/>
          <w:sz w:val="21"/>
        </w:rPr>
        <w:t>较轻急性心肌梗</w:t>
      </w:r>
      <w:r>
        <w:rPr>
          <w:rFonts w:ascii="微软雅黑" w:eastAsia="微软雅黑"/>
          <w:b/>
          <w:spacing w:val="-10"/>
          <w:sz w:val="21"/>
        </w:rPr>
        <w:t>死</w:t>
      </w:r>
      <w:r>
        <w:rPr>
          <w:rFonts w:ascii="微软雅黑" w:eastAsia="微软雅黑"/>
          <w:b/>
          <w:sz w:val="21"/>
        </w:rPr>
        <w:tab/>
      </w:r>
      <w:r>
        <w:rPr>
          <w:spacing w:val="-2"/>
          <w:sz w:val="21"/>
        </w:rPr>
        <w:t>急</w:t>
      </w:r>
      <w:r>
        <w:rPr>
          <w:spacing w:val="-2"/>
          <w:sz w:val="21"/>
        </w:rPr>
        <w:t>性</w:t>
      </w:r>
      <w:r>
        <w:rPr>
          <w:spacing w:val="-2"/>
          <w:sz w:val="21"/>
        </w:rPr>
        <w:t>心</w:t>
      </w:r>
      <w:r>
        <w:rPr>
          <w:spacing w:val="-2"/>
          <w:sz w:val="21"/>
        </w:rPr>
        <w:t>肌</w:t>
      </w:r>
      <w:r>
        <w:rPr>
          <w:spacing w:val="-2"/>
          <w:sz w:val="21"/>
        </w:rPr>
        <w:t>梗</w:t>
      </w:r>
      <w:r>
        <w:rPr>
          <w:spacing w:val="-2"/>
          <w:sz w:val="21"/>
        </w:rPr>
        <w:t>死指由</w:t>
      </w:r>
      <w:r>
        <w:rPr>
          <w:spacing w:val="-2"/>
          <w:sz w:val="21"/>
        </w:rPr>
        <w:t>于</w:t>
      </w:r>
      <w:r>
        <w:rPr>
          <w:spacing w:val="-2"/>
          <w:sz w:val="21"/>
        </w:rPr>
        <w:t>冠</w:t>
      </w:r>
      <w:r>
        <w:rPr>
          <w:spacing w:val="-2"/>
          <w:sz w:val="21"/>
        </w:rPr>
        <w:t>状</w:t>
      </w:r>
      <w:r>
        <w:rPr>
          <w:spacing w:val="-2"/>
          <w:sz w:val="21"/>
        </w:rPr>
        <w:t>动</w:t>
      </w:r>
      <w:r>
        <w:rPr>
          <w:spacing w:val="-2"/>
          <w:sz w:val="21"/>
        </w:rPr>
        <w:t>脉</w:t>
      </w:r>
      <w:r>
        <w:rPr>
          <w:spacing w:val="-2"/>
          <w:sz w:val="21"/>
        </w:rPr>
        <w:t>闭</w:t>
      </w:r>
      <w:r>
        <w:rPr>
          <w:spacing w:val="-2"/>
          <w:sz w:val="21"/>
        </w:rPr>
        <w:t>塞</w:t>
      </w:r>
      <w:r>
        <w:rPr>
          <w:spacing w:val="-2"/>
          <w:sz w:val="21"/>
        </w:rPr>
        <w:t>或</w:t>
      </w:r>
      <w:r>
        <w:rPr>
          <w:spacing w:val="-2"/>
          <w:sz w:val="21"/>
        </w:rPr>
        <w:t>梗阻引</w:t>
      </w:r>
      <w:r>
        <w:rPr>
          <w:spacing w:val="-2"/>
          <w:sz w:val="21"/>
        </w:rPr>
        <w:t>起</w:t>
      </w:r>
      <w:r>
        <w:rPr>
          <w:spacing w:val="-2"/>
          <w:sz w:val="21"/>
        </w:rPr>
        <w:t>部</w:t>
      </w:r>
      <w:r>
        <w:rPr>
          <w:spacing w:val="-2"/>
          <w:sz w:val="21"/>
        </w:rPr>
        <w:t>分</w:t>
      </w:r>
      <w:r>
        <w:rPr>
          <w:spacing w:val="-2"/>
          <w:sz w:val="21"/>
        </w:rPr>
        <w:t>心</w:t>
      </w:r>
      <w:r>
        <w:rPr>
          <w:spacing w:val="-2"/>
          <w:sz w:val="21"/>
        </w:rPr>
        <w:t>肌</w:t>
      </w:r>
      <w:r>
        <w:rPr>
          <w:spacing w:val="-2"/>
          <w:sz w:val="21"/>
        </w:rPr>
        <w:t>严</w:t>
      </w:r>
      <w:r>
        <w:rPr>
          <w:spacing w:val="-2"/>
          <w:sz w:val="21"/>
        </w:rPr>
        <w:t>重</w:t>
      </w:r>
      <w:r>
        <w:rPr>
          <w:spacing w:val="-2"/>
          <w:sz w:val="21"/>
        </w:rPr>
        <w:t>的</w:t>
      </w:r>
      <w:r>
        <w:rPr>
          <w:spacing w:val="-2"/>
          <w:sz w:val="21"/>
        </w:rPr>
        <w:t>持</w:t>
      </w:r>
      <w:r>
        <w:rPr>
          <w:spacing w:val="-10"/>
          <w:sz w:val="21"/>
        </w:rPr>
        <w:t>久</w:t>
      </w:r>
    </w:p>
    <w:p>
      <w:pPr>
        <w:pStyle w:val="BodyText"/>
        <w:spacing w:line="246" w:lineRule="exact"/>
        <w:ind w:left="0" w:right="729"/>
        <w:jc w:val="right"/>
      </w:pPr>
      <w:r>
        <w:rPr>
          <w:spacing w:val="-3"/>
        </w:rPr>
        <w:t>性缺血造成急性心肌坏死。急性心肌梗死的诊断必须依据国际国内</w:t>
      </w:r>
    </w:p>
    <w:p>
      <w:pPr>
        <w:pStyle w:val="BodyText"/>
        <w:spacing w:line="242" w:lineRule="auto" w:before="2"/>
        <w:ind w:right="725"/>
        <w:jc w:val="both"/>
      </w:pPr>
      <w:r>
        <w:rPr>
          <w:w w:val="100"/>
        </w:rPr>
        <w:t>诊断标准，符合（</w:t>
      </w:r>
      <w:r>
        <w:rPr>
          <w:rFonts w:ascii="Times New Roman" w:eastAsia="Times New Roman"/>
          <w:spacing w:val="2"/>
          <w:w w:val="100"/>
        </w:rPr>
        <w:t>1</w:t>
      </w:r>
      <w:r>
        <w:rPr>
          <w:w w:val="100"/>
        </w:rPr>
        <w:t>）检测到肌酸激酶同工酶</w:t>
      </w:r>
      <w:r>
        <w:rPr>
          <w:spacing w:val="3"/>
          <w:w w:val="100"/>
        </w:rPr>
        <w:t>（</w:t>
      </w:r>
      <w:r>
        <w:rPr>
          <w:rFonts w:ascii="Times New Roman" w:eastAsia="Times New Roman"/>
          <w:w w:val="100"/>
        </w:rPr>
        <w:t>C</w:t>
      </w:r>
      <w:r>
        <w:rPr>
          <w:rFonts w:ascii="Times New Roman" w:eastAsia="Times New Roman"/>
          <w:spacing w:val="-4"/>
          <w:w w:val="100"/>
        </w:rPr>
        <w:t>K</w:t>
      </w:r>
      <w:r>
        <w:rPr>
          <w:rFonts w:ascii="Times New Roman" w:eastAsia="Times New Roman"/>
          <w:spacing w:val="-1"/>
          <w:w w:val="100"/>
        </w:rPr>
        <w:t>-M</w:t>
      </w:r>
      <w:r>
        <w:rPr>
          <w:rFonts w:ascii="Times New Roman" w:eastAsia="Times New Roman"/>
          <w:w w:val="100"/>
        </w:rPr>
        <w:t>B</w:t>
      </w:r>
      <w:r>
        <w:rPr>
          <w:spacing w:val="2"/>
          <w:w w:val="100"/>
        </w:rPr>
        <w:t>）</w:t>
      </w:r>
      <w:r>
        <w:rPr>
          <w:w w:val="100"/>
        </w:rPr>
        <w:t>或肌钙蛋白</w:t>
      </w:r>
      <w:r>
        <w:rPr>
          <w:spacing w:val="2"/>
          <w:w w:val="100"/>
        </w:rPr>
        <w:t>（</w:t>
      </w:r>
      <w:r>
        <w:rPr>
          <w:rFonts w:ascii="Times New Roman" w:eastAsia="Times New Roman"/>
          <w:w w:val="100"/>
        </w:rPr>
        <w:t>c</w:t>
      </w:r>
      <w:r>
        <w:rPr>
          <w:rFonts w:ascii="Times New Roman" w:eastAsia="Times New Roman"/>
          <w:spacing w:val="-3"/>
          <w:w w:val="100"/>
        </w:rPr>
        <w:t>T</w:t>
      </w:r>
      <w:r>
        <w:rPr>
          <w:rFonts w:ascii="Times New Roman" w:eastAsia="Times New Roman"/>
          <w:w w:val="100"/>
        </w:rPr>
        <w:t>n</w:t>
      </w:r>
      <w:r>
        <w:rPr>
          <w:w w:val="100"/>
        </w:rPr>
        <w:t>）升高和</w:t>
      </w:r>
      <w:r>
        <w:rPr>
          <w:rFonts w:ascii="Times New Roman" w:eastAsia="Times New Roman"/>
          <w:spacing w:val="-2"/>
          <w:w w:val="100"/>
        </w:rPr>
        <w:t>/</w:t>
      </w:r>
      <w:r>
        <w:rPr>
          <w:w w:val="100"/>
        </w:rPr>
        <w:t>或降低的动态变化，至少一次达到或超过心肌梗</w:t>
      </w:r>
      <w:r>
        <w:rPr>
          <w:spacing w:val="-14"/>
          <w:w w:val="100"/>
        </w:rPr>
        <w:t>死的临床诊断标准；</w:t>
      </w:r>
      <w:r>
        <w:rPr>
          <w:w w:val="100"/>
        </w:rPr>
        <w:t>（</w:t>
      </w:r>
      <w:r>
        <w:rPr>
          <w:rFonts w:ascii="Times New Roman" w:eastAsia="Times New Roman"/>
          <w:w w:val="100"/>
        </w:rPr>
        <w:t>2</w:t>
      </w:r>
      <w:r>
        <w:rPr>
          <w:spacing w:val="-3"/>
          <w:w w:val="100"/>
        </w:rPr>
        <w:t>）同时存在下列之一的证据，包括：缺血性</w:t>
      </w:r>
      <w:r>
        <w:rPr>
          <w:spacing w:val="-4"/>
          <w:w w:val="100"/>
        </w:rPr>
        <w:t>胸痛症状、新发生的缺血性心电图改变、新生成的病理性</w:t>
      </w:r>
      <w:r>
        <w:rPr>
          <w:rFonts w:ascii="Times New Roman" w:eastAsia="Times New Roman"/>
          <w:w w:val="100"/>
        </w:rPr>
        <w:t>Q</w:t>
      </w:r>
      <w:r>
        <w:rPr>
          <w:rFonts w:ascii="Times New Roman" w:eastAsia="Times New Roman"/>
          <w:spacing w:val="1"/>
        </w:rPr>
        <w:t> </w:t>
      </w:r>
      <w:r>
        <w:rPr>
          <w:spacing w:val="-6"/>
          <w:w w:val="100"/>
        </w:rPr>
        <w:t>波、影</w:t>
      </w:r>
      <w:r>
        <w:rPr>
          <w:spacing w:val="4"/>
          <w:w w:val="100"/>
        </w:rPr>
        <w:t>像学证据显示有新出现的心肌活性丧失或新出现局部室壁运动异</w:t>
      </w:r>
      <w:r>
        <w:rPr>
          <w:spacing w:val="-3"/>
          <w:w w:val="100"/>
        </w:rPr>
        <w:t>常、冠脉造影证实存在冠状动脉血栓。</w:t>
      </w:r>
    </w:p>
    <w:p>
      <w:pPr>
        <w:pStyle w:val="BodyText"/>
        <w:spacing w:before="3"/>
        <w:ind w:left="0"/>
        <w:rPr>
          <w:sz w:val="19"/>
        </w:rPr>
      </w:pPr>
    </w:p>
    <w:p>
      <w:pPr>
        <w:pStyle w:val="BodyText"/>
        <w:spacing w:line="242" w:lineRule="auto"/>
        <w:ind w:right="729"/>
      </w:pPr>
      <w:r>
        <w:rPr>
          <w:spacing w:val="-2"/>
        </w:rPr>
        <w:t>较轻急性心肌梗死指依照上述标准被明确诊断为急性心肌梗死，但</w:t>
      </w:r>
      <w:r>
        <w:rPr>
          <w:spacing w:val="-2"/>
        </w:rPr>
        <w:t>未达到“较重急性心肌梗死”的给付标准。</w:t>
      </w:r>
    </w:p>
    <w:p>
      <w:pPr>
        <w:pStyle w:val="BodyText"/>
        <w:spacing w:before="11"/>
        <w:ind w:left="0"/>
        <w:rPr>
          <w:sz w:val="19"/>
        </w:rPr>
      </w:pPr>
    </w:p>
    <w:p>
      <w:pPr>
        <w:spacing w:line="170" w:lineRule="auto" w:before="0"/>
        <w:ind w:left="3153" w:right="734" w:firstLine="0"/>
        <w:jc w:val="left"/>
        <w:rPr>
          <w:rFonts w:ascii="微软雅黑" w:eastAsia="微软雅黑"/>
          <w:b/>
          <w:sz w:val="21"/>
        </w:rPr>
      </w:pPr>
      <w:r>
        <w:rPr>
          <w:rFonts w:ascii="微软雅黑" w:eastAsia="微软雅黑"/>
          <w:b/>
          <w:spacing w:val="-2"/>
          <w:sz w:val="21"/>
        </w:rPr>
        <w:t>其他非冠状动脉阻塞性疾病引起的肌钙蛋白（</w:t>
      </w:r>
      <w:r>
        <w:rPr>
          <w:rFonts w:ascii="Times New Roman" w:eastAsia="Times New Roman"/>
          <w:b/>
          <w:spacing w:val="-2"/>
          <w:sz w:val="21"/>
        </w:rPr>
        <w:t>cTn</w:t>
      </w:r>
      <w:r>
        <w:rPr>
          <w:rFonts w:ascii="微软雅黑" w:eastAsia="微软雅黑"/>
          <w:b/>
          <w:spacing w:val="-2"/>
          <w:sz w:val="21"/>
        </w:rPr>
        <w:t>）升高不在保障</w:t>
      </w:r>
      <w:r>
        <w:rPr>
          <w:rFonts w:ascii="微软雅黑" w:eastAsia="微软雅黑"/>
          <w:b/>
          <w:spacing w:val="-4"/>
          <w:sz w:val="21"/>
        </w:rPr>
        <w:t>范围内。</w:t>
      </w:r>
    </w:p>
    <w:p>
      <w:pPr>
        <w:pStyle w:val="BodyText"/>
        <w:spacing w:before="4"/>
        <w:ind w:left="0"/>
        <w:rPr>
          <w:rFonts w:ascii="微软雅黑"/>
          <w:b/>
          <w:sz w:val="10"/>
        </w:rPr>
      </w:pPr>
    </w:p>
    <w:p>
      <w:pPr>
        <w:pStyle w:val="ListParagraph"/>
        <w:numPr>
          <w:ilvl w:val="1"/>
          <w:numId w:val="27"/>
        </w:numPr>
        <w:tabs>
          <w:tab w:pos="1071" w:val="left" w:leader="none"/>
          <w:tab w:pos="1072" w:val="left" w:leader="none"/>
          <w:tab w:pos="3152" w:val="left" w:leader="none"/>
        </w:tabs>
        <w:spacing w:line="363" w:lineRule="exact" w:before="0" w:after="0"/>
        <w:ind w:left="1071" w:right="0" w:hanging="850"/>
        <w:jc w:val="left"/>
        <w:rPr>
          <w:sz w:val="21"/>
        </w:rPr>
      </w:pPr>
      <w:r>
        <w:rPr>
          <w:rFonts w:ascii="微软雅黑" w:eastAsia="微软雅黑"/>
          <w:b/>
          <w:sz w:val="21"/>
        </w:rPr>
        <w:t>轻度脑中风后遗</w:t>
      </w:r>
      <w:r>
        <w:rPr>
          <w:rFonts w:ascii="微软雅黑" w:eastAsia="微软雅黑"/>
          <w:b/>
          <w:spacing w:val="-10"/>
          <w:sz w:val="21"/>
        </w:rPr>
        <w:t>症</w:t>
      </w:r>
      <w:r>
        <w:rPr>
          <w:rFonts w:ascii="微软雅黑" w:eastAsia="微软雅黑"/>
          <w:b/>
          <w:sz w:val="21"/>
        </w:rPr>
        <w:tab/>
      </w:r>
      <w:r>
        <w:rPr>
          <w:spacing w:val="-2"/>
          <w:sz w:val="21"/>
        </w:rPr>
        <w:t>指</w:t>
      </w:r>
      <w:r>
        <w:rPr>
          <w:spacing w:val="-2"/>
          <w:sz w:val="21"/>
        </w:rPr>
        <w:t>因</w:t>
      </w:r>
      <w:r>
        <w:rPr>
          <w:spacing w:val="-2"/>
          <w:sz w:val="21"/>
        </w:rPr>
        <w:t>脑</w:t>
      </w:r>
      <w:r>
        <w:rPr>
          <w:spacing w:val="-2"/>
          <w:sz w:val="21"/>
        </w:rPr>
        <w:t>血</w:t>
      </w:r>
      <w:r>
        <w:rPr>
          <w:spacing w:val="-2"/>
          <w:sz w:val="21"/>
        </w:rPr>
        <w:t>管</w:t>
      </w:r>
      <w:r>
        <w:rPr>
          <w:spacing w:val="-2"/>
          <w:sz w:val="21"/>
        </w:rPr>
        <w:t>的突发</w:t>
      </w:r>
      <w:r>
        <w:rPr>
          <w:spacing w:val="-2"/>
          <w:sz w:val="21"/>
        </w:rPr>
        <w:t>病</w:t>
      </w:r>
      <w:r>
        <w:rPr>
          <w:spacing w:val="-2"/>
          <w:sz w:val="21"/>
        </w:rPr>
        <w:t>变</w:t>
      </w:r>
      <w:r>
        <w:rPr>
          <w:spacing w:val="-2"/>
          <w:sz w:val="21"/>
        </w:rPr>
        <w:t>引</w:t>
      </w:r>
      <w:r>
        <w:rPr>
          <w:spacing w:val="-2"/>
          <w:sz w:val="21"/>
        </w:rPr>
        <w:t>起</w:t>
      </w:r>
      <w:r>
        <w:rPr>
          <w:spacing w:val="-2"/>
          <w:sz w:val="21"/>
        </w:rPr>
        <w:t>脑</w:t>
      </w:r>
      <w:r>
        <w:rPr>
          <w:spacing w:val="-2"/>
          <w:sz w:val="21"/>
        </w:rPr>
        <w:t>血</w:t>
      </w:r>
      <w:r>
        <w:rPr>
          <w:spacing w:val="-2"/>
          <w:sz w:val="21"/>
        </w:rPr>
        <w:t>管</w:t>
      </w:r>
      <w:r>
        <w:rPr>
          <w:spacing w:val="-2"/>
          <w:sz w:val="21"/>
        </w:rPr>
        <w:t>出</w:t>
      </w:r>
      <w:r>
        <w:rPr>
          <w:spacing w:val="-2"/>
          <w:sz w:val="21"/>
        </w:rPr>
        <w:t>血、栓</w:t>
      </w:r>
      <w:r>
        <w:rPr>
          <w:spacing w:val="-2"/>
          <w:sz w:val="21"/>
        </w:rPr>
        <w:t>塞</w:t>
      </w:r>
      <w:r>
        <w:rPr>
          <w:spacing w:val="-2"/>
          <w:sz w:val="21"/>
        </w:rPr>
        <w:t>或</w:t>
      </w:r>
      <w:r>
        <w:rPr>
          <w:spacing w:val="-2"/>
          <w:sz w:val="21"/>
        </w:rPr>
        <w:t>梗</w:t>
      </w:r>
      <w:r>
        <w:rPr>
          <w:spacing w:val="-2"/>
          <w:sz w:val="21"/>
        </w:rPr>
        <w:t>塞</w:t>
      </w:r>
      <w:r>
        <w:rPr>
          <w:spacing w:val="-2"/>
          <w:sz w:val="21"/>
        </w:rPr>
        <w:t>，须</w:t>
      </w:r>
      <w:r>
        <w:rPr>
          <w:spacing w:val="-2"/>
          <w:sz w:val="21"/>
        </w:rPr>
        <w:t>由</w:t>
      </w:r>
      <w:r>
        <w:rPr>
          <w:spacing w:val="-2"/>
          <w:sz w:val="21"/>
        </w:rPr>
        <w:t>头</w:t>
      </w:r>
      <w:r>
        <w:rPr>
          <w:spacing w:val="-2"/>
          <w:sz w:val="21"/>
        </w:rPr>
        <w:t>颅</w:t>
      </w:r>
      <w:r>
        <w:rPr>
          <w:spacing w:val="-10"/>
          <w:sz w:val="21"/>
        </w:rPr>
        <w:t>断</w:t>
      </w:r>
    </w:p>
    <w:p>
      <w:pPr>
        <w:pStyle w:val="BodyText"/>
        <w:spacing w:line="245" w:lineRule="exact"/>
      </w:pPr>
      <w:r>
        <w:rPr>
          <w:spacing w:val="-4"/>
        </w:rPr>
        <w:t>层扫描</w:t>
      </w:r>
      <w:r>
        <w:rPr>
          <w:spacing w:val="21"/>
        </w:rPr>
        <w:t>（</w:t>
      </w:r>
      <w:r>
        <w:rPr>
          <w:rFonts w:ascii="Times New Roman" w:eastAsia="Times New Roman"/>
          <w:spacing w:val="21"/>
        </w:rPr>
        <w:t>C</w:t>
      </w:r>
      <w:r>
        <w:rPr>
          <w:rFonts w:ascii="Times New Roman" w:eastAsia="Times New Roman"/>
          <w:spacing w:val="24"/>
        </w:rPr>
        <w:t>T</w:t>
      </w:r>
      <w:r>
        <w:rPr>
          <w:spacing w:val="-85"/>
        </w:rPr>
        <w:t>）</w:t>
      </w:r>
      <w:r>
        <w:rPr>
          <w:spacing w:val="-4"/>
        </w:rPr>
        <w:t>、核磁共振检查（</w:t>
      </w:r>
      <w:r>
        <w:rPr>
          <w:rFonts w:ascii="Times New Roman" w:eastAsia="Times New Roman"/>
          <w:spacing w:val="-4"/>
        </w:rPr>
        <w:t>MRI</w:t>
      </w:r>
      <w:r>
        <w:rPr>
          <w:spacing w:val="-4"/>
        </w:rPr>
        <w:t>）</w:t>
      </w:r>
      <w:r>
        <w:rPr>
          <w:spacing w:val="-5"/>
        </w:rPr>
        <w:t>等影像学检查证实，并导致</w:t>
      </w:r>
    </w:p>
    <w:p>
      <w:pPr>
        <w:pStyle w:val="BodyText"/>
        <w:spacing w:line="242" w:lineRule="auto" w:before="5"/>
        <w:ind w:right="732"/>
      </w:pPr>
      <w:r>
        <w:rPr>
          <w:spacing w:val="-2"/>
        </w:rPr>
        <w:t>神经系统永久性的功能障碍，但未达到“严重脑中风后遗症”的给</w:t>
      </w:r>
      <w:r>
        <w:rPr>
          <w:spacing w:val="-3"/>
        </w:rPr>
        <w:t>付标准，在疾病确诊 </w:t>
      </w:r>
      <w:r>
        <w:rPr>
          <w:rFonts w:ascii="Times New Roman" w:hAnsi="Times New Roman" w:eastAsia="Times New Roman"/>
        </w:rPr>
        <w:t>180 </w:t>
      </w:r>
      <w:r>
        <w:rPr/>
        <w:t>天后，仍遗留下列至少一种障碍：</w:t>
      </w:r>
    </w:p>
    <w:p>
      <w:pPr>
        <w:pStyle w:val="BodyText"/>
        <w:spacing w:line="262" w:lineRule="exact"/>
      </w:pPr>
      <w:r>
        <w:rPr>
          <w:spacing w:val="-2"/>
        </w:rPr>
        <w:t>（</w:t>
      </w:r>
      <w:r>
        <w:rPr>
          <w:rFonts w:ascii="Times New Roman" w:eastAsia="Times New Roman"/>
          <w:spacing w:val="-2"/>
        </w:rPr>
        <w:t>1</w:t>
      </w:r>
      <w:r>
        <w:rPr>
          <w:spacing w:val="-2"/>
        </w:rPr>
        <w:t>）一肢（含）以上</w:t>
      </w:r>
      <w:r>
        <w:rPr>
          <w:rFonts w:ascii="微软雅黑" w:eastAsia="微软雅黑"/>
          <w:b/>
          <w:spacing w:val="-2"/>
        </w:rPr>
        <w:t>肢体</w:t>
      </w:r>
      <w:r>
        <w:rPr>
          <w:spacing w:val="-2"/>
        </w:rPr>
        <w:t>（</w:t>
      </w:r>
      <w:r>
        <w:rPr>
          <w:spacing w:val="-24"/>
        </w:rPr>
        <w:t>见 </w:t>
      </w:r>
      <w:r>
        <w:rPr>
          <w:rFonts w:ascii="Times New Roman" w:eastAsia="Times New Roman"/>
          <w:spacing w:val="-2"/>
        </w:rPr>
        <w:t>14.23</w:t>
      </w:r>
      <w:r>
        <w:rPr>
          <w:spacing w:val="-2"/>
        </w:rPr>
        <w:t>）</w:t>
      </w:r>
      <w:r>
        <w:rPr>
          <w:rFonts w:ascii="微软雅黑" w:eastAsia="微软雅黑"/>
          <w:b/>
          <w:spacing w:val="-2"/>
        </w:rPr>
        <w:t>肌力</w:t>
      </w:r>
      <w:r>
        <w:rPr>
          <w:spacing w:val="-2"/>
        </w:rPr>
        <w:t>（</w:t>
      </w:r>
      <w:r>
        <w:rPr>
          <w:spacing w:val="-24"/>
        </w:rPr>
        <w:t>见 </w:t>
      </w:r>
      <w:r>
        <w:rPr>
          <w:rFonts w:ascii="Times New Roman" w:eastAsia="Times New Roman"/>
          <w:spacing w:val="-2"/>
        </w:rPr>
        <w:t>14.24</w:t>
      </w:r>
      <w:r>
        <w:rPr>
          <w:spacing w:val="-2"/>
        </w:rPr>
        <w:t>）</w:t>
      </w:r>
      <w:r>
        <w:rPr>
          <w:spacing w:val="-25"/>
        </w:rPr>
        <w:t>为 </w:t>
      </w:r>
      <w:r>
        <w:rPr>
          <w:rFonts w:ascii="Times New Roman" w:eastAsia="Times New Roman"/>
          <w:spacing w:val="-2"/>
        </w:rPr>
        <w:t>3</w:t>
      </w:r>
      <w:r>
        <w:rPr>
          <w:rFonts w:ascii="Times New Roman" w:eastAsia="Times New Roman"/>
          <w:spacing w:val="9"/>
        </w:rPr>
        <w:t> </w:t>
      </w:r>
      <w:r>
        <w:rPr>
          <w:spacing w:val="-6"/>
        </w:rPr>
        <w:t>级；</w:t>
      </w:r>
    </w:p>
    <w:p>
      <w:pPr>
        <w:spacing w:line="168" w:lineRule="auto" w:before="26"/>
        <w:ind w:left="3678" w:right="734" w:hanging="526"/>
        <w:jc w:val="left"/>
        <w:rPr>
          <w:sz w:val="21"/>
        </w:rPr>
      </w:pPr>
      <w:r>
        <w:rPr>
          <w:spacing w:val="-2"/>
          <w:sz w:val="21"/>
        </w:rPr>
        <w:t>（</w:t>
      </w:r>
      <w:r>
        <w:rPr>
          <w:rFonts w:ascii="Times New Roman" w:eastAsia="Times New Roman"/>
          <w:spacing w:val="-2"/>
          <w:sz w:val="21"/>
        </w:rPr>
        <w:t>2</w:t>
      </w:r>
      <w:r>
        <w:rPr>
          <w:spacing w:val="-2"/>
          <w:sz w:val="21"/>
        </w:rPr>
        <w:t>）自主生活能力部分丧失，无法独立完成</w:t>
      </w:r>
      <w:r>
        <w:rPr>
          <w:rFonts w:ascii="微软雅黑" w:eastAsia="微软雅黑"/>
          <w:b/>
          <w:spacing w:val="-2"/>
          <w:sz w:val="21"/>
        </w:rPr>
        <w:t>六项基本日常生活活</w:t>
      </w:r>
      <w:r>
        <w:rPr>
          <w:rFonts w:ascii="微软雅黑" w:eastAsia="微软雅黑"/>
          <w:b/>
          <w:sz w:val="21"/>
        </w:rPr>
        <w:t>动</w:t>
      </w:r>
      <w:r>
        <w:rPr>
          <w:sz w:val="21"/>
        </w:rPr>
        <w:t>（</w:t>
      </w:r>
      <w:r>
        <w:rPr>
          <w:spacing w:val="-23"/>
          <w:sz w:val="21"/>
        </w:rPr>
        <w:t>见 </w:t>
      </w:r>
      <w:r>
        <w:rPr>
          <w:rFonts w:ascii="Times New Roman" w:eastAsia="Times New Roman"/>
          <w:sz w:val="21"/>
        </w:rPr>
        <w:t>14.25</w:t>
      </w:r>
      <w:r>
        <w:rPr>
          <w:sz w:val="21"/>
        </w:rPr>
        <w:t>）中的两项。</w:t>
      </w:r>
    </w:p>
    <w:p>
      <w:pPr>
        <w:pStyle w:val="ListParagraph"/>
        <w:numPr>
          <w:ilvl w:val="1"/>
          <w:numId w:val="27"/>
        </w:numPr>
        <w:tabs>
          <w:tab w:pos="1071" w:val="left" w:leader="none"/>
          <w:tab w:pos="1072" w:val="left" w:leader="none"/>
          <w:tab w:pos="3152" w:val="left" w:leader="none"/>
        </w:tabs>
        <w:spacing w:line="364" w:lineRule="exact" w:before="191" w:after="0"/>
        <w:ind w:left="1071" w:right="0" w:hanging="850"/>
        <w:jc w:val="left"/>
        <w:rPr>
          <w:sz w:val="21"/>
        </w:rPr>
      </w:pPr>
      <w:r>
        <w:rPr>
          <w:rFonts w:ascii="微软雅黑" w:eastAsia="微软雅黑"/>
          <w:b/>
          <w:sz w:val="21"/>
        </w:rPr>
        <w:t>原位</w:t>
      </w:r>
      <w:r>
        <w:rPr>
          <w:rFonts w:ascii="微软雅黑" w:eastAsia="微软雅黑"/>
          <w:b/>
          <w:spacing w:val="-10"/>
          <w:sz w:val="21"/>
        </w:rPr>
        <w:t>癌</w:t>
      </w:r>
      <w:r>
        <w:rPr>
          <w:rFonts w:ascii="微软雅黑" w:eastAsia="微软雅黑"/>
          <w:b/>
          <w:sz w:val="21"/>
        </w:rPr>
        <w:tab/>
      </w:r>
      <w:r>
        <w:rPr>
          <w:spacing w:val="-2"/>
          <w:sz w:val="21"/>
        </w:rPr>
        <w:t>指</w:t>
      </w:r>
      <w:r>
        <w:rPr>
          <w:spacing w:val="-2"/>
          <w:sz w:val="21"/>
        </w:rPr>
        <w:t>恶</w:t>
      </w:r>
      <w:r>
        <w:rPr>
          <w:spacing w:val="-2"/>
          <w:sz w:val="21"/>
        </w:rPr>
        <w:t>性</w:t>
      </w:r>
      <w:r>
        <w:rPr>
          <w:spacing w:val="-2"/>
          <w:sz w:val="21"/>
        </w:rPr>
        <w:t>细</w:t>
      </w:r>
      <w:r>
        <w:rPr>
          <w:spacing w:val="-2"/>
          <w:sz w:val="21"/>
        </w:rPr>
        <w:t>胞</w:t>
      </w:r>
      <w:r>
        <w:rPr>
          <w:spacing w:val="-2"/>
          <w:sz w:val="21"/>
        </w:rPr>
        <w:t>局限于</w:t>
      </w:r>
      <w:r>
        <w:rPr>
          <w:spacing w:val="-2"/>
          <w:sz w:val="21"/>
        </w:rPr>
        <w:t>上</w:t>
      </w:r>
      <w:r>
        <w:rPr>
          <w:spacing w:val="-2"/>
          <w:sz w:val="21"/>
        </w:rPr>
        <w:t>皮</w:t>
      </w:r>
      <w:r>
        <w:rPr>
          <w:spacing w:val="-2"/>
          <w:sz w:val="21"/>
        </w:rPr>
        <w:t>内</w:t>
      </w:r>
      <w:r>
        <w:rPr>
          <w:spacing w:val="-2"/>
          <w:sz w:val="21"/>
        </w:rPr>
        <w:t>尚</w:t>
      </w:r>
      <w:r>
        <w:rPr>
          <w:spacing w:val="-2"/>
          <w:sz w:val="21"/>
        </w:rPr>
        <w:t>未</w:t>
      </w:r>
      <w:r>
        <w:rPr>
          <w:spacing w:val="-2"/>
          <w:sz w:val="21"/>
        </w:rPr>
        <w:t>穿</w:t>
      </w:r>
      <w:r>
        <w:rPr>
          <w:spacing w:val="-2"/>
          <w:sz w:val="21"/>
        </w:rPr>
        <w:t>破</w:t>
      </w:r>
      <w:r>
        <w:rPr>
          <w:spacing w:val="-2"/>
          <w:sz w:val="21"/>
        </w:rPr>
        <w:t>基</w:t>
      </w:r>
      <w:r>
        <w:rPr>
          <w:spacing w:val="-2"/>
          <w:sz w:val="21"/>
        </w:rPr>
        <w:t>底膜浸</w:t>
      </w:r>
      <w:r>
        <w:rPr>
          <w:spacing w:val="-2"/>
          <w:sz w:val="21"/>
        </w:rPr>
        <w:t>润</w:t>
      </w:r>
      <w:r>
        <w:rPr>
          <w:spacing w:val="-2"/>
          <w:sz w:val="21"/>
        </w:rPr>
        <w:t>周</w:t>
      </w:r>
      <w:r>
        <w:rPr>
          <w:spacing w:val="-2"/>
          <w:sz w:val="21"/>
        </w:rPr>
        <w:t>围</w:t>
      </w:r>
      <w:r>
        <w:rPr>
          <w:spacing w:val="-2"/>
          <w:sz w:val="21"/>
        </w:rPr>
        <w:t>正</w:t>
      </w:r>
      <w:r>
        <w:rPr>
          <w:spacing w:val="-2"/>
          <w:sz w:val="21"/>
        </w:rPr>
        <w:t>常</w:t>
      </w:r>
      <w:r>
        <w:rPr>
          <w:spacing w:val="-2"/>
          <w:sz w:val="21"/>
        </w:rPr>
        <w:t>组</w:t>
      </w:r>
      <w:r>
        <w:rPr>
          <w:spacing w:val="-2"/>
          <w:sz w:val="21"/>
        </w:rPr>
        <w:t>织</w:t>
      </w:r>
      <w:r>
        <w:rPr>
          <w:spacing w:val="-2"/>
          <w:sz w:val="21"/>
        </w:rPr>
        <w:t>的</w:t>
      </w:r>
      <w:r>
        <w:rPr>
          <w:spacing w:val="-2"/>
          <w:sz w:val="21"/>
        </w:rPr>
        <w:t>癌</w:t>
      </w:r>
      <w:r>
        <w:rPr>
          <w:spacing w:val="-10"/>
          <w:sz w:val="21"/>
        </w:rPr>
        <w:t>细</w:t>
      </w:r>
    </w:p>
    <w:p>
      <w:pPr>
        <w:pStyle w:val="BodyText"/>
        <w:spacing w:line="246" w:lineRule="exact"/>
      </w:pPr>
      <w:r>
        <w:rPr>
          <w:spacing w:val="-13"/>
        </w:rPr>
        <w:t>胞新生物。原位癌必须经对固定活组织的组织病理学检查明确诊断，</w:t>
      </w:r>
    </w:p>
    <w:p>
      <w:pPr>
        <w:spacing w:after="0" w:line="246" w:lineRule="exact"/>
        <w:sectPr>
          <w:pgSz w:w="11910" w:h="16840"/>
          <w:pgMar w:header="0" w:footer="878" w:top="1060" w:bottom="1060" w:left="1480" w:right="440"/>
        </w:sectPr>
      </w:pPr>
    </w:p>
    <w:p>
      <w:pPr>
        <w:pStyle w:val="BodyText"/>
        <w:spacing w:line="242" w:lineRule="auto" w:before="55"/>
        <w:ind w:right="729"/>
        <w:jc w:val="both"/>
      </w:pPr>
      <w:r>
        <w:rPr>
          <w:spacing w:val="-4"/>
        </w:rPr>
        <w:t>临床诊断属于世界卫生组织（</w:t>
      </w:r>
      <w:r>
        <w:rPr>
          <w:rFonts w:ascii="Times New Roman" w:eastAsia="Times New Roman"/>
          <w:spacing w:val="-4"/>
        </w:rPr>
        <w:t>WHO</w:t>
      </w:r>
      <w:r>
        <w:rPr>
          <w:rFonts w:ascii="Times New Roman" w:eastAsia="Times New Roman"/>
          <w:spacing w:val="-7"/>
        </w:rPr>
        <w:t>, </w:t>
      </w:r>
      <w:r>
        <w:rPr>
          <w:rFonts w:ascii="Times New Roman" w:eastAsia="Times New Roman"/>
          <w:spacing w:val="-4"/>
        </w:rPr>
        <w:t>World Health </w:t>
      </w:r>
      <w:r>
        <w:rPr>
          <w:rFonts w:ascii="Times New Roman" w:eastAsia="Times New Roman"/>
          <w:spacing w:val="6"/>
        </w:rPr>
        <w:t>O</w:t>
      </w:r>
      <w:r>
        <w:rPr>
          <w:rFonts w:ascii="Times New Roman" w:eastAsia="Times New Roman"/>
          <w:spacing w:val="-3"/>
        </w:rPr>
        <w:t>r</w:t>
      </w:r>
      <w:r>
        <w:rPr>
          <w:rFonts w:ascii="Times New Roman" w:eastAsia="Times New Roman"/>
          <w:spacing w:val="6"/>
        </w:rPr>
        <w:t>gan</w:t>
      </w:r>
      <w:r>
        <w:rPr>
          <w:rFonts w:ascii="Times New Roman" w:eastAsia="Times New Roman"/>
          <w:spacing w:val="4"/>
        </w:rPr>
        <w:t>i</w:t>
      </w:r>
      <w:r>
        <w:rPr>
          <w:rFonts w:ascii="Times New Roman" w:eastAsia="Times New Roman"/>
          <w:spacing w:val="6"/>
        </w:rPr>
        <w:t>za</w:t>
      </w:r>
      <w:r>
        <w:rPr>
          <w:rFonts w:ascii="Times New Roman" w:eastAsia="Times New Roman"/>
          <w:spacing w:val="4"/>
        </w:rPr>
        <w:t>ti</w:t>
      </w:r>
      <w:r>
        <w:rPr>
          <w:rFonts w:ascii="Times New Roman" w:eastAsia="Times New Roman"/>
          <w:spacing w:val="6"/>
        </w:rPr>
        <w:t>o</w:t>
      </w:r>
      <w:r>
        <w:rPr>
          <w:rFonts w:ascii="Times New Roman" w:eastAsia="Times New Roman"/>
          <w:spacing w:val="7"/>
        </w:rPr>
        <w:t>n</w:t>
      </w:r>
      <w:r>
        <w:rPr>
          <w:spacing w:val="-119"/>
        </w:rPr>
        <w:t>）</w:t>
      </w:r>
      <w:r>
        <w:rPr>
          <w:spacing w:val="-4"/>
        </w:rPr>
        <w:t>《疾</w:t>
      </w:r>
      <w:r>
        <w:rPr>
          <w:spacing w:val="-2"/>
        </w:rPr>
        <w:t>病和有关健康问题的国际统计分类》第十次修订版（</w:t>
      </w:r>
      <w:r>
        <w:rPr>
          <w:rFonts w:ascii="Times New Roman" w:eastAsia="Times New Roman"/>
          <w:spacing w:val="-2"/>
        </w:rPr>
        <w:t>ICD-10</w:t>
      </w:r>
      <w:r>
        <w:rPr>
          <w:spacing w:val="-2"/>
        </w:rPr>
        <w:t>）原位</w:t>
      </w:r>
      <w:r>
        <w:rPr>
          <w:spacing w:val="-2"/>
        </w:rPr>
        <w:t>癌范畴。被保险人必须已经接受了针对原位癌病灶的积极治疗。细</w:t>
      </w:r>
      <w:r>
        <w:rPr>
          <w:spacing w:val="-2"/>
        </w:rPr>
        <w:t>胞学检查结果不能作为确诊原位癌的证据。</w:t>
      </w:r>
    </w:p>
    <w:p>
      <w:pPr>
        <w:pStyle w:val="BodyText"/>
        <w:spacing w:before="5"/>
        <w:ind w:left="0"/>
        <w:rPr>
          <w:sz w:val="20"/>
        </w:rPr>
      </w:pPr>
    </w:p>
    <w:p>
      <w:pPr>
        <w:spacing w:line="168" w:lineRule="auto" w:before="0"/>
        <w:ind w:left="3153" w:right="734" w:firstLine="0"/>
        <w:jc w:val="both"/>
        <w:rPr>
          <w:rFonts w:ascii="微软雅黑" w:eastAsia="微软雅黑"/>
          <w:b/>
          <w:sz w:val="21"/>
        </w:rPr>
      </w:pPr>
      <w:r>
        <w:rPr>
          <w:rFonts w:ascii="微软雅黑" w:eastAsia="微软雅黑"/>
          <w:b/>
          <w:sz w:val="21"/>
        </w:rPr>
        <w:t>癌前病变（包括但不仅限于宫颈上皮内瘤样病变 </w:t>
      </w:r>
      <w:r>
        <w:rPr>
          <w:rFonts w:ascii="Times New Roman" w:eastAsia="Times New Roman"/>
          <w:b/>
          <w:sz w:val="21"/>
        </w:rPr>
        <w:t>CIN-1</w:t>
      </w:r>
      <w:r>
        <w:rPr>
          <w:rFonts w:ascii="微软雅黑" w:eastAsia="微软雅黑"/>
          <w:b/>
          <w:sz w:val="21"/>
        </w:rPr>
        <w:t>，</w:t>
      </w:r>
      <w:r>
        <w:rPr>
          <w:rFonts w:ascii="Times New Roman" w:eastAsia="Times New Roman"/>
          <w:b/>
          <w:sz w:val="21"/>
        </w:rPr>
        <w:t>CIN-2</w:t>
      </w:r>
      <w:r>
        <w:rPr>
          <w:rFonts w:ascii="微软雅黑" w:eastAsia="微软雅黑"/>
          <w:b/>
          <w:sz w:val="21"/>
        </w:rPr>
        <w:t>，</w:t>
      </w:r>
      <w:r>
        <w:rPr>
          <w:rFonts w:ascii="微软雅黑" w:eastAsia="微软雅黑"/>
          <w:b/>
          <w:spacing w:val="-2"/>
          <w:sz w:val="21"/>
        </w:rPr>
        <w:t>重度不典型增生但非原位癌</w:t>
      </w:r>
      <w:r>
        <w:rPr>
          <w:rFonts w:ascii="微软雅黑" w:eastAsia="微软雅黑"/>
          <w:b/>
          <w:spacing w:val="-54"/>
          <w:sz w:val="21"/>
        </w:rPr>
        <w:t>）</w:t>
      </w:r>
      <w:r>
        <w:rPr>
          <w:rFonts w:ascii="微软雅黑" w:eastAsia="微软雅黑"/>
          <w:b/>
          <w:spacing w:val="-2"/>
          <w:sz w:val="21"/>
        </w:rPr>
        <w:t>，非浸润性癌，非侵袭性癌，上皮内</w:t>
      </w:r>
      <w:r>
        <w:rPr>
          <w:rFonts w:ascii="微软雅黑" w:eastAsia="微软雅黑"/>
          <w:b/>
          <w:spacing w:val="-2"/>
          <w:sz w:val="21"/>
        </w:rPr>
        <w:t>瘤变，细胞不典型性增生、交界性肿瘤，交界恶性肿瘤，肿瘤低度</w:t>
      </w:r>
      <w:r>
        <w:rPr>
          <w:rFonts w:ascii="微软雅黑" w:eastAsia="微软雅黑"/>
          <w:b/>
          <w:spacing w:val="-2"/>
          <w:sz w:val="21"/>
        </w:rPr>
        <w:t>恶性潜能，潜在低度恶性肿瘤不在保障范围内。</w:t>
      </w:r>
    </w:p>
    <w:p>
      <w:pPr>
        <w:pStyle w:val="BodyText"/>
        <w:spacing w:before="14"/>
        <w:ind w:left="0"/>
        <w:rPr>
          <w:rFonts w:ascii="微软雅黑"/>
          <w:b/>
          <w:sz w:val="8"/>
        </w:rPr>
      </w:pPr>
    </w:p>
    <w:p>
      <w:pPr>
        <w:spacing w:after="0"/>
        <w:rPr>
          <w:rFonts w:ascii="微软雅黑"/>
          <w:sz w:val="8"/>
        </w:rPr>
        <w:sectPr>
          <w:pgSz w:w="11910" w:h="16840"/>
          <w:pgMar w:header="0" w:footer="878" w:top="1060" w:bottom="1060" w:left="1480" w:right="440"/>
        </w:sectPr>
      </w:pPr>
    </w:p>
    <w:p>
      <w:pPr>
        <w:pStyle w:val="ListParagraph"/>
        <w:numPr>
          <w:ilvl w:val="1"/>
          <w:numId w:val="27"/>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冠状动脉介入手术</w:t>
      </w:r>
    </w:p>
    <w:p>
      <w:pPr>
        <w:spacing w:line="330" w:lineRule="exact" w:before="0"/>
        <w:ind w:left="1071" w:right="0" w:firstLine="0"/>
        <w:jc w:val="left"/>
        <w:rPr>
          <w:rFonts w:ascii="微软雅黑" w:eastAsia="微软雅黑"/>
          <w:b/>
          <w:sz w:val="21"/>
        </w:rPr>
      </w:pPr>
      <w:r>
        <w:rPr>
          <w:rFonts w:ascii="微软雅黑" w:eastAsia="微软雅黑"/>
          <w:b/>
          <w:sz w:val="21"/>
        </w:rPr>
        <w:t>（非开胸手术</w:t>
      </w:r>
      <w:r>
        <w:rPr>
          <w:rFonts w:ascii="微软雅黑" w:eastAsia="微软雅黑"/>
          <w:b/>
          <w:spacing w:val="-10"/>
          <w:sz w:val="21"/>
        </w:rPr>
        <w:t>）</w:t>
      </w:r>
    </w:p>
    <w:p>
      <w:pPr>
        <w:pStyle w:val="BodyText"/>
        <w:spacing w:line="242" w:lineRule="auto" w:before="100"/>
        <w:ind w:left="175" w:right="729"/>
        <w:jc w:val="both"/>
      </w:pPr>
      <w:r>
        <w:rPr/>
        <w:br w:type="column"/>
      </w:r>
      <w:r>
        <w:rPr>
          <w:spacing w:val="-2"/>
        </w:rPr>
        <w:t>指为纠正冠状动脉的狭窄或堵塞，而实际实施的冠状动脉球囊扩张</w:t>
      </w:r>
      <w:r>
        <w:rPr>
          <w:spacing w:val="-2"/>
        </w:rPr>
        <w:t>成形术、冠状动脉支架植入术、冠状动脉粥肿斑块切除术、激光冠</w:t>
      </w:r>
      <w:r>
        <w:rPr>
          <w:spacing w:val="-2"/>
        </w:rPr>
        <w:t>状动脉成形术，并且未达到本合同所指重度疾病“较重急性心肌梗</w:t>
      </w:r>
      <w:r>
        <w:rPr>
          <w:spacing w:val="-2"/>
        </w:rPr>
        <w:t>死”的给付标准。</w:t>
      </w:r>
    </w:p>
    <w:p>
      <w:pPr>
        <w:pStyle w:val="BodyText"/>
        <w:spacing w:before="4"/>
        <w:ind w:left="0"/>
        <w:rPr>
          <w:sz w:val="20"/>
        </w:rPr>
      </w:pPr>
    </w:p>
    <w:p>
      <w:pPr>
        <w:spacing w:line="168" w:lineRule="auto" w:before="1"/>
        <w:ind w:left="175" w:right="626" w:firstLine="0"/>
        <w:jc w:val="left"/>
        <w:rPr>
          <w:rFonts w:ascii="微软雅黑" w:hAnsi="微软雅黑" w:eastAsia="微软雅黑"/>
          <w:b/>
          <w:sz w:val="21"/>
        </w:rPr>
      </w:pPr>
      <w:r>
        <w:rPr>
          <w:rFonts w:ascii="微软雅黑" w:hAnsi="微软雅黑" w:eastAsia="微软雅黑"/>
          <w:b/>
          <w:spacing w:val="-16"/>
          <w:sz w:val="21"/>
        </w:rPr>
        <w:t>本公司仅对“较轻急性心肌梗死”、“冠状动脉介入手术</w:t>
      </w:r>
      <w:r>
        <w:rPr>
          <w:rFonts w:ascii="微软雅黑" w:hAnsi="微软雅黑" w:eastAsia="微软雅黑"/>
          <w:b/>
          <w:spacing w:val="-2"/>
          <w:sz w:val="21"/>
        </w:rPr>
        <w:t>（非开胸手</w:t>
      </w:r>
      <w:r>
        <w:rPr>
          <w:rFonts w:ascii="微软雅黑" w:hAnsi="微软雅黑" w:eastAsia="微软雅黑"/>
          <w:b/>
          <w:spacing w:val="-2"/>
          <w:sz w:val="21"/>
        </w:rPr>
        <w:t>术</w:t>
      </w:r>
      <w:r>
        <w:rPr>
          <w:rFonts w:ascii="微软雅黑" w:hAnsi="微软雅黑" w:eastAsia="微软雅黑"/>
          <w:b/>
          <w:spacing w:val="-106"/>
          <w:sz w:val="21"/>
        </w:rPr>
        <w:t>）</w:t>
      </w:r>
      <w:r>
        <w:rPr>
          <w:rFonts w:ascii="微软雅黑" w:hAnsi="微软雅黑" w:eastAsia="微软雅黑"/>
          <w:b/>
          <w:spacing w:val="-4"/>
          <w:sz w:val="21"/>
        </w:rPr>
        <w:t>”和“激光心肌血运重建术”三项中的其中一项承担保险责任，</w:t>
      </w:r>
      <w:r>
        <w:rPr>
          <w:rFonts w:ascii="微软雅黑" w:hAnsi="微软雅黑" w:eastAsia="微软雅黑"/>
          <w:b/>
          <w:spacing w:val="-2"/>
          <w:sz w:val="21"/>
        </w:rPr>
        <w:t>给付其中一项保险金后，对其他两项轻度疾病保险责任同时终止。</w:t>
      </w:r>
    </w:p>
    <w:p>
      <w:pPr>
        <w:spacing w:after="0" w:line="168" w:lineRule="auto"/>
        <w:jc w:val="left"/>
        <w:rPr>
          <w:rFonts w:ascii="微软雅黑" w:hAns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14"/>
        <w:ind w:left="0"/>
        <w:rPr>
          <w:rFonts w:ascii="微软雅黑"/>
          <w:b/>
          <w:sz w:val="8"/>
        </w:rPr>
      </w:pPr>
    </w:p>
    <w:p>
      <w:pPr>
        <w:spacing w:after="0"/>
        <w:rPr>
          <w:rFonts w:ascii="微软雅黑"/>
          <w:sz w:val="8"/>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168" w:lineRule="auto" w:before="116" w:after="0"/>
        <w:ind w:left="1071" w:right="0" w:hanging="850"/>
        <w:jc w:val="left"/>
        <w:rPr>
          <w:rFonts w:ascii="微软雅黑" w:eastAsia="微软雅黑"/>
          <w:b/>
          <w:sz w:val="21"/>
        </w:rPr>
      </w:pPr>
      <w:r>
        <w:rPr>
          <w:rFonts w:ascii="微软雅黑" w:eastAsia="微软雅黑"/>
          <w:b/>
          <w:spacing w:val="13"/>
          <w:sz w:val="21"/>
        </w:rPr>
        <w:t>轻度视力受损 </w:t>
      </w:r>
      <w:r>
        <w:rPr>
          <w:rFonts w:ascii="Times New Roman" w:eastAsia="Times New Roman"/>
          <w:b/>
          <w:spacing w:val="25"/>
          <w:sz w:val="21"/>
        </w:rPr>
        <w:t>- </w:t>
      </w:r>
      <w:r>
        <w:rPr>
          <w:rFonts w:ascii="微软雅黑" w:eastAsia="微软雅黑"/>
          <w:b/>
          <w:sz w:val="21"/>
        </w:rPr>
        <w:t>三</w:t>
      </w:r>
      <w:r>
        <w:rPr>
          <w:rFonts w:ascii="微软雅黑" w:eastAsia="微软雅黑"/>
          <w:b/>
          <w:spacing w:val="-4"/>
          <w:sz w:val="21"/>
        </w:rPr>
        <w:t>岁始理赔</w:t>
      </w:r>
    </w:p>
    <w:p>
      <w:pPr>
        <w:pStyle w:val="BodyText"/>
        <w:spacing w:line="220" w:lineRule="auto" w:before="55"/>
        <w:ind w:left="175" w:right="628"/>
      </w:pPr>
      <w:r>
        <w:rPr/>
        <w:br w:type="column"/>
      </w:r>
      <w:r>
        <w:rPr/>
        <w:t>指因疾病或意外伤害导致双目视力</w:t>
      </w:r>
      <w:r>
        <w:rPr>
          <w:rFonts w:ascii="微软雅黑" w:hAnsi="微软雅黑" w:eastAsia="微软雅黑"/>
          <w:b/>
        </w:rPr>
        <w:t>永久不可逆</w:t>
      </w:r>
      <w:r>
        <w:rPr/>
        <w:t>（</w:t>
      </w:r>
      <w:r>
        <w:rPr>
          <w:spacing w:val="-27"/>
        </w:rPr>
        <w:t>见 </w:t>
      </w:r>
      <w:r>
        <w:rPr>
          <w:rFonts w:ascii="Times New Roman" w:hAnsi="Times New Roman" w:eastAsia="Times New Roman"/>
        </w:rPr>
        <w:t>14.26</w:t>
      </w:r>
      <w:r>
        <w:rPr/>
        <w:t>）性丧失，</w:t>
      </w:r>
      <w:r>
        <w:rPr>
          <w:spacing w:val="-2"/>
        </w:rPr>
        <w:t>虽未达到本合同重度疾病“双目失明”的给付标准，但满足下列条</w:t>
      </w:r>
      <w:r>
        <w:rPr>
          <w:spacing w:val="-4"/>
        </w:rPr>
        <w:t>件之一：</w:t>
      </w:r>
    </w:p>
    <w:p>
      <w:pPr>
        <w:pStyle w:val="ListParagraph"/>
        <w:numPr>
          <w:ilvl w:val="0"/>
          <w:numId w:val="29"/>
        </w:numPr>
        <w:tabs>
          <w:tab w:pos="705" w:val="left" w:leader="none"/>
        </w:tabs>
        <w:spacing w:line="244" w:lineRule="auto" w:before="9" w:after="0"/>
        <w:ind w:left="701" w:right="732" w:hanging="526"/>
        <w:jc w:val="left"/>
        <w:rPr>
          <w:sz w:val="21"/>
        </w:rPr>
      </w:pPr>
      <w:r>
        <w:rPr>
          <w:spacing w:val="-5"/>
          <w:sz w:val="21"/>
        </w:rPr>
        <w:t>双眼中较好眼矫正视力低于 </w:t>
      </w:r>
      <w:r>
        <w:rPr>
          <w:rFonts w:ascii="Times New Roman" w:eastAsia="Times New Roman"/>
          <w:spacing w:val="-2"/>
          <w:sz w:val="21"/>
        </w:rPr>
        <w:t>0.1</w:t>
      </w:r>
      <w:r>
        <w:rPr>
          <w:spacing w:val="-2"/>
          <w:sz w:val="21"/>
        </w:rPr>
        <w:t>（采用国际标准视力表，如果</w:t>
      </w:r>
      <w:r>
        <w:rPr>
          <w:spacing w:val="-2"/>
          <w:sz w:val="21"/>
        </w:rPr>
        <w:t>使用其他视力表应进行换算</w:t>
      </w:r>
      <w:r>
        <w:rPr>
          <w:spacing w:val="-106"/>
          <w:sz w:val="21"/>
        </w:rPr>
        <w:t>）</w:t>
      </w:r>
      <w:r>
        <w:rPr>
          <w:sz w:val="21"/>
        </w:rPr>
        <w:t>；</w:t>
      </w:r>
    </w:p>
    <w:p>
      <w:pPr>
        <w:pStyle w:val="ListParagraph"/>
        <w:numPr>
          <w:ilvl w:val="0"/>
          <w:numId w:val="29"/>
        </w:numPr>
        <w:tabs>
          <w:tab w:pos="705" w:val="left" w:leader="none"/>
        </w:tabs>
        <w:spacing w:line="265" w:lineRule="exact" w:before="0" w:after="0"/>
        <w:ind w:left="705" w:right="0" w:hanging="530"/>
        <w:jc w:val="left"/>
        <w:rPr>
          <w:sz w:val="21"/>
        </w:rPr>
      </w:pPr>
      <w:r>
        <w:rPr>
          <w:spacing w:val="-6"/>
          <w:sz w:val="21"/>
        </w:rPr>
        <w:t>双眼中较好眼视野半径小于 </w:t>
      </w:r>
      <w:r>
        <w:rPr>
          <w:rFonts w:ascii="Times New Roman" w:eastAsia="Times New Roman"/>
          <w:spacing w:val="-2"/>
          <w:sz w:val="21"/>
        </w:rPr>
        <w:t>20</w:t>
      </w:r>
      <w:r>
        <w:rPr>
          <w:rFonts w:ascii="Times New Roman" w:eastAsia="Times New Roman"/>
          <w:spacing w:val="3"/>
          <w:sz w:val="21"/>
        </w:rPr>
        <w:t> </w:t>
      </w:r>
      <w:r>
        <w:rPr>
          <w:spacing w:val="-6"/>
          <w:sz w:val="21"/>
        </w:rPr>
        <w:t>度。</w:t>
      </w:r>
    </w:p>
    <w:p>
      <w:pPr>
        <w:pStyle w:val="BodyText"/>
        <w:spacing w:before="2"/>
        <w:ind w:left="0"/>
        <w:rPr>
          <w:sz w:val="20"/>
        </w:rPr>
      </w:pPr>
    </w:p>
    <w:p>
      <w:pPr>
        <w:spacing w:line="170" w:lineRule="auto" w:before="0"/>
        <w:ind w:left="175" w:right="732" w:firstLine="0"/>
        <w:jc w:val="left"/>
        <w:rPr>
          <w:rFonts w:ascii="微软雅黑" w:eastAsia="微软雅黑"/>
          <w:b/>
          <w:sz w:val="21"/>
        </w:rPr>
      </w:pPr>
      <w:r>
        <w:rPr>
          <w:rFonts w:ascii="微软雅黑" w:eastAsia="微软雅黑"/>
          <w:b/>
          <w:spacing w:val="-2"/>
          <w:sz w:val="21"/>
        </w:rPr>
        <w:t>被保险人申请理赔时年龄必须在三周岁以上，并且提供理赔当时的</w:t>
      </w:r>
      <w:r>
        <w:rPr>
          <w:rFonts w:ascii="微软雅黑" w:eastAsia="微软雅黑"/>
          <w:b/>
          <w:spacing w:val="-2"/>
          <w:sz w:val="21"/>
        </w:rPr>
        <w:t>视力丧失诊断及检查证据。</w:t>
      </w:r>
    </w:p>
    <w:p>
      <w:pPr>
        <w:pStyle w:val="BodyText"/>
        <w:ind w:left="0"/>
        <w:rPr>
          <w:rFonts w:ascii="微软雅黑"/>
          <w:b/>
          <w:sz w:val="13"/>
        </w:rPr>
      </w:pPr>
    </w:p>
    <w:p>
      <w:pPr>
        <w:spacing w:line="168" w:lineRule="auto" w:before="1"/>
        <w:ind w:left="175" w:right="729" w:firstLine="0"/>
        <w:jc w:val="both"/>
        <w:rPr>
          <w:rFonts w:ascii="微软雅黑" w:hAnsi="微软雅黑" w:eastAsia="微软雅黑"/>
          <w:b/>
          <w:sz w:val="21"/>
        </w:rPr>
      </w:pPr>
      <w:r>
        <w:rPr>
          <w:rFonts w:ascii="微软雅黑" w:hAnsi="微软雅黑" w:eastAsia="微软雅黑"/>
          <w:b/>
          <w:spacing w:val="3"/>
          <w:sz w:val="21"/>
        </w:rPr>
        <w:t>本公司对“轻度视力受损 </w:t>
      </w:r>
      <w:r>
        <w:rPr>
          <w:rFonts w:ascii="Times New Roman" w:hAnsi="Times New Roman" w:eastAsia="Times New Roman"/>
          <w:b/>
          <w:spacing w:val="25"/>
          <w:sz w:val="21"/>
        </w:rPr>
        <w:t>- </w:t>
      </w:r>
      <w:r>
        <w:rPr>
          <w:rFonts w:ascii="微软雅黑" w:hAnsi="微软雅黑" w:eastAsia="微软雅黑"/>
          <w:b/>
          <w:spacing w:val="-16"/>
          <w:sz w:val="21"/>
        </w:rPr>
        <w:t>三岁始理赔”、“单目失明 </w:t>
      </w:r>
      <w:r>
        <w:rPr>
          <w:rFonts w:ascii="Times New Roman" w:hAnsi="Times New Roman" w:eastAsia="Times New Roman"/>
          <w:b/>
          <w:spacing w:val="25"/>
          <w:sz w:val="21"/>
        </w:rPr>
        <w:t>- </w:t>
      </w:r>
      <w:r>
        <w:rPr>
          <w:rFonts w:ascii="微软雅黑" w:hAnsi="微软雅黑" w:eastAsia="微软雅黑"/>
          <w:b/>
          <w:sz w:val="21"/>
        </w:rPr>
        <w:t>三岁始理</w:t>
      </w:r>
      <w:r>
        <w:rPr>
          <w:rFonts w:ascii="微软雅黑" w:hAnsi="微软雅黑" w:eastAsia="微软雅黑"/>
          <w:b/>
          <w:spacing w:val="-2"/>
          <w:sz w:val="21"/>
        </w:rPr>
        <w:t>赔”和“角膜移植”三项中的其中一项承担保险责任，给付其中一</w:t>
      </w:r>
      <w:r>
        <w:rPr>
          <w:rFonts w:ascii="微软雅黑" w:hAnsi="微软雅黑" w:eastAsia="微软雅黑"/>
          <w:b/>
          <w:spacing w:val="-2"/>
          <w:sz w:val="21"/>
        </w:rPr>
        <w:t>项保险金后，对其它两项轻度疾病保险责任同时终止。</w:t>
      </w:r>
    </w:p>
    <w:p>
      <w:pPr>
        <w:spacing w:after="0" w:line="168" w:lineRule="auto"/>
        <w:jc w:val="both"/>
        <w:rPr>
          <w:rFonts w:ascii="微软雅黑" w:hAns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13"/>
        <w:ind w:left="0"/>
        <w:rPr>
          <w:rFonts w:ascii="微软雅黑"/>
          <w:b/>
          <w:sz w:val="8"/>
        </w:rPr>
      </w:pPr>
    </w:p>
    <w:p>
      <w:pPr>
        <w:spacing w:after="0"/>
        <w:rPr>
          <w:rFonts w:ascii="微软雅黑"/>
          <w:sz w:val="8"/>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6"/>
          <w:sz w:val="21"/>
        </w:rPr>
        <w:t>主动脉内手术（</w:t>
      </w:r>
      <w:r>
        <w:rPr>
          <w:rFonts w:ascii="微软雅黑" w:eastAsia="微软雅黑"/>
          <w:b/>
          <w:spacing w:val="-8"/>
          <w:sz w:val="21"/>
        </w:rPr>
        <w:t>非开</w:t>
      </w:r>
    </w:p>
    <w:p>
      <w:pPr>
        <w:spacing w:line="329" w:lineRule="exact" w:before="0"/>
        <w:ind w:left="1071" w:right="0" w:firstLine="0"/>
        <w:jc w:val="left"/>
        <w:rPr>
          <w:rFonts w:ascii="微软雅黑" w:eastAsia="微软雅黑"/>
          <w:b/>
          <w:sz w:val="21"/>
        </w:rPr>
      </w:pPr>
      <w:r>
        <w:rPr>
          <w:rFonts w:ascii="微软雅黑" w:eastAsia="微软雅黑"/>
          <w:b/>
          <w:sz w:val="21"/>
        </w:rPr>
        <w:t>胸或开腹手术</w:t>
      </w:r>
      <w:r>
        <w:rPr>
          <w:rFonts w:ascii="微软雅黑" w:eastAsia="微软雅黑"/>
          <w:b/>
          <w:spacing w:val="-10"/>
          <w:sz w:val="21"/>
        </w:rPr>
        <w:t>）</w:t>
      </w:r>
    </w:p>
    <w:p>
      <w:pPr>
        <w:pStyle w:val="BodyText"/>
        <w:spacing w:line="242" w:lineRule="auto" w:before="100"/>
        <w:ind w:left="174" w:right="729"/>
        <w:jc w:val="both"/>
      </w:pPr>
      <w:r>
        <w:rPr/>
        <w:br w:type="column"/>
      </w:r>
      <w:r>
        <w:rPr>
          <w:spacing w:val="-2"/>
        </w:rPr>
        <w:t>为了治疗主动脉疾病实际实施了经皮经导管进行的主动脉内手术，</w:t>
      </w:r>
      <w:r>
        <w:rPr>
          <w:spacing w:val="-2"/>
        </w:rPr>
        <w:t>且未达到本合同约定的重度疾病“主动脉手术”的赔付标准。主动</w:t>
      </w:r>
      <w:r>
        <w:rPr>
          <w:spacing w:val="-4"/>
        </w:rPr>
        <w:t>脉指升主动脉、主动脉弓和降主动脉（含胸主动脉和腹主动脉</w:t>
      </w:r>
      <w:r>
        <w:rPr>
          <w:spacing w:val="-70"/>
        </w:rPr>
        <w:t>）</w:t>
      </w:r>
      <w:r>
        <w:rPr>
          <w:spacing w:val="-37"/>
        </w:rPr>
        <w:t>，不</w:t>
      </w:r>
      <w:r>
        <w:rPr>
          <w:spacing w:val="-2"/>
        </w:rPr>
        <w:t>包括升主动脉、主动脉弓和降主动脉的分支血管。</w:t>
      </w:r>
    </w:p>
    <w:p>
      <w:pPr>
        <w:spacing w:after="0" w:line="242" w:lineRule="auto"/>
        <w:jc w:val="both"/>
        <w:sectPr>
          <w:type w:val="continuous"/>
          <w:pgSz w:w="11910" w:h="16840"/>
          <w:pgMar w:header="0" w:footer="878" w:top="160" w:bottom="280" w:left="1480" w:right="440"/>
          <w:cols w:num="2" w:equalWidth="0">
            <w:col w:w="2939" w:space="40"/>
            <w:col w:w="7011"/>
          </w:cols>
        </w:sectPr>
      </w:pPr>
    </w:p>
    <w:p>
      <w:pPr>
        <w:pStyle w:val="BodyText"/>
        <w:spacing w:before="7"/>
        <w:ind w:left="0"/>
        <w:rPr>
          <w:sz w:val="13"/>
        </w:rPr>
      </w:pPr>
    </w:p>
    <w:p>
      <w:pPr>
        <w:spacing w:after="0"/>
        <w:rPr>
          <w:sz w:val="13"/>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2"/>
          <w:sz w:val="21"/>
        </w:rPr>
        <w:t>脑垂体瘤、脑囊肿、</w:t>
      </w:r>
    </w:p>
    <w:p>
      <w:pPr>
        <w:spacing w:line="168" w:lineRule="auto" w:before="27"/>
        <w:ind w:left="1071" w:right="32" w:firstLine="0"/>
        <w:jc w:val="left"/>
        <w:rPr>
          <w:rFonts w:ascii="微软雅黑" w:eastAsia="微软雅黑"/>
          <w:b/>
          <w:sz w:val="21"/>
        </w:rPr>
      </w:pPr>
      <w:r>
        <w:rPr>
          <w:rFonts w:ascii="微软雅黑" w:eastAsia="微软雅黑"/>
          <w:b/>
          <w:spacing w:val="19"/>
          <w:sz w:val="21"/>
        </w:rPr>
        <w:t>脑动脉瘤及脑血管</w:t>
      </w:r>
      <w:r>
        <w:rPr>
          <w:rFonts w:ascii="微软雅黑" w:eastAsia="微软雅黑"/>
          <w:b/>
          <w:spacing w:val="-10"/>
          <w:sz w:val="21"/>
        </w:rPr>
        <w:t>瘤</w:t>
      </w:r>
    </w:p>
    <w:p>
      <w:pPr>
        <w:pStyle w:val="BodyText"/>
        <w:spacing w:line="244" w:lineRule="auto" w:before="100"/>
        <w:ind w:left="140" w:right="729"/>
      </w:pPr>
      <w:r>
        <w:rPr/>
        <w:br w:type="column"/>
      </w:r>
      <w:r>
        <w:rPr>
          <w:spacing w:val="-2"/>
        </w:rPr>
        <w:t>指被保险人经头颅断层扫描</w:t>
      </w:r>
      <w:r>
        <w:rPr>
          <w:spacing w:val="27"/>
        </w:rPr>
        <w:t>（</w:t>
      </w:r>
      <w:r>
        <w:rPr>
          <w:rFonts w:ascii="Times New Roman" w:eastAsia="Times New Roman"/>
          <w:spacing w:val="20"/>
        </w:rPr>
        <w:t>C</w:t>
      </w:r>
      <w:r>
        <w:rPr>
          <w:rFonts w:ascii="Times New Roman" w:eastAsia="Times New Roman"/>
          <w:spacing w:val="25"/>
        </w:rPr>
        <w:t>T</w:t>
      </w:r>
      <w:r>
        <w:rPr>
          <w:spacing w:val="-82"/>
        </w:rPr>
        <w:t>）</w:t>
      </w:r>
      <w:r>
        <w:rPr>
          <w:spacing w:val="-2"/>
        </w:rPr>
        <w:t>、核磁共振（</w:t>
      </w:r>
      <w:r>
        <w:rPr>
          <w:rFonts w:ascii="Times New Roman" w:eastAsia="Times New Roman"/>
          <w:spacing w:val="-2"/>
        </w:rPr>
        <w:t>MRI</w:t>
      </w:r>
      <w:r>
        <w:rPr>
          <w:spacing w:val="-2"/>
        </w:rPr>
        <w:t>）或其他影像</w:t>
      </w:r>
      <w:r>
        <w:rPr>
          <w:spacing w:val="-2"/>
        </w:rPr>
        <w:t>学检查被确诊为下列病变，并实际接受了手术或放射治疗。</w:t>
      </w:r>
    </w:p>
    <w:p>
      <w:pPr>
        <w:pStyle w:val="ListParagraph"/>
        <w:numPr>
          <w:ilvl w:val="0"/>
          <w:numId w:val="30"/>
        </w:numPr>
        <w:tabs>
          <w:tab w:pos="670" w:val="left" w:leader="none"/>
        </w:tabs>
        <w:spacing w:line="265" w:lineRule="exact" w:before="0" w:after="0"/>
        <w:ind w:left="669" w:right="0" w:hanging="530"/>
        <w:jc w:val="left"/>
        <w:rPr>
          <w:sz w:val="21"/>
        </w:rPr>
      </w:pPr>
      <w:r>
        <w:rPr>
          <w:spacing w:val="-4"/>
          <w:sz w:val="21"/>
        </w:rPr>
        <w:t>脑垂体瘤；</w:t>
      </w:r>
    </w:p>
    <w:p>
      <w:pPr>
        <w:pStyle w:val="ListParagraph"/>
        <w:numPr>
          <w:ilvl w:val="0"/>
          <w:numId w:val="30"/>
        </w:numPr>
        <w:tabs>
          <w:tab w:pos="670" w:val="left" w:leader="none"/>
        </w:tabs>
        <w:spacing w:line="240" w:lineRule="auto" w:before="5" w:after="0"/>
        <w:ind w:left="669" w:right="0" w:hanging="530"/>
        <w:jc w:val="left"/>
        <w:rPr>
          <w:sz w:val="21"/>
        </w:rPr>
      </w:pPr>
      <w:r>
        <w:rPr>
          <w:spacing w:val="-4"/>
          <w:sz w:val="21"/>
        </w:rPr>
        <w:t>脑囊肿；</w:t>
      </w:r>
    </w:p>
    <w:p>
      <w:pPr>
        <w:pStyle w:val="ListParagraph"/>
        <w:numPr>
          <w:ilvl w:val="0"/>
          <w:numId w:val="30"/>
        </w:numPr>
        <w:tabs>
          <w:tab w:pos="670" w:val="left" w:leader="none"/>
        </w:tabs>
        <w:spacing w:line="240" w:lineRule="auto" w:before="2" w:after="0"/>
        <w:ind w:left="669" w:right="0" w:hanging="530"/>
        <w:jc w:val="left"/>
        <w:rPr>
          <w:sz w:val="21"/>
        </w:rPr>
      </w:pPr>
      <w:r>
        <w:rPr>
          <w:spacing w:val="-3"/>
          <w:sz w:val="21"/>
        </w:rPr>
        <w:t>脑动脉瘤、脑血管瘤。</w:t>
      </w:r>
    </w:p>
    <w:p>
      <w:pPr>
        <w:pStyle w:val="BodyText"/>
        <w:spacing w:before="5"/>
        <w:ind w:left="0"/>
        <w:rPr>
          <w:sz w:val="20"/>
        </w:rPr>
      </w:pPr>
    </w:p>
    <w:p>
      <w:pPr>
        <w:spacing w:line="168" w:lineRule="auto" w:before="0"/>
        <w:ind w:left="140" w:right="715" w:firstLine="0"/>
        <w:jc w:val="both"/>
        <w:rPr>
          <w:rFonts w:ascii="微软雅黑" w:hAnsi="微软雅黑" w:eastAsia="微软雅黑"/>
          <w:b/>
          <w:sz w:val="21"/>
        </w:rPr>
      </w:pPr>
      <w:r>
        <w:rPr>
          <w:rFonts w:ascii="微软雅黑" w:hAnsi="微软雅黑" w:eastAsia="微软雅黑"/>
          <w:b/>
          <w:spacing w:val="-17"/>
          <w:sz w:val="21"/>
        </w:rPr>
        <w:t>本公司对“微创颅脑手术”、“脑垂体瘤、脑囊肿、脑动脉瘤及脑血</w:t>
      </w:r>
      <w:r>
        <w:rPr>
          <w:rFonts w:ascii="微软雅黑" w:hAnsi="微软雅黑" w:eastAsia="微软雅黑"/>
          <w:b/>
          <w:spacing w:val="-2"/>
          <w:sz w:val="21"/>
        </w:rPr>
        <w:t>管瘤”和“植入大脑内分流器”三项中的其中一项承担保险责任，</w:t>
      </w:r>
      <w:r>
        <w:rPr>
          <w:rFonts w:ascii="微软雅黑" w:hAnsi="微软雅黑" w:eastAsia="微软雅黑"/>
          <w:b/>
          <w:spacing w:val="-3"/>
          <w:sz w:val="21"/>
        </w:rPr>
        <w:t>给付其中一项保险金后，对其他两项轻度疾病保险责任同时终止。</w:t>
      </w:r>
    </w:p>
    <w:p>
      <w:pPr>
        <w:spacing w:after="0" w:line="168" w:lineRule="auto"/>
        <w:jc w:val="both"/>
        <w:rPr>
          <w:rFonts w:ascii="微软雅黑" w:hAnsi="微软雅黑" w:eastAsia="微软雅黑"/>
          <w:sz w:val="21"/>
        </w:rPr>
        <w:sectPr>
          <w:type w:val="continuous"/>
          <w:pgSz w:w="11910" w:h="16840"/>
          <w:pgMar w:header="0" w:footer="878" w:top="160" w:bottom="280" w:left="1480" w:right="440"/>
          <w:cols w:num="2" w:equalWidth="0">
            <w:col w:w="2973" w:space="40"/>
            <w:col w:w="6977"/>
          </w:cols>
        </w:sectPr>
      </w:pPr>
    </w:p>
    <w:p>
      <w:pPr>
        <w:pStyle w:val="BodyText"/>
        <w:spacing w:before="13"/>
        <w:ind w:left="0"/>
        <w:rPr>
          <w:rFonts w:ascii="微软雅黑"/>
          <w:b/>
          <w:sz w:val="8"/>
        </w:rPr>
      </w:pPr>
    </w:p>
    <w:p>
      <w:pPr>
        <w:pStyle w:val="ListParagraph"/>
        <w:numPr>
          <w:ilvl w:val="1"/>
          <w:numId w:val="27"/>
        </w:numPr>
        <w:tabs>
          <w:tab w:pos="1071" w:val="left" w:leader="none"/>
          <w:tab w:pos="1072" w:val="left" w:leader="none"/>
          <w:tab w:pos="3152" w:val="left" w:leader="none"/>
        </w:tabs>
        <w:spacing w:line="364" w:lineRule="exact" w:before="33" w:after="0"/>
        <w:ind w:left="1071" w:right="0" w:hanging="850"/>
        <w:jc w:val="left"/>
        <w:rPr>
          <w:sz w:val="21"/>
        </w:rPr>
      </w:pPr>
      <w:r>
        <w:rPr>
          <w:rFonts w:ascii="微软雅黑" w:hAnsi="微软雅黑" w:eastAsia="微软雅黑"/>
          <w:b/>
          <w:sz w:val="21"/>
        </w:rPr>
        <w:t>较小面积</w:t>
      </w:r>
      <w:r>
        <w:rPr>
          <w:rFonts w:ascii="微软雅黑" w:hAnsi="微软雅黑" w:eastAsia="微软雅黑"/>
          <w:b/>
          <w:spacing w:val="-12"/>
          <w:sz w:val="21"/>
        </w:rPr>
        <w:t> </w:t>
      </w:r>
      <w:r>
        <w:rPr>
          <w:rFonts w:ascii="Times New Roman" w:hAnsi="Times New Roman" w:eastAsia="Times New Roman"/>
          <w:b/>
          <w:sz w:val="21"/>
        </w:rPr>
        <w:t>III</w:t>
      </w:r>
      <w:r>
        <w:rPr>
          <w:rFonts w:ascii="Times New Roman" w:hAnsi="Times New Roman" w:eastAsia="Times New Roman"/>
          <w:b/>
          <w:spacing w:val="-3"/>
          <w:sz w:val="21"/>
        </w:rPr>
        <w:t> </w:t>
      </w:r>
      <w:r>
        <w:rPr>
          <w:rFonts w:ascii="微软雅黑" w:hAnsi="微软雅黑" w:eastAsia="微软雅黑"/>
          <w:b/>
          <w:sz w:val="21"/>
        </w:rPr>
        <w:t>度烧</w:t>
      </w:r>
      <w:r>
        <w:rPr>
          <w:rFonts w:ascii="微软雅黑" w:hAnsi="微软雅黑" w:eastAsia="微软雅黑"/>
          <w:b/>
          <w:spacing w:val="-10"/>
          <w:sz w:val="21"/>
        </w:rPr>
        <w:t>伤</w:t>
      </w:r>
      <w:r>
        <w:rPr>
          <w:rFonts w:ascii="微软雅黑" w:hAnsi="微软雅黑" w:eastAsia="微软雅黑"/>
          <w:b/>
          <w:sz w:val="21"/>
        </w:rPr>
        <w:tab/>
      </w:r>
      <w:r>
        <w:rPr>
          <w:sz w:val="21"/>
        </w:rPr>
        <w:t>指</w:t>
      </w:r>
      <w:r>
        <w:rPr>
          <w:sz w:val="21"/>
        </w:rPr>
        <w:t>烧</w:t>
      </w:r>
      <w:r>
        <w:rPr>
          <w:sz w:val="21"/>
        </w:rPr>
        <w:t>伤</w:t>
      </w:r>
      <w:r>
        <w:rPr>
          <w:sz w:val="21"/>
        </w:rPr>
        <w:t>程</w:t>
      </w:r>
      <w:r>
        <w:rPr>
          <w:sz w:val="21"/>
        </w:rPr>
        <w:t>度</w:t>
      </w:r>
      <w:r>
        <w:rPr>
          <w:sz w:val="21"/>
        </w:rPr>
        <w:t>为</w:t>
      </w:r>
      <w:r>
        <w:rPr>
          <w:sz w:val="21"/>
        </w:rPr>
        <w:t>Ⅲ</w:t>
      </w:r>
      <w:r>
        <w:rPr>
          <w:sz w:val="21"/>
        </w:rPr>
        <w:t>度</w:t>
      </w:r>
      <w:r>
        <w:rPr>
          <w:sz w:val="21"/>
        </w:rPr>
        <w:t>，且Ⅲ</w:t>
      </w:r>
      <w:r>
        <w:rPr>
          <w:sz w:val="21"/>
        </w:rPr>
        <w:t>度</w:t>
      </w:r>
      <w:r>
        <w:rPr>
          <w:sz w:val="21"/>
        </w:rPr>
        <w:t>烧</w:t>
      </w:r>
      <w:r>
        <w:rPr>
          <w:sz w:val="21"/>
        </w:rPr>
        <w:t>伤</w:t>
      </w:r>
      <w:r>
        <w:rPr>
          <w:sz w:val="21"/>
        </w:rPr>
        <w:t>面</w:t>
      </w:r>
      <w:r>
        <w:rPr>
          <w:sz w:val="21"/>
        </w:rPr>
        <w:t>积</w:t>
      </w:r>
      <w:r>
        <w:rPr>
          <w:sz w:val="21"/>
        </w:rPr>
        <w:t>为</w:t>
      </w:r>
      <w:r>
        <w:rPr>
          <w:sz w:val="21"/>
        </w:rPr>
        <w:t>全</w:t>
      </w:r>
      <w:r>
        <w:rPr>
          <w:sz w:val="21"/>
        </w:rPr>
        <w:t>身</w:t>
      </w:r>
      <w:r>
        <w:rPr>
          <w:sz w:val="21"/>
        </w:rPr>
        <w:t>体表面积的</w:t>
      </w:r>
      <w:r>
        <w:rPr>
          <w:spacing w:val="45"/>
          <w:w w:val="150"/>
          <w:sz w:val="21"/>
        </w:rPr>
        <w:t> </w:t>
      </w:r>
      <w:r>
        <w:rPr>
          <w:rFonts w:ascii="Times New Roman" w:hAnsi="Times New Roman" w:eastAsia="Times New Roman"/>
          <w:sz w:val="21"/>
        </w:rPr>
        <w:t>10%</w:t>
      </w:r>
      <w:r>
        <w:rPr>
          <w:sz w:val="21"/>
        </w:rPr>
        <w:t>或</w:t>
      </w:r>
      <w:r>
        <w:rPr>
          <w:spacing w:val="-10"/>
          <w:sz w:val="21"/>
        </w:rPr>
        <w:t>者</w:t>
      </w:r>
    </w:p>
    <w:p>
      <w:pPr>
        <w:pStyle w:val="BodyText"/>
        <w:spacing w:line="246" w:lineRule="exact"/>
      </w:pPr>
      <w:r>
        <w:rPr>
          <w:rFonts w:ascii="Times New Roman" w:eastAsia="Times New Roman"/>
          <w:spacing w:val="-4"/>
        </w:rPr>
        <w:t>10%</w:t>
      </w:r>
      <w:r>
        <w:rPr>
          <w:spacing w:val="-10"/>
        </w:rPr>
        <w:t>以上，但尚未达到 </w:t>
      </w:r>
      <w:r>
        <w:rPr>
          <w:rFonts w:ascii="Times New Roman" w:eastAsia="Times New Roman"/>
          <w:spacing w:val="-4"/>
        </w:rPr>
        <w:t>20%</w:t>
      </w:r>
      <w:r>
        <w:rPr>
          <w:spacing w:val="-5"/>
        </w:rPr>
        <w:t>。体表面积根据《中国新九分法》计算。</w:t>
      </w:r>
    </w:p>
    <w:p>
      <w:pPr>
        <w:pStyle w:val="BodyText"/>
        <w:spacing w:before="9"/>
        <w:ind w:left="0"/>
        <w:rPr>
          <w:sz w:val="13"/>
        </w:rPr>
      </w:pPr>
    </w:p>
    <w:p>
      <w:pPr>
        <w:spacing w:after="0"/>
        <w:rPr>
          <w:sz w:val="13"/>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168" w:lineRule="auto" w:before="116" w:after="0"/>
        <w:ind w:left="1071" w:right="0" w:hanging="850"/>
        <w:jc w:val="left"/>
        <w:rPr>
          <w:rFonts w:ascii="微软雅黑" w:eastAsia="微软雅黑"/>
          <w:b/>
          <w:sz w:val="21"/>
        </w:rPr>
      </w:pPr>
      <w:r>
        <w:rPr>
          <w:rFonts w:ascii="微软雅黑" w:eastAsia="微软雅黑"/>
          <w:b/>
          <w:spacing w:val="19"/>
          <w:sz w:val="21"/>
        </w:rPr>
        <w:t>因肾上腺皮质腺瘤</w:t>
      </w:r>
      <w:r>
        <w:rPr>
          <w:rFonts w:ascii="微软雅黑" w:eastAsia="微软雅黑"/>
          <w:b/>
          <w:spacing w:val="-2"/>
          <w:sz w:val="21"/>
        </w:rPr>
        <w:t>切除肾上腺</w:t>
      </w:r>
    </w:p>
    <w:p>
      <w:pPr>
        <w:pStyle w:val="BodyText"/>
        <w:spacing w:line="242" w:lineRule="auto" w:before="100"/>
        <w:ind w:left="175" w:right="729"/>
        <w:jc w:val="both"/>
      </w:pPr>
      <w:r>
        <w:rPr/>
        <w:br w:type="column"/>
      </w:r>
      <w:r>
        <w:rPr>
          <w:spacing w:val="-2"/>
        </w:rPr>
        <w:t>因肾上腺皮质腺瘤所导致的醛固酮分泌过多而产生的继发性恶性高</w:t>
      </w:r>
      <w:r>
        <w:rPr>
          <w:spacing w:val="-2"/>
        </w:rPr>
        <w:t>血压而实际接受了肾上腺切除术治疗。此诊断及治疗均须在本公司</w:t>
      </w:r>
      <w:r>
        <w:rPr>
          <w:spacing w:val="-2"/>
        </w:rPr>
        <w:t>认可医院内由专科医生认为是医疗必需的情况下进行。</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ListParagraph"/>
        <w:numPr>
          <w:ilvl w:val="1"/>
          <w:numId w:val="27"/>
        </w:numPr>
        <w:tabs>
          <w:tab w:pos="1071" w:val="left" w:leader="none"/>
          <w:tab w:pos="1072" w:val="left" w:leader="none"/>
          <w:tab w:pos="3152" w:val="left" w:leader="none"/>
        </w:tabs>
        <w:spacing w:line="364" w:lineRule="exact" w:before="11" w:after="0"/>
        <w:ind w:left="1071" w:right="0" w:hanging="850"/>
        <w:jc w:val="left"/>
        <w:rPr>
          <w:sz w:val="21"/>
        </w:rPr>
      </w:pPr>
      <w:r>
        <w:rPr>
          <w:rFonts w:ascii="微软雅黑" w:eastAsia="微软雅黑"/>
          <w:b/>
          <w:sz w:val="21"/>
        </w:rPr>
        <w:t>多发性硬化</w:t>
      </w:r>
      <w:r>
        <w:rPr>
          <w:rFonts w:ascii="微软雅黑" w:eastAsia="微软雅黑"/>
          <w:b/>
          <w:spacing w:val="-10"/>
          <w:sz w:val="21"/>
        </w:rPr>
        <w:t>症</w:t>
      </w:r>
      <w:r>
        <w:rPr>
          <w:rFonts w:ascii="微软雅黑" w:eastAsia="微软雅黑"/>
          <w:b/>
          <w:sz w:val="21"/>
        </w:rPr>
        <w:tab/>
      </w:r>
      <w:r>
        <w:rPr>
          <w:spacing w:val="-2"/>
          <w:sz w:val="21"/>
        </w:rPr>
        <w:t>多</w:t>
      </w:r>
      <w:r>
        <w:rPr>
          <w:spacing w:val="-2"/>
          <w:sz w:val="21"/>
        </w:rPr>
        <w:t>发</w:t>
      </w:r>
      <w:r>
        <w:rPr>
          <w:spacing w:val="-2"/>
          <w:sz w:val="21"/>
        </w:rPr>
        <w:t>性</w:t>
      </w:r>
      <w:r>
        <w:rPr>
          <w:spacing w:val="-2"/>
          <w:sz w:val="21"/>
        </w:rPr>
        <w:t>硬</w:t>
      </w:r>
      <w:r>
        <w:rPr>
          <w:spacing w:val="-2"/>
          <w:sz w:val="21"/>
        </w:rPr>
        <w:t>化</w:t>
      </w:r>
      <w:r>
        <w:rPr>
          <w:spacing w:val="-2"/>
          <w:sz w:val="21"/>
        </w:rPr>
        <w:t>为中枢</w:t>
      </w:r>
      <w:r>
        <w:rPr>
          <w:spacing w:val="-2"/>
          <w:sz w:val="21"/>
        </w:rPr>
        <w:t>神</w:t>
      </w:r>
      <w:r>
        <w:rPr>
          <w:spacing w:val="-2"/>
          <w:sz w:val="21"/>
        </w:rPr>
        <w:t>经</w:t>
      </w:r>
      <w:r>
        <w:rPr>
          <w:spacing w:val="-2"/>
          <w:sz w:val="21"/>
        </w:rPr>
        <w:t>系</w:t>
      </w:r>
      <w:r>
        <w:rPr>
          <w:spacing w:val="-2"/>
          <w:sz w:val="21"/>
        </w:rPr>
        <w:t>统</w:t>
      </w:r>
      <w:r>
        <w:rPr>
          <w:spacing w:val="-2"/>
          <w:sz w:val="21"/>
        </w:rPr>
        <w:t>白</w:t>
      </w:r>
      <w:r>
        <w:rPr>
          <w:spacing w:val="-2"/>
          <w:sz w:val="21"/>
        </w:rPr>
        <w:t>质</w:t>
      </w:r>
      <w:r>
        <w:rPr>
          <w:spacing w:val="-2"/>
          <w:sz w:val="21"/>
        </w:rPr>
        <w:t>多</w:t>
      </w:r>
      <w:r>
        <w:rPr>
          <w:spacing w:val="-2"/>
          <w:sz w:val="21"/>
        </w:rPr>
        <w:t>灶</w:t>
      </w:r>
      <w:r>
        <w:rPr>
          <w:spacing w:val="-2"/>
          <w:sz w:val="21"/>
        </w:rPr>
        <w:t>性脱髓</w:t>
      </w:r>
      <w:r>
        <w:rPr>
          <w:spacing w:val="-2"/>
          <w:sz w:val="21"/>
        </w:rPr>
        <w:t>鞘</w:t>
      </w:r>
      <w:r>
        <w:rPr>
          <w:spacing w:val="-2"/>
          <w:sz w:val="21"/>
        </w:rPr>
        <w:t>病</w:t>
      </w:r>
      <w:r>
        <w:rPr>
          <w:spacing w:val="-2"/>
          <w:sz w:val="21"/>
        </w:rPr>
        <w:t>变，</w:t>
      </w:r>
      <w:r>
        <w:rPr>
          <w:spacing w:val="-2"/>
          <w:sz w:val="21"/>
        </w:rPr>
        <w:t>病</w:t>
      </w:r>
      <w:r>
        <w:rPr>
          <w:spacing w:val="-2"/>
          <w:sz w:val="21"/>
        </w:rPr>
        <w:t>变</w:t>
      </w:r>
      <w:r>
        <w:rPr>
          <w:spacing w:val="-2"/>
          <w:sz w:val="21"/>
        </w:rPr>
        <w:t>有</w:t>
      </w:r>
      <w:r>
        <w:rPr>
          <w:spacing w:val="-2"/>
          <w:sz w:val="21"/>
        </w:rPr>
        <w:t>时</w:t>
      </w:r>
      <w:r>
        <w:rPr>
          <w:spacing w:val="-2"/>
          <w:sz w:val="21"/>
        </w:rPr>
        <w:t>累</w:t>
      </w:r>
      <w:r>
        <w:rPr>
          <w:spacing w:val="-10"/>
          <w:sz w:val="21"/>
        </w:rPr>
        <w:t>及</w:t>
      </w:r>
    </w:p>
    <w:p>
      <w:pPr>
        <w:pStyle w:val="BodyText"/>
        <w:spacing w:line="246" w:lineRule="exact"/>
      </w:pPr>
      <w:r>
        <w:rPr>
          <w:spacing w:val="-3"/>
        </w:rPr>
        <w:t>灰质。多发性硬化症必须明确诊断，但并未到达重度疾病“严重多</w:t>
      </w:r>
    </w:p>
    <w:p>
      <w:pPr>
        <w:pStyle w:val="BodyText"/>
        <w:spacing w:before="2"/>
      </w:pPr>
      <w:r>
        <w:rPr>
          <w:spacing w:val="-3"/>
        </w:rPr>
        <w:t>发性硬化症”的给付标准，并且满足下列全部条件：</w:t>
      </w:r>
    </w:p>
    <w:p>
      <w:pPr>
        <w:pStyle w:val="ListParagraph"/>
        <w:numPr>
          <w:ilvl w:val="0"/>
          <w:numId w:val="31"/>
        </w:numPr>
        <w:tabs>
          <w:tab w:pos="3682" w:val="left" w:leader="none"/>
        </w:tabs>
        <w:spacing w:line="242" w:lineRule="auto" w:before="4" w:after="0"/>
        <w:ind w:left="3678" w:right="729" w:hanging="526"/>
        <w:jc w:val="left"/>
        <w:rPr>
          <w:sz w:val="21"/>
        </w:rPr>
      </w:pPr>
      <w:r>
        <w:rPr>
          <w:spacing w:val="-2"/>
          <w:sz w:val="21"/>
        </w:rPr>
        <w:t>计算机断层扫描</w:t>
      </w:r>
      <w:r>
        <w:rPr>
          <w:spacing w:val="22"/>
          <w:sz w:val="21"/>
        </w:rPr>
        <w:t>（</w:t>
      </w:r>
      <w:r>
        <w:rPr>
          <w:rFonts w:ascii="Times New Roman" w:eastAsia="Times New Roman"/>
          <w:spacing w:val="23"/>
          <w:sz w:val="21"/>
        </w:rPr>
        <w:t>C</w:t>
      </w:r>
      <w:r>
        <w:rPr>
          <w:rFonts w:ascii="Times New Roman" w:eastAsia="Times New Roman"/>
          <w:spacing w:val="25"/>
          <w:sz w:val="21"/>
        </w:rPr>
        <w:t>T</w:t>
      </w:r>
      <w:r>
        <w:rPr>
          <w:spacing w:val="-81"/>
          <w:sz w:val="21"/>
        </w:rPr>
        <w:t>）</w:t>
      </w:r>
      <w:r>
        <w:rPr>
          <w:spacing w:val="-2"/>
          <w:sz w:val="21"/>
        </w:rPr>
        <w:t>、核磁共振检查（</w:t>
      </w:r>
      <w:r>
        <w:rPr>
          <w:rFonts w:ascii="Times New Roman" w:eastAsia="Times New Roman"/>
          <w:spacing w:val="-2"/>
          <w:sz w:val="21"/>
        </w:rPr>
        <w:t>MRI</w:t>
      </w:r>
      <w:r>
        <w:rPr>
          <w:spacing w:val="-2"/>
          <w:sz w:val="21"/>
        </w:rPr>
        <w:t>）或正电子发</w:t>
      </w:r>
      <w:r>
        <w:rPr>
          <w:spacing w:val="-2"/>
          <w:sz w:val="21"/>
        </w:rPr>
        <w:t>射断层扫描（</w:t>
      </w:r>
      <w:r>
        <w:rPr>
          <w:rFonts w:ascii="Times New Roman" w:eastAsia="Times New Roman"/>
          <w:spacing w:val="-2"/>
          <w:sz w:val="21"/>
        </w:rPr>
        <w:t>PET</w:t>
      </w:r>
      <w:r>
        <w:rPr>
          <w:spacing w:val="-2"/>
          <w:sz w:val="21"/>
        </w:rPr>
        <w:t>）等影像学检查证实存在中枢神经系统白质</w:t>
      </w:r>
      <w:r>
        <w:rPr>
          <w:spacing w:val="-2"/>
          <w:sz w:val="21"/>
        </w:rPr>
        <w:t>内多发病灶；</w:t>
      </w:r>
    </w:p>
    <w:p>
      <w:pPr>
        <w:pStyle w:val="ListParagraph"/>
        <w:numPr>
          <w:ilvl w:val="0"/>
          <w:numId w:val="31"/>
        </w:numPr>
        <w:tabs>
          <w:tab w:pos="3682" w:val="left" w:leader="none"/>
        </w:tabs>
        <w:spacing w:line="242" w:lineRule="auto" w:before="1" w:after="0"/>
        <w:ind w:left="3678" w:right="842" w:hanging="526"/>
        <w:jc w:val="left"/>
        <w:rPr>
          <w:sz w:val="21"/>
        </w:rPr>
      </w:pPr>
      <w:r>
        <w:rPr>
          <w:spacing w:val="-2"/>
          <w:sz w:val="21"/>
        </w:rPr>
        <w:t>完整的医疗记录证实被保险人的疾病呈缓解复发和进展加重</w:t>
      </w:r>
      <w:r>
        <w:rPr>
          <w:spacing w:val="-4"/>
          <w:sz w:val="21"/>
        </w:rPr>
        <w:t>病程；</w:t>
      </w:r>
    </w:p>
    <w:p>
      <w:pPr>
        <w:pStyle w:val="ListParagraph"/>
        <w:numPr>
          <w:ilvl w:val="0"/>
          <w:numId w:val="31"/>
        </w:numPr>
        <w:tabs>
          <w:tab w:pos="3682" w:val="left" w:leader="none"/>
        </w:tabs>
        <w:spacing w:line="240" w:lineRule="auto" w:before="1" w:after="0"/>
        <w:ind w:left="3682" w:right="0" w:hanging="529"/>
        <w:jc w:val="left"/>
        <w:rPr>
          <w:sz w:val="21"/>
        </w:rPr>
      </w:pPr>
      <w:r>
        <w:rPr>
          <w:spacing w:val="-11"/>
          <w:sz w:val="21"/>
        </w:rPr>
        <w:t>存在持续 </w:t>
      </w:r>
      <w:r>
        <w:rPr>
          <w:rFonts w:ascii="Times New Roman" w:eastAsia="Times New Roman"/>
          <w:spacing w:val="-2"/>
          <w:sz w:val="21"/>
        </w:rPr>
        <w:t>180</w:t>
      </w:r>
      <w:r>
        <w:rPr>
          <w:rFonts w:ascii="Times New Roman" w:eastAsia="Times New Roman"/>
          <w:spacing w:val="9"/>
          <w:sz w:val="21"/>
        </w:rPr>
        <w:t> </w:t>
      </w:r>
      <w:r>
        <w:rPr>
          <w:spacing w:val="-3"/>
          <w:sz w:val="21"/>
        </w:rPr>
        <w:t>天以上的永久不可逆的神经系统功能损害。</w:t>
      </w:r>
    </w:p>
    <w:p>
      <w:pPr>
        <w:pStyle w:val="BodyText"/>
        <w:spacing w:before="4"/>
        <w:ind w:left="0"/>
        <w:rPr>
          <w:sz w:val="11"/>
        </w:rPr>
      </w:pPr>
    </w:p>
    <w:p>
      <w:pPr>
        <w:spacing w:after="0"/>
        <w:rPr>
          <w:sz w:val="11"/>
        </w:rPr>
        <w:sectPr>
          <w:pgSz w:w="11910" w:h="16840"/>
          <w:pgMar w:header="0" w:footer="878" w:top="1280" w:bottom="1060" w:left="1480" w:right="440"/>
        </w:sectPr>
      </w:pPr>
    </w:p>
    <w:p>
      <w:pPr>
        <w:pStyle w:val="ListParagraph"/>
        <w:numPr>
          <w:ilvl w:val="1"/>
          <w:numId w:val="27"/>
        </w:numPr>
        <w:tabs>
          <w:tab w:pos="1071" w:val="left" w:leader="none"/>
          <w:tab w:pos="1072" w:val="left" w:leader="none"/>
        </w:tabs>
        <w:spacing w:line="168" w:lineRule="auto" w:before="116" w:after="0"/>
        <w:ind w:left="1071" w:right="0" w:hanging="850"/>
        <w:jc w:val="left"/>
        <w:rPr>
          <w:rFonts w:ascii="微软雅黑" w:eastAsia="微软雅黑"/>
          <w:b/>
          <w:sz w:val="21"/>
        </w:rPr>
      </w:pPr>
      <w:r>
        <w:rPr>
          <w:rFonts w:ascii="微软雅黑" w:eastAsia="微软雅黑"/>
          <w:b/>
          <w:spacing w:val="19"/>
          <w:sz w:val="21"/>
        </w:rPr>
        <w:t>急性坏死性胰腺炎</w:t>
      </w:r>
      <w:r>
        <w:rPr>
          <w:rFonts w:ascii="微软雅黑" w:eastAsia="微软雅黑"/>
          <w:b/>
          <w:spacing w:val="-2"/>
          <w:sz w:val="21"/>
        </w:rPr>
        <w:t>腹腔镜手术</w:t>
      </w:r>
    </w:p>
    <w:p>
      <w:pPr>
        <w:pStyle w:val="BodyText"/>
        <w:spacing w:line="242" w:lineRule="auto" w:before="100"/>
        <w:ind w:left="175" w:right="729"/>
      </w:pPr>
      <w:r>
        <w:rPr/>
        <w:br w:type="column"/>
      </w:r>
      <w:r>
        <w:rPr>
          <w:spacing w:val="-2"/>
        </w:rPr>
        <w:t>指被保险人被确诊为急性坏死性胰腺炎，并实际接受了腹腔镜手术</w:t>
      </w:r>
      <w:r>
        <w:rPr>
          <w:spacing w:val="-2"/>
        </w:rPr>
        <w:t>治疗，以进行坏死组织清除、坏死病灶切除或胰腺切除。</w:t>
      </w:r>
    </w:p>
    <w:p>
      <w:pPr>
        <w:pStyle w:val="BodyText"/>
        <w:spacing w:before="3"/>
        <w:ind w:left="0"/>
        <w:rPr>
          <w:sz w:val="20"/>
        </w:rPr>
      </w:pPr>
    </w:p>
    <w:p>
      <w:pPr>
        <w:spacing w:line="168" w:lineRule="auto" w:before="0"/>
        <w:ind w:left="175" w:right="725" w:firstLine="0"/>
        <w:jc w:val="left"/>
        <w:rPr>
          <w:rFonts w:ascii="微软雅黑" w:eastAsia="微软雅黑"/>
          <w:b/>
          <w:sz w:val="21"/>
        </w:rPr>
      </w:pPr>
      <w:r>
        <w:rPr>
          <w:rFonts w:ascii="微软雅黑" w:eastAsia="微软雅黑"/>
          <w:b/>
          <w:spacing w:val="4"/>
          <w:w w:val="100"/>
          <w:sz w:val="21"/>
        </w:rPr>
        <w:t>因酗酒或饮酒过量所致的急性坏死性胰腺炎不在本保单保障范围</w:t>
      </w:r>
      <w:r>
        <w:rPr>
          <w:rFonts w:ascii="微软雅黑" w:eastAsia="微软雅黑"/>
          <w:b/>
          <w:w w:val="100"/>
          <w:sz w:val="21"/>
        </w:rPr>
        <w:t>内。</w:t>
      </w:r>
    </w:p>
    <w:p>
      <w:pPr>
        <w:spacing w:after="0" w:line="168" w:lineRule="auto"/>
        <w:jc w:val="left"/>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12"/>
        <w:ind w:left="0"/>
        <w:rPr>
          <w:rFonts w:ascii="微软雅黑"/>
          <w:b/>
          <w:sz w:val="8"/>
        </w:rPr>
      </w:pPr>
    </w:p>
    <w:p>
      <w:pPr>
        <w:pStyle w:val="ListParagraph"/>
        <w:numPr>
          <w:ilvl w:val="1"/>
          <w:numId w:val="27"/>
        </w:numPr>
        <w:tabs>
          <w:tab w:pos="1071" w:val="left" w:leader="none"/>
          <w:tab w:pos="1072" w:val="left" w:leader="none"/>
          <w:tab w:pos="3152" w:val="left" w:leader="none"/>
        </w:tabs>
        <w:spacing w:line="363" w:lineRule="exact" w:before="32" w:after="0"/>
        <w:ind w:left="1071" w:right="0" w:hanging="850"/>
        <w:jc w:val="left"/>
        <w:rPr>
          <w:sz w:val="21"/>
        </w:rPr>
      </w:pPr>
      <w:r>
        <w:rPr>
          <w:rFonts w:ascii="微软雅黑" w:eastAsia="微软雅黑"/>
          <w:b/>
          <w:sz w:val="21"/>
        </w:rPr>
        <w:t>单个肢体缺</w:t>
      </w:r>
      <w:r>
        <w:rPr>
          <w:rFonts w:ascii="微软雅黑" w:eastAsia="微软雅黑"/>
          <w:b/>
          <w:spacing w:val="-10"/>
          <w:sz w:val="21"/>
        </w:rPr>
        <w:t>失</w:t>
      </w:r>
      <w:r>
        <w:rPr>
          <w:rFonts w:ascii="微软雅黑" w:eastAsia="微软雅黑"/>
          <w:b/>
          <w:sz w:val="21"/>
        </w:rPr>
        <w:tab/>
      </w:r>
      <w:r>
        <w:rPr>
          <w:spacing w:val="-2"/>
          <w:sz w:val="21"/>
        </w:rPr>
        <w:t>指</w:t>
      </w:r>
      <w:r>
        <w:rPr>
          <w:spacing w:val="-2"/>
          <w:sz w:val="21"/>
        </w:rPr>
        <w:t>一</w:t>
      </w:r>
      <w:r>
        <w:rPr>
          <w:spacing w:val="-2"/>
          <w:sz w:val="21"/>
        </w:rPr>
        <w:t>个肢体自腕关节或踝</w:t>
      </w:r>
      <w:r>
        <w:rPr>
          <w:spacing w:val="-2"/>
          <w:sz w:val="21"/>
        </w:rPr>
        <w:t>关</w:t>
      </w:r>
      <w:r>
        <w:rPr>
          <w:spacing w:val="-2"/>
          <w:sz w:val="21"/>
        </w:rPr>
        <w:t>节</w:t>
      </w:r>
      <w:r>
        <w:rPr>
          <w:spacing w:val="-2"/>
          <w:sz w:val="21"/>
        </w:rPr>
        <w:t>近</w:t>
      </w:r>
      <w:r>
        <w:rPr>
          <w:spacing w:val="-51"/>
          <w:sz w:val="21"/>
        </w:rPr>
        <w:t>端</w:t>
      </w:r>
      <w:r>
        <w:rPr>
          <w:spacing w:val="-2"/>
          <w:sz w:val="21"/>
        </w:rPr>
        <w:t>（靠近躯干端</w:t>
      </w:r>
      <w:r>
        <w:rPr>
          <w:spacing w:val="-51"/>
          <w:sz w:val="21"/>
        </w:rPr>
        <w:t>）</w:t>
      </w:r>
      <w:r>
        <w:rPr>
          <w:spacing w:val="-2"/>
          <w:sz w:val="21"/>
        </w:rPr>
        <w:t>以</w:t>
      </w:r>
      <w:r>
        <w:rPr>
          <w:spacing w:val="-2"/>
          <w:sz w:val="21"/>
        </w:rPr>
        <w:t>上</w:t>
      </w:r>
      <w:r>
        <w:rPr>
          <w:spacing w:val="-2"/>
          <w:sz w:val="21"/>
        </w:rPr>
        <w:t>完</w:t>
      </w:r>
      <w:r>
        <w:rPr>
          <w:spacing w:val="-2"/>
          <w:sz w:val="21"/>
        </w:rPr>
        <w:t>全性断</w:t>
      </w:r>
      <w:r>
        <w:rPr>
          <w:spacing w:val="-2"/>
          <w:sz w:val="21"/>
        </w:rPr>
        <w:t>离</w:t>
      </w:r>
      <w:r>
        <w:rPr>
          <w:spacing w:val="-10"/>
          <w:sz w:val="21"/>
        </w:rPr>
        <w:t>，</w:t>
      </w:r>
    </w:p>
    <w:p>
      <w:pPr>
        <w:pStyle w:val="BodyText"/>
        <w:spacing w:line="245" w:lineRule="exact"/>
      </w:pPr>
      <w:r>
        <w:rPr>
          <w:spacing w:val="-3"/>
        </w:rPr>
        <w:t>但未达到本合同所指重度疾病“多个肢体缺失”的给付标准。</w:t>
      </w:r>
    </w:p>
    <w:p>
      <w:pPr>
        <w:pStyle w:val="BodyText"/>
        <w:spacing w:before="7"/>
        <w:ind w:left="0"/>
        <w:rPr>
          <w:sz w:val="20"/>
        </w:rPr>
      </w:pPr>
    </w:p>
    <w:p>
      <w:pPr>
        <w:spacing w:line="168" w:lineRule="auto" w:before="0"/>
        <w:ind w:left="3153" w:right="734" w:firstLine="0"/>
        <w:jc w:val="left"/>
        <w:rPr>
          <w:rFonts w:ascii="微软雅黑" w:hAnsi="微软雅黑" w:eastAsia="微软雅黑"/>
          <w:b/>
          <w:sz w:val="21"/>
        </w:rPr>
      </w:pPr>
      <w:r>
        <w:rPr>
          <w:rFonts w:ascii="微软雅黑" w:hAnsi="微软雅黑" w:eastAsia="微软雅黑"/>
          <w:b/>
          <w:spacing w:val="-2"/>
          <w:sz w:val="21"/>
        </w:rPr>
        <w:t>因“糖尿病导致单足切除”或者因“恶性肿瘤导致肢体切除”导致</w:t>
      </w:r>
      <w:r>
        <w:rPr>
          <w:rFonts w:ascii="微软雅黑" w:hAnsi="微软雅黑" w:eastAsia="微软雅黑"/>
          <w:b/>
          <w:spacing w:val="-2"/>
          <w:sz w:val="21"/>
        </w:rPr>
        <w:t>的单个肢体缺失不在本项保障范围内。</w:t>
      </w:r>
    </w:p>
    <w:p>
      <w:pPr>
        <w:pStyle w:val="BodyText"/>
        <w:spacing w:before="11"/>
        <w:ind w:left="0"/>
        <w:rPr>
          <w:rFonts w:ascii="微软雅黑"/>
          <w:b/>
          <w:sz w:val="8"/>
        </w:rPr>
      </w:pPr>
    </w:p>
    <w:p>
      <w:pPr>
        <w:spacing w:after="0"/>
        <w:rPr>
          <w:rFonts w:ascii="微软雅黑"/>
          <w:sz w:val="8"/>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168" w:lineRule="auto" w:before="116" w:after="0"/>
        <w:ind w:left="1071" w:right="0" w:hanging="850"/>
        <w:jc w:val="left"/>
        <w:rPr>
          <w:rFonts w:ascii="微软雅黑" w:eastAsia="微软雅黑"/>
          <w:b/>
          <w:sz w:val="21"/>
        </w:rPr>
      </w:pPr>
      <w:r>
        <w:rPr>
          <w:rFonts w:ascii="微软雅黑" w:eastAsia="微软雅黑"/>
          <w:b/>
          <w:spacing w:val="19"/>
          <w:sz w:val="21"/>
        </w:rPr>
        <w:t>强直性脊柱炎的特</w:t>
      </w:r>
      <w:r>
        <w:rPr>
          <w:rFonts w:ascii="微软雅黑" w:eastAsia="微软雅黑"/>
          <w:b/>
          <w:spacing w:val="-2"/>
          <w:sz w:val="21"/>
        </w:rPr>
        <w:t>定手术治疗</w:t>
      </w:r>
    </w:p>
    <w:p>
      <w:pPr>
        <w:pStyle w:val="BodyText"/>
        <w:spacing w:before="100"/>
        <w:ind w:left="175"/>
      </w:pPr>
      <w:r>
        <w:rPr/>
        <w:br w:type="column"/>
      </w:r>
      <w:r>
        <w:rPr>
          <w:spacing w:val="-3"/>
        </w:rPr>
        <w:t>指诊断为强直性脊柱炎，且满足下列全部条件：</w:t>
      </w:r>
    </w:p>
    <w:p>
      <w:pPr>
        <w:pStyle w:val="ListParagraph"/>
        <w:numPr>
          <w:ilvl w:val="0"/>
          <w:numId w:val="32"/>
        </w:numPr>
        <w:tabs>
          <w:tab w:pos="705" w:val="left" w:leader="none"/>
        </w:tabs>
        <w:spacing w:line="240" w:lineRule="auto" w:before="2" w:after="0"/>
        <w:ind w:left="704" w:right="0" w:hanging="530"/>
        <w:jc w:val="left"/>
        <w:rPr>
          <w:sz w:val="21"/>
        </w:rPr>
      </w:pPr>
      <w:r>
        <w:rPr>
          <w:spacing w:val="-3"/>
          <w:sz w:val="21"/>
        </w:rPr>
        <w:t>脊柱、髋、膝关节疼痛活动受限；</w:t>
      </w:r>
    </w:p>
    <w:p>
      <w:pPr>
        <w:pStyle w:val="ListParagraph"/>
        <w:numPr>
          <w:ilvl w:val="0"/>
          <w:numId w:val="32"/>
        </w:numPr>
        <w:tabs>
          <w:tab w:pos="705" w:val="left" w:leader="none"/>
        </w:tabs>
        <w:spacing w:line="240" w:lineRule="auto" w:before="4" w:after="0"/>
        <w:ind w:left="704" w:right="0" w:hanging="530"/>
        <w:jc w:val="left"/>
        <w:rPr>
          <w:sz w:val="21"/>
        </w:rPr>
      </w:pPr>
      <w:r>
        <w:rPr>
          <w:spacing w:val="-3"/>
          <w:sz w:val="21"/>
        </w:rPr>
        <w:t>脊柱后凸畸形，髋、膝关节强直；</w:t>
      </w:r>
    </w:p>
    <w:p>
      <w:pPr>
        <w:pStyle w:val="BodyText"/>
        <w:spacing w:before="2"/>
        <w:ind w:left="175"/>
      </w:pPr>
      <w:r>
        <w:rPr>
          <w:spacing w:val="-2"/>
        </w:rPr>
        <w:t>（</w:t>
      </w:r>
      <w:r>
        <w:rPr>
          <w:rFonts w:ascii="Times New Roman" w:eastAsia="Times New Roman"/>
          <w:spacing w:val="-2"/>
        </w:rPr>
        <w:t>3</w:t>
      </w:r>
      <w:r>
        <w:rPr>
          <w:spacing w:val="-2"/>
        </w:rPr>
        <w:t>）</w:t>
      </w:r>
      <w:r>
        <w:rPr>
          <w:rFonts w:ascii="Times New Roman" w:eastAsia="Times New Roman"/>
          <w:spacing w:val="-2"/>
        </w:rPr>
        <w:t>X</w:t>
      </w:r>
      <w:r>
        <w:rPr>
          <w:rFonts w:ascii="Times New Roman" w:eastAsia="Times New Roman"/>
          <w:spacing w:val="8"/>
        </w:rPr>
        <w:t> </w:t>
      </w:r>
      <w:r>
        <w:rPr>
          <w:spacing w:val="-3"/>
        </w:rPr>
        <w:t>线关节结构破坏征象；</w:t>
      </w:r>
    </w:p>
    <w:p>
      <w:pPr>
        <w:pStyle w:val="BodyText"/>
        <w:spacing w:before="5"/>
        <w:ind w:left="175"/>
      </w:pPr>
      <w:r>
        <w:rPr>
          <w:spacing w:val="-2"/>
        </w:rPr>
        <w:t>（</w:t>
      </w:r>
      <w:r>
        <w:rPr>
          <w:rFonts w:ascii="Times New Roman" w:eastAsia="Times New Roman"/>
          <w:spacing w:val="-2"/>
        </w:rPr>
        <w:t>4</w:t>
      </w:r>
      <w:r>
        <w:rPr>
          <w:spacing w:val="-2"/>
        </w:rPr>
        <w:t>）</w:t>
      </w:r>
      <w:r>
        <w:rPr>
          <w:spacing w:val="-3"/>
        </w:rPr>
        <w:t>实际实施了下列手术治疗的一项或多项：</w:t>
      </w:r>
    </w:p>
    <w:p>
      <w:pPr>
        <w:pStyle w:val="BodyText"/>
        <w:spacing w:before="2"/>
        <w:ind w:left="701"/>
      </w:pPr>
      <w:r>
        <w:rPr>
          <w:spacing w:val="-4"/>
        </w:rPr>
        <w:t>①脊柱截骨手术；</w:t>
      </w:r>
    </w:p>
    <w:p>
      <w:pPr>
        <w:pStyle w:val="BodyText"/>
        <w:spacing w:before="5"/>
        <w:ind w:left="701"/>
      </w:pPr>
      <w:r>
        <w:rPr>
          <w:spacing w:val="-3"/>
        </w:rPr>
        <w:t>②全髋关节置换手术；</w:t>
      </w:r>
    </w:p>
    <w:p>
      <w:pPr>
        <w:pStyle w:val="BodyText"/>
        <w:spacing w:before="2"/>
        <w:ind w:left="701"/>
      </w:pPr>
      <w:r>
        <w:rPr>
          <w:spacing w:val="-3"/>
        </w:rPr>
        <w:t>③膝关节置换手术。</w:t>
      </w:r>
    </w:p>
    <w:p>
      <w:pPr>
        <w:spacing w:after="0"/>
        <w:sectPr>
          <w:type w:val="continuous"/>
          <w:pgSz w:w="11910" w:h="16840"/>
          <w:pgMar w:header="0" w:footer="878" w:top="160" w:bottom="280" w:left="1480" w:right="440"/>
          <w:cols w:num="2" w:equalWidth="0">
            <w:col w:w="2938" w:space="40"/>
            <w:col w:w="7012"/>
          </w:cols>
        </w:sectPr>
      </w:pPr>
    </w:p>
    <w:p>
      <w:pPr>
        <w:pStyle w:val="BodyText"/>
        <w:spacing w:before="9"/>
        <w:ind w:left="0"/>
        <w:rPr>
          <w:sz w:val="13"/>
        </w:rPr>
      </w:pPr>
    </w:p>
    <w:p>
      <w:pPr>
        <w:pStyle w:val="ListParagraph"/>
        <w:numPr>
          <w:ilvl w:val="1"/>
          <w:numId w:val="27"/>
        </w:numPr>
        <w:tabs>
          <w:tab w:pos="1071" w:val="left" w:leader="none"/>
          <w:tab w:pos="1072" w:val="left" w:leader="none"/>
          <w:tab w:pos="3152" w:val="left" w:leader="none"/>
        </w:tabs>
        <w:spacing w:line="364" w:lineRule="exact" w:before="33" w:after="0"/>
        <w:ind w:left="1071" w:right="0" w:hanging="850"/>
        <w:jc w:val="left"/>
        <w:rPr>
          <w:sz w:val="21"/>
        </w:rPr>
      </w:pPr>
      <w:r>
        <w:rPr>
          <w:rFonts w:ascii="微软雅黑" w:eastAsia="微软雅黑"/>
          <w:b/>
          <w:sz w:val="21"/>
        </w:rPr>
        <w:t>慢性肾功能损</w:t>
      </w:r>
      <w:r>
        <w:rPr>
          <w:rFonts w:ascii="微软雅黑" w:eastAsia="微软雅黑"/>
          <w:b/>
          <w:spacing w:val="-10"/>
          <w:sz w:val="21"/>
        </w:rPr>
        <w:t>害</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因双肾功能慢</w:t>
      </w:r>
      <w:r>
        <w:rPr>
          <w:spacing w:val="-2"/>
          <w:sz w:val="21"/>
        </w:rPr>
        <w:t>性</w:t>
      </w:r>
      <w:r>
        <w:rPr>
          <w:spacing w:val="-2"/>
          <w:sz w:val="21"/>
        </w:rPr>
        <w:t>不</w:t>
      </w:r>
      <w:r>
        <w:rPr>
          <w:spacing w:val="-2"/>
          <w:sz w:val="21"/>
        </w:rPr>
        <w:t>可</w:t>
      </w:r>
      <w:r>
        <w:rPr>
          <w:spacing w:val="-2"/>
          <w:sz w:val="21"/>
        </w:rPr>
        <w:t>逆</w:t>
      </w:r>
      <w:r>
        <w:rPr>
          <w:spacing w:val="-2"/>
          <w:sz w:val="21"/>
        </w:rPr>
        <w:t>性</w:t>
      </w:r>
      <w:r>
        <w:rPr>
          <w:spacing w:val="-2"/>
          <w:sz w:val="21"/>
        </w:rPr>
        <w:t>损害，</w:t>
      </w:r>
      <w:r>
        <w:rPr>
          <w:spacing w:val="-2"/>
          <w:sz w:val="21"/>
        </w:rPr>
        <w:t>达</w:t>
      </w:r>
      <w:r>
        <w:rPr>
          <w:spacing w:val="-2"/>
          <w:sz w:val="21"/>
        </w:rPr>
        <w:t>到</w:t>
      </w:r>
      <w:r>
        <w:rPr>
          <w:spacing w:val="-2"/>
          <w:sz w:val="21"/>
        </w:rPr>
        <w:t>肾</w:t>
      </w:r>
      <w:r>
        <w:rPr>
          <w:spacing w:val="-2"/>
          <w:sz w:val="21"/>
        </w:rPr>
        <w:t>功</w:t>
      </w:r>
      <w:r>
        <w:rPr>
          <w:spacing w:val="-2"/>
          <w:sz w:val="21"/>
        </w:rPr>
        <w:t>能</w:t>
      </w:r>
      <w:r>
        <w:rPr>
          <w:spacing w:val="-2"/>
          <w:sz w:val="21"/>
        </w:rPr>
        <w:t>衰</w:t>
      </w:r>
      <w:r>
        <w:rPr>
          <w:spacing w:val="-2"/>
          <w:sz w:val="21"/>
        </w:rPr>
        <w:t>竭</w:t>
      </w:r>
      <w:r>
        <w:rPr>
          <w:spacing w:val="-2"/>
          <w:sz w:val="21"/>
        </w:rPr>
        <w:t>期</w:t>
      </w:r>
      <w:r>
        <w:rPr>
          <w:spacing w:val="-2"/>
          <w:sz w:val="21"/>
        </w:rPr>
        <w:t>，</w:t>
      </w:r>
      <w:r>
        <w:rPr>
          <w:spacing w:val="-10"/>
          <w:sz w:val="21"/>
        </w:rPr>
        <w:t>诊</w:t>
      </w:r>
    </w:p>
    <w:p>
      <w:pPr>
        <w:pStyle w:val="BodyText"/>
        <w:spacing w:line="246" w:lineRule="exact"/>
      </w:pPr>
      <w:r>
        <w:rPr>
          <w:spacing w:val="-3"/>
        </w:rPr>
        <w:t>断必须满足所有以下标准：</w:t>
      </w:r>
    </w:p>
    <w:p>
      <w:pPr>
        <w:pStyle w:val="ListParagraph"/>
        <w:numPr>
          <w:ilvl w:val="0"/>
          <w:numId w:val="33"/>
        </w:numPr>
        <w:tabs>
          <w:tab w:pos="3682" w:val="left" w:leader="none"/>
        </w:tabs>
        <w:spacing w:line="244" w:lineRule="auto" w:before="2" w:after="18"/>
        <w:ind w:left="3678" w:right="1020" w:hanging="526"/>
        <w:jc w:val="left"/>
        <w:rPr>
          <w:sz w:val="21"/>
        </w:rPr>
      </w:pPr>
      <w:r>
        <w:rPr>
          <w:sz w:val="21"/>
        </w:rPr>
        <w:t>肾小球滤过率（</w:t>
      </w:r>
      <w:r>
        <w:rPr>
          <w:rFonts w:ascii="Times New Roman" w:eastAsia="Times New Roman"/>
          <w:sz w:val="21"/>
        </w:rPr>
        <w:t>GFR</w:t>
      </w:r>
      <w:r>
        <w:rPr>
          <w:sz w:val="21"/>
        </w:rPr>
        <w:t>）</w:t>
      </w:r>
      <w:r>
        <w:rPr>
          <w:rFonts w:ascii="Times New Roman" w:eastAsia="Times New Roman"/>
          <w:spacing w:val="-6"/>
          <w:sz w:val="21"/>
        </w:rPr>
        <w:t>&lt; </w:t>
      </w:r>
      <w:r>
        <w:rPr>
          <w:rFonts w:ascii="Times New Roman" w:eastAsia="Times New Roman"/>
          <w:sz w:val="21"/>
        </w:rPr>
        <w:t>25ml/min</w:t>
      </w:r>
      <w:r>
        <w:rPr>
          <w:rFonts w:ascii="Times New Roman" w:eastAsia="Times New Roman"/>
          <w:spacing w:val="33"/>
          <w:sz w:val="21"/>
        </w:rPr>
        <w:t> </w:t>
      </w:r>
      <w:r>
        <w:rPr>
          <w:sz w:val="21"/>
        </w:rPr>
        <w:t>或肌酐清除率（</w:t>
      </w:r>
      <w:r>
        <w:rPr>
          <w:rFonts w:ascii="Times New Roman" w:eastAsia="Times New Roman"/>
          <w:sz w:val="21"/>
        </w:rPr>
        <w:t>Ccr</w:t>
      </w:r>
      <w:r>
        <w:rPr>
          <w:sz w:val="21"/>
        </w:rPr>
        <w:t>）</w:t>
      </w:r>
      <w:r>
        <w:rPr>
          <w:rFonts w:ascii="Times New Roman" w:eastAsia="Times New Roman"/>
          <w:sz w:val="21"/>
        </w:rPr>
        <w:t>&lt; </w:t>
      </w:r>
      <w:r>
        <w:rPr>
          <w:rFonts w:ascii="Times New Roman" w:eastAsia="Times New Roman"/>
          <w:spacing w:val="-2"/>
          <w:sz w:val="21"/>
        </w:rPr>
        <w:t>25ml/min</w:t>
      </w:r>
      <w:r>
        <w:rPr>
          <w:spacing w:val="-2"/>
          <w:sz w:val="21"/>
        </w:rPr>
        <w:t>；</w:t>
      </w: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2"/>
        <w:gridCol w:w="2160"/>
        <w:gridCol w:w="6263"/>
      </w:tblGrid>
      <w:tr>
        <w:trPr>
          <w:trHeight w:val="253" w:hRule="atLeast"/>
        </w:trPr>
        <w:tc>
          <w:tcPr>
            <w:tcW w:w="2872" w:type="dxa"/>
            <w:gridSpan w:val="2"/>
            <w:vMerge w:val="restart"/>
          </w:tcPr>
          <w:p>
            <w:pPr>
              <w:pStyle w:val="TableParagraph"/>
              <w:rPr>
                <w:rFonts w:ascii="Times New Roman"/>
                <w:sz w:val="20"/>
              </w:rPr>
            </w:pPr>
          </w:p>
        </w:tc>
        <w:tc>
          <w:tcPr>
            <w:tcW w:w="6263" w:type="dxa"/>
          </w:tcPr>
          <w:p>
            <w:pPr>
              <w:pStyle w:val="TableParagraph"/>
              <w:spacing w:line="234" w:lineRule="exact"/>
              <w:ind w:left="108"/>
              <w:rPr>
                <w:sz w:val="21"/>
              </w:rPr>
            </w:pPr>
            <w:r>
              <w:rPr>
                <w:sz w:val="21"/>
              </w:rPr>
              <w:t>（</w:t>
            </w:r>
            <w:r>
              <w:rPr>
                <w:rFonts w:ascii="Times New Roman" w:hAnsi="Times New Roman" w:eastAsia="Times New Roman"/>
                <w:sz w:val="21"/>
              </w:rPr>
              <w:t>2</w:t>
            </w:r>
            <w:r>
              <w:rPr>
                <w:sz w:val="21"/>
              </w:rPr>
              <w:t>）血肌酐（</w:t>
            </w:r>
            <w:r>
              <w:rPr>
                <w:rFonts w:ascii="Times New Roman" w:hAnsi="Times New Roman" w:eastAsia="Times New Roman"/>
                <w:sz w:val="21"/>
              </w:rPr>
              <w:t>Scr</w:t>
            </w:r>
            <w:r>
              <w:rPr>
                <w:sz w:val="21"/>
              </w:rPr>
              <w:t>）</w:t>
            </w:r>
            <w:r>
              <w:rPr>
                <w:rFonts w:ascii="Times New Roman" w:hAnsi="Times New Roman" w:eastAsia="Times New Roman"/>
                <w:spacing w:val="-5"/>
                <w:sz w:val="21"/>
              </w:rPr>
              <w:t>&gt; </w:t>
            </w:r>
            <w:r>
              <w:rPr>
                <w:rFonts w:ascii="Times New Roman" w:hAnsi="Times New Roman" w:eastAsia="Times New Roman"/>
                <w:sz w:val="21"/>
              </w:rPr>
              <w:t>5mg/dl</w:t>
            </w:r>
            <w:r>
              <w:rPr>
                <w:rFonts w:ascii="Times New Roman" w:hAnsi="Times New Roman" w:eastAsia="Times New Roman"/>
                <w:spacing w:val="-10"/>
                <w:sz w:val="21"/>
              </w:rPr>
              <w:t> </w:t>
            </w:r>
            <w:r>
              <w:rPr>
                <w:sz w:val="21"/>
              </w:rPr>
              <w:t>或</w:t>
            </w:r>
            <w:r>
              <w:rPr>
                <w:rFonts w:ascii="Times New Roman" w:hAnsi="Times New Roman" w:eastAsia="Times New Roman"/>
                <w:spacing w:val="-2"/>
                <w:sz w:val="21"/>
              </w:rPr>
              <w:t>&gt;442µmol/L</w:t>
            </w:r>
            <w:r>
              <w:rPr>
                <w:spacing w:val="-2"/>
                <w:sz w:val="21"/>
              </w:rPr>
              <w:t>；</w:t>
            </w:r>
          </w:p>
        </w:tc>
      </w:tr>
      <w:tr>
        <w:trPr>
          <w:trHeight w:val="398" w:hRule="atLeast"/>
        </w:trPr>
        <w:tc>
          <w:tcPr>
            <w:tcW w:w="2872" w:type="dxa"/>
            <w:gridSpan w:val="2"/>
            <w:vMerge/>
            <w:tcBorders>
              <w:top w:val="nil"/>
            </w:tcBorders>
          </w:tcPr>
          <w:p>
            <w:pPr>
              <w:rPr>
                <w:sz w:val="2"/>
                <w:szCs w:val="2"/>
              </w:rPr>
            </w:pPr>
          </w:p>
        </w:tc>
        <w:tc>
          <w:tcPr>
            <w:tcW w:w="6263" w:type="dxa"/>
          </w:tcPr>
          <w:p>
            <w:pPr>
              <w:pStyle w:val="TableParagraph"/>
              <w:spacing w:line="267" w:lineRule="exact"/>
              <w:ind w:left="108"/>
              <w:rPr>
                <w:sz w:val="21"/>
              </w:rPr>
            </w:pPr>
            <w:r>
              <w:rPr>
                <w:sz w:val="21"/>
              </w:rPr>
              <w:t>（</w:t>
            </w:r>
            <w:r>
              <w:rPr>
                <w:rFonts w:ascii="Times New Roman" w:eastAsia="Times New Roman"/>
                <w:sz w:val="21"/>
              </w:rPr>
              <w:t>3</w:t>
            </w:r>
            <w:r>
              <w:rPr>
                <w:sz w:val="21"/>
              </w:rPr>
              <w:t>）</w:t>
            </w:r>
            <w:r>
              <w:rPr>
                <w:spacing w:val="-20"/>
                <w:sz w:val="21"/>
              </w:rPr>
              <w:t>持续 </w:t>
            </w:r>
            <w:r>
              <w:rPr>
                <w:rFonts w:ascii="Times New Roman" w:eastAsia="Times New Roman"/>
                <w:sz w:val="21"/>
              </w:rPr>
              <w:t>180</w:t>
            </w:r>
            <w:r>
              <w:rPr>
                <w:rFonts w:ascii="Times New Roman" w:eastAsia="Times New Roman"/>
                <w:spacing w:val="-6"/>
                <w:sz w:val="21"/>
              </w:rPr>
              <w:t> </w:t>
            </w:r>
            <w:r>
              <w:rPr>
                <w:spacing w:val="-5"/>
                <w:sz w:val="21"/>
              </w:rPr>
              <w:t>天。</w:t>
            </w:r>
          </w:p>
        </w:tc>
      </w:tr>
      <w:tr>
        <w:trPr>
          <w:trHeight w:val="958" w:hRule="atLeast"/>
        </w:trPr>
        <w:tc>
          <w:tcPr>
            <w:tcW w:w="712" w:type="dxa"/>
          </w:tcPr>
          <w:p>
            <w:pPr>
              <w:pStyle w:val="TableParagraph"/>
              <w:spacing w:before="137"/>
              <w:ind w:left="50"/>
              <w:rPr>
                <w:rFonts w:ascii="Times New Roman"/>
                <w:sz w:val="21"/>
              </w:rPr>
            </w:pPr>
            <w:r>
              <w:rPr>
                <w:rFonts w:ascii="Times New Roman"/>
                <w:spacing w:val="-2"/>
                <w:sz w:val="21"/>
              </w:rPr>
              <w:t>10.16</w:t>
            </w:r>
          </w:p>
        </w:tc>
        <w:tc>
          <w:tcPr>
            <w:tcW w:w="2160" w:type="dxa"/>
          </w:tcPr>
          <w:p>
            <w:pPr>
              <w:pStyle w:val="TableParagraph"/>
              <w:spacing w:line="168" w:lineRule="auto" w:before="160"/>
              <w:ind w:left="187" w:right="104"/>
              <w:rPr>
                <w:rFonts w:ascii="微软雅黑" w:eastAsia="微软雅黑"/>
                <w:b/>
                <w:sz w:val="21"/>
              </w:rPr>
            </w:pPr>
            <w:r>
              <w:rPr>
                <w:rFonts w:ascii="微软雅黑" w:eastAsia="微软雅黑"/>
                <w:b/>
                <w:spacing w:val="19"/>
                <w:sz w:val="21"/>
              </w:rPr>
              <w:t>丝虫感染所致早期</w:t>
            </w:r>
            <w:r>
              <w:rPr>
                <w:rFonts w:ascii="微软雅黑" w:eastAsia="微软雅黑"/>
                <w:b/>
                <w:spacing w:val="-4"/>
                <w:sz w:val="21"/>
              </w:rPr>
              <w:t>象皮病</w:t>
            </w:r>
          </w:p>
        </w:tc>
        <w:tc>
          <w:tcPr>
            <w:tcW w:w="6263" w:type="dxa"/>
          </w:tcPr>
          <w:p>
            <w:pPr>
              <w:pStyle w:val="TableParagraph"/>
              <w:spacing w:line="242" w:lineRule="auto" w:before="144"/>
              <w:ind w:left="108" w:right="50"/>
              <w:rPr>
                <w:sz w:val="21"/>
              </w:rPr>
            </w:pPr>
            <w:r>
              <w:rPr>
                <w:spacing w:val="-2"/>
                <w:sz w:val="21"/>
              </w:rPr>
              <w:t>指因丝虫感染导致淋巴管阻塞而造成身体组织出现严重淋巴水肿，</w:t>
            </w:r>
            <w:r>
              <w:rPr>
                <w:spacing w:val="-5"/>
                <w:sz w:val="21"/>
              </w:rPr>
              <w:t>但需达到国际淋巴学会分级为 </w:t>
            </w:r>
            <w:r>
              <w:rPr>
                <w:rFonts w:ascii="Times New Roman" w:eastAsia="Times New Roman"/>
                <w:spacing w:val="-2"/>
                <w:sz w:val="21"/>
              </w:rPr>
              <w:t>2</w:t>
            </w:r>
            <w:r>
              <w:rPr>
                <w:rFonts w:ascii="Times New Roman" w:eastAsia="Times New Roman"/>
                <w:spacing w:val="12"/>
                <w:sz w:val="21"/>
              </w:rPr>
              <w:t> </w:t>
            </w:r>
            <w:r>
              <w:rPr>
                <w:spacing w:val="-3"/>
                <w:sz w:val="21"/>
              </w:rPr>
              <w:t>级淋巴液肿，其临床表现为肿胀为</w:t>
            </w:r>
          </w:p>
          <w:p>
            <w:pPr>
              <w:pStyle w:val="TableParagraph"/>
              <w:spacing w:line="250" w:lineRule="exact" w:before="1"/>
              <w:ind w:left="108"/>
              <w:rPr>
                <w:sz w:val="21"/>
              </w:rPr>
            </w:pPr>
            <w:r>
              <w:rPr>
                <w:spacing w:val="-3"/>
                <w:sz w:val="21"/>
              </w:rPr>
              <w:t>凹陷性，肢体抬高休息时肿胀不消失，有中度纤维化。此病症须经</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251" w:lineRule="exact" w:before="1"/>
              <w:ind w:left="108"/>
              <w:rPr>
                <w:sz w:val="21"/>
              </w:rPr>
            </w:pPr>
            <w:r>
              <w:rPr>
                <w:spacing w:val="-1"/>
                <w:sz w:val="21"/>
              </w:rPr>
              <w:t>本公司认可医院的专科医生根据临床表现和微丝蚴的化验结果确</w:t>
            </w:r>
          </w:p>
        </w:tc>
      </w:tr>
      <w:tr>
        <w:trPr>
          <w:trHeight w:val="393"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before="2"/>
              <w:ind w:left="108"/>
              <w:rPr>
                <w:sz w:val="21"/>
              </w:rPr>
            </w:pPr>
            <w:r>
              <w:rPr>
                <w:spacing w:val="-5"/>
                <w:sz w:val="21"/>
              </w:rPr>
              <w:t>诊。</w:t>
            </w:r>
          </w:p>
        </w:tc>
      </w:tr>
      <w:tr>
        <w:trPr>
          <w:trHeight w:val="39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317" w:lineRule="exact" w:before="56"/>
              <w:ind w:left="108"/>
              <w:rPr>
                <w:rFonts w:ascii="微软雅黑" w:eastAsia="微软雅黑"/>
                <w:b/>
                <w:sz w:val="21"/>
              </w:rPr>
            </w:pPr>
            <w:r>
              <w:rPr>
                <w:rFonts w:ascii="微软雅黑" w:eastAsia="微软雅黑"/>
                <w:b/>
                <w:spacing w:val="-3"/>
                <w:sz w:val="21"/>
              </w:rPr>
              <w:t>由性接触传染的疾病、创伤、手术后疤痕、充血性心力衰竭或先天</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252" w:lineRule="exact"/>
              <w:ind w:left="108"/>
              <w:rPr>
                <w:rFonts w:ascii="微软雅黑" w:eastAsia="微软雅黑"/>
                <w:b/>
                <w:sz w:val="21"/>
              </w:rPr>
            </w:pPr>
            <w:r>
              <w:rPr>
                <w:rFonts w:ascii="微软雅黑" w:eastAsia="微软雅黑"/>
                <w:b/>
                <w:spacing w:val="-3"/>
                <w:sz w:val="21"/>
              </w:rPr>
              <w:t>性淋巴系统异常引起的淋巴水肿，以及急性淋巴管炎或其他原因引</w:t>
            </w:r>
          </w:p>
        </w:tc>
      </w:tr>
      <w:tr>
        <w:trPr>
          <w:trHeight w:val="395"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323" w:lineRule="exact"/>
              <w:ind w:left="108"/>
              <w:rPr>
                <w:rFonts w:ascii="微软雅黑" w:eastAsia="微软雅黑"/>
                <w:b/>
                <w:sz w:val="21"/>
              </w:rPr>
            </w:pPr>
            <w:r>
              <w:rPr>
                <w:rFonts w:ascii="微软雅黑" w:eastAsia="微软雅黑"/>
                <w:b/>
                <w:spacing w:val="-3"/>
                <w:sz w:val="21"/>
              </w:rPr>
              <w:t>起的淋巴水肿不在保障范围内。</w:t>
            </w:r>
          </w:p>
        </w:tc>
      </w:tr>
      <w:tr>
        <w:trPr>
          <w:trHeight w:val="422" w:hRule="atLeast"/>
        </w:trPr>
        <w:tc>
          <w:tcPr>
            <w:tcW w:w="712" w:type="dxa"/>
          </w:tcPr>
          <w:p>
            <w:pPr>
              <w:pStyle w:val="TableParagraph"/>
              <w:spacing w:before="144"/>
              <w:ind w:left="50"/>
              <w:rPr>
                <w:rFonts w:ascii="Times New Roman"/>
                <w:sz w:val="21"/>
              </w:rPr>
            </w:pPr>
            <w:r>
              <w:rPr>
                <w:rFonts w:ascii="Times New Roman"/>
                <w:spacing w:val="-2"/>
                <w:sz w:val="21"/>
              </w:rPr>
              <w:t>10.17</w:t>
            </w:r>
          </w:p>
        </w:tc>
        <w:tc>
          <w:tcPr>
            <w:tcW w:w="2160" w:type="dxa"/>
          </w:tcPr>
          <w:p>
            <w:pPr>
              <w:pStyle w:val="TableParagraph"/>
              <w:spacing w:line="317" w:lineRule="exact" w:before="85"/>
              <w:ind w:left="187"/>
              <w:rPr>
                <w:rFonts w:ascii="微软雅黑" w:eastAsia="微软雅黑"/>
                <w:b/>
                <w:sz w:val="21"/>
              </w:rPr>
            </w:pPr>
            <w:r>
              <w:rPr>
                <w:rFonts w:ascii="微软雅黑" w:eastAsia="微软雅黑"/>
                <w:b/>
                <w:spacing w:val="18"/>
                <w:sz w:val="21"/>
              </w:rPr>
              <w:t>可逆性再生障碍性</w:t>
            </w:r>
          </w:p>
        </w:tc>
        <w:tc>
          <w:tcPr>
            <w:tcW w:w="6263" w:type="dxa"/>
          </w:tcPr>
          <w:p>
            <w:pPr>
              <w:pStyle w:val="TableParagraph"/>
              <w:spacing w:line="250" w:lineRule="exact" w:before="152"/>
              <w:ind w:left="108"/>
              <w:rPr>
                <w:sz w:val="21"/>
              </w:rPr>
            </w:pPr>
            <w:r>
              <w:rPr>
                <w:spacing w:val="-3"/>
                <w:sz w:val="21"/>
              </w:rPr>
              <w:t>指因急性可逆性的骨髓造血功能衰竭而导致贫血、中性粒细胞减少</w:t>
            </w:r>
          </w:p>
        </w:tc>
      </w:tr>
      <w:tr>
        <w:trPr>
          <w:trHeight w:val="272" w:hRule="atLeast"/>
        </w:trPr>
        <w:tc>
          <w:tcPr>
            <w:tcW w:w="712" w:type="dxa"/>
          </w:tcPr>
          <w:p>
            <w:pPr>
              <w:pStyle w:val="TableParagraph"/>
              <w:rPr>
                <w:rFonts w:ascii="Times New Roman"/>
                <w:sz w:val="20"/>
              </w:rPr>
            </w:pPr>
          </w:p>
        </w:tc>
        <w:tc>
          <w:tcPr>
            <w:tcW w:w="2160" w:type="dxa"/>
          </w:tcPr>
          <w:p>
            <w:pPr>
              <w:pStyle w:val="TableParagraph"/>
              <w:spacing w:line="252" w:lineRule="exact"/>
              <w:ind w:left="187"/>
              <w:rPr>
                <w:rFonts w:ascii="微软雅黑" w:eastAsia="微软雅黑"/>
                <w:b/>
                <w:sz w:val="21"/>
              </w:rPr>
            </w:pPr>
            <w:r>
              <w:rPr>
                <w:rFonts w:ascii="微软雅黑" w:eastAsia="微软雅黑"/>
                <w:b/>
                <w:spacing w:val="-5"/>
                <w:sz w:val="21"/>
              </w:rPr>
              <w:t>贫血</w:t>
            </w:r>
          </w:p>
        </w:tc>
        <w:tc>
          <w:tcPr>
            <w:tcW w:w="6263" w:type="dxa"/>
          </w:tcPr>
          <w:p>
            <w:pPr>
              <w:pStyle w:val="TableParagraph"/>
              <w:spacing w:line="251" w:lineRule="exact" w:before="1"/>
              <w:ind w:left="108"/>
              <w:rPr>
                <w:sz w:val="21"/>
              </w:rPr>
            </w:pPr>
            <w:r>
              <w:rPr>
                <w:spacing w:val="-3"/>
                <w:sz w:val="21"/>
              </w:rPr>
              <w:t>和血小板减少，必须由血液科医生的诊断，虽然未达到本合同所指</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250" w:lineRule="exact" w:before="2"/>
              <w:ind w:left="108"/>
              <w:rPr>
                <w:sz w:val="21"/>
              </w:rPr>
            </w:pPr>
            <w:r>
              <w:rPr>
                <w:spacing w:val="-3"/>
                <w:sz w:val="21"/>
              </w:rPr>
              <w:t>重度疾病“重型再生障碍性贫血”的给付标准，但须满足以下条件</w:t>
            </w:r>
          </w:p>
        </w:tc>
      </w:tr>
      <w:tr>
        <w:trPr>
          <w:trHeight w:val="528"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before="1"/>
              <w:ind w:left="108"/>
              <w:rPr>
                <w:sz w:val="21"/>
              </w:rPr>
            </w:pPr>
            <w:r>
              <w:rPr>
                <w:spacing w:val="-4"/>
                <w:sz w:val="21"/>
              </w:rPr>
              <w:t>之一：</w:t>
            </w:r>
          </w:p>
          <w:p>
            <w:pPr>
              <w:pStyle w:val="TableParagraph"/>
              <w:spacing w:line="236" w:lineRule="exact" w:before="2"/>
              <w:ind w:left="108"/>
              <w:rPr>
                <w:sz w:val="21"/>
              </w:rPr>
            </w:pPr>
            <w:r>
              <w:rPr>
                <w:spacing w:val="-2"/>
                <w:sz w:val="21"/>
              </w:rPr>
              <w:t>（</w:t>
            </w:r>
            <w:r>
              <w:rPr>
                <w:rFonts w:ascii="Times New Roman" w:eastAsia="Times New Roman"/>
                <w:spacing w:val="-2"/>
                <w:sz w:val="21"/>
              </w:rPr>
              <w:t>1</w:t>
            </w:r>
            <w:r>
              <w:rPr>
                <w:spacing w:val="-2"/>
                <w:sz w:val="21"/>
              </w:rPr>
              <w:t>）</w:t>
            </w:r>
            <w:r>
              <w:rPr>
                <w:spacing w:val="-6"/>
                <w:sz w:val="21"/>
              </w:rPr>
              <w:t>接受了骨髓刺激疗法至少 </w:t>
            </w:r>
            <w:r>
              <w:rPr>
                <w:rFonts w:ascii="Times New Roman" w:eastAsia="Times New Roman"/>
                <w:spacing w:val="-2"/>
                <w:sz w:val="21"/>
              </w:rPr>
              <w:t>1</w:t>
            </w:r>
            <w:r>
              <w:rPr>
                <w:rFonts w:ascii="Times New Roman" w:eastAsia="Times New Roman"/>
                <w:spacing w:val="4"/>
                <w:sz w:val="21"/>
              </w:rPr>
              <w:t> </w:t>
            </w:r>
            <w:r>
              <w:rPr>
                <w:spacing w:val="-5"/>
                <w:sz w:val="21"/>
              </w:rPr>
              <w:t>个月；</w:t>
            </w:r>
          </w:p>
        </w:tc>
      </w:tr>
    </w:tbl>
    <w:p>
      <w:pPr>
        <w:spacing w:after="0" w:line="236" w:lineRule="exact"/>
        <w:rPr>
          <w:sz w:val="21"/>
        </w:rPr>
        <w:sectPr>
          <w:type w:val="continuous"/>
          <w:pgSz w:w="11910" w:h="16840"/>
          <w:pgMar w:header="0" w:footer="878" w:top="160" w:bottom="280" w:left="1480" w:right="440"/>
        </w:sectPr>
      </w:pPr>
    </w:p>
    <w:p>
      <w:pPr>
        <w:pStyle w:val="ListParagraph"/>
        <w:numPr>
          <w:ilvl w:val="0"/>
          <w:numId w:val="33"/>
        </w:numPr>
        <w:tabs>
          <w:tab w:pos="3682" w:val="left" w:leader="none"/>
        </w:tabs>
        <w:spacing w:line="240" w:lineRule="auto" w:before="55" w:after="0"/>
        <w:ind w:left="3682" w:right="0" w:hanging="529"/>
        <w:jc w:val="left"/>
        <w:rPr>
          <w:sz w:val="21"/>
        </w:rPr>
      </w:pPr>
      <w:r>
        <w:rPr>
          <w:spacing w:val="-6"/>
          <w:sz w:val="21"/>
        </w:rPr>
        <w:t>接受了免疫抑制剂治疗至少 </w:t>
      </w:r>
      <w:r>
        <w:rPr>
          <w:rFonts w:ascii="Times New Roman" w:eastAsia="Times New Roman"/>
          <w:spacing w:val="-2"/>
          <w:sz w:val="21"/>
        </w:rPr>
        <w:t>1</w:t>
      </w:r>
      <w:r>
        <w:rPr>
          <w:rFonts w:ascii="Times New Roman" w:eastAsia="Times New Roman"/>
          <w:spacing w:val="5"/>
          <w:sz w:val="21"/>
        </w:rPr>
        <w:t> </w:t>
      </w:r>
      <w:r>
        <w:rPr>
          <w:spacing w:val="-5"/>
          <w:sz w:val="21"/>
        </w:rPr>
        <w:t>个月；</w:t>
      </w:r>
    </w:p>
    <w:p>
      <w:pPr>
        <w:pStyle w:val="ListParagraph"/>
        <w:numPr>
          <w:ilvl w:val="0"/>
          <w:numId w:val="33"/>
        </w:numPr>
        <w:tabs>
          <w:tab w:pos="3682" w:val="left" w:leader="none"/>
        </w:tabs>
        <w:spacing w:line="240" w:lineRule="auto" w:before="5" w:after="0"/>
        <w:ind w:left="3682" w:right="0" w:hanging="529"/>
        <w:jc w:val="left"/>
        <w:rPr>
          <w:sz w:val="21"/>
        </w:rPr>
      </w:pPr>
      <w:r>
        <w:rPr>
          <w:spacing w:val="-4"/>
          <w:sz w:val="21"/>
        </w:rPr>
        <w:t>接受了骨髓移植。</w:t>
      </w:r>
    </w:p>
    <w:p>
      <w:pPr>
        <w:pStyle w:val="BodyText"/>
        <w:spacing w:before="4"/>
        <w:ind w:left="0"/>
        <w:rPr>
          <w:sz w:val="16"/>
        </w:rPr>
      </w:pPr>
    </w:p>
    <w:p>
      <w:pPr>
        <w:pStyle w:val="ListParagraph"/>
        <w:numPr>
          <w:ilvl w:val="1"/>
          <w:numId w:val="34"/>
        </w:numPr>
        <w:tabs>
          <w:tab w:pos="1071" w:val="left" w:leader="none"/>
          <w:tab w:pos="1072" w:val="left" w:leader="none"/>
          <w:tab w:pos="3152" w:val="left" w:leader="none"/>
        </w:tabs>
        <w:spacing w:line="363" w:lineRule="exact" w:before="0" w:after="0"/>
        <w:ind w:left="1071" w:right="0" w:hanging="850"/>
        <w:jc w:val="left"/>
        <w:rPr>
          <w:sz w:val="21"/>
        </w:rPr>
      </w:pPr>
      <w:r>
        <w:rPr>
          <w:rFonts w:ascii="微软雅黑" w:eastAsia="微软雅黑"/>
          <w:b/>
          <w:sz w:val="21"/>
        </w:rPr>
        <w:t>轻度坏死性筋膜</w:t>
      </w:r>
      <w:r>
        <w:rPr>
          <w:rFonts w:ascii="微软雅黑" w:eastAsia="微软雅黑"/>
          <w:b/>
          <w:spacing w:val="-10"/>
          <w:sz w:val="21"/>
        </w:rPr>
        <w:t>炎</w:t>
      </w:r>
      <w:r>
        <w:rPr>
          <w:rFonts w:ascii="微软雅黑" w:eastAsia="微软雅黑"/>
          <w:b/>
          <w:sz w:val="21"/>
        </w:rPr>
        <w:tab/>
      </w:r>
      <w:r>
        <w:rPr>
          <w:spacing w:val="-2"/>
          <w:sz w:val="21"/>
        </w:rPr>
        <w:t>是</w:t>
      </w:r>
      <w:r>
        <w:rPr>
          <w:spacing w:val="-2"/>
          <w:sz w:val="21"/>
        </w:rPr>
        <w:t>一</w:t>
      </w:r>
      <w:r>
        <w:rPr>
          <w:spacing w:val="-2"/>
          <w:sz w:val="21"/>
        </w:rPr>
        <w:t>种</w:t>
      </w:r>
      <w:r>
        <w:rPr>
          <w:spacing w:val="-2"/>
          <w:sz w:val="21"/>
        </w:rPr>
        <w:t>由</w:t>
      </w:r>
      <w:r>
        <w:rPr>
          <w:spacing w:val="-2"/>
          <w:sz w:val="21"/>
        </w:rPr>
        <w:t>细</w:t>
      </w:r>
      <w:r>
        <w:rPr>
          <w:spacing w:val="-2"/>
          <w:sz w:val="21"/>
        </w:rPr>
        <w:t>菌侵入</w:t>
      </w:r>
      <w:r>
        <w:rPr>
          <w:spacing w:val="-2"/>
          <w:sz w:val="21"/>
        </w:rPr>
        <w:t>皮</w:t>
      </w:r>
      <w:r>
        <w:rPr>
          <w:spacing w:val="-2"/>
          <w:sz w:val="21"/>
        </w:rPr>
        <w:t>下</w:t>
      </w:r>
      <w:r>
        <w:rPr>
          <w:spacing w:val="-2"/>
          <w:sz w:val="21"/>
        </w:rPr>
        <w:t>组</w:t>
      </w:r>
      <w:r>
        <w:rPr>
          <w:spacing w:val="-2"/>
          <w:sz w:val="21"/>
        </w:rPr>
        <w:t>织</w:t>
      </w:r>
      <w:r>
        <w:rPr>
          <w:spacing w:val="-2"/>
          <w:sz w:val="21"/>
        </w:rPr>
        <w:t>和</w:t>
      </w:r>
      <w:r>
        <w:rPr>
          <w:spacing w:val="-2"/>
          <w:sz w:val="21"/>
        </w:rPr>
        <w:t>筋</w:t>
      </w:r>
      <w:r>
        <w:rPr>
          <w:spacing w:val="-2"/>
          <w:sz w:val="21"/>
        </w:rPr>
        <w:t>膜</w:t>
      </w:r>
      <w:r>
        <w:rPr>
          <w:spacing w:val="-2"/>
          <w:sz w:val="21"/>
        </w:rPr>
        <w:t>引</w:t>
      </w:r>
      <w:r>
        <w:rPr>
          <w:spacing w:val="-2"/>
          <w:sz w:val="21"/>
        </w:rPr>
        <w:t>起的急</w:t>
      </w:r>
      <w:r>
        <w:rPr>
          <w:spacing w:val="-2"/>
          <w:sz w:val="21"/>
        </w:rPr>
        <w:t>性</w:t>
      </w:r>
      <w:r>
        <w:rPr>
          <w:spacing w:val="-2"/>
          <w:sz w:val="21"/>
        </w:rPr>
        <w:t>坏</w:t>
      </w:r>
      <w:r>
        <w:rPr>
          <w:spacing w:val="-2"/>
          <w:sz w:val="21"/>
        </w:rPr>
        <w:t>死</w:t>
      </w:r>
      <w:r>
        <w:rPr>
          <w:spacing w:val="-2"/>
          <w:sz w:val="21"/>
        </w:rPr>
        <w:t>性</w:t>
      </w:r>
      <w:r>
        <w:rPr>
          <w:spacing w:val="-2"/>
          <w:sz w:val="21"/>
        </w:rPr>
        <w:t>软</w:t>
      </w:r>
      <w:r>
        <w:rPr>
          <w:spacing w:val="-2"/>
          <w:sz w:val="21"/>
        </w:rPr>
        <w:t>组</w:t>
      </w:r>
      <w:r>
        <w:rPr>
          <w:spacing w:val="-2"/>
          <w:sz w:val="21"/>
        </w:rPr>
        <w:t>织</w:t>
      </w:r>
      <w:r>
        <w:rPr>
          <w:spacing w:val="-2"/>
          <w:sz w:val="21"/>
        </w:rPr>
        <w:t>感</w:t>
      </w:r>
      <w:r>
        <w:rPr>
          <w:spacing w:val="-2"/>
          <w:sz w:val="21"/>
        </w:rPr>
        <w:t>染</w:t>
      </w:r>
      <w:r>
        <w:rPr>
          <w:spacing w:val="-10"/>
          <w:sz w:val="21"/>
        </w:rPr>
        <w:t>，</w:t>
      </w:r>
    </w:p>
    <w:p>
      <w:pPr>
        <w:pStyle w:val="BodyText"/>
        <w:spacing w:line="245" w:lineRule="exact"/>
      </w:pPr>
      <w:r>
        <w:rPr>
          <w:spacing w:val="-3"/>
        </w:rPr>
        <w:t>可伴有毒血症、败血症、中毒性休克、弥漫性血管内凝血及多器官</w:t>
      </w:r>
    </w:p>
    <w:p>
      <w:pPr>
        <w:pStyle w:val="BodyText"/>
        <w:spacing w:line="242" w:lineRule="auto" w:before="4"/>
        <w:ind w:right="729"/>
      </w:pPr>
      <w:r>
        <w:rPr>
          <w:spacing w:val="-2"/>
        </w:rPr>
        <w:t>衰竭。但未到重度疾病“重症急性坏死性筋膜炎”的标准。本病须</w:t>
      </w:r>
      <w:r>
        <w:rPr>
          <w:spacing w:val="-2"/>
        </w:rPr>
        <w:t>经专科医生明确诊断。</w:t>
      </w:r>
    </w:p>
    <w:p>
      <w:pPr>
        <w:pStyle w:val="BodyText"/>
        <w:spacing w:before="6"/>
        <w:ind w:left="0"/>
        <w:rPr>
          <w:sz w:val="13"/>
        </w:rPr>
      </w:pPr>
    </w:p>
    <w:p>
      <w:pPr>
        <w:spacing w:after="0"/>
        <w:rPr>
          <w:sz w:val="13"/>
        </w:rPr>
        <w:sectPr>
          <w:pgSz w:w="11910" w:h="16840"/>
          <w:pgMar w:header="0" w:footer="878" w:top="1060" w:bottom="1060" w:left="1480" w:right="440"/>
        </w:sectPr>
      </w:pPr>
    </w:p>
    <w:p>
      <w:pPr>
        <w:pStyle w:val="ListParagraph"/>
        <w:numPr>
          <w:ilvl w:val="1"/>
          <w:numId w:val="34"/>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激光心肌血运重建</w:t>
      </w:r>
    </w:p>
    <w:p>
      <w:pPr>
        <w:spacing w:line="330" w:lineRule="exact" w:before="0"/>
        <w:ind w:left="1071" w:right="0" w:firstLine="0"/>
        <w:jc w:val="left"/>
        <w:rPr>
          <w:rFonts w:ascii="微软雅黑" w:eastAsia="微软雅黑"/>
          <w:b/>
          <w:sz w:val="21"/>
        </w:rPr>
      </w:pPr>
      <w:r>
        <w:rPr>
          <w:rFonts w:ascii="微软雅黑" w:eastAsia="微软雅黑"/>
          <w:b/>
          <w:w w:val="100"/>
          <w:sz w:val="21"/>
        </w:rPr>
        <w:t>术</w:t>
      </w:r>
    </w:p>
    <w:p>
      <w:pPr>
        <w:pStyle w:val="BodyText"/>
        <w:spacing w:line="242" w:lineRule="auto" w:before="100"/>
        <w:ind w:left="175" w:right="626"/>
        <w:jc w:val="both"/>
      </w:pPr>
      <w:r>
        <w:rPr/>
        <w:br w:type="column"/>
      </w:r>
      <w:r>
        <w:rPr>
          <w:spacing w:val="-2"/>
        </w:rPr>
        <w:t>指患有顽固性心绞痛，经持续药物治疗后无改善，冠状动脉搭桥手</w:t>
      </w:r>
      <w:r>
        <w:rPr>
          <w:spacing w:val="-2"/>
        </w:rPr>
        <w:t>术及经皮血管成形手术已失败或者被认为不适合。在本公司认可医</w:t>
      </w:r>
      <w:r>
        <w:rPr>
          <w:spacing w:val="-2"/>
        </w:rPr>
        <w:t>院内实际进行了开胸手术下或者胸腔镜下的激光心肌血运重建术，</w:t>
      </w:r>
      <w:r>
        <w:rPr>
          <w:spacing w:val="-8"/>
        </w:rPr>
        <w:t>并且未达到本合同所指重度疾病“较重急性心肌梗死”的给付标准。</w:t>
      </w:r>
    </w:p>
    <w:p>
      <w:pPr>
        <w:pStyle w:val="BodyText"/>
        <w:spacing w:before="5"/>
        <w:ind w:left="0"/>
        <w:rPr>
          <w:sz w:val="20"/>
        </w:rPr>
      </w:pPr>
    </w:p>
    <w:p>
      <w:pPr>
        <w:spacing w:line="168" w:lineRule="auto" w:before="0"/>
        <w:ind w:left="175" w:right="627" w:firstLine="0"/>
        <w:jc w:val="left"/>
        <w:rPr>
          <w:rFonts w:ascii="微软雅黑" w:hAnsi="微软雅黑" w:eastAsia="微软雅黑"/>
          <w:b/>
          <w:sz w:val="21"/>
        </w:rPr>
      </w:pPr>
      <w:r>
        <w:rPr>
          <w:rFonts w:ascii="微软雅黑" w:hAnsi="微软雅黑" w:eastAsia="微软雅黑"/>
          <w:b/>
          <w:spacing w:val="-16"/>
          <w:sz w:val="21"/>
        </w:rPr>
        <w:t>本公司仅对“较轻急性心肌梗死”、“冠状动脉介入手术</w:t>
      </w:r>
      <w:r>
        <w:rPr>
          <w:rFonts w:ascii="微软雅黑" w:hAnsi="微软雅黑" w:eastAsia="微软雅黑"/>
          <w:b/>
          <w:spacing w:val="-2"/>
          <w:sz w:val="21"/>
        </w:rPr>
        <w:t>（非开胸手</w:t>
      </w:r>
      <w:r>
        <w:rPr>
          <w:rFonts w:ascii="微软雅黑" w:hAnsi="微软雅黑" w:eastAsia="微软雅黑"/>
          <w:b/>
          <w:spacing w:val="-2"/>
          <w:sz w:val="21"/>
        </w:rPr>
        <w:t>术</w:t>
      </w:r>
      <w:r>
        <w:rPr>
          <w:rFonts w:ascii="微软雅黑" w:hAnsi="微软雅黑" w:eastAsia="微软雅黑"/>
          <w:b/>
          <w:spacing w:val="-106"/>
          <w:sz w:val="21"/>
        </w:rPr>
        <w:t>）</w:t>
      </w:r>
      <w:r>
        <w:rPr>
          <w:rFonts w:ascii="微软雅黑" w:hAnsi="微软雅黑" w:eastAsia="微软雅黑"/>
          <w:b/>
          <w:spacing w:val="-4"/>
          <w:sz w:val="21"/>
        </w:rPr>
        <w:t>”和“激光心肌血运重建术”三项中的其中一项承担保险责任，</w:t>
      </w:r>
      <w:r>
        <w:rPr>
          <w:rFonts w:ascii="微软雅黑" w:hAnsi="微软雅黑" w:eastAsia="微软雅黑"/>
          <w:b/>
          <w:spacing w:val="-2"/>
          <w:sz w:val="21"/>
        </w:rPr>
        <w:t>给付其中一项保险金后，对其他两项轻度疾病保险责任同时终止。</w:t>
      </w:r>
    </w:p>
    <w:p>
      <w:pPr>
        <w:spacing w:after="0" w:line="168" w:lineRule="auto"/>
        <w:jc w:val="left"/>
        <w:rPr>
          <w:rFonts w:ascii="微软雅黑" w:hAns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14"/>
        <w:ind w:left="0"/>
        <w:rPr>
          <w:rFonts w:ascii="微软雅黑"/>
          <w:b/>
          <w:sz w:val="8"/>
        </w:rPr>
      </w:pPr>
    </w:p>
    <w:p>
      <w:pPr>
        <w:spacing w:after="0"/>
        <w:rPr>
          <w:rFonts w:ascii="微软雅黑"/>
          <w:sz w:val="8"/>
        </w:rPr>
        <w:sectPr>
          <w:type w:val="continuous"/>
          <w:pgSz w:w="11910" w:h="16840"/>
          <w:pgMar w:header="0" w:footer="878" w:top="160" w:bottom="280" w:left="1480" w:right="440"/>
        </w:sectPr>
      </w:pPr>
    </w:p>
    <w:p>
      <w:pPr>
        <w:pStyle w:val="ListParagraph"/>
        <w:numPr>
          <w:ilvl w:val="1"/>
          <w:numId w:val="34"/>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中度进行性核上性</w:t>
      </w:r>
    </w:p>
    <w:p>
      <w:pPr>
        <w:spacing w:line="329" w:lineRule="exact" w:before="0"/>
        <w:ind w:left="1071" w:right="0" w:firstLine="0"/>
        <w:jc w:val="left"/>
        <w:rPr>
          <w:rFonts w:ascii="微软雅黑" w:eastAsia="微软雅黑"/>
          <w:b/>
          <w:sz w:val="21"/>
        </w:rPr>
      </w:pPr>
      <w:r>
        <w:rPr>
          <w:rFonts w:ascii="微软雅黑" w:eastAsia="微软雅黑"/>
          <w:b/>
          <w:spacing w:val="-5"/>
          <w:sz w:val="21"/>
        </w:rPr>
        <w:t>麻痹</w:t>
      </w:r>
    </w:p>
    <w:p>
      <w:pPr>
        <w:pStyle w:val="BodyText"/>
        <w:spacing w:line="242" w:lineRule="auto" w:before="100"/>
        <w:ind w:left="175" w:right="624"/>
      </w:pPr>
      <w:r>
        <w:rPr/>
        <w:br w:type="column"/>
      </w:r>
      <w:r>
        <w:rPr>
          <w:spacing w:val="-2"/>
        </w:rPr>
        <w:t>指一种少见的神经系统变性疾病，以假球麻痹、垂直性核上性眼肌</w:t>
      </w:r>
      <w:r>
        <w:rPr>
          <w:spacing w:val="-13"/>
        </w:rPr>
        <w:t>麻痹、锥体外系肌僵直、步态共济失调和轻度痴呆为主要临床特征。</w:t>
      </w:r>
      <w:r>
        <w:rPr>
          <w:spacing w:val="-2"/>
        </w:rPr>
        <w:t>须满足自主生活能力严重丧失，无法独立完成六项基本日常生活活</w:t>
      </w:r>
      <w:r>
        <w:rPr>
          <w:spacing w:val="-2"/>
        </w:rPr>
        <w:t>动中的两项。但未达到重疾“进行性核上性麻痹”或“瘫痪”的标</w:t>
      </w:r>
      <w:r>
        <w:rPr>
          <w:spacing w:val="-2"/>
        </w:rPr>
        <w:t>准。本病须经专科医生明确诊断。</w:t>
      </w:r>
    </w:p>
    <w:p>
      <w:pPr>
        <w:spacing w:after="0" w:line="242" w:lineRule="auto"/>
        <w:sectPr>
          <w:type w:val="continuous"/>
          <w:pgSz w:w="11910" w:h="16840"/>
          <w:pgMar w:header="0" w:footer="878" w:top="160" w:bottom="280" w:left="1480" w:right="440"/>
          <w:cols w:num="2" w:equalWidth="0">
            <w:col w:w="2938" w:space="40"/>
            <w:col w:w="7012"/>
          </w:cols>
        </w:sectPr>
      </w:pPr>
    </w:p>
    <w:p>
      <w:pPr>
        <w:pStyle w:val="BodyText"/>
        <w:spacing w:before="9"/>
        <w:ind w:left="0"/>
        <w:rPr>
          <w:sz w:val="13"/>
        </w:rPr>
      </w:pPr>
    </w:p>
    <w:p>
      <w:pPr>
        <w:pStyle w:val="ListParagraph"/>
        <w:numPr>
          <w:ilvl w:val="1"/>
          <w:numId w:val="34"/>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人工耳蜗植入</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由</w:t>
      </w:r>
      <w:r>
        <w:rPr>
          <w:spacing w:val="-2"/>
          <w:sz w:val="21"/>
        </w:rPr>
        <w:t>于</w:t>
      </w:r>
      <w:r>
        <w:rPr>
          <w:spacing w:val="-2"/>
          <w:sz w:val="21"/>
        </w:rPr>
        <w:t>耳</w:t>
      </w:r>
      <w:r>
        <w:rPr>
          <w:spacing w:val="-2"/>
          <w:sz w:val="21"/>
        </w:rPr>
        <w:t>蜗</w:t>
      </w:r>
      <w:r>
        <w:rPr>
          <w:spacing w:val="-2"/>
          <w:sz w:val="21"/>
        </w:rPr>
        <w:t>的永久</w:t>
      </w:r>
      <w:r>
        <w:rPr>
          <w:spacing w:val="-2"/>
          <w:sz w:val="21"/>
        </w:rPr>
        <w:t>损</w:t>
      </w:r>
      <w:r>
        <w:rPr>
          <w:spacing w:val="-2"/>
          <w:sz w:val="21"/>
        </w:rPr>
        <w:t>害</w:t>
      </w:r>
      <w:r>
        <w:rPr>
          <w:spacing w:val="-2"/>
          <w:sz w:val="21"/>
        </w:rPr>
        <w:t>而</w:t>
      </w:r>
      <w:r>
        <w:rPr>
          <w:spacing w:val="-2"/>
          <w:sz w:val="21"/>
        </w:rPr>
        <w:t>实</w:t>
      </w:r>
      <w:r>
        <w:rPr>
          <w:spacing w:val="-2"/>
          <w:sz w:val="21"/>
        </w:rPr>
        <w:t>际</w:t>
      </w:r>
      <w:r>
        <w:rPr>
          <w:spacing w:val="-2"/>
          <w:sz w:val="21"/>
        </w:rPr>
        <w:t>实</w:t>
      </w:r>
      <w:r>
        <w:rPr>
          <w:spacing w:val="-2"/>
          <w:sz w:val="21"/>
        </w:rPr>
        <w:t>施</w:t>
      </w:r>
      <w:r>
        <w:rPr>
          <w:spacing w:val="-2"/>
          <w:sz w:val="21"/>
        </w:rPr>
        <w:t>了</w:t>
      </w:r>
      <w:r>
        <w:rPr>
          <w:spacing w:val="-2"/>
          <w:sz w:val="21"/>
        </w:rPr>
        <w:t>人工耳</w:t>
      </w:r>
      <w:r>
        <w:rPr>
          <w:spacing w:val="-2"/>
          <w:sz w:val="21"/>
        </w:rPr>
        <w:t>蜗</w:t>
      </w:r>
      <w:r>
        <w:rPr>
          <w:spacing w:val="-2"/>
          <w:sz w:val="21"/>
        </w:rPr>
        <w:t>植</w:t>
      </w:r>
      <w:r>
        <w:rPr>
          <w:spacing w:val="-2"/>
          <w:sz w:val="21"/>
        </w:rPr>
        <w:t>入</w:t>
      </w:r>
      <w:r>
        <w:rPr>
          <w:spacing w:val="-2"/>
          <w:sz w:val="21"/>
        </w:rPr>
        <w:t>手</w:t>
      </w:r>
      <w:r>
        <w:rPr>
          <w:spacing w:val="-2"/>
          <w:sz w:val="21"/>
        </w:rPr>
        <w:t>术</w:t>
      </w:r>
      <w:r>
        <w:rPr>
          <w:spacing w:val="-2"/>
          <w:sz w:val="21"/>
        </w:rPr>
        <w:t>。</w:t>
      </w:r>
      <w:r>
        <w:rPr>
          <w:spacing w:val="-2"/>
          <w:sz w:val="21"/>
        </w:rPr>
        <w:t>需</w:t>
      </w:r>
      <w:r>
        <w:rPr>
          <w:spacing w:val="-2"/>
          <w:sz w:val="21"/>
        </w:rPr>
        <w:t>经</w:t>
      </w:r>
      <w:r>
        <w:rPr>
          <w:spacing w:val="-2"/>
          <w:sz w:val="21"/>
        </w:rPr>
        <w:t>专</w:t>
      </w:r>
      <w:r>
        <w:rPr>
          <w:spacing w:val="-10"/>
          <w:sz w:val="21"/>
        </w:rPr>
        <w:t>科</w:t>
      </w:r>
    </w:p>
    <w:p>
      <w:pPr>
        <w:pStyle w:val="BodyText"/>
        <w:spacing w:line="245" w:lineRule="exact"/>
      </w:pPr>
      <w:r>
        <w:rPr>
          <w:spacing w:val="-3"/>
        </w:rPr>
        <w:t>医师确认手术在医学上是必要的，且在植入手术之前已经符合下列</w:t>
      </w:r>
    </w:p>
    <w:p>
      <w:pPr>
        <w:pStyle w:val="BodyText"/>
        <w:spacing w:before="4"/>
      </w:pPr>
      <w:r>
        <w:rPr>
          <w:spacing w:val="-4"/>
        </w:rPr>
        <w:t>全部条件：</w:t>
      </w:r>
    </w:p>
    <w:p>
      <w:pPr>
        <w:pStyle w:val="ListParagraph"/>
        <w:numPr>
          <w:ilvl w:val="2"/>
          <w:numId w:val="34"/>
        </w:numPr>
        <w:tabs>
          <w:tab w:pos="3682" w:val="left" w:leader="none"/>
        </w:tabs>
        <w:spacing w:line="240" w:lineRule="auto" w:before="2" w:after="0"/>
        <w:ind w:left="3682" w:right="0" w:hanging="529"/>
        <w:jc w:val="left"/>
        <w:rPr>
          <w:sz w:val="21"/>
        </w:rPr>
      </w:pPr>
      <w:r>
        <w:rPr>
          <w:spacing w:val="-12"/>
          <w:sz w:val="21"/>
        </w:rPr>
        <w:t>双耳持续 </w:t>
      </w:r>
      <w:r>
        <w:rPr>
          <w:rFonts w:ascii="Times New Roman" w:eastAsia="Times New Roman"/>
          <w:spacing w:val="-2"/>
          <w:sz w:val="21"/>
        </w:rPr>
        <w:t>12</w:t>
      </w:r>
      <w:r>
        <w:rPr>
          <w:rFonts w:ascii="Times New Roman" w:eastAsia="Times New Roman"/>
          <w:spacing w:val="9"/>
          <w:sz w:val="21"/>
        </w:rPr>
        <w:t> </w:t>
      </w:r>
      <w:r>
        <w:rPr>
          <w:spacing w:val="-3"/>
          <w:sz w:val="21"/>
        </w:rPr>
        <w:t>个月以上重度感音神经性耳聋；</w:t>
      </w:r>
    </w:p>
    <w:p>
      <w:pPr>
        <w:pStyle w:val="ListParagraph"/>
        <w:numPr>
          <w:ilvl w:val="2"/>
          <w:numId w:val="34"/>
        </w:numPr>
        <w:tabs>
          <w:tab w:pos="3682" w:val="left" w:leader="none"/>
        </w:tabs>
        <w:spacing w:line="240" w:lineRule="auto" w:before="5" w:after="0"/>
        <w:ind w:left="3682" w:right="0" w:hanging="529"/>
        <w:jc w:val="left"/>
        <w:rPr>
          <w:sz w:val="21"/>
        </w:rPr>
      </w:pPr>
      <w:r>
        <w:rPr>
          <w:spacing w:val="-3"/>
          <w:sz w:val="21"/>
        </w:rPr>
        <w:t>使用相应的听力辅助设备效果不佳。</w:t>
      </w:r>
    </w:p>
    <w:p>
      <w:pPr>
        <w:pStyle w:val="BodyText"/>
        <w:spacing w:before="4"/>
        <w:ind w:left="0"/>
        <w:rPr>
          <w:sz w:val="20"/>
        </w:rPr>
      </w:pPr>
    </w:p>
    <w:p>
      <w:pPr>
        <w:spacing w:line="168" w:lineRule="auto" w:before="0"/>
        <w:ind w:left="3153" w:right="732" w:firstLine="0"/>
        <w:jc w:val="both"/>
        <w:rPr>
          <w:rFonts w:ascii="微软雅黑" w:hAnsi="微软雅黑" w:eastAsia="微软雅黑"/>
          <w:b/>
          <w:sz w:val="21"/>
        </w:rPr>
      </w:pPr>
      <w:r>
        <w:rPr>
          <w:rFonts w:ascii="微软雅黑" w:hAnsi="微软雅黑" w:eastAsia="微软雅黑"/>
          <w:b/>
          <w:spacing w:val="-1"/>
          <w:sz w:val="21"/>
        </w:rPr>
        <w:t>本公司对“单耳失聪 </w:t>
      </w:r>
      <w:r>
        <w:rPr>
          <w:rFonts w:ascii="Times New Roman" w:hAnsi="Times New Roman" w:eastAsia="Times New Roman"/>
          <w:b/>
          <w:sz w:val="21"/>
        </w:rPr>
        <w:t>- </w:t>
      </w:r>
      <w:r>
        <w:rPr>
          <w:rFonts w:ascii="微软雅黑" w:hAnsi="微软雅黑" w:eastAsia="微软雅黑"/>
          <w:b/>
          <w:sz w:val="21"/>
        </w:rPr>
        <w:t>三岁始理赔”和“人工耳蜗植入术”两项中</w:t>
      </w:r>
      <w:r>
        <w:rPr>
          <w:rFonts w:ascii="微软雅黑" w:hAnsi="微软雅黑" w:eastAsia="微软雅黑"/>
          <w:b/>
          <w:spacing w:val="-2"/>
          <w:sz w:val="21"/>
        </w:rPr>
        <w:t>的其中一项承担保险责任，给付其中一项保险金后，对另一项轻度</w:t>
      </w:r>
      <w:r>
        <w:rPr>
          <w:rFonts w:ascii="微软雅黑" w:hAnsi="微软雅黑" w:eastAsia="微软雅黑"/>
          <w:b/>
          <w:spacing w:val="-2"/>
          <w:sz w:val="21"/>
        </w:rPr>
        <w:t>疾病保险责任同时终止。</w:t>
      </w:r>
    </w:p>
    <w:p>
      <w:pPr>
        <w:pStyle w:val="BodyText"/>
        <w:spacing w:before="14"/>
        <w:ind w:left="0"/>
        <w:rPr>
          <w:rFonts w:ascii="微软雅黑"/>
          <w:b/>
          <w:sz w:val="8"/>
        </w:rPr>
      </w:pPr>
    </w:p>
    <w:p>
      <w:pPr>
        <w:spacing w:after="0"/>
        <w:rPr>
          <w:rFonts w:ascii="微软雅黑"/>
          <w:sz w:val="8"/>
        </w:rPr>
        <w:sectPr>
          <w:type w:val="continuous"/>
          <w:pgSz w:w="11910" w:h="16840"/>
          <w:pgMar w:header="0" w:footer="878" w:top="160" w:bottom="280" w:left="1480" w:right="440"/>
        </w:sectPr>
      </w:pPr>
    </w:p>
    <w:p>
      <w:pPr>
        <w:pStyle w:val="ListParagraph"/>
        <w:numPr>
          <w:ilvl w:val="1"/>
          <w:numId w:val="34"/>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21"/>
          <w:sz w:val="21"/>
        </w:rPr>
        <w:t>单耳失聪 </w:t>
      </w:r>
      <w:r>
        <w:rPr>
          <w:rFonts w:ascii="Times New Roman" w:eastAsia="Times New Roman"/>
          <w:b/>
          <w:spacing w:val="31"/>
          <w:sz w:val="21"/>
        </w:rPr>
        <w:t>- </w:t>
      </w:r>
      <w:r>
        <w:rPr>
          <w:rFonts w:ascii="微软雅黑" w:eastAsia="微软雅黑"/>
          <w:b/>
          <w:spacing w:val="6"/>
          <w:sz w:val="21"/>
        </w:rPr>
        <w:t>三岁始</w:t>
      </w:r>
    </w:p>
    <w:p>
      <w:pPr>
        <w:spacing w:line="329" w:lineRule="exact" w:before="0"/>
        <w:ind w:left="1059" w:right="1430" w:firstLine="0"/>
        <w:jc w:val="center"/>
        <w:rPr>
          <w:rFonts w:ascii="微软雅黑" w:eastAsia="微软雅黑"/>
          <w:b/>
          <w:sz w:val="21"/>
        </w:rPr>
      </w:pPr>
      <w:r>
        <w:rPr>
          <w:rFonts w:ascii="微软雅黑" w:eastAsia="微软雅黑"/>
          <w:b/>
          <w:spacing w:val="-5"/>
          <w:sz w:val="21"/>
        </w:rPr>
        <w:t>理赔</w:t>
      </w:r>
    </w:p>
    <w:p>
      <w:pPr>
        <w:pStyle w:val="BodyText"/>
        <w:spacing w:line="242" w:lineRule="auto" w:before="100"/>
        <w:ind w:left="173" w:right="729"/>
      </w:pPr>
      <w:r>
        <w:rPr/>
        <w:br w:type="column"/>
      </w:r>
      <w:r>
        <w:rPr>
          <w:spacing w:val="-2"/>
        </w:rPr>
        <w:t>指因疾病或者意外伤害导致单耳听力永久不可逆性丧失，未达到重</w:t>
      </w:r>
      <w:r>
        <w:rPr>
          <w:spacing w:val="-4"/>
        </w:rPr>
        <w:t>度疾病“双耳失聪”的给付标准，但满足以下条件：在 </w:t>
      </w:r>
      <w:r>
        <w:rPr>
          <w:rFonts w:ascii="Times New Roman" w:hAnsi="Times New Roman" w:eastAsia="Times New Roman"/>
          <w:spacing w:val="-2"/>
        </w:rPr>
        <w:t>500</w:t>
      </w:r>
      <w:r>
        <w:rPr>
          <w:rFonts w:ascii="Times New Roman" w:hAnsi="Times New Roman" w:eastAsia="Times New Roman"/>
          <w:spacing w:val="12"/>
        </w:rPr>
        <w:t> </w:t>
      </w:r>
      <w:r>
        <w:rPr>
          <w:spacing w:val="-5"/>
        </w:rPr>
        <w:t>赫兹、</w:t>
      </w:r>
    </w:p>
    <w:p>
      <w:pPr>
        <w:pStyle w:val="BodyText"/>
        <w:spacing w:line="244" w:lineRule="auto"/>
        <w:ind w:left="173" w:right="729"/>
      </w:pPr>
      <w:r>
        <w:rPr>
          <w:rFonts w:ascii="Times New Roman" w:eastAsia="Times New Roman"/>
          <w:spacing w:val="-2"/>
        </w:rPr>
        <w:t>1000</w:t>
      </w:r>
      <w:r>
        <w:rPr>
          <w:rFonts w:ascii="Times New Roman" w:eastAsia="Times New Roman"/>
          <w:spacing w:val="-6"/>
        </w:rPr>
        <w:t> </w:t>
      </w:r>
      <w:r>
        <w:rPr>
          <w:spacing w:val="-15"/>
        </w:rPr>
        <w:t>赫兹和 </w:t>
      </w:r>
      <w:r>
        <w:rPr>
          <w:rFonts w:ascii="Times New Roman" w:eastAsia="Times New Roman"/>
          <w:spacing w:val="-2"/>
        </w:rPr>
        <w:t>2000 </w:t>
      </w:r>
      <w:r>
        <w:rPr>
          <w:spacing w:val="-6"/>
        </w:rPr>
        <w:t>赫兹语音频率下，平均听阈大于 </w:t>
      </w:r>
      <w:r>
        <w:rPr>
          <w:rFonts w:ascii="Times New Roman" w:eastAsia="Times New Roman"/>
          <w:spacing w:val="-2"/>
        </w:rPr>
        <w:t>90 </w:t>
      </w:r>
      <w:r>
        <w:rPr>
          <w:spacing w:val="-2"/>
        </w:rPr>
        <w:t>分贝，且经纯</w:t>
      </w:r>
      <w:r>
        <w:rPr>
          <w:spacing w:val="-2"/>
        </w:rPr>
        <w:t>音听力测试、声导抗检测或者听觉诱发电位检测等证实。</w:t>
      </w:r>
    </w:p>
    <w:p>
      <w:pPr>
        <w:pStyle w:val="BodyText"/>
        <w:spacing w:before="7"/>
        <w:ind w:left="0"/>
        <w:rPr>
          <w:sz w:val="19"/>
        </w:rPr>
      </w:pPr>
    </w:p>
    <w:p>
      <w:pPr>
        <w:spacing w:line="170" w:lineRule="auto" w:before="0"/>
        <w:ind w:left="173" w:right="732" w:firstLine="0"/>
        <w:jc w:val="left"/>
        <w:rPr>
          <w:rFonts w:ascii="微软雅黑" w:eastAsia="微软雅黑"/>
          <w:b/>
          <w:sz w:val="21"/>
        </w:rPr>
      </w:pPr>
      <w:r>
        <w:rPr>
          <w:rFonts w:ascii="微软雅黑" w:eastAsia="微软雅黑"/>
          <w:b/>
          <w:spacing w:val="-2"/>
          <w:sz w:val="21"/>
        </w:rPr>
        <w:t>被保险人申请理赔时年龄必须在三周岁以上，并且提供理赔当时的</w:t>
      </w:r>
      <w:r>
        <w:rPr>
          <w:rFonts w:ascii="微软雅黑" w:eastAsia="微软雅黑"/>
          <w:b/>
          <w:spacing w:val="-2"/>
          <w:sz w:val="21"/>
        </w:rPr>
        <w:t>听力丧失诊断及检查证据。</w:t>
      </w:r>
    </w:p>
    <w:p>
      <w:pPr>
        <w:pStyle w:val="BodyText"/>
        <w:ind w:left="0"/>
        <w:rPr>
          <w:rFonts w:ascii="微软雅黑"/>
          <w:b/>
          <w:sz w:val="13"/>
        </w:rPr>
      </w:pPr>
    </w:p>
    <w:p>
      <w:pPr>
        <w:spacing w:line="168" w:lineRule="auto" w:before="1"/>
        <w:ind w:left="173" w:right="732" w:firstLine="0"/>
        <w:jc w:val="both"/>
        <w:rPr>
          <w:rFonts w:ascii="微软雅黑" w:hAnsi="微软雅黑" w:eastAsia="微软雅黑"/>
          <w:b/>
          <w:sz w:val="21"/>
        </w:rPr>
      </w:pPr>
      <w:r>
        <w:rPr>
          <w:rFonts w:ascii="微软雅黑" w:hAnsi="微软雅黑" w:eastAsia="微软雅黑"/>
          <w:b/>
          <w:spacing w:val="-1"/>
          <w:sz w:val="21"/>
        </w:rPr>
        <w:t>本公司对“单耳失聪 </w:t>
      </w:r>
      <w:r>
        <w:rPr>
          <w:rFonts w:ascii="Times New Roman" w:hAnsi="Times New Roman" w:eastAsia="Times New Roman"/>
          <w:b/>
          <w:sz w:val="21"/>
        </w:rPr>
        <w:t>- </w:t>
      </w:r>
      <w:r>
        <w:rPr>
          <w:rFonts w:ascii="微软雅黑" w:hAnsi="微软雅黑" w:eastAsia="微软雅黑"/>
          <w:b/>
          <w:sz w:val="21"/>
        </w:rPr>
        <w:t>三岁始理赔”和“人工耳蜗植入术”两项中</w:t>
      </w:r>
      <w:r>
        <w:rPr>
          <w:rFonts w:ascii="微软雅黑" w:hAnsi="微软雅黑" w:eastAsia="微软雅黑"/>
          <w:b/>
          <w:spacing w:val="-2"/>
          <w:sz w:val="21"/>
        </w:rPr>
        <w:t>的其中一项承担保险责任，给付其中一项保险金后，对另一项轻度</w:t>
      </w:r>
      <w:r>
        <w:rPr>
          <w:rFonts w:ascii="微软雅黑" w:hAnsi="微软雅黑" w:eastAsia="微软雅黑"/>
          <w:b/>
          <w:spacing w:val="-2"/>
          <w:sz w:val="21"/>
        </w:rPr>
        <w:t>疾病保险责任同时终止。</w:t>
      </w:r>
    </w:p>
    <w:p>
      <w:pPr>
        <w:spacing w:after="0" w:line="168" w:lineRule="auto"/>
        <w:jc w:val="both"/>
        <w:rPr>
          <w:rFonts w:ascii="微软雅黑" w:hAnsi="微软雅黑" w:eastAsia="微软雅黑"/>
          <w:sz w:val="21"/>
        </w:rPr>
        <w:sectPr>
          <w:type w:val="continuous"/>
          <w:pgSz w:w="11910" w:h="16840"/>
          <w:pgMar w:header="0" w:footer="878" w:top="160" w:bottom="280" w:left="1480" w:right="440"/>
          <w:cols w:num="2" w:equalWidth="0">
            <w:col w:w="2940" w:space="40"/>
            <w:col w:w="7010"/>
          </w:cols>
        </w:sectPr>
      </w:pPr>
    </w:p>
    <w:p>
      <w:pPr>
        <w:pStyle w:val="BodyText"/>
        <w:spacing w:before="13"/>
        <w:ind w:left="0"/>
        <w:rPr>
          <w:rFonts w:ascii="微软雅黑"/>
          <w:b/>
          <w:sz w:val="8"/>
        </w:rPr>
      </w:pPr>
    </w:p>
    <w:p>
      <w:pPr>
        <w:pStyle w:val="ListParagraph"/>
        <w:numPr>
          <w:ilvl w:val="1"/>
          <w:numId w:val="34"/>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角膜移</w:t>
      </w:r>
      <w:r>
        <w:rPr>
          <w:rFonts w:ascii="微软雅黑" w:eastAsia="微软雅黑"/>
          <w:b/>
          <w:spacing w:val="-10"/>
          <w:sz w:val="21"/>
        </w:rPr>
        <w:t>植</w:t>
      </w:r>
      <w:r>
        <w:rPr>
          <w:rFonts w:ascii="微软雅黑" w:eastAsia="微软雅黑"/>
          <w:b/>
          <w:sz w:val="21"/>
        </w:rPr>
        <w:tab/>
      </w:r>
      <w:r>
        <w:rPr>
          <w:spacing w:val="-2"/>
          <w:sz w:val="21"/>
        </w:rPr>
        <w:t>指</w:t>
      </w:r>
      <w:r>
        <w:rPr>
          <w:spacing w:val="-2"/>
          <w:sz w:val="21"/>
        </w:rPr>
        <w:t>为</w:t>
      </w:r>
      <w:r>
        <w:rPr>
          <w:spacing w:val="-2"/>
          <w:sz w:val="21"/>
        </w:rPr>
        <w:t>增</w:t>
      </w:r>
      <w:r>
        <w:rPr>
          <w:spacing w:val="-2"/>
          <w:sz w:val="21"/>
        </w:rPr>
        <w:t>进</w:t>
      </w:r>
      <w:r>
        <w:rPr>
          <w:spacing w:val="-2"/>
          <w:sz w:val="21"/>
        </w:rPr>
        <w:t>视</w:t>
      </w:r>
      <w:r>
        <w:rPr>
          <w:spacing w:val="-2"/>
          <w:sz w:val="21"/>
        </w:rPr>
        <w:t>力或治</w:t>
      </w:r>
      <w:r>
        <w:rPr>
          <w:spacing w:val="-2"/>
          <w:sz w:val="21"/>
        </w:rPr>
        <w:t>疗</w:t>
      </w:r>
      <w:r>
        <w:rPr>
          <w:spacing w:val="-2"/>
          <w:sz w:val="21"/>
        </w:rPr>
        <w:t>某</w:t>
      </w:r>
      <w:r>
        <w:rPr>
          <w:spacing w:val="-2"/>
          <w:sz w:val="21"/>
        </w:rPr>
        <w:t>些</w:t>
      </w:r>
      <w:r>
        <w:rPr>
          <w:spacing w:val="-2"/>
          <w:sz w:val="21"/>
        </w:rPr>
        <w:t>角</w:t>
      </w:r>
      <w:r>
        <w:rPr>
          <w:spacing w:val="-2"/>
          <w:sz w:val="21"/>
        </w:rPr>
        <w:t>膜</w:t>
      </w:r>
      <w:r>
        <w:rPr>
          <w:spacing w:val="-2"/>
          <w:sz w:val="21"/>
        </w:rPr>
        <w:t>疾</w:t>
      </w:r>
      <w:r>
        <w:rPr>
          <w:spacing w:val="-2"/>
          <w:sz w:val="21"/>
        </w:rPr>
        <w:t>患</w:t>
      </w:r>
      <w:r>
        <w:rPr>
          <w:spacing w:val="-2"/>
          <w:sz w:val="21"/>
        </w:rPr>
        <w:t>，已经实</w:t>
      </w:r>
      <w:r>
        <w:rPr>
          <w:spacing w:val="-2"/>
          <w:sz w:val="21"/>
        </w:rPr>
        <w:t>施</w:t>
      </w:r>
      <w:r>
        <w:rPr>
          <w:spacing w:val="-2"/>
          <w:sz w:val="21"/>
        </w:rPr>
        <w:t>了</w:t>
      </w:r>
      <w:r>
        <w:rPr>
          <w:spacing w:val="-2"/>
          <w:sz w:val="21"/>
        </w:rPr>
        <w:t>异</w:t>
      </w:r>
      <w:r>
        <w:rPr>
          <w:spacing w:val="-2"/>
          <w:sz w:val="21"/>
        </w:rPr>
        <w:t>体</w:t>
      </w:r>
      <w:r>
        <w:rPr>
          <w:spacing w:val="-2"/>
          <w:sz w:val="21"/>
        </w:rPr>
        <w:t>的</w:t>
      </w:r>
      <w:r>
        <w:rPr>
          <w:spacing w:val="-2"/>
          <w:sz w:val="21"/>
        </w:rPr>
        <w:t>角</w:t>
      </w:r>
      <w:r>
        <w:rPr>
          <w:spacing w:val="-2"/>
          <w:sz w:val="21"/>
        </w:rPr>
        <w:t>膜</w:t>
      </w:r>
      <w:r>
        <w:rPr>
          <w:spacing w:val="-2"/>
          <w:sz w:val="21"/>
        </w:rPr>
        <w:t>移</w:t>
      </w:r>
      <w:r>
        <w:rPr>
          <w:spacing w:val="-2"/>
          <w:sz w:val="21"/>
        </w:rPr>
        <w:t>植</w:t>
      </w:r>
      <w:r>
        <w:rPr>
          <w:spacing w:val="-10"/>
          <w:sz w:val="21"/>
        </w:rPr>
        <w:t>手</w:t>
      </w:r>
    </w:p>
    <w:p>
      <w:pPr>
        <w:pStyle w:val="BodyText"/>
        <w:spacing w:line="245" w:lineRule="exact"/>
      </w:pPr>
      <w:r>
        <w:rPr>
          <w:spacing w:val="-3"/>
        </w:rPr>
        <w:t>术。此手术必须在本公司认可医院内由专科医生认为是医疗必须的</w:t>
      </w:r>
    </w:p>
    <w:p>
      <w:pPr>
        <w:pStyle w:val="BodyText"/>
        <w:spacing w:before="2"/>
      </w:pPr>
      <w:r>
        <w:rPr>
          <w:spacing w:val="-4"/>
        </w:rPr>
        <w:t>情况下进行。</w:t>
      </w:r>
    </w:p>
    <w:p>
      <w:pPr>
        <w:pStyle w:val="BodyText"/>
        <w:spacing w:before="7"/>
        <w:ind w:left="0"/>
        <w:rPr>
          <w:sz w:val="20"/>
        </w:rPr>
      </w:pPr>
    </w:p>
    <w:p>
      <w:pPr>
        <w:spacing w:line="168" w:lineRule="auto" w:before="0"/>
        <w:ind w:left="3153" w:right="729" w:firstLine="0"/>
        <w:jc w:val="both"/>
        <w:rPr>
          <w:rFonts w:ascii="微软雅黑" w:hAnsi="微软雅黑" w:eastAsia="微软雅黑"/>
          <w:b/>
          <w:sz w:val="21"/>
        </w:rPr>
      </w:pPr>
      <w:r>
        <w:rPr>
          <w:rFonts w:ascii="微软雅黑" w:hAnsi="微软雅黑" w:eastAsia="微软雅黑"/>
          <w:b/>
          <w:spacing w:val="3"/>
          <w:sz w:val="21"/>
        </w:rPr>
        <w:t>本公司对“轻度视力受损 </w:t>
      </w:r>
      <w:r>
        <w:rPr>
          <w:rFonts w:ascii="Times New Roman" w:hAnsi="Times New Roman" w:eastAsia="Times New Roman"/>
          <w:b/>
          <w:spacing w:val="25"/>
          <w:sz w:val="21"/>
        </w:rPr>
        <w:t>- </w:t>
      </w:r>
      <w:r>
        <w:rPr>
          <w:rFonts w:ascii="微软雅黑" w:hAnsi="微软雅黑" w:eastAsia="微软雅黑"/>
          <w:b/>
          <w:spacing w:val="-16"/>
          <w:sz w:val="21"/>
        </w:rPr>
        <w:t>三岁始理赔”、“单目失明 </w:t>
      </w:r>
      <w:r>
        <w:rPr>
          <w:rFonts w:ascii="Times New Roman" w:hAnsi="Times New Roman" w:eastAsia="Times New Roman"/>
          <w:b/>
          <w:spacing w:val="25"/>
          <w:sz w:val="21"/>
        </w:rPr>
        <w:t>- </w:t>
      </w:r>
      <w:r>
        <w:rPr>
          <w:rFonts w:ascii="微软雅黑" w:hAnsi="微软雅黑" w:eastAsia="微软雅黑"/>
          <w:b/>
          <w:sz w:val="21"/>
        </w:rPr>
        <w:t>三岁始理</w:t>
      </w:r>
      <w:r>
        <w:rPr>
          <w:rFonts w:ascii="微软雅黑" w:hAnsi="微软雅黑" w:eastAsia="微软雅黑"/>
          <w:b/>
          <w:spacing w:val="-2"/>
          <w:sz w:val="21"/>
        </w:rPr>
        <w:t>赔”和“角膜移植”三项中的其中一项承担保险责任，给付其中一</w:t>
      </w:r>
      <w:r>
        <w:rPr>
          <w:rFonts w:ascii="微软雅黑" w:hAnsi="微软雅黑" w:eastAsia="微软雅黑"/>
          <w:b/>
          <w:spacing w:val="-2"/>
          <w:sz w:val="21"/>
        </w:rPr>
        <w:t>项保险金后，对其它两项轻度疾病保险责任同时终止。</w:t>
      </w:r>
    </w:p>
    <w:p>
      <w:pPr>
        <w:pStyle w:val="BodyText"/>
        <w:spacing w:before="7"/>
        <w:ind w:left="0"/>
        <w:rPr>
          <w:rFonts w:ascii="微软雅黑"/>
          <w:b/>
          <w:sz w:val="10"/>
        </w:rPr>
      </w:pPr>
    </w:p>
    <w:p>
      <w:pPr>
        <w:pStyle w:val="ListParagraph"/>
        <w:numPr>
          <w:ilvl w:val="1"/>
          <w:numId w:val="34"/>
        </w:numPr>
        <w:tabs>
          <w:tab w:pos="1071" w:val="left" w:leader="none"/>
          <w:tab w:pos="1072" w:val="left" w:leader="none"/>
          <w:tab w:pos="3152" w:val="left" w:leader="none"/>
        </w:tabs>
        <w:spacing w:line="240" w:lineRule="auto" w:before="0" w:after="0"/>
        <w:ind w:left="1071" w:right="0" w:hanging="850"/>
        <w:jc w:val="left"/>
        <w:rPr>
          <w:sz w:val="21"/>
        </w:rPr>
      </w:pPr>
      <w:r>
        <w:rPr>
          <w:rFonts w:ascii="微软雅黑" w:eastAsia="微软雅黑"/>
          <w:b/>
          <w:spacing w:val="14"/>
          <w:sz w:val="21"/>
        </w:rPr>
        <w:t>单</w:t>
      </w:r>
      <w:r>
        <w:rPr>
          <w:rFonts w:ascii="微软雅黑" w:eastAsia="微软雅黑"/>
          <w:b/>
          <w:spacing w:val="11"/>
          <w:sz w:val="21"/>
        </w:rPr>
        <w:t>目</w:t>
      </w:r>
      <w:r>
        <w:rPr>
          <w:rFonts w:ascii="微软雅黑" w:eastAsia="微软雅黑"/>
          <w:b/>
          <w:spacing w:val="14"/>
          <w:sz w:val="21"/>
        </w:rPr>
        <w:t>失</w:t>
      </w:r>
      <w:r>
        <w:rPr>
          <w:rFonts w:ascii="微软雅黑" w:eastAsia="微软雅黑"/>
          <w:b/>
          <w:sz w:val="21"/>
        </w:rPr>
        <w:t>明</w:t>
      </w:r>
      <w:r>
        <w:rPr>
          <w:rFonts w:ascii="微软雅黑" w:eastAsia="微软雅黑"/>
          <w:b/>
          <w:spacing w:val="69"/>
          <w:sz w:val="21"/>
        </w:rPr>
        <w:t> </w:t>
      </w:r>
      <w:r>
        <w:rPr>
          <w:rFonts w:ascii="Times New Roman" w:eastAsia="Times New Roman"/>
          <w:b/>
          <w:sz w:val="21"/>
        </w:rPr>
        <w:t>-</w:t>
      </w:r>
      <w:r>
        <w:rPr>
          <w:rFonts w:ascii="Times New Roman" w:eastAsia="Times New Roman"/>
          <w:b/>
          <w:spacing w:val="63"/>
          <w:sz w:val="21"/>
        </w:rPr>
        <w:t> </w:t>
      </w:r>
      <w:r>
        <w:rPr>
          <w:rFonts w:ascii="微软雅黑" w:eastAsia="微软雅黑"/>
          <w:b/>
          <w:spacing w:val="14"/>
          <w:sz w:val="21"/>
        </w:rPr>
        <w:t>三岁</w:t>
      </w:r>
      <w:r>
        <w:rPr>
          <w:rFonts w:ascii="微软雅黑" w:eastAsia="微软雅黑"/>
          <w:b/>
          <w:spacing w:val="-10"/>
          <w:sz w:val="21"/>
        </w:rPr>
        <w:t>始</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单</w:t>
      </w:r>
      <w:r>
        <w:rPr>
          <w:spacing w:val="-2"/>
          <w:sz w:val="21"/>
        </w:rPr>
        <w:t>眼</w:t>
      </w:r>
      <w:r>
        <w:rPr>
          <w:spacing w:val="-2"/>
          <w:sz w:val="21"/>
        </w:rPr>
        <w:t>视</w:t>
      </w:r>
      <w:r>
        <w:rPr>
          <w:spacing w:val="-2"/>
          <w:sz w:val="21"/>
        </w:rPr>
        <w:t>力</w:t>
      </w:r>
      <w:r>
        <w:rPr>
          <w:spacing w:val="-2"/>
          <w:sz w:val="21"/>
        </w:rPr>
        <w:t>永</w:t>
      </w:r>
      <w:r>
        <w:rPr>
          <w:spacing w:val="-2"/>
          <w:sz w:val="21"/>
        </w:rPr>
        <w:t>久不可</w:t>
      </w:r>
      <w:r>
        <w:rPr>
          <w:spacing w:val="-2"/>
          <w:sz w:val="21"/>
        </w:rPr>
        <w:t>逆</w:t>
      </w:r>
      <w:r>
        <w:rPr>
          <w:spacing w:val="-2"/>
          <w:sz w:val="21"/>
        </w:rPr>
        <w:t>性</w:t>
      </w:r>
      <w:r>
        <w:rPr>
          <w:spacing w:val="-2"/>
          <w:sz w:val="21"/>
        </w:rPr>
        <w:t>丧</w:t>
      </w:r>
      <w:r>
        <w:rPr>
          <w:spacing w:val="-2"/>
          <w:sz w:val="21"/>
        </w:rPr>
        <w:t>失</w:t>
      </w:r>
      <w:r>
        <w:rPr>
          <w:spacing w:val="-2"/>
          <w:sz w:val="21"/>
        </w:rPr>
        <w:t>，患</w:t>
      </w:r>
      <w:r>
        <w:rPr>
          <w:spacing w:val="-2"/>
          <w:sz w:val="21"/>
        </w:rPr>
        <w:t>眼</w:t>
      </w:r>
      <w:r>
        <w:rPr>
          <w:spacing w:val="-2"/>
          <w:sz w:val="21"/>
        </w:rPr>
        <w:t>须</w:t>
      </w:r>
      <w:r>
        <w:rPr>
          <w:spacing w:val="-2"/>
          <w:sz w:val="21"/>
        </w:rPr>
        <w:t>满</w:t>
      </w:r>
      <w:r>
        <w:rPr>
          <w:spacing w:val="-10"/>
          <w:sz w:val="21"/>
        </w:rPr>
        <w:t>足</w:t>
      </w:r>
    </w:p>
    <w:p>
      <w:pPr>
        <w:spacing w:after="0" w:line="240" w:lineRule="auto"/>
        <w:jc w:val="left"/>
        <w:rPr>
          <w:sz w:val="21"/>
        </w:rPr>
        <w:sectPr>
          <w:type w:val="continuous"/>
          <w:pgSz w:w="11910" w:h="16840"/>
          <w:pgMar w:header="0" w:footer="878" w:top="160" w:bottom="280" w:left="1480" w:right="440"/>
        </w:sectPr>
      </w:pPr>
    </w:p>
    <w:p>
      <w:pPr>
        <w:tabs>
          <w:tab w:pos="3152" w:val="left" w:leader="none"/>
        </w:tabs>
        <w:spacing w:line="352" w:lineRule="exact" w:before="0"/>
        <w:ind w:left="1071" w:right="0" w:firstLine="0"/>
        <w:jc w:val="left"/>
        <w:rPr>
          <w:sz w:val="21"/>
        </w:rPr>
      </w:pPr>
      <w:r>
        <w:rPr>
          <w:rFonts w:ascii="微软雅黑" w:eastAsia="微软雅黑"/>
          <w:b/>
          <w:sz w:val="21"/>
        </w:rPr>
        <w:t>理</w:t>
      </w:r>
      <w:r>
        <w:rPr>
          <w:rFonts w:ascii="微软雅黑" w:eastAsia="微软雅黑"/>
          <w:b/>
          <w:spacing w:val="-10"/>
          <w:sz w:val="21"/>
        </w:rPr>
        <w:t>赔</w:t>
      </w:r>
      <w:r>
        <w:rPr>
          <w:rFonts w:ascii="微软雅黑" w:eastAsia="微软雅黑"/>
          <w:b/>
          <w:sz w:val="21"/>
        </w:rPr>
        <w:tab/>
      </w:r>
      <w:r>
        <w:rPr>
          <w:spacing w:val="-2"/>
          <w:sz w:val="21"/>
        </w:rPr>
        <w:t>下</w:t>
      </w:r>
      <w:r>
        <w:rPr>
          <w:spacing w:val="-2"/>
          <w:sz w:val="21"/>
        </w:rPr>
        <w:t>列</w:t>
      </w:r>
      <w:r>
        <w:rPr>
          <w:spacing w:val="-2"/>
          <w:sz w:val="21"/>
        </w:rPr>
        <w:t>至少一项条</w:t>
      </w:r>
      <w:r>
        <w:rPr>
          <w:spacing w:val="-2"/>
          <w:sz w:val="21"/>
        </w:rPr>
        <w:t>件</w:t>
      </w:r>
      <w:r>
        <w:rPr>
          <w:spacing w:val="-10"/>
          <w:sz w:val="21"/>
        </w:rPr>
        <w:t>：</w:t>
      </w:r>
    </w:p>
    <w:p>
      <w:pPr>
        <w:pStyle w:val="ListParagraph"/>
        <w:numPr>
          <w:ilvl w:val="0"/>
          <w:numId w:val="35"/>
        </w:numPr>
        <w:tabs>
          <w:tab w:pos="3682" w:val="left" w:leader="none"/>
        </w:tabs>
        <w:spacing w:line="246" w:lineRule="exact" w:before="0" w:after="0"/>
        <w:ind w:left="3682" w:right="0" w:hanging="529"/>
        <w:jc w:val="left"/>
        <w:rPr>
          <w:sz w:val="21"/>
        </w:rPr>
      </w:pPr>
      <w:r>
        <w:rPr>
          <w:spacing w:val="-4"/>
          <w:sz w:val="21"/>
        </w:rPr>
        <w:t>眼球缺失或摘除；</w:t>
      </w:r>
    </w:p>
    <w:p>
      <w:pPr>
        <w:pStyle w:val="ListParagraph"/>
        <w:numPr>
          <w:ilvl w:val="0"/>
          <w:numId w:val="35"/>
        </w:numPr>
        <w:tabs>
          <w:tab w:pos="3682" w:val="left" w:leader="none"/>
        </w:tabs>
        <w:spacing w:line="244" w:lineRule="auto" w:before="2" w:after="0"/>
        <w:ind w:left="3678" w:right="842" w:hanging="526"/>
        <w:jc w:val="left"/>
        <w:rPr>
          <w:sz w:val="21"/>
        </w:rPr>
      </w:pPr>
      <w:r>
        <w:rPr>
          <w:spacing w:val="-8"/>
          <w:sz w:val="21"/>
        </w:rPr>
        <w:t>矫正视力低于 </w:t>
      </w:r>
      <w:r>
        <w:rPr>
          <w:rFonts w:ascii="Times New Roman" w:eastAsia="Times New Roman"/>
          <w:sz w:val="21"/>
        </w:rPr>
        <w:t>0.02</w:t>
      </w:r>
      <w:r>
        <w:rPr>
          <w:sz w:val="21"/>
        </w:rPr>
        <w:t>（采用国际标准视力表，如果使用其它视</w:t>
      </w:r>
      <w:r>
        <w:rPr>
          <w:spacing w:val="-2"/>
          <w:sz w:val="21"/>
        </w:rPr>
        <w:t>力表应进行换算</w:t>
      </w:r>
      <w:r>
        <w:rPr>
          <w:spacing w:val="-106"/>
          <w:sz w:val="21"/>
        </w:rPr>
        <w:t>）</w:t>
      </w:r>
      <w:r>
        <w:rPr>
          <w:sz w:val="21"/>
        </w:rPr>
        <w:t>；</w:t>
      </w:r>
    </w:p>
    <w:p>
      <w:pPr>
        <w:pStyle w:val="ListParagraph"/>
        <w:numPr>
          <w:ilvl w:val="0"/>
          <w:numId w:val="35"/>
        </w:numPr>
        <w:tabs>
          <w:tab w:pos="3682" w:val="left" w:leader="none"/>
        </w:tabs>
        <w:spacing w:line="244" w:lineRule="auto" w:before="0" w:after="0"/>
        <w:ind w:left="3678" w:right="633" w:hanging="526"/>
        <w:jc w:val="left"/>
        <w:rPr>
          <w:sz w:val="21"/>
        </w:rPr>
      </w:pPr>
      <w:r>
        <w:rPr>
          <w:spacing w:val="-4"/>
          <w:sz w:val="21"/>
        </w:rPr>
        <w:t>视野半径小于 </w:t>
      </w:r>
      <w:r>
        <w:rPr>
          <w:rFonts w:ascii="Times New Roman" w:eastAsia="Times New Roman"/>
          <w:sz w:val="21"/>
        </w:rPr>
        <w:t>5 </w:t>
      </w:r>
      <w:r>
        <w:rPr>
          <w:sz w:val="21"/>
        </w:rPr>
        <w:t>度。诊断须在本公司认可的医院内由眼科专</w:t>
      </w:r>
      <w:r>
        <w:rPr>
          <w:sz w:val="21"/>
        </w:rPr>
        <w:t> </w:t>
      </w:r>
      <w:r>
        <w:rPr>
          <w:spacing w:val="-2"/>
          <w:sz w:val="21"/>
        </w:rPr>
        <w:t>科医生确认，并且提供理赔当时的视力丧失诊断及检查证据。</w:t>
      </w:r>
    </w:p>
    <w:p>
      <w:pPr>
        <w:pStyle w:val="BodyText"/>
        <w:spacing w:before="7"/>
        <w:ind w:left="0"/>
        <w:rPr>
          <w:sz w:val="19"/>
        </w:rPr>
      </w:pPr>
    </w:p>
    <w:p>
      <w:pPr>
        <w:spacing w:line="168" w:lineRule="auto" w:before="0"/>
        <w:ind w:left="3153" w:right="732" w:firstLine="0"/>
        <w:jc w:val="left"/>
        <w:rPr>
          <w:rFonts w:ascii="微软雅黑" w:eastAsia="微软雅黑"/>
          <w:b/>
          <w:sz w:val="21"/>
        </w:rPr>
      </w:pPr>
      <w:r>
        <w:rPr>
          <w:rFonts w:ascii="微软雅黑" w:eastAsia="微软雅黑"/>
          <w:b/>
          <w:spacing w:val="-2"/>
          <w:sz w:val="21"/>
        </w:rPr>
        <w:t>被保险人申请理赔时年龄必须在三周岁以上，并且提供理赔当时的</w:t>
      </w:r>
      <w:r>
        <w:rPr>
          <w:rFonts w:ascii="微软雅黑" w:eastAsia="微软雅黑"/>
          <w:b/>
          <w:spacing w:val="-2"/>
          <w:sz w:val="21"/>
        </w:rPr>
        <w:t>视力丧失诊断及检查证据。</w:t>
      </w:r>
    </w:p>
    <w:p>
      <w:pPr>
        <w:pStyle w:val="BodyText"/>
        <w:spacing w:before="5"/>
        <w:ind w:left="0"/>
        <w:rPr>
          <w:rFonts w:ascii="微软雅黑"/>
          <w:b/>
          <w:sz w:val="13"/>
        </w:rPr>
      </w:pPr>
    </w:p>
    <w:p>
      <w:pPr>
        <w:spacing w:line="168" w:lineRule="auto" w:before="1"/>
        <w:ind w:left="3153" w:right="729" w:firstLine="0"/>
        <w:jc w:val="both"/>
        <w:rPr>
          <w:rFonts w:ascii="微软雅黑" w:hAnsi="微软雅黑" w:eastAsia="微软雅黑"/>
          <w:b/>
          <w:sz w:val="21"/>
        </w:rPr>
      </w:pPr>
      <w:r>
        <w:rPr>
          <w:rFonts w:ascii="微软雅黑" w:hAnsi="微软雅黑" w:eastAsia="微软雅黑"/>
          <w:b/>
          <w:spacing w:val="3"/>
          <w:sz w:val="21"/>
        </w:rPr>
        <w:t>本公司对“轻度视力受损 </w:t>
      </w:r>
      <w:r>
        <w:rPr>
          <w:rFonts w:ascii="Times New Roman" w:hAnsi="Times New Roman" w:eastAsia="Times New Roman"/>
          <w:b/>
          <w:spacing w:val="25"/>
          <w:sz w:val="21"/>
        </w:rPr>
        <w:t>- </w:t>
      </w:r>
      <w:r>
        <w:rPr>
          <w:rFonts w:ascii="微软雅黑" w:hAnsi="微软雅黑" w:eastAsia="微软雅黑"/>
          <w:b/>
          <w:spacing w:val="-16"/>
          <w:sz w:val="21"/>
        </w:rPr>
        <w:t>三岁始理赔”、“单目失明 </w:t>
      </w:r>
      <w:r>
        <w:rPr>
          <w:rFonts w:ascii="Times New Roman" w:hAnsi="Times New Roman" w:eastAsia="Times New Roman"/>
          <w:b/>
          <w:spacing w:val="25"/>
          <w:sz w:val="21"/>
        </w:rPr>
        <w:t>- </w:t>
      </w:r>
      <w:r>
        <w:rPr>
          <w:rFonts w:ascii="微软雅黑" w:hAnsi="微软雅黑" w:eastAsia="微软雅黑"/>
          <w:b/>
          <w:sz w:val="21"/>
        </w:rPr>
        <w:t>三岁始理</w:t>
      </w:r>
      <w:r>
        <w:rPr>
          <w:rFonts w:ascii="微软雅黑" w:hAnsi="微软雅黑" w:eastAsia="微软雅黑"/>
          <w:b/>
          <w:spacing w:val="-2"/>
          <w:sz w:val="21"/>
        </w:rPr>
        <w:t>赔”和“角膜移植”三项中的其中一项承担保险责任，给付其中一</w:t>
      </w:r>
      <w:r>
        <w:rPr>
          <w:rFonts w:ascii="微软雅黑" w:hAnsi="微软雅黑" w:eastAsia="微软雅黑"/>
          <w:b/>
          <w:spacing w:val="-2"/>
          <w:sz w:val="21"/>
        </w:rPr>
        <w:t>项保险金后，对其它两项轻度疾病保险责任同时终止。</w:t>
      </w:r>
    </w:p>
    <w:p>
      <w:pPr>
        <w:pStyle w:val="BodyText"/>
        <w:spacing w:before="6"/>
        <w:ind w:left="0"/>
        <w:rPr>
          <w:rFonts w:ascii="微软雅黑"/>
          <w:b/>
          <w:sz w:val="10"/>
        </w:rPr>
      </w:pPr>
    </w:p>
    <w:p>
      <w:pPr>
        <w:pStyle w:val="ListParagraph"/>
        <w:numPr>
          <w:ilvl w:val="1"/>
          <w:numId w:val="34"/>
        </w:numPr>
        <w:tabs>
          <w:tab w:pos="1071" w:val="left" w:leader="none"/>
          <w:tab w:pos="1072" w:val="left" w:leader="none"/>
          <w:tab w:pos="3152" w:val="left" w:leader="none"/>
        </w:tabs>
        <w:spacing w:line="364" w:lineRule="exact" w:before="1" w:after="0"/>
        <w:ind w:left="1071" w:right="0" w:hanging="850"/>
        <w:jc w:val="left"/>
        <w:rPr>
          <w:sz w:val="21"/>
        </w:rPr>
      </w:pPr>
      <w:r>
        <w:rPr>
          <w:rFonts w:ascii="微软雅黑" w:eastAsia="微软雅黑"/>
          <w:b/>
          <w:sz w:val="21"/>
        </w:rPr>
        <w:t>感染性心内膜</w:t>
      </w:r>
      <w:r>
        <w:rPr>
          <w:rFonts w:ascii="微软雅黑" w:eastAsia="微软雅黑"/>
          <w:b/>
          <w:spacing w:val="-10"/>
          <w:sz w:val="21"/>
        </w:rPr>
        <w:t>炎</w:t>
      </w:r>
      <w:r>
        <w:rPr>
          <w:rFonts w:ascii="微软雅黑" w:eastAsia="微软雅黑"/>
          <w:b/>
          <w:sz w:val="21"/>
        </w:rPr>
        <w:tab/>
      </w:r>
      <w:r>
        <w:rPr>
          <w:spacing w:val="-2"/>
          <w:sz w:val="21"/>
        </w:rPr>
        <w:t>因</w:t>
      </w:r>
      <w:r>
        <w:rPr>
          <w:spacing w:val="-2"/>
          <w:sz w:val="21"/>
        </w:rPr>
        <w:t>感</w:t>
      </w:r>
      <w:r>
        <w:rPr>
          <w:spacing w:val="-2"/>
          <w:sz w:val="21"/>
        </w:rPr>
        <w:t>染性微生物造成心脏</w:t>
      </w:r>
      <w:r>
        <w:rPr>
          <w:spacing w:val="-2"/>
          <w:sz w:val="21"/>
        </w:rPr>
        <w:t>内</w:t>
      </w:r>
      <w:r>
        <w:rPr>
          <w:spacing w:val="-2"/>
          <w:sz w:val="21"/>
        </w:rPr>
        <w:t>膜</w:t>
      </w:r>
      <w:r>
        <w:rPr>
          <w:spacing w:val="-2"/>
          <w:sz w:val="21"/>
        </w:rPr>
        <w:t>炎症，心内膜炎及心</w:t>
      </w:r>
      <w:r>
        <w:rPr>
          <w:spacing w:val="-2"/>
          <w:sz w:val="21"/>
        </w:rPr>
        <w:t>瓣</w:t>
      </w:r>
      <w:r>
        <w:rPr>
          <w:spacing w:val="-2"/>
          <w:sz w:val="21"/>
        </w:rPr>
        <w:t>膜</w:t>
      </w:r>
      <w:r>
        <w:rPr>
          <w:spacing w:val="-2"/>
          <w:sz w:val="21"/>
        </w:rPr>
        <w:t>受损情</w:t>
      </w:r>
      <w:r>
        <w:rPr>
          <w:spacing w:val="-2"/>
          <w:sz w:val="21"/>
        </w:rPr>
        <w:t>况</w:t>
      </w:r>
      <w:r>
        <w:rPr>
          <w:spacing w:val="-10"/>
          <w:sz w:val="21"/>
        </w:rPr>
        <w:t>需</w:t>
      </w:r>
    </w:p>
    <w:p>
      <w:pPr>
        <w:pStyle w:val="BodyText"/>
        <w:spacing w:line="246" w:lineRule="exact"/>
      </w:pPr>
      <w:r>
        <w:rPr>
          <w:spacing w:val="-3"/>
        </w:rPr>
        <w:t>经由心脏科专科医生确诊，且未达到重度疾病“严重感染性心内膜</w:t>
      </w:r>
    </w:p>
    <w:p>
      <w:pPr>
        <w:pStyle w:val="BodyText"/>
        <w:spacing w:before="2"/>
      </w:pPr>
      <w:r>
        <w:rPr>
          <w:spacing w:val="-3"/>
        </w:rPr>
        <w:t>炎”或“心脏瓣膜手术”的给付标准。必须满足下列条件：</w:t>
      </w:r>
    </w:p>
    <w:p>
      <w:pPr>
        <w:pStyle w:val="ListParagraph"/>
        <w:numPr>
          <w:ilvl w:val="0"/>
          <w:numId w:val="36"/>
        </w:numPr>
        <w:tabs>
          <w:tab w:pos="3682" w:val="left" w:leader="none"/>
        </w:tabs>
        <w:spacing w:line="240" w:lineRule="auto" w:before="5" w:after="0"/>
        <w:ind w:left="3682" w:right="0" w:hanging="529"/>
        <w:jc w:val="left"/>
        <w:rPr>
          <w:sz w:val="21"/>
        </w:rPr>
      </w:pPr>
      <w:r>
        <w:rPr>
          <w:spacing w:val="-3"/>
          <w:sz w:val="21"/>
        </w:rPr>
        <w:t>血液培养测试结果为阳性，证实存在感染性微生物：</w:t>
      </w:r>
    </w:p>
    <w:p>
      <w:pPr>
        <w:pStyle w:val="BodyText"/>
        <w:spacing w:line="244" w:lineRule="auto" w:before="2"/>
        <w:ind w:left="3678" w:right="729"/>
      </w:pPr>
      <w:r>
        <w:rPr>
          <w:spacing w:val="-13"/>
        </w:rPr>
        <w:t>①微生物：在赘生物，栓塞的赘生物或心脏内脓疡经培养或组</w:t>
      </w:r>
      <w:r>
        <w:rPr>
          <w:spacing w:val="-2"/>
        </w:rPr>
        <w:t>织检查证实有微生物；或</w:t>
      </w:r>
    </w:p>
    <w:p>
      <w:pPr>
        <w:pStyle w:val="BodyText"/>
        <w:spacing w:line="244" w:lineRule="auto"/>
        <w:ind w:left="3678" w:right="729"/>
      </w:pPr>
      <w:r>
        <w:rPr>
          <w:spacing w:val="-12"/>
        </w:rPr>
        <w:t>②病理性病灶：组织检查证实赘生物或心脏内脓疡有活动性心</w:t>
      </w:r>
      <w:r>
        <w:rPr>
          <w:spacing w:val="-2"/>
        </w:rPr>
        <w:t>内膜炎；或</w:t>
      </w:r>
    </w:p>
    <w:p>
      <w:pPr>
        <w:pStyle w:val="BodyText"/>
        <w:spacing w:line="265" w:lineRule="exact"/>
        <w:ind w:left="3678"/>
      </w:pPr>
      <w:r>
        <w:rPr>
          <w:spacing w:val="-3"/>
        </w:rPr>
        <w:t>③分别两次血液培养证实有微生物，且与心内膜炎符合。</w:t>
      </w:r>
    </w:p>
    <w:p>
      <w:pPr>
        <w:pStyle w:val="ListParagraph"/>
        <w:numPr>
          <w:ilvl w:val="0"/>
          <w:numId w:val="36"/>
        </w:numPr>
        <w:tabs>
          <w:tab w:pos="3682" w:val="left" w:leader="none"/>
        </w:tabs>
        <w:spacing w:line="242" w:lineRule="auto" w:before="0" w:after="0"/>
        <w:ind w:left="3678" w:right="614" w:hanging="526"/>
        <w:jc w:val="left"/>
        <w:rPr>
          <w:sz w:val="21"/>
        </w:rPr>
      </w:pPr>
      <w:r>
        <w:rPr>
          <w:sz w:val="21"/>
        </w:rPr>
        <w:t>心内膜炎引起中度心瓣膜关闭不全（</w:t>
      </w:r>
      <w:r>
        <w:rPr>
          <w:spacing w:val="-9"/>
          <w:sz w:val="21"/>
        </w:rPr>
        <w:t>指返流分数 </w:t>
      </w:r>
      <w:r>
        <w:rPr>
          <w:rFonts w:ascii="Times New Roman" w:eastAsia="Times New Roman"/>
          <w:sz w:val="21"/>
        </w:rPr>
        <w:t>10%</w:t>
      </w:r>
      <w:r>
        <w:rPr>
          <w:sz w:val="21"/>
        </w:rPr>
        <w:t>或以上）</w:t>
      </w:r>
      <w:r>
        <w:rPr>
          <w:spacing w:val="-2"/>
          <w:sz w:val="21"/>
        </w:rPr>
        <w:t>或中度心瓣膜狭窄（指心瓣膜开口范围少于或等于正常的</w:t>
      </w:r>
      <w:r>
        <w:rPr>
          <w:spacing w:val="-2"/>
          <w:sz w:val="21"/>
        </w:rPr>
        <w:t> </w:t>
      </w:r>
      <w:r>
        <w:rPr>
          <w:rFonts w:ascii="Times New Roman" w:eastAsia="Times New Roman"/>
          <w:spacing w:val="22"/>
          <w:sz w:val="21"/>
        </w:rPr>
        <w:t>50</w:t>
      </w:r>
      <w:r>
        <w:rPr>
          <w:rFonts w:ascii="Times New Roman" w:eastAsia="Times New Roman"/>
          <w:spacing w:val="21"/>
          <w:sz w:val="21"/>
        </w:rPr>
        <w:t>%</w:t>
      </w:r>
      <w:r>
        <w:rPr>
          <w:spacing w:val="-84"/>
          <w:sz w:val="21"/>
        </w:rPr>
        <w:t>）</w:t>
      </w:r>
      <w:r>
        <w:rPr>
          <w:spacing w:val="-106"/>
          <w:sz w:val="21"/>
        </w:rPr>
        <w:t>。</w:t>
      </w:r>
    </w:p>
    <w:p>
      <w:pPr>
        <w:pStyle w:val="BodyText"/>
        <w:spacing w:before="8"/>
        <w:ind w:left="0"/>
        <w:rPr>
          <w:sz w:val="13"/>
        </w:rPr>
      </w:pPr>
    </w:p>
    <w:p>
      <w:pPr>
        <w:spacing w:after="0"/>
        <w:rPr>
          <w:sz w:val="13"/>
        </w:rPr>
        <w:sectPr>
          <w:pgSz w:w="11910" w:h="16840"/>
          <w:pgMar w:header="0" w:footer="878" w:top="1060" w:bottom="1060" w:left="1480" w:right="440"/>
        </w:sectPr>
      </w:pPr>
    </w:p>
    <w:p>
      <w:pPr>
        <w:pStyle w:val="ListParagraph"/>
        <w:numPr>
          <w:ilvl w:val="1"/>
          <w:numId w:val="34"/>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病毒性肝炎导致的</w:t>
      </w:r>
    </w:p>
    <w:p>
      <w:pPr>
        <w:spacing w:line="329" w:lineRule="exact" w:before="0"/>
        <w:ind w:left="1071" w:right="0" w:firstLine="0"/>
        <w:jc w:val="left"/>
        <w:rPr>
          <w:rFonts w:ascii="微软雅黑" w:eastAsia="微软雅黑"/>
          <w:b/>
          <w:sz w:val="21"/>
        </w:rPr>
      </w:pPr>
      <w:r>
        <w:rPr>
          <w:rFonts w:ascii="微软雅黑" w:eastAsia="微软雅黑"/>
          <w:b/>
          <w:spacing w:val="-4"/>
          <w:sz w:val="21"/>
        </w:rPr>
        <w:t>肝硬化</w:t>
      </w:r>
    </w:p>
    <w:p>
      <w:pPr>
        <w:pStyle w:val="BodyText"/>
        <w:spacing w:line="242" w:lineRule="auto" w:before="100"/>
        <w:ind w:left="175" w:right="729"/>
        <w:jc w:val="both"/>
      </w:pPr>
      <w:r>
        <w:rPr/>
        <w:br w:type="column"/>
      </w:r>
      <w:r>
        <w:rPr>
          <w:spacing w:val="-2"/>
        </w:rPr>
        <w:t>因肝炎病毒感染的肝脏慢性炎症并发展为肝硬化。且未达到本合同</w:t>
      </w:r>
      <w:r>
        <w:rPr>
          <w:spacing w:val="-2"/>
        </w:rPr>
        <w:t>所指重度疾病“严重慢性肝衰竭”的给付标准。理赔时须满足下列</w:t>
      </w:r>
      <w:r>
        <w:rPr>
          <w:spacing w:val="-2"/>
        </w:rPr>
        <w:t>全部条件：</w:t>
      </w:r>
    </w:p>
    <w:p>
      <w:pPr>
        <w:pStyle w:val="ListParagraph"/>
        <w:numPr>
          <w:ilvl w:val="0"/>
          <w:numId w:val="37"/>
        </w:numPr>
        <w:tabs>
          <w:tab w:pos="705" w:val="left" w:leader="none"/>
        </w:tabs>
        <w:spacing w:line="244" w:lineRule="auto" w:before="1" w:after="0"/>
        <w:ind w:left="701" w:right="842" w:hanging="526"/>
        <w:jc w:val="left"/>
        <w:rPr>
          <w:sz w:val="21"/>
        </w:rPr>
      </w:pPr>
      <w:r>
        <w:rPr>
          <w:spacing w:val="-2"/>
          <w:sz w:val="21"/>
        </w:rPr>
        <w:t>被保险人有感染慢性肝炎病毒的血清学及实验室检查报告等</w:t>
      </w:r>
      <w:r>
        <w:rPr>
          <w:spacing w:val="-2"/>
          <w:sz w:val="21"/>
        </w:rPr>
        <w:t>临床证据；</w:t>
      </w:r>
    </w:p>
    <w:p>
      <w:pPr>
        <w:pStyle w:val="ListParagraph"/>
        <w:numPr>
          <w:ilvl w:val="0"/>
          <w:numId w:val="37"/>
        </w:numPr>
        <w:tabs>
          <w:tab w:pos="705" w:val="left" w:leader="none"/>
        </w:tabs>
        <w:spacing w:line="242" w:lineRule="auto" w:before="0" w:after="0"/>
        <w:ind w:left="701" w:right="732" w:hanging="526"/>
        <w:jc w:val="left"/>
        <w:rPr>
          <w:sz w:val="21"/>
        </w:rPr>
      </w:pPr>
      <w:r>
        <w:rPr>
          <w:spacing w:val="-2"/>
          <w:sz w:val="21"/>
        </w:rPr>
        <w:t>必须由本公司认可医院的消化科专科医生基于肝脏组织病理</w:t>
      </w:r>
      <w:r>
        <w:rPr>
          <w:spacing w:val="-13"/>
          <w:sz w:val="21"/>
        </w:rPr>
        <w:t>学检查报告、临床表现及病史对肝炎病毒感染导致肝硬化作出</w:t>
      </w:r>
      <w:r>
        <w:rPr>
          <w:spacing w:val="-2"/>
          <w:sz w:val="21"/>
        </w:rPr>
        <w:t>明确诊断；</w:t>
      </w:r>
    </w:p>
    <w:p>
      <w:pPr>
        <w:pStyle w:val="ListParagraph"/>
        <w:numPr>
          <w:ilvl w:val="0"/>
          <w:numId w:val="37"/>
        </w:numPr>
        <w:tabs>
          <w:tab w:pos="705" w:val="left" w:leader="none"/>
        </w:tabs>
        <w:spacing w:line="244" w:lineRule="auto" w:before="0" w:after="0"/>
        <w:ind w:left="701" w:right="796" w:hanging="526"/>
        <w:jc w:val="left"/>
        <w:rPr>
          <w:sz w:val="21"/>
        </w:rPr>
      </w:pPr>
      <w:r>
        <w:rPr>
          <w:spacing w:val="3"/>
          <w:sz w:val="21"/>
        </w:rPr>
        <w:t>病理学检查报告证明肝脏病变按</w:t>
      </w:r>
      <w:r>
        <w:rPr>
          <w:rFonts w:ascii="Times New Roman" w:eastAsia="Times New Roman"/>
          <w:sz w:val="21"/>
        </w:rPr>
        <w:t>Metavir</w:t>
      </w:r>
      <w:r>
        <w:rPr>
          <w:rFonts w:ascii="Times New Roman" w:eastAsia="Times New Roman"/>
          <w:spacing w:val="-14"/>
          <w:sz w:val="21"/>
        </w:rPr>
        <w:t> </w:t>
      </w:r>
      <w:r>
        <w:rPr>
          <w:spacing w:val="-9"/>
          <w:sz w:val="21"/>
        </w:rPr>
        <w:t>分级表中属 </w:t>
      </w:r>
      <w:r>
        <w:rPr>
          <w:rFonts w:ascii="Times New Roman" w:eastAsia="Times New Roman"/>
          <w:sz w:val="21"/>
        </w:rPr>
        <w:t>F4</w:t>
      </w:r>
      <w:r>
        <w:rPr>
          <w:rFonts w:ascii="Times New Roman" w:eastAsia="Times New Roman"/>
          <w:spacing w:val="-13"/>
          <w:sz w:val="21"/>
        </w:rPr>
        <w:t> </w:t>
      </w:r>
      <w:r>
        <w:rPr>
          <w:sz w:val="21"/>
        </w:rPr>
        <w:t>阶段</w:t>
      </w:r>
      <w:r>
        <w:rPr>
          <w:spacing w:val="-6"/>
          <w:sz w:val="21"/>
        </w:rPr>
        <w:t>或 </w:t>
      </w:r>
      <w:r>
        <w:rPr>
          <w:rFonts w:ascii="Times New Roman" w:eastAsia="Times New Roman"/>
          <w:sz w:val="21"/>
        </w:rPr>
        <w:t>Knodell </w:t>
      </w:r>
      <w:r>
        <w:rPr>
          <w:spacing w:val="-2"/>
          <w:sz w:val="21"/>
        </w:rPr>
        <w:t>肝纤维化标准达到 </w:t>
      </w:r>
      <w:r>
        <w:rPr>
          <w:rFonts w:ascii="Times New Roman" w:eastAsia="Times New Roman"/>
          <w:sz w:val="21"/>
        </w:rPr>
        <w:t>4 </w:t>
      </w:r>
      <w:r>
        <w:rPr>
          <w:sz w:val="21"/>
        </w:rPr>
        <w:t>分。</w:t>
      </w:r>
    </w:p>
    <w:p>
      <w:pPr>
        <w:pStyle w:val="BodyText"/>
        <w:spacing w:before="7"/>
        <w:ind w:left="0"/>
        <w:rPr>
          <w:sz w:val="15"/>
        </w:rPr>
      </w:pPr>
    </w:p>
    <w:p>
      <w:pPr>
        <w:spacing w:line="329" w:lineRule="exact" w:before="0"/>
        <w:ind w:left="175" w:right="0" w:firstLine="0"/>
        <w:jc w:val="left"/>
        <w:rPr>
          <w:rFonts w:ascii="微软雅黑" w:eastAsia="微软雅黑"/>
          <w:b/>
          <w:sz w:val="21"/>
        </w:rPr>
      </w:pPr>
      <w:r>
        <w:rPr>
          <w:rFonts w:ascii="微软雅黑" w:eastAsia="微软雅黑"/>
          <w:b/>
          <w:spacing w:val="-3"/>
          <w:sz w:val="21"/>
        </w:rPr>
        <w:t>由酒精或药物滥用而引起的本疾病不在保障范围内。</w:t>
      </w:r>
    </w:p>
    <w:p>
      <w:pPr>
        <w:spacing w:line="168" w:lineRule="auto" w:before="25"/>
        <w:ind w:left="175" w:right="732" w:firstLine="0"/>
        <w:jc w:val="both"/>
        <w:rPr>
          <w:rFonts w:ascii="微软雅黑" w:hAnsi="微软雅黑" w:eastAsia="微软雅黑"/>
          <w:b/>
          <w:sz w:val="21"/>
        </w:rPr>
      </w:pPr>
      <w:r>
        <w:rPr>
          <w:rFonts w:ascii="微软雅黑" w:hAnsi="微软雅黑" w:eastAsia="微软雅黑"/>
          <w:b/>
          <w:spacing w:val="-2"/>
          <w:sz w:val="21"/>
        </w:rPr>
        <w:t>本公司对“病毒性肝炎导致的肝硬化”和“慢性肝功能衰竭”两项</w:t>
      </w:r>
      <w:r>
        <w:rPr>
          <w:rFonts w:ascii="微软雅黑" w:hAnsi="微软雅黑" w:eastAsia="微软雅黑"/>
          <w:b/>
          <w:spacing w:val="-2"/>
          <w:sz w:val="21"/>
        </w:rPr>
        <w:t>中的其中一项承担保险责任，给付其中一项保险金后，对另一项轻</w:t>
      </w:r>
      <w:r>
        <w:rPr>
          <w:rFonts w:ascii="微软雅黑" w:hAnsi="微软雅黑" w:eastAsia="微软雅黑"/>
          <w:b/>
          <w:spacing w:val="-2"/>
          <w:sz w:val="21"/>
        </w:rPr>
        <w:t>度疾病保险责任同时终止。</w:t>
      </w:r>
    </w:p>
    <w:p>
      <w:pPr>
        <w:spacing w:after="0" w:line="168" w:lineRule="auto"/>
        <w:jc w:val="both"/>
        <w:rPr>
          <w:rFonts w:ascii="微软雅黑" w:hAns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14"/>
        <w:ind w:left="0"/>
        <w:rPr>
          <w:rFonts w:ascii="微软雅黑"/>
          <w:b/>
          <w:sz w:val="8"/>
        </w:rPr>
      </w:pPr>
    </w:p>
    <w:p>
      <w:pPr>
        <w:pStyle w:val="ListParagraph"/>
        <w:numPr>
          <w:ilvl w:val="1"/>
          <w:numId w:val="34"/>
        </w:numPr>
        <w:tabs>
          <w:tab w:pos="1071" w:val="left" w:leader="none"/>
          <w:tab w:pos="1072" w:val="left" w:leader="none"/>
          <w:tab w:pos="3152" w:val="left" w:leader="none"/>
        </w:tabs>
        <w:spacing w:line="364" w:lineRule="exact" w:before="32" w:after="0"/>
        <w:ind w:left="1071" w:right="0" w:hanging="850"/>
        <w:jc w:val="left"/>
        <w:rPr>
          <w:sz w:val="21"/>
        </w:rPr>
      </w:pPr>
      <w:r>
        <w:rPr>
          <w:rFonts w:ascii="微软雅黑" w:eastAsia="微软雅黑"/>
          <w:b/>
          <w:sz w:val="21"/>
        </w:rPr>
        <w:t>慢性肝功能衰</w:t>
      </w:r>
      <w:r>
        <w:rPr>
          <w:rFonts w:ascii="微软雅黑" w:eastAsia="微软雅黑"/>
          <w:b/>
          <w:spacing w:val="-10"/>
          <w:sz w:val="21"/>
        </w:rPr>
        <w:t>竭</w:t>
      </w:r>
      <w:r>
        <w:rPr>
          <w:rFonts w:ascii="微软雅黑" w:eastAsia="微软雅黑"/>
          <w:b/>
          <w:sz w:val="21"/>
        </w:rPr>
        <w:tab/>
      </w:r>
      <w:r>
        <w:rPr>
          <w:spacing w:val="-2"/>
          <w:sz w:val="21"/>
        </w:rPr>
        <w:t>指</w:t>
      </w:r>
      <w:r>
        <w:rPr>
          <w:spacing w:val="-2"/>
          <w:sz w:val="21"/>
        </w:rPr>
        <w:t>因</w:t>
      </w:r>
      <w:r>
        <w:rPr>
          <w:spacing w:val="-2"/>
          <w:sz w:val="21"/>
        </w:rPr>
        <w:t>慢</w:t>
      </w:r>
      <w:r>
        <w:rPr>
          <w:spacing w:val="-2"/>
          <w:sz w:val="21"/>
        </w:rPr>
        <w:t>性</w:t>
      </w:r>
      <w:r>
        <w:rPr>
          <w:spacing w:val="-2"/>
          <w:sz w:val="21"/>
        </w:rPr>
        <w:t>肝</w:t>
      </w:r>
      <w:r>
        <w:rPr>
          <w:spacing w:val="-2"/>
          <w:sz w:val="21"/>
        </w:rPr>
        <w:t>脏疾病</w:t>
      </w:r>
      <w:r>
        <w:rPr>
          <w:spacing w:val="-2"/>
          <w:sz w:val="21"/>
        </w:rPr>
        <w:t>导</w:t>
      </w:r>
      <w:r>
        <w:rPr>
          <w:spacing w:val="-2"/>
          <w:sz w:val="21"/>
        </w:rPr>
        <w:t>致</w:t>
      </w:r>
      <w:r>
        <w:rPr>
          <w:spacing w:val="-2"/>
          <w:sz w:val="21"/>
        </w:rPr>
        <w:t>肝</w:t>
      </w:r>
      <w:r>
        <w:rPr>
          <w:spacing w:val="-2"/>
          <w:sz w:val="21"/>
        </w:rPr>
        <w:t>功</w:t>
      </w:r>
      <w:r>
        <w:rPr>
          <w:spacing w:val="-2"/>
          <w:sz w:val="21"/>
        </w:rPr>
        <w:t>能</w:t>
      </w:r>
      <w:r>
        <w:rPr>
          <w:spacing w:val="-2"/>
          <w:sz w:val="21"/>
        </w:rPr>
        <w:t>衰</w:t>
      </w:r>
      <w:r>
        <w:rPr>
          <w:spacing w:val="-2"/>
          <w:sz w:val="21"/>
        </w:rPr>
        <w:t>竭</w:t>
      </w:r>
      <w:r>
        <w:rPr>
          <w:spacing w:val="-2"/>
          <w:sz w:val="21"/>
        </w:rPr>
        <w:t>，且未达</w:t>
      </w:r>
      <w:r>
        <w:rPr>
          <w:spacing w:val="-2"/>
          <w:sz w:val="21"/>
        </w:rPr>
        <w:t>到</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重</w:t>
      </w:r>
      <w:r>
        <w:rPr>
          <w:spacing w:val="-2"/>
          <w:sz w:val="21"/>
        </w:rPr>
        <w:t>度</w:t>
      </w:r>
      <w:r>
        <w:rPr>
          <w:spacing w:val="-2"/>
          <w:sz w:val="21"/>
        </w:rPr>
        <w:t>疾</w:t>
      </w:r>
      <w:r>
        <w:rPr>
          <w:spacing w:val="-10"/>
          <w:sz w:val="21"/>
        </w:rPr>
        <w:t>病</w:t>
      </w:r>
    </w:p>
    <w:p>
      <w:pPr>
        <w:pStyle w:val="BodyText"/>
        <w:spacing w:line="246" w:lineRule="exact"/>
      </w:pPr>
      <w:r>
        <w:rPr>
          <w:spacing w:val="-3"/>
        </w:rPr>
        <w:t>“严重慢性肝衰竭”的标准。须满足下列任意三个条件：</w:t>
      </w:r>
    </w:p>
    <w:p>
      <w:pPr>
        <w:pStyle w:val="BodyText"/>
        <w:spacing w:before="3"/>
      </w:pPr>
      <w:r>
        <w:rPr>
          <w:spacing w:val="-2"/>
        </w:rPr>
        <w:t>（1）</w:t>
      </w:r>
      <w:r>
        <w:rPr>
          <w:spacing w:val="-4"/>
        </w:rPr>
        <w:t>持续性黄疸；</w:t>
      </w:r>
    </w:p>
    <w:p>
      <w:pPr>
        <w:pStyle w:val="BodyText"/>
        <w:spacing w:before="4"/>
      </w:pPr>
      <w:r>
        <w:rPr>
          <w:spacing w:val="-2"/>
        </w:rPr>
        <w:t>（2）</w:t>
      </w:r>
      <w:r>
        <w:rPr>
          <w:spacing w:val="-5"/>
        </w:rPr>
        <w:t>腹水；</w:t>
      </w:r>
    </w:p>
    <w:p>
      <w:pPr>
        <w:pStyle w:val="ListParagraph"/>
        <w:numPr>
          <w:ilvl w:val="0"/>
          <w:numId w:val="38"/>
        </w:numPr>
        <w:tabs>
          <w:tab w:pos="3682" w:val="left" w:leader="none"/>
        </w:tabs>
        <w:spacing w:line="240" w:lineRule="auto" w:before="2" w:after="0"/>
        <w:ind w:left="3682" w:right="0" w:hanging="529"/>
        <w:jc w:val="left"/>
        <w:rPr>
          <w:sz w:val="21"/>
        </w:rPr>
      </w:pPr>
      <w:r>
        <w:rPr>
          <w:spacing w:val="-4"/>
          <w:sz w:val="21"/>
        </w:rPr>
        <w:t>肝性脑病；</w:t>
      </w:r>
    </w:p>
    <w:p>
      <w:pPr>
        <w:pStyle w:val="ListParagraph"/>
        <w:numPr>
          <w:ilvl w:val="0"/>
          <w:numId w:val="38"/>
        </w:numPr>
        <w:tabs>
          <w:tab w:pos="3682" w:val="left" w:leader="none"/>
        </w:tabs>
        <w:spacing w:line="240" w:lineRule="auto" w:before="5" w:after="0"/>
        <w:ind w:left="3682" w:right="0" w:hanging="529"/>
        <w:jc w:val="left"/>
        <w:rPr>
          <w:sz w:val="21"/>
        </w:rPr>
      </w:pPr>
      <w:r>
        <w:rPr>
          <w:spacing w:val="-3"/>
          <w:sz w:val="21"/>
        </w:rPr>
        <w:t>充血性脾肿大伴脾功能亢进或食管胃底静脉曲张。</w:t>
      </w:r>
    </w:p>
    <w:p>
      <w:pPr>
        <w:pStyle w:val="BodyText"/>
        <w:spacing w:before="3"/>
        <w:ind w:left="0"/>
        <w:rPr>
          <w:sz w:val="16"/>
        </w:rPr>
      </w:pPr>
    </w:p>
    <w:p>
      <w:pPr>
        <w:spacing w:line="329" w:lineRule="exact" w:before="0"/>
        <w:ind w:left="3153" w:right="0" w:firstLine="0"/>
        <w:jc w:val="left"/>
        <w:rPr>
          <w:rFonts w:ascii="微软雅黑" w:eastAsia="微软雅黑"/>
          <w:b/>
          <w:sz w:val="21"/>
        </w:rPr>
      </w:pPr>
      <w:r>
        <w:rPr>
          <w:rFonts w:ascii="微软雅黑" w:eastAsia="微软雅黑"/>
          <w:b/>
          <w:spacing w:val="-3"/>
          <w:sz w:val="21"/>
        </w:rPr>
        <w:t>因酗酒或药物滥用导致的肝功能衰竭不在保障范围内。</w:t>
      </w:r>
    </w:p>
    <w:p>
      <w:pPr>
        <w:spacing w:line="170" w:lineRule="auto" w:before="23"/>
        <w:ind w:left="3153" w:right="732" w:firstLine="0"/>
        <w:jc w:val="left"/>
        <w:rPr>
          <w:rFonts w:ascii="微软雅黑" w:hAnsi="微软雅黑" w:eastAsia="微软雅黑"/>
          <w:b/>
          <w:sz w:val="21"/>
        </w:rPr>
      </w:pPr>
      <w:r>
        <w:rPr>
          <w:rFonts w:ascii="微软雅黑" w:hAnsi="微软雅黑" w:eastAsia="微软雅黑"/>
          <w:b/>
          <w:spacing w:val="-2"/>
          <w:sz w:val="21"/>
        </w:rPr>
        <w:t>本公司对“病毒性肝炎导致的肝硬化”和“慢性肝功能衰竭”两项</w:t>
      </w:r>
      <w:r>
        <w:rPr>
          <w:rFonts w:ascii="微软雅黑" w:hAnsi="微软雅黑" w:eastAsia="微软雅黑"/>
          <w:b/>
          <w:spacing w:val="-3"/>
          <w:sz w:val="21"/>
        </w:rPr>
        <w:t>中的其中一项承担保险责任，给付其中一项保险金后，对另一项轻</w:t>
      </w:r>
    </w:p>
    <w:p>
      <w:pPr>
        <w:spacing w:after="0" w:line="170" w:lineRule="auto"/>
        <w:jc w:val="left"/>
        <w:rPr>
          <w:rFonts w:ascii="微软雅黑" w:hAnsi="微软雅黑" w:eastAsia="微软雅黑"/>
          <w:sz w:val="21"/>
        </w:rPr>
        <w:sectPr>
          <w:type w:val="continuous"/>
          <w:pgSz w:w="11910" w:h="16840"/>
          <w:pgMar w:header="0" w:footer="878" w:top="160" w:bottom="280" w:left="1480" w:right="440"/>
        </w:sectPr>
      </w:pPr>
    </w:p>
    <w:p>
      <w:pPr>
        <w:spacing w:line="376" w:lineRule="exact" w:before="0"/>
        <w:ind w:left="3153" w:right="0" w:firstLine="0"/>
        <w:jc w:val="left"/>
        <w:rPr>
          <w:rFonts w:ascii="微软雅黑" w:eastAsia="微软雅黑"/>
          <w:b/>
          <w:sz w:val="21"/>
        </w:rPr>
      </w:pPr>
      <w:r>
        <w:rPr>
          <w:rFonts w:ascii="微软雅黑" w:eastAsia="微软雅黑"/>
          <w:b/>
          <w:spacing w:val="-3"/>
          <w:sz w:val="21"/>
        </w:rPr>
        <w:t>度疾病保险责任同时终止。</w:t>
      </w:r>
    </w:p>
    <w:p>
      <w:pPr>
        <w:pStyle w:val="ListParagraph"/>
        <w:numPr>
          <w:ilvl w:val="1"/>
          <w:numId w:val="34"/>
        </w:numPr>
        <w:tabs>
          <w:tab w:pos="1071" w:val="left" w:leader="none"/>
          <w:tab w:pos="1072" w:val="left" w:leader="none"/>
          <w:tab w:pos="3152" w:val="left" w:leader="none"/>
        </w:tabs>
        <w:spacing w:line="364" w:lineRule="exact" w:before="158" w:after="0"/>
        <w:ind w:left="1071" w:right="0" w:hanging="850"/>
        <w:jc w:val="left"/>
        <w:rPr>
          <w:sz w:val="21"/>
        </w:rPr>
      </w:pPr>
      <w:r>
        <w:rPr>
          <w:rFonts w:ascii="微软雅黑" w:eastAsia="微软雅黑"/>
          <w:b/>
          <w:sz w:val="21"/>
        </w:rPr>
        <w:t>植入大脑内分流</w:t>
      </w:r>
      <w:r>
        <w:rPr>
          <w:rFonts w:ascii="微软雅黑" w:eastAsia="微软雅黑"/>
          <w:b/>
          <w:spacing w:val="-10"/>
          <w:sz w:val="21"/>
        </w:rPr>
        <w:t>器</w:t>
      </w:r>
      <w:r>
        <w:rPr>
          <w:rFonts w:ascii="微软雅黑" w:eastAsia="微软雅黑"/>
          <w:b/>
          <w:sz w:val="21"/>
        </w:rPr>
        <w:tab/>
      </w:r>
      <w:r>
        <w:rPr>
          <w:spacing w:val="-2"/>
          <w:sz w:val="21"/>
        </w:rPr>
        <w:t>为</w:t>
      </w:r>
      <w:r>
        <w:rPr>
          <w:spacing w:val="-2"/>
          <w:sz w:val="21"/>
        </w:rPr>
        <w:t>缓</w:t>
      </w:r>
      <w:r>
        <w:rPr>
          <w:spacing w:val="-2"/>
          <w:sz w:val="21"/>
        </w:rPr>
        <w:t>解</w:t>
      </w:r>
      <w:r>
        <w:rPr>
          <w:spacing w:val="-2"/>
          <w:sz w:val="21"/>
        </w:rPr>
        <w:t>已</w:t>
      </w:r>
      <w:r>
        <w:rPr>
          <w:spacing w:val="-2"/>
          <w:sz w:val="21"/>
        </w:rPr>
        <w:t>升</w:t>
      </w:r>
      <w:r>
        <w:rPr>
          <w:spacing w:val="-2"/>
          <w:sz w:val="21"/>
        </w:rPr>
        <w:t>高的脑</w:t>
      </w:r>
      <w:r>
        <w:rPr>
          <w:spacing w:val="-2"/>
          <w:sz w:val="21"/>
        </w:rPr>
        <w:t>脊</w:t>
      </w:r>
      <w:r>
        <w:rPr>
          <w:spacing w:val="-2"/>
          <w:sz w:val="21"/>
        </w:rPr>
        <w:t>液</w:t>
      </w:r>
      <w:r>
        <w:rPr>
          <w:spacing w:val="-2"/>
          <w:sz w:val="21"/>
        </w:rPr>
        <w:t>压</w:t>
      </w:r>
      <w:r>
        <w:rPr>
          <w:spacing w:val="-2"/>
          <w:sz w:val="21"/>
        </w:rPr>
        <w:t>力</w:t>
      </w:r>
      <w:r>
        <w:rPr>
          <w:spacing w:val="-2"/>
          <w:sz w:val="21"/>
        </w:rPr>
        <w:t>而</w:t>
      </w:r>
      <w:r>
        <w:rPr>
          <w:spacing w:val="-2"/>
          <w:sz w:val="21"/>
        </w:rPr>
        <w:t>确</w:t>
      </w:r>
      <w:r>
        <w:rPr>
          <w:spacing w:val="-2"/>
          <w:sz w:val="21"/>
        </w:rPr>
        <w:t>实</w:t>
      </w:r>
      <w:r>
        <w:rPr>
          <w:spacing w:val="-2"/>
          <w:sz w:val="21"/>
        </w:rPr>
        <w:t>已</w:t>
      </w:r>
      <w:r>
        <w:rPr>
          <w:spacing w:val="-2"/>
          <w:sz w:val="21"/>
        </w:rPr>
        <w:t>在脑室</w:t>
      </w:r>
      <w:r>
        <w:rPr>
          <w:spacing w:val="-2"/>
          <w:sz w:val="21"/>
        </w:rPr>
        <w:t>进</w:t>
      </w:r>
      <w:r>
        <w:rPr>
          <w:spacing w:val="-2"/>
          <w:sz w:val="21"/>
        </w:rPr>
        <w:t>行</w:t>
      </w:r>
      <w:r>
        <w:rPr>
          <w:spacing w:val="-2"/>
          <w:sz w:val="21"/>
        </w:rPr>
        <w:t>分</w:t>
      </w:r>
      <w:r>
        <w:rPr>
          <w:spacing w:val="-2"/>
          <w:sz w:val="21"/>
        </w:rPr>
        <w:t>流</w:t>
      </w:r>
      <w:r>
        <w:rPr>
          <w:spacing w:val="-2"/>
          <w:sz w:val="21"/>
        </w:rPr>
        <w:t>器</w:t>
      </w:r>
      <w:r>
        <w:rPr>
          <w:spacing w:val="-2"/>
          <w:sz w:val="21"/>
        </w:rPr>
        <w:t>植</w:t>
      </w:r>
      <w:r>
        <w:rPr>
          <w:spacing w:val="-2"/>
          <w:sz w:val="21"/>
        </w:rPr>
        <w:t>入</w:t>
      </w:r>
      <w:r>
        <w:rPr>
          <w:spacing w:val="-2"/>
          <w:sz w:val="21"/>
        </w:rPr>
        <w:t>手</w:t>
      </w:r>
      <w:r>
        <w:rPr>
          <w:spacing w:val="-2"/>
          <w:sz w:val="21"/>
        </w:rPr>
        <w:t>术</w:t>
      </w:r>
      <w:r>
        <w:rPr>
          <w:spacing w:val="-10"/>
          <w:sz w:val="21"/>
        </w:rPr>
        <w:t>。</w:t>
      </w:r>
    </w:p>
    <w:p>
      <w:pPr>
        <w:pStyle w:val="BodyText"/>
        <w:spacing w:line="246" w:lineRule="exact"/>
      </w:pPr>
      <w:r>
        <w:rPr>
          <w:spacing w:val="-3"/>
        </w:rPr>
        <w:t>诊断及治疗均须在本公司认可医院内由脑神经科专科医生认为是医</w:t>
      </w:r>
    </w:p>
    <w:p>
      <w:pPr>
        <w:pStyle w:val="BodyText"/>
        <w:spacing w:before="2"/>
      </w:pPr>
      <w:r>
        <w:rPr>
          <w:spacing w:val="-3"/>
        </w:rPr>
        <w:t>疗必须的情况下进行。</w:t>
      </w:r>
    </w:p>
    <w:p>
      <w:pPr>
        <w:spacing w:line="330" w:lineRule="exact" w:before="177"/>
        <w:ind w:left="3153" w:right="0" w:firstLine="0"/>
        <w:jc w:val="left"/>
        <w:rPr>
          <w:rFonts w:ascii="微软雅黑" w:eastAsia="微软雅黑"/>
          <w:b/>
          <w:sz w:val="21"/>
        </w:rPr>
      </w:pPr>
      <w:r>
        <w:rPr>
          <w:rFonts w:ascii="微软雅黑" w:eastAsia="微软雅黑"/>
          <w:b/>
          <w:spacing w:val="-3"/>
          <w:sz w:val="21"/>
        </w:rPr>
        <w:t>先天性脑积水不在保障范围内。</w:t>
      </w:r>
    </w:p>
    <w:p>
      <w:pPr>
        <w:spacing w:line="168" w:lineRule="auto" w:before="27"/>
        <w:ind w:left="3153" w:right="715" w:firstLine="0"/>
        <w:jc w:val="both"/>
        <w:rPr>
          <w:rFonts w:ascii="微软雅黑" w:hAnsi="微软雅黑" w:eastAsia="微软雅黑"/>
          <w:b/>
          <w:sz w:val="21"/>
        </w:rPr>
      </w:pPr>
      <w:r>
        <w:rPr>
          <w:rFonts w:ascii="微软雅黑" w:hAnsi="微软雅黑" w:eastAsia="微软雅黑"/>
          <w:b/>
          <w:spacing w:val="-17"/>
          <w:sz w:val="21"/>
        </w:rPr>
        <w:t>本公司对“微创颅脑手术”、“脑垂体瘤、脑囊肿、脑动脉瘤及脑血</w:t>
      </w:r>
      <w:r>
        <w:rPr>
          <w:rFonts w:ascii="微软雅黑" w:hAnsi="微软雅黑" w:eastAsia="微软雅黑"/>
          <w:b/>
          <w:spacing w:val="-2"/>
          <w:sz w:val="21"/>
        </w:rPr>
        <w:t>管瘤”和“植入大脑内分流器”三项中的其中一项承担保险责任，</w:t>
      </w:r>
      <w:r>
        <w:rPr>
          <w:rFonts w:ascii="微软雅黑" w:hAnsi="微软雅黑" w:eastAsia="微软雅黑"/>
          <w:b/>
          <w:spacing w:val="-3"/>
          <w:sz w:val="21"/>
        </w:rPr>
        <w:t>给付其中一项保险金后，对其他两项轻度疾病保险责任同时终止。</w:t>
      </w:r>
    </w:p>
    <w:p>
      <w:pPr>
        <w:pStyle w:val="BodyText"/>
        <w:spacing w:before="13"/>
        <w:ind w:left="0"/>
        <w:rPr>
          <w:rFonts w:ascii="微软雅黑"/>
          <w:b/>
          <w:sz w:val="8"/>
        </w:rPr>
      </w:pPr>
    </w:p>
    <w:p>
      <w:pPr>
        <w:spacing w:after="0"/>
        <w:rPr>
          <w:rFonts w:ascii="微软雅黑"/>
          <w:sz w:val="8"/>
        </w:rPr>
        <w:sectPr>
          <w:pgSz w:w="11910" w:h="16840"/>
          <w:pgMar w:header="0" w:footer="878" w:top="1060" w:bottom="1060" w:left="1480" w:right="440"/>
        </w:sectPr>
      </w:pPr>
    </w:p>
    <w:p>
      <w:pPr>
        <w:pStyle w:val="ListParagraph"/>
        <w:numPr>
          <w:ilvl w:val="1"/>
          <w:numId w:val="34"/>
        </w:numPr>
        <w:tabs>
          <w:tab w:pos="1071" w:val="left" w:leader="none"/>
          <w:tab w:pos="1072" w:val="left" w:leader="none"/>
        </w:tabs>
        <w:spacing w:line="168" w:lineRule="auto" w:before="116" w:after="0"/>
        <w:ind w:left="1071" w:right="0" w:hanging="850"/>
        <w:jc w:val="left"/>
        <w:rPr>
          <w:rFonts w:ascii="微软雅黑" w:eastAsia="微软雅黑"/>
          <w:b/>
          <w:sz w:val="21"/>
        </w:rPr>
      </w:pPr>
      <w:r>
        <w:rPr>
          <w:rFonts w:ascii="微软雅黑" w:eastAsia="微软雅黑"/>
          <w:b/>
          <w:spacing w:val="19"/>
          <w:sz w:val="21"/>
        </w:rPr>
        <w:t>肺泡蛋白沉积症肺</w:t>
      </w:r>
      <w:r>
        <w:rPr>
          <w:rFonts w:ascii="微软雅黑" w:eastAsia="微软雅黑"/>
          <w:b/>
          <w:spacing w:val="-4"/>
          <w:sz w:val="21"/>
        </w:rPr>
        <w:t>灌流治疗</w:t>
      </w:r>
    </w:p>
    <w:p>
      <w:pPr>
        <w:pStyle w:val="BodyText"/>
        <w:spacing w:line="242" w:lineRule="auto" w:before="100"/>
        <w:ind w:left="175" w:right="729"/>
        <w:jc w:val="both"/>
      </w:pPr>
      <w:r>
        <w:rPr/>
        <w:br w:type="column"/>
      </w:r>
      <w:r>
        <w:rPr>
          <w:spacing w:val="-2"/>
        </w:rPr>
        <w:t>肺泡蛋白质沉积症是一种弥漫性肺部疾病，其组织学特征为肺泡腔</w:t>
      </w:r>
      <w:r>
        <w:rPr>
          <w:spacing w:val="-2"/>
        </w:rPr>
        <w:t>内及终末细支气管内堆积过量的磷脂蛋白样物质。必须满足下列所</w:t>
      </w:r>
      <w:r>
        <w:rPr>
          <w:spacing w:val="-4"/>
        </w:rPr>
        <w:t>有条件：</w:t>
      </w:r>
    </w:p>
    <w:p>
      <w:pPr>
        <w:pStyle w:val="ListParagraph"/>
        <w:numPr>
          <w:ilvl w:val="0"/>
          <w:numId w:val="39"/>
        </w:numPr>
        <w:tabs>
          <w:tab w:pos="705" w:val="left" w:leader="none"/>
        </w:tabs>
        <w:spacing w:line="240" w:lineRule="auto" w:before="1" w:after="0"/>
        <w:ind w:left="704" w:right="0" w:hanging="530"/>
        <w:jc w:val="left"/>
        <w:rPr>
          <w:sz w:val="21"/>
        </w:rPr>
      </w:pPr>
      <w:r>
        <w:rPr>
          <w:spacing w:val="-3"/>
          <w:sz w:val="21"/>
        </w:rPr>
        <w:t>经组织病理学检查明确诊断；</w:t>
      </w:r>
    </w:p>
    <w:p>
      <w:pPr>
        <w:pStyle w:val="ListParagraph"/>
        <w:numPr>
          <w:ilvl w:val="0"/>
          <w:numId w:val="39"/>
        </w:numPr>
        <w:tabs>
          <w:tab w:pos="705" w:val="left" w:leader="none"/>
        </w:tabs>
        <w:spacing w:line="240" w:lineRule="auto" w:before="4" w:after="0"/>
        <w:ind w:left="704" w:right="0" w:hanging="530"/>
        <w:jc w:val="left"/>
        <w:rPr>
          <w:sz w:val="21"/>
        </w:rPr>
      </w:pPr>
      <w:r>
        <w:rPr>
          <w:spacing w:val="-8"/>
          <w:sz w:val="21"/>
        </w:rPr>
        <w:t>实际接受了至少 </w:t>
      </w:r>
      <w:r>
        <w:rPr>
          <w:rFonts w:ascii="Times New Roman" w:eastAsia="Times New Roman"/>
          <w:spacing w:val="-2"/>
          <w:sz w:val="21"/>
        </w:rPr>
        <w:t>2</w:t>
      </w:r>
      <w:r>
        <w:rPr>
          <w:rFonts w:ascii="Times New Roman" w:eastAsia="Times New Roman"/>
          <w:spacing w:val="3"/>
          <w:sz w:val="21"/>
        </w:rPr>
        <w:t> </w:t>
      </w:r>
      <w:r>
        <w:rPr>
          <w:spacing w:val="-3"/>
          <w:sz w:val="21"/>
        </w:rPr>
        <w:t>次支气管肺泡灌洗治疗。</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10"/>
        <w:ind w:left="0"/>
        <w:rPr>
          <w:sz w:val="13"/>
        </w:rPr>
      </w:pPr>
    </w:p>
    <w:p>
      <w:pPr>
        <w:pStyle w:val="ListParagraph"/>
        <w:numPr>
          <w:ilvl w:val="1"/>
          <w:numId w:val="34"/>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hAnsi="微软雅黑" w:eastAsia="微软雅黑"/>
          <w:b/>
          <w:sz w:val="21"/>
        </w:rPr>
        <w:t>轻度面部烧</w:t>
      </w:r>
      <w:r>
        <w:rPr>
          <w:rFonts w:ascii="微软雅黑" w:hAnsi="微软雅黑" w:eastAsia="微软雅黑"/>
          <w:b/>
          <w:spacing w:val="-10"/>
          <w:sz w:val="21"/>
        </w:rPr>
        <w:t>伤</w:t>
      </w:r>
      <w:r>
        <w:rPr>
          <w:rFonts w:ascii="微软雅黑" w:hAnsi="微软雅黑" w:eastAsia="微软雅黑"/>
          <w:b/>
          <w:sz w:val="21"/>
        </w:rPr>
        <w:tab/>
      </w:r>
      <w:r>
        <w:rPr>
          <w:spacing w:val="-2"/>
          <w:sz w:val="21"/>
        </w:rPr>
        <w:t>指</w:t>
      </w:r>
      <w:r>
        <w:rPr>
          <w:spacing w:val="-2"/>
          <w:sz w:val="21"/>
        </w:rPr>
        <w:t>烧</w:t>
      </w:r>
      <w:r>
        <w:rPr>
          <w:spacing w:val="-2"/>
          <w:sz w:val="21"/>
        </w:rPr>
        <w:t>伤程度为Ⅲ度，且Ⅲ</w:t>
      </w:r>
      <w:r>
        <w:rPr>
          <w:spacing w:val="-2"/>
          <w:sz w:val="21"/>
        </w:rPr>
        <w:t>度</w:t>
      </w:r>
      <w:r>
        <w:rPr>
          <w:spacing w:val="-2"/>
          <w:sz w:val="21"/>
        </w:rPr>
        <w:t>烧</w:t>
      </w:r>
      <w:r>
        <w:rPr>
          <w:spacing w:val="-2"/>
          <w:sz w:val="21"/>
        </w:rPr>
        <w:t>伤的面积达到面部表面积的</w:t>
      </w:r>
      <w:r>
        <w:rPr>
          <w:spacing w:val="-43"/>
          <w:sz w:val="21"/>
        </w:rPr>
        <w:t> </w:t>
      </w:r>
      <w:r>
        <w:rPr>
          <w:rFonts w:ascii="Times New Roman" w:hAnsi="Times New Roman" w:eastAsia="Times New Roman"/>
          <w:spacing w:val="-2"/>
          <w:sz w:val="21"/>
        </w:rPr>
        <w:t>30%</w:t>
      </w:r>
      <w:r>
        <w:rPr>
          <w:spacing w:val="-2"/>
          <w:sz w:val="21"/>
        </w:rPr>
        <w:t>或</w:t>
      </w:r>
      <w:r>
        <w:rPr>
          <w:spacing w:val="-10"/>
          <w:sz w:val="21"/>
        </w:rPr>
        <w:t>者</w:t>
      </w:r>
    </w:p>
    <w:p>
      <w:pPr>
        <w:pStyle w:val="BodyText"/>
        <w:spacing w:line="245" w:lineRule="exact"/>
      </w:pPr>
      <w:r>
        <w:rPr>
          <w:rFonts w:ascii="Times New Roman" w:eastAsia="Times New Roman"/>
          <w:spacing w:val="-2"/>
        </w:rPr>
        <w:t>30%</w:t>
      </w:r>
      <w:r>
        <w:rPr>
          <w:spacing w:val="-5"/>
        </w:rPr>
        <w:t>以上，但未达到面部表面积的 </w:t>
      </w:r>
      <w:r>
        <w:rPr>
          <w:rFonts w:ascii="Times New Roman" w:eastAsia="Times New Roman"/>
          <w:spacing w:val="-2"/>
        </w:rPr>
        <w:t>80%</w:t>
      </w:r>
      <w:r>
        <w:rPr>
          <w:spacing w:val="-10"/>
        </w:rPr>
        <w:t>。</w:t>
      </w:r>
    </w:p>
    <w:p>
      <w:pPr>
        <w:pStyle w:val="BodyText"/>
        <w:spacing w:before="3"/>
        <w:ind w:left="0"/>
        <w:rPr>
          <w:sz w:val="16"/>
        </w:rPr>
      </w:pPr>
    </w:p>
    <w:p>
      <w:pPr>
        <w:pStyle w:val="ListParagraph"/>
        <w:numPr>
          <w:ilvl w:val="1"/>
          <w:numId w:val="34"/>
        </w:numPr>
        <w:tabs>
          <w:tab w:pos="1071" w:val="left" w:leader="none"/>
          <w:tab w:pos="1072" w:val="left" w:leader="none"/>
          <w:tab w:pos="3152" w:val="left" w:leader="none"/>
        </w:tabs>
        <w:spacing w:line="330" w:lineRule="exact" w:before="0" w:after="0"/>
        <w:ind w:left="1071" w:right="0" w:hanging="850"/>
        <w:jc w:val="left"/>
        <w:rPr>
          <w:sz w:val="21"/>
        </w:rPr>
      </w:pPr>
      <w:r>
        <w:rPr>
          <w:rFonts w:ascii="微软雅黑" w:eastAsia="微软雅黑"/>
          <w:b/>
          <w:sz w:val="21"/>
        </w:rPr>
        <w:t>胆道重建</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因疾病</w:t>
      </w:r>
      <w:r>
        <w:rPr>
          <w:spacing w:val="-2"/>
          <w:sz w:val="21"/>
        </w:rPr>
        <w:t>或</w:t>
      </w:r>
      <w:r>
        <w:rPr>
          <w:spacing w:val="-2"/>
          <w:sz w:val="21"/>
        </w:rPr>
        <w:t>创</w:t>
      </w:r>
      <w:r>
        <w:rPr>
          <w:spacing w:val="-2"/>
          <w:sz w:val="21"/>
        </w:rPr>
        <w:t>伤</w:t>
      </w:r>
      <w:r>
        <w:rPr>
          <w:spacing w:val="-2"/>
          <w:sz w:val="21"/>
        </w:rPr>
        <w:t>造</w:t>
      </w:r>
      <w:r>
        <w:rPr>
          <w:spacing w:val="-2"/>
          <w:sz w:val="21"/>
        </w:rPr>
        <w:t>成</w:t>
      </w:r>
      <w:r>
        <w:rPr>
          <w:spacing w:val="-2"/>
          <w:sz w:val="21"/>
        </w:rPr>
        <w:t>胆</w:t>
      </w:r>
      <w:r>
        <w:rPr>
          <w:spacing w:val="-2"/>
          <w:sz w:val="21"/>
        </w:rPr>
        <w:t>总</w:t>
      </w:r>
      <w:r>
        <w:rPr>
          <w:spacing w:val="-2"/>
          <w:sz w:val="21"/>
        </w:rPr>
        <w:t>管</w:t>
      </w:r>
      <w:r>
        <w:rPr>
          <w:spacing w:val="-2"/>
          <w:sz w:val="21"/>
        </w:rPr>
        <w:t>阻塞，</w:t>
      </w:r>
      <w:r>
        <w:rPr>
          <w:spacing w:val="-2"/>
          <w:sz w:val="21"/>
        </w:rPr>
        <w:t>实</w:t>
      </w:r>
      <w:r>
        <w:rPr>
          <w:spacing w:val="-2"/>
          <w:sz w:val="21"/>
        </w:rPr>
        <w:t>际</w:t>
      </w:r>
      <w:r>
        <w:rPr>
          <w:spacing w:val="-2"/>
          <w:sz w:val="21"/>
        </w:rPr>
        <w:t>接</w:t>
      </w:r>
      <w:r>
        <w:rPr>
          <w:spacing w:val="-2"/>
          <w:sz w:val="21"/>
        </w:rPr>
        <w:t>受</w:t>
      </w:r>
      <w:r>
        <w:rPr>
          <w:spacing w:val="-2"/>
          <w:sz w:val="21"/>
        </w:rPr>
        <w:t>了</w:t>
      </w:r>
      <w:r>
        <w:rPr>
          <w:spacing w:val="-2"/>
          <w:sz w:val="21"/>
        </w:rPr>
        <w:t>胆</w:t>
      </w:r>
      <w:r>
        <w:rPr>
          <w:spacing w:val="-2"/>
          <w:sz w:val="21"/>
        </w:rPr>
        <w:t>总</w:t>
      </w:r>
      <w:r>
        <w:rPr>
          <w:spacing w:val="-2"/>
          <w:sz w:val="21"/>
        </w:rPr>
        <w:t>管</w:t>
      </w:r>
      <w:r>
        <w:rPr>
          <w:spacing w:val="-2"/>
          <w:sz w:val="21"/>
        </w:rPr>
        <w:t>与</w:t>
      </w:r>
      <w:r>
        <w:rPr>
          <w:spacing w:val="-10"/>
          <w:sz w:val="21"/>
        </w:rPr>
        <w:t>小</w:t>
      </w:r>
    </w:p>
    <w:p>
      <w:pPr>
        <w:spacing w:line="168" w:lineRule="auto" w:before="27"/>
        <w:ind w:left="3153" w:right="732" w:firstLine="0"/>
        <w:jc w:val="left"/>
        <w:rPr>
          <w:rFonts w:ascii="微软雅黑" w:eastAsia="微软雅黑"/>
          <w:b/>
          <w:sz w:val="21"/>
        </w:rPr>
      </w:pPr>
      <w:r>
        <w:rPr>
          <w:spacing w:val="-2"/>
          <w:sz w:val="21"/>
        </w:rPr>
        <w:t>肠（空肠或十二指肠）吻合手术。</w:t>
      </w:r>
      <w:r>
        <w:rPr>
          <w:rFonts w:ascii="微软雅黑" w:eastAsia="微软雅黑"/>
          <w:b/>
          <w:spacing w:val="-2"/>
          <w:sz w:val="21"/>
        </w:rPr>
        <w:t>因恶性肿瘤及先天性胆道闭锁所</w:t>
      </w:r>
      <w:r>
        <w:rPr>
          <w:rFonts w:ascii="微软雅黑" w:eastAsia="微软雅黑"/>
          <w:b/>
          <w:spacing w:val="-2"/>
          <w:sz w:val="21"/>
        </w:rPr>
        <w:t>致胆道重建术除外。</w:t>
      </w:r>
    </w:p>
    <w:p>
      <w:pPr>
        <w:pStyle w:val="BodyText"/>
        <w:spacing w:before="6"/>
        <w:ind w:left="0"/>
        <w:rPr>
          <w:rFonts w:ascii="微软雅黑"/>
          <w:b/>
          <w:sz w:val="10"/>
        </w:rPr>
      </w:pPr>
    </w:p>
    <w:p>
      <w:pPr>
        <w:pStyle w:val="ListParagraph"/>
        <w:numPr>
          <w:ilvl w:val="1"/>
          <w:numId w:val="34"/>
        </w:numPr>
        <w:tabs>
          <w:tab w:pos="1071" w:val="left" w:leader="none"/>
          <w:tab w:pos="1072" w:val="left" w:leader="none"/>
          <w:tab w:pos="3152" w:val="left" w:leader="none"/>
        </w:tabs>
        <w:spacing w:line="364" w:lineRule="exact" w:before="0" w:after="0"/>
        <w:ind w:left="1071" w:right="0" w:hanging="850"/>
        <w:jc w:val="left"/>
        <w:rPr>
          <w:sz w:val="21"/>
        </w:rPr>
      </w:pPr>
      <w:r>
        <w:rPr>
          <w:rFonts w:ascii="微软雅黑" w:eastAsia="微软雅黑"/>
          <w:b/>
          <w:sz w:val="21"/>
        </w:rPr>
        <w:t>植入心脏起搏</w:t>
      </w:r>
      <w:r>
        <w:rPr>
          <w:rFonts w:ascii="微软雅黑" w:eastAsia="微软雅黑"/>
          <w:b/>
          <w:spacing w:val="-10"/>
          <w:sz w:val="21"/>
        </w:rPr>
        <w:t>器</w:t>
      </w:r>
      <w:r>
        <w:rPr>
          <w:rFonts w:ascii="微软雅黑" w:eastAsia="微软雅黑"/>
          <w:b/>
          <w:sz w:val="21"/>
        </w:rPr>
        <w:tab/>
      </w:r>
      <w:r>
        <w:rPr>
          <w:spacing w:val="-2"/>
          <w:sz w:val="21"/>
        </w:rPr>
        <w:t>因</w:t>
      </w:r>
      <w:r>
        <w:rPr>
          <w:spacing w:val="-2"/>
          <w:sz w:val="21"/>
        </w:rPr>
        <w:t>严</w:t>
      </w:r>
      <w:r>
        <w:rPr>
          <w:spacing w:val="-2"/>
          <w:sz w:val="21"/>
        </w:rPr>
        <w:t>重</w:t>
      </w:r>
      <w:r>
        <w:rPr>
          <w:spacing w:val="-2"/>
          <w:sz w:val="21"/>
        </w:rPr>
        <w:t>心</w:t>
      </w:r>
      <w:r>
        <w:rPr>
          <w:spacing w:val="-2"/>
          <w:sz w:val="21"/>
        </w:rPr>
        <w:t>律</w:t>
      </w:r>
      <w:r>
        <w:rPr>
          <w:spacing w:val="-2"/>
          <w:sz w:val="21"/>
        </w:rPr>
        <w:t>失常而</w:t>
      </w:r>
      <w:r>
        <w:rPr>
          <w:spacing w:val="-2"/>
          <w:sz w:val="21"/>
        </w:rPr>
        <w:t>确</w:t>
      </w:r>
      <w:r>
        <w:rPr>
          <w:spacing w:val="-2"/>
          <w:sz w:val="21"/>
        </w:rPr>
        <w:t>实</w:t>
      </w:r>
      <w:r>
        <w:rPr>
          <w:spacing w:val="-2"/>
          <w:sz w:val="21"/>
        </w:rPr>
        <w:t>已</w:t>
      </w:r>
      <w:r>
        <w:rPr>
          <w:spacing w:val="-2"/>
          <w:sz w:val="21"/>
        </w:rPr>
        <w:t>经</w:t>
      </w:r>
      <w:r>
        <w:rPr>
          <w:spacing w:val="-2"/>
          <w:sz w:val="21"/>
        </w:rPr>
        <w:t>实</w:t>
      </w:r>
      <w:r>
        <w:rPr>
          <w:spacing w:val="-2"/>
          <w:sz w:val="21"/>
        </w:rPr>
        <w:t>施</w:t>
      </w:r>
      <w:r>
        <w:rPr>
          <w:spacing w:val="-2"/>
          <w:sz w:val="21"/>
        </w:rPr>
        <w:t>永</w:t>
      </w:r>
      <w:r>
        <w:rPr>
          <w:spacing w:val="-2"/>
          <w:sz w:val="21"/>
        </w:rPr>
        <w:t>久</w:t>
      </w:r>
      <w:r>
        <w:rPr>
          <w:spacing w:val="-2"/>
          <w:sz w:val="21"/>
        </w:rPr>
        <w:t>性心脏</w:t>
      </w:r>
      <w:r>
        <w:rPr>
          <w:spacing w:val="-2"/>
          <w:sz w:val="21"/>
        </w:rPr>
        <w:t>起</w:t>
      </w:r>
      <w:r>
        <w:rPr>
          <w:spacing w:val="-2"/>
          <w:sz w:val="21"/>
        </w:rPr>
        <w:t>搏</w:t>
      </w:r>
      <w:r>
        <w:rPr>
          <w:spacing w:val="-2"/>
          <w:sz w:val="21"/>
        </w:rPr>
        <w:t>器</w:t>
      </w:r>
      <w:r>
        <w:rPr>
          <w:spacing w:val="-2"/>
          <w:sz w:val="21"/>
        </w:rPr>
        <w:t>的</w:t>
      </w:r>
      <w:r>
        <w:rPr>
          <w:spacing w:val="-2"/>
          <w:sz w:val="21"/>
        </w:rPr>
        <w:t>植</w:t>
      </w:r>
      <w:r>
        <w:rPr>
          <w:spacing w:val="-2"/>
          <w:sz w:val="21"/>
        </w:rPr>
        <w:t>入</w:t>
      </w:r>
      <w:r>
        <w:rPr>
          <w:spacing w:val="-2"/>
          <w:sz w:val="21"/>
        </w:rPr>
        <w:t>手</w:t>
      </w:r>
      <w:r>
        <w:rPr>
          <w:spacing w:val="-2"/>
          <w:sz w:val="21"/>
        </w:rPr>
        <w:t>术</w:t>
      </w:r>
      <w:r>
        <w:rPr>
          <w:spacing w:val="-2"/>
          <w:sz w:val="21"/>
        </w:rPr>
        <w:t>。</w:t>
      </w:r>
      <w:r>
        <w:rPr>
          <w:spacing w:val="-10"/>
          <w:sz w:val="21"/>
        </w:rPr>
        <w:t>理</w:t>
      </w:r>
    </w:p>
    <w:p>
      <w:pPr>
        <w:pStyle w:val="BodyText"/>
        <w:spacing w:line="246" w:lineRule="exact"/>
      </w:pPr>
      <w:r>
        <w:rPr>
          <w:spacing w:val="-3"/>
        </w:rPr>
        <w:t>赔时须提供完整病历资料及手术记录，诊断及治疗均须在本公司认</w:t>
      </w:r>
    </w:p>
    <w:p>
      <w:pPr>
        <w:pStyle w:val="BodyText"/>
        <w:spacing w:before="3"/>
      </w:pPr>
      <w:r>
        <w:rPr>
          <w:spacing w:val="-3"/>
        </w:rPr>
        <w:t>可医院专科医生认为是医疗必须的情况下进行。</w:t>
      </w:r>
    </w:p>
    <w:p>
      <w:pPr>
        <w:pStyle w:val="BodyText"/>
        <w:spacing w:before="3"/>
        <w:ind w:left="0"/>
        <w:rPr>
          <w:sz w:val="16"/>
        </w:rPr>
      </w:pPr>
    </w:p>
    <w:p>
      <w:pPr>
        <w:pStyle w:val="ListParagraph"/>
        <w:numPr>
          <w:ilvl w:val="1"/>
          <w:numId w:val="34"/>
        </w:numPr>
        <w:tabs>
          <w:tab w:pos="1071" w:val="left" w:leader="none"/>
          <w:tab w:pos="1072" w:val="left" w:leader="none"/>
          <w:tab w:pos="3152" w:val="left" w:leader="none"/>
        </w:tabs>
        <w:spacing w:line="363" w:lineRule="exact" w:before="0" w:after="0"/>
        <w:ind w:left="1071" w:right="0" w:hanging="850"/>
        <w:jc w:val="left"/>
        <w:rPr>
          <w:sz w:val="21"/>
        </w:rPr>
      </w:pPr>
      <w:r>
        <w:rPr>
          <w:rFonts w:ascii="微软雅黑" w:eastAsia="微软雅黑"/>
          <w:b/>
          <w:sz w:val="21"/>
        </w:rPr>
        <w:t>硬脑膜下血肿手</w:t>
      </w:r>
      <w:r>
        <w:rPr>
          <w:rFonts w:ascii="微软雅黑" w:eastAsia="微软雅黑"/>
          <w:b/>
          <w:spacing w:val="-10"/>
          <w:sz w:val="21"/>
        </w:rPr>
        <w:t>术</w:t>
      </w:r>
      <w:r>
        <w:rPr>
          <w:rFonts w:ascii="微软雅黑" w:eastAsia="微软雅黑"/>
          <w:b/>
          <w:sz w:val="21"/>
        </w:rPr>
        <w:tab/>
      </w:r>
      <w:r>
        <w:rPr>
          <w:spacing w:val="-2"/>
          <w:sz w:val="21"/>
        </w:rPr>
        <w:t>为</w:t>
      </w:r>
      <w:r>
        <w:rPr>
          <w:spacing w:val="-2"/>
          <w:sz w:val="21"/>
        </w:rPr>
        <w:t>清</w:t>
      </w:r>
      <w:r>
        <w:rPr>
          <w:spacing w:val="-2"/>
          <w:sz w:val="21"/>
        </w:rPr>
        <w:t>除</w:t>
      </w:r>
      <w:r>
        <w:rPr>
          <w:spacing w:val="-2"/>
          <w:sz w:val="21"/>
        </w:rPr>
        <w:t>或</w:t>
      </w:r>
      <w:r>
        <w:rPr>
          <w:spacing w:val="-2"/>
          <w:sz w:val="21"/>
        </w:rPr>
        <w:t>引</w:t>
      </w:r>
      <w:r>
        <w:rPr>
          <w:spacing w:val="-2"/>
          <w:sz w:val="21"/>
        </w:rPr>
        <w:t>流因意</w:t>
      </w:r>
      <w:r>
        <w:rPr>
          <w:spacing w:val="-2"/>
          <w:sz w:val="21"/>
        </w:rPr>
        <w:t>外</w:t>
      </w:r>
      <w:r>
        <w:rPr>
          <w:spacing w:val="-2"/>
          <w:sz w:val="21"/>
        </w:rPr>
        <w:t>伤</w:t>
      </w:r>
      <w:r>
        <w:rPr>
          <w:spacing w:val="-2"/>
          <w:sz w:val="21"/>
        </w:rPr>
        <w:t>害</w:t>
      </w:r>
      <w:r>
        <w:rPr>
          <w:spacing w:val="-2"/>
          <w:sz w:val="21"/>
        </w:rPr>
        <w:t>导</w:t>
      </w:r>
      <w:r>
        <w:rPr>
          <w:spacing w:val="-2"/>
          <w:sz w:val="21"/>
        </w:rPr>
        <w:t>致</w:t>
      </w:r>
      <w:r>
        <w:rPr>
          <w:spacing w:val="-2"/>
          <w:sz w:val="21"/>
        </w:rPr>
        <w:t>的</w:t>
      </w:r>
      <w:r>
        <w:rPr>
          <w:spacing w:val="-2"/>
          <w:sz w:val="21"/>
        </w:rPr>
        <w:t>血</w:t>
      </w:r>
      <w:r>
        <w:rPr>
          <w:spacing w:val="-2"/>
          <w:sz w:val="21"/>
        </w:rPr>
        <w:t>肿</w:t>
      </w:r>
      <w:r>
        <w:rPr>
          <w:spacing w:val="-2"/>
          <w:sz w:val="21"/>
        </w:rPr>
        <w:t>，需于</w:t>
      </w:r>
      <w:r>
        <w:rPr>
          <w:spacing w:val="-2"/>
          <w:sz w:val="21"/>
        </w:rPr>
        <w:t>头</w:t>
      </w:r>
      <w:r>
        <w:rPr>
          <w:spacing w:val="-2"/>
          <w:sz w:val="21"/>
        </w:rPr>
        <w:t>部</w:t>
      </w:r>
      <w:r>
        <w:rPr>
          <w:spacing w:val="-2"/>
          <w:sz w:val="21"/>
        </w:rPr>
        <w:t>进</w:t>
      </w:r>
      <w:r>
        <w:rPr>
          <w:spacing w:val="-2"/>
          <w:sz w:val="21"/>
        </w:rPr>
        <w:t>行</w:t>
      </w:r>
      <w:r>
        <w:rPr>
          <w:spacing w:val="-2"/>
          <w:sz w:val="21"/>
        </w:rPr>
        <w:t>开</w:t>
      </w:r>
      <w:r>
        <w:rPr>
          <w:spacing w:val="-2"/>
          <w:sz w:val="21"/>
        </w:rPr>
        <w:t>颅</w:t>
      </w:r>
      <w:r>
        <w:rPr>
          <w:spacing w:val="-2"/>
          <w:sz w:val="21"/>
        </w:rPr>
        <w:t>或</w:t>
      </w:r>
      <w:r>
        <w:rPr>
          <w:spacing w:val="-2"/>
          <w:sz w:val="21"/>
        </w:rPr>
        <w:t>钻</w:t>
      </w:r>
      <w:r>
        <w:rPr>
          <w:spacing w:val="-2"/>
          <w:sz w:val="21"/>
        </w:rPr>
        <w:t>孔</w:t>
      </w:r>
      <w:r>
        <w:rPr>
          <w:spacing w:val="-10"/>
          <w:sz w:val="21"/>
        </w:rPr>
        <w:t>手</w:t>
      </w:r>
    </w:p>
    <w:p>
      <w:pPr>
        <w:pStyle w:val="BodyText"/>
        <w:spacing w:line="245" w:lineRule="exact"/>
      </w:pPr>
      <w:r>
        <w:rPr>
          <w:spacing w:val="-3"/>
        </w:rPr>
        <w:t>术。开颅或钻孔手术必须在认可的医院内由专科医生认为是医疗必</w:t>
      </w:r>
    </w:p>
    <w:p>
      <w:pPr>
        <w:pStyle w:val="BodyText"/>
        <w:spacing w:before="5"/>
      </w:pPr>
      <w:r>
        <w:rPr>
          <w:spacing w:val="-4"/>
        </w:rPr>
        <w:t>须的情况下进行。</w:t>
      </w:r>
    </w:p>
    <w:p>
      <w:pPr>
        <w:pStyle w:val="BodyText"/>
        <w:spacing w:before="4"/>
        <w:ind w:left="0"/>
        <w:rPr>
          <w:sz w:val="16"/>
        </w:rPr>
      </w:pPr>
    </w:p>
    <w:p>
      <w:pPr>
        <w:pStyle w:val="ListParagraph"/>
        <w:numPr>
          <w:ilvl w:val="1"/>
          <w:numId w:val="34"/>
        </w:numPr>
        <w:tabs>
          <w:tab w:pos="849" w:val="left" w:leader="none"/>
          <w:tab w:pos="1072" w:val="left" w:leader="none"/>
          <w:tab w:pos="2930" w:val="left" w:leader="none"/>
        </w:tabs>
        <w:spacing w:line="363" w:lineRule="exact" w:before="0" w:after="0"/>
        <w:ind w:left="1071" w:right="729" w:hanging="1072"/>
        <w:jc w:val="right"/>
        <w:rPr>
          <w:sz w:val="21"/>
        </w:rPr>
      </w:pPr>
      <w:r>
        <w:rPr>
          <w:rFonts w:ascii="微软雅黑" w:eastAsia="微软雅黑"/>
          <w:b/>
          <w:sz w:val="21"/>
        </w:rPr>
        <w:t>面部重建手</w:t>
      </w:r>
      <w:r>
        <w:rPr>
          <w:rFonts w:ascii="微软雅黑" w:eastAsia="微软雅黑"/>
          <w:b/>
          <w:spacing w:val="-10"/>
          <w:sz w:val="21"/>
        </w:rPr>
        <w:t>术</w:t>
      </w:r>
      <w:r>
        <w:rPr>
          <w:rFonts w:ascii="微软雅黑" w:eastAsia="微软雅黑"/>
          <w:b/>
          <w:sz w:val="21"/>
        </w:rPr>
        <w:tab/>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外伤害</w:t>
      </w:r>
      <w:r>
        <w:rPr>
          <w:spacing w:val="-2"/>
          <w:sz w:val="21"/>
        </w:rPr>
        <w:t>导</w:t>
      </w:r>
      <w:r>
        <w:rPr>
          <w:spacing w:val="-2"/>
          <w:sz w:val="21"/>
        </w:rPr>
        <w:t>致</w:t>
      </w:r>
      <w:r>
        <w:rPr>
          <w:spacing w:val="-2"/>
          <w:sz w:val="21"/>
        </w:rPr>
        <w:t>面</w:t>
      </w:r>
      <w:r>
        <w:rPr>
          <w:spacing w:val="-2"/>
          <w:sz w:val="21"/>
        </w:rPr>
        <w:t>部</w:t>
      </w:r>
      <w:r>
        <w:rPr>
          <w:spacing w:val="-2"/>
          <w:sz w:val="21"/>
        </w:rPr>
        <w:t>毁</w:t>
      </w:r>
      <w:r>
        <w:rPr>
          <w:spacing w:val="-2"/>
          <w:sz w:val="21"/>
        </w:rPr>
        <w:t>容，</w:t>
      </w:r>
      <w:r>
        <w:rPr>
          <w:spacing w:val="-2"/>
          <w:sz w:val="21"/>
        </w:rPr>
        <w:t>确</w:t>
      </w:r>
      <w:r>
        <w:rPr>
          <w:spacing w:val="-2"/>
          <w:sz w:val="21"/>
        </w:rPr>
        <w:t>实进行</w:t>
      </w:r>
      <w:r>
        <w:rPr>
          <w:spacing w:val="-2"/>
          <w:sz w:val="21"/>
        </w:rPr>
        <w:t>整</w:t>
      </w:r>
      <w:r>
        <w:rPr>
          <w:spacing w:val="-2"/>
          <w:sz w:val="21"/>
        </w:rPr>
        <w:t>形</w:t>
      </w:r>
      <w:r>
        <w:rPr>
          <w:spacing w:val="-2"/>
          <w:sz w:val="21"/>
        </w:rPr>
        <w:t>或</w:t>
      </w:r>
      <w:r>
        <w:rPr>
          <w:spacing w:val="-2"/>
          <w:sz w:val="21"/>
        </w:rPr>
        <w:t>者</w:t>
      </w:r>
      <w:r>
        <w:rPr>
          <w:spacing w:val="-2"/>
          <w:sz w:val="21"/>
        </w:rPr>
        <w:t>重</w:t>
      </w:r>
      <w:r>
        <w:rPr>
          <w:spacing w:val="-2"/>
          <w:sz w:val="21"/>
        </w:rPr>
        <w:t>建</w:t>
      </w:r>
      <w:r>
        <w:rPr>
          <w:spacing w:val="-2"/>
          <w:sz w:val="21"/>
        </w:rPr>
        <w:t>手</w:t>
      </w:r>
      <w:r>
        <w:rPr>
          <w:spacing w:val="-2"/>
          <w:sz w:val="21"/>
        </w:rPr>
        <w:t>术</w:t>
      </w:r>
      <w:r>
        <w:rPr>
          <w:spacing w:val="-2"/>
          <w:sz w:val="21"/>
        </w:rPr>
        <w:t>（</w:t>
      </w:r>
      <w:r>
        <w:rPr>
          <w:spacing w:val="-10"/>
          <w:sz w:val="21"/>
        </w:rPr>
        <w:t>颈</w:t>
      </w:r>
    </w:p>
    <w:p>
      <w:pPr>
        <w:pStyle w:val="BodyText"/>
        <w:spacing w:line="245" w:lineRule="exact"/>
        <w:ind w:left="0" w:right="729"/>
        <w:jc w:val="right"/>
      </w:pPr>
      <w:r>
        <w:rPr>
          <w:spacing w:val="-3"/>
        </w:rPr>
        <w:t>部以上的面部构造不完整、缺失或者受损而对其形态及外观进行修</w:t>
      </w:r>
    </w:p>
    <w:p>
      <w:pPr>
        <w:pStyle w:val="BodyText"/>
        <w:spacing w:line="242" w:lineRule="auto" w:before="4"/>
        <w:ind w:right="729"/>
        <w:jc w:val="both"/>
      </w:pPr>
      <w:r>
        <w:rPr>
          <w:spacing w:val="-2"/>
        </w:rPr>
        <w:t>复或者重建</w:t>
      </w:r>
      <w:r>
        <w:rPr>
          <w:spacing w:val="-104"/>
        </w:rPr>
        <w:t>）</w:t>
      </w:r>
      <w:r>
        <w:rPr>
          <w:spacing w:val="-13"/>
        </w:rPr>
        <w:t>，同时必须由专科医生认为该面部毁容是需要接受住院</w:t>
      </w:r>
      <w:r>
        <w:rPr>
          <w:spacing w:val="-2"/>
        </w:rPr>
        <w:t>治疗，及其后接受该手术，而对该面部毁容所进行的治疗亦是医疗</w:t>
      </w:r>
      <w:r>
        <w:rPr>
          <w:spacing w:val="-4"/>
        </w:rPr>
        <w:t>所需。</w:t>
      </w:r>
    </w:p>
    <w:p>
      <w:pPr>
        <w:pStyle w:val="BodyText"/>
        <w:spacing w:before="9"/>
        <w:ind w:left="0"/>
        <w:rPr>
          <w:sz w:val="22"/>
        </w:rPr>
      </w:pPr>
    </w:p>
    <w:p>
      <w:pPr>
        <w:spacing w:line="168" w:lineRule="auto" w:before="0"/>
        <w:ind w:left="3153" w:right="730" w:firstLine="0"/>
        <w:jc w:val="left"/>
        <w:rPr>
          <w:rFonts w:ascii="微软雅黑" w:eastAsia="微软雅黑"/>
          <w:b/>
          <w:sz w:val="21"/>
        </w:rPr>
      </w:pPr>
      <w:r>
        <w:rPr>
          <w:rFonts w:ascii="微软雅黑" w:eastAsia="微软雅黑"/>
          <w:b/>
          <w:spacing w:val="-2"/>
          <w:sz w:val="21"/>
        </w:rPr>
        <w:t>因纯粹整容原因、独立的牙齿修复、独立的鼻骨骨折或者独立的皮</w:t>
      </w:r>
      <w:r>
        <w:rPr>
          <w:rFonts w:ascii="微软雅黑" w:eastAsia="微软雅黑"/>
          <w:b/>
          <w:spacing w:val="-2"/>
          <w:sz w:val="21"/>
        </w:rPr>
        <w:t>肤伤口所进行的手术均不受此保障。</w:t>
      </w:r>
    </w:p>
    <w:p>
      <w:pPr>
        <w:spacing w:line="168" w:lineRule="auto" w:before="3"/>
        <w:ind w:left="3153" w:right="626" w:firstLine="0"/>
        <w:jc w:val="left"/>
        <w:rPr>
          <w:rFonts w:ascii="微软雅黑" w:hAnsi="微软雅黑" w:eastAsia="微软雅黑"/>
          <w:b/>
          <w:sz w:val="21"/>
        </w:rPr>
      </w:pPr>
      <w:r>
        <w:rPr>
          <w:rFonts w:ascii="微软雅黑" w:hAnsi="微软雅黑" w:eastAsia="微软雅黑"/>
          <w:b/>
          <w:spacing w:val="-2"/>
          <w:sz w:val="21"/>
        </w:rPr>
        <w:t>被保险人达到条款约定的“轻度面部烧伤”赔付条件的，且因此需</w:t>
      </w:r>
      <w:r>
        <w:rPr>
          <w:rFonts w:ascii="微软雅黑" w:hAnsi="微软雅黑" w:eastAsia="微软雅黑"/>
          <w:b/>
          <w:spacing w:val="-7"/>
          <w:sz w:val="21"/>
        </w:rPr>
        <w:t>进行“面部重建手术”的，则“面部重建手术”不在此保障范围内。</w:t>
      </w:r>
    </w:p>
    <w:p>
      <w:pPr>
        <w:pStyle w:val="BodyText"/>
        <w:spacing w:before="6"/>
        <w:ind w:left="0"/>
        <w:rPr>
          <w:rFonts w:ascii="微软雅黑"/>
          <w:b/>
          <w:sz w:val="10"/>
        </w:rPr>
      </w:pPr>
    </w:p>
    <w:p>
      <w:pPr>
        <w:pStyle w:val="ListParagraph"/>
        <w:numPr>
          <w:ilvl w:val="1"/>
          <w:numId w:val="34"/>
        </w:numPr>
        <w:tabs>
          <w:tab w:pos="1071" w:val="left" w:leader="none"/>
          <w:tab w:pos="1072" w:val="left" w:leader="none"/>
          <w:tab w:pos="3152" w:val="left" w:leader="none"/>
        </w:tabs>
        <w:spacing w:line="364" w:lineRule="exact" w:before="0" w:after="0"/>
        <w:ind w:left="1071" w:right="0" w:hanging="850"/>
        <w:jc w:val="left"/>
        <w:rPr>
          <w:sz w:val="21"/>
        </w:rPr>
      </w:pPr>
      <w:r>
        <w:rPr>
          <w:rFonts w:ascii="微软雅黑" w:eastAsia="微软雅黑"/>
          <w:b/>
          <w:sz w:val="21"/>
        </w:rPr>
        <w:t>早期系统性硬皮</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一</w:t>
      </w:r>
      <w:r>
        <w:rPr>
          <w:spacing w:val="-2"/>
          <w:sz w:val="21"/>
        </w:rPr>
        <w:t>种</w:t>
      </w:r>
      <w:r>
        <w:rPr>
          <w:spacing w:val="-2"/>
          <w:sz w:val="21"/>
        </w:rPr>
        <w:t>以</w:t>
      </w:r>
      <w:r>
        <w:rPr>
          <w:spacing w:val="-2"/>
          <w:sz w:val="21"/>
        </w:rPr>
        <w:t>局</w:t>
      </w:r>
      <w:r>
        <w:rPr>
          <w:spacing w:val="-2"/>
          <w:sz w:val="21"/>
        </w:rPr>
        <w:t>限性或</w:t>
      </w:r>
      <w:r>
        <w:rPr>
          <w:spacing w:val="-2"/>
          <w:sz w:val="21"/>
        </w:rPr>
        <w:t>弥</w:t>
      </w:r>
      <w:r>
        <w:rPr>
          <w:spacing w:val="-2"/>
          <w:sz w:val="21"/>
        </w:rPr>
        <w:t>漫</w:t>
      </w:r>
      <w:r>
        <w:rPr>
          <w:spacing w:val="-2"/>
          <w:sz w:val="21"/>
        </w:rPr>
        <w:t>性</w:t>
      </w:r>
      <w:r>
        <w:rPr>
          <w:spacing w:val="-2"/>
          <w:sz w:val="21"/>
        </w:rPr>
        <w:t>皮</w:t>
      </w:r>
      <w:r>
        <w:rPr>
          <w:spacing w:val="-2"/>
          <w:sz w:val="21"/>
        </w:rPr>
        <w:t>肤</w:t>
      </w:r>
      <w:r>
        <w:rPr>
          <w:spacing w:val="-2"/>
          <w:sz w:val="21"/>
        </w:rPr>
        <w:t>增</w:t>
      </w:r>
      <w:r>
        <w:rPr>
          <w:spacing w:val="-2"/>
          <w:sz w:val="21"/>
        </w:rPr>
        <w:t>厚</w:t>
      </w:r>
      <w:r>
        <w:rPr>
          <w:spacing w:val="-2"/>
          <w:sz w:val="21"/>
        </w:rPr>
        <w:t>和</w:t>
      </w:r>
      <w:r>
        <w:rPr>
          <w:spacing w:val="-2"/>
          <w:sz w:val="21"/>
        </w:rPr>
        <w:t>皮肤、</w:t>
      </w:r>
      <w:r>
        <w:rPr>
          <w:spacing w:val="-2"/>
          <w:sz w:val="21"/>
        </w:rPr>
        <w:t>血</w:t>
      </w:r>
      <w:r>
        <w:rPr>
          <w:spacing w:val="-2"/>
          <w:sz w:val="21"/>
        </w:rPr>
        <w:t>管</w:t>
      </w:r>
      <w:r>
        <w:rPr>
          <w:spacing w:val="-2"/>
          <w:sz w:val="21"/>
        </w:rPr>
        <w:t>、</w:t>
      </w:r>
      <w:r>
        <w:rPr>
          <w:spacing w:val="-2"/>
          <w:sz w:val="21"/>
        </w:rPr>
        <w:t>内</w:t>
      </w:r>
      <w:r>
        <w:rPr>
          <w:spacing w:val="-2"/>
          <w:sz w:val="21"/>
        </w:rPr>
        <w:t>脏</w:t>
      </w:r>
      <w:r>
        <w:rPr>
          <w:spacing w:val="-2"/>
          <w:sz w:val="21"/>
        </w:rPr>
        <w:t>器</w:t>
      </w:r>
      <w:r>
        <w:rPr>
          <w:spacing w:val="-2"/>
          <w:sz w:val="21"/>
        </w:rPr>
        <w:t>官</w:t>
      </w:r>
      <w:r>
        <w:rPr>
          <w:spacing w:val="-2"/>
          <w:sz w:val="21"/>
        </w:rPr>
        <w:t>异</w:t>
      </w:r>
      <w:r>
        <w:rPr>
          <w:spacing w:val="-2"/>
          <w:sz w:val="21"/>
        </w:rPr>
        <w:t>常</w:t>
      </w:r>
      <w:r>
        <w:rPr>
          <w:spacing w:val="-10"/>
          <w:sz w:val="21"/>
        </w:rPr>
        <w:t>纤</w:t>
      </w:r>
    </w:p>
    <w:p>
      <w:pPr>
        <w:pStyle w:val="BodyText"/>
        <w:spacing w:line="246" w:lineRule="exact"/>
      </w:pPr>
      <w:r>
        <w:rPr>
          <w:spacing w:val="-3"/>
        </w:rPr>
        <w:t>维化为特征的结缔组织病。本病须经专科医生明确诊断，未达到本</w:t>
      </w:r>
    </w:p>
    <w:p>
      <w:pPr>
        <w:pStyle w:val="BodyText"/>
        <w:spacing w:line="244" w:lineRule="auto" w:before="2"/>
        <w:ind w:right="730"/>
      </w:pPr>
      <w:r>
        <w:rPr>
          <w:spacing w:val="-2"/>
        </w:rPr>
        <w:t>合同所指重度疾病</w:t>
      </w:r>
      <w:r>
        <w:rPr>
          <w:rFonts w:ascii="Times New Roman" w:hAnsi="Times New Roman" w:eastAsia="Times New Roman"/>
          <w:spacing w:val="-2"/>
        </w:rPr>
        <w:t>“</w:t>
      </w:r>
      <w:r>
        <w:rPr>
          <w:spacing w:val="-2"/>
        </w:rPr>
        <w:t>严重弥漫性系统性硬皮病</w:t>
      </w:r>
      <w:r>
        <w:rPr>
          <w:rFonts w:ascii="Times New Roman" w:hAnsi="Times New Roman" w:eastAsia="Times New Roman"/>
          <w:spacing w:val="-2"/>
        </w:rPr>
        <w:t>”</w:t>
      </w:r>
      <w:r>
        <w:rPr>
          <w:spacing w:val="-2"/>
        </w:rPr>
        <w:t>的标准，并须满足下</w:t>
      </w:r>
      <w:r>
        <w:rPr>
          <w:spacing w:val="-2"/>
        </w:rPr>
        <w:t>列所有条件：</w:t>
      </w:r>
    </w:p>
    <w:p>
      <w:pPr>
        <w:pStyle w:val="ListParagraph"/>
        <w:numPr>
          <w:ilvl w:val="0"/>
          <w:numId w:val="40"/>
        </w:numPr>
        <w:tabs>
          <w:tab w:pos="3682" w:val="left" w:leader="none"/>
        </w:tabs>
        <w:spacing w:line="242" w:lineRule="auto" w:before="0" w:after="0"/>
        <w:ind w:left="3678" w:right="731" w:hanging="526"/>
        <w:jc w:val="left"/>
        <w:rPr>
          <w:sz w:val="21"/>
        </w:rPr>
      </w:pPr>
      <w:r>
        <w:rPr>
          <w:spacing w:val="-2"/>
          <w:sz w:val="21"/>
        </w:rPr>
        <w:t>必须是经由本公司认可医院的风湿学专科医生根据美国风湿</w:t>
      </w:r>
      <w:r>
        <w:rPr>
          <w:spacing w:val="-4"/>
          <w:sz w:val="21"/>
        </w:rPr>
        <w:t>病学会（</w:t>
      </w:r>
      <w:r>
        <w:rPr>
          <w:rFonts w:ascii="Times New Roman" w:hAnsi="Times New Roman" w:eastAsia="Times New Roman"/>
          <w:spacing w:val="-4"/>
          <w:sz w:val="21"/>
        </w:rPr>
        <w:t>ACR</w:t>
      </w:r>
      <w:r>
        <w:rPr>
          <w:spacing w:val="-4"/>
          <w:sz w:val="21"/>
        </w:rPr>
        <w:t>）及欧洲抗风湿病联盟（</w:t>
      </w:r>
      <w:r>
        <w:rPr>
          <w:rFonts w:ascii="Times New Roman" w:hAnsi="Times New Roman" w:eastAsia="Times New Roman"/>
          <w:spacing w:val="-4"/>
          <w:sz w:val="21"/>
        </w:rPr>
        <w:t>EULAR</w:t>
      </w:r>
      <w:r>
        <w:rPr>
          <w:spacing w:val="-4"/>
          <w:sz w:val="21"/>
        </w:rPr>
        <w:t>）</w:t>
      </w:r>
      <w:r>
        <w:rPr>
          <w:spacing w:val="-25"/>
          <w:sz w:val="21"/>
        </w:rPr>
        <w:t>在 </w:t>
      </w:r>
      <w:r>
        <w:rPr>
          <w:rFonts w:ascii="Times New Roman" w:hAnsi="Times New Roman" w:eastAsia="Times New Roman"/>
          <w:spacing w:val="-4"/>
          <w:sz w:val="21"/>
        </w:rPr>
        <w:t>2013 </w:t>
      </w:r>
      <w:r>
        <w:rPr>
          <w:spacing w:val="-4"/>
          <w:sz w:val="21"/>
        </w:rPr>
        <w:t>年发</w:t>
      </w:r>
      <w:r>
        <w:rPr>
          <w:spacing w:val="-7"/>
          <w:sz w:val="21"/>
        </w:rPr>
        <w:t>布的系统性硬皮病诊断标准确认达到确诊标准</w:t>
      </w:r>
      <w:r>
        <w:rPr>
          <w:spacing w:val="-2"/>
          <w:sz w:val="21"/>
        </w:rPr>
        <w:t>（总分值由每一</w:t>
      </w:r>
      <w:r>
        <w:rPr>
          <w:spacing w:val="-2"/>
          <w:sz w:val="21"/>
        </w:rPr>
        <w:t>个分类中的最高比重（分值）相加而成，总分≥</w:t>
      </w:r>
      <w:r>
        <w:rPr>
          <w:rFonts w:ascii="Times New Roman" w:hAnsi="Times New Roman" w:eastAsia="Times New Roman"/>
          <w:spacing w:val="-2"/>
          <w:sz w:val="21"/>
        </w:rPr>
        <w:t>9</w:t>
      </w:r>
      <w:r>
        <w:rPr>
          <w:rFonts w:ascii="Times New Roman" w:hAnsi="Times New Roman" w:eastAsia="Times New Roman"/>
          <w:spacing w:val="-12"/>
          <w:sz w:val="21"/>
        </w:rPr>
        <w:t> </w:t>
      </w:r>
      <w:r>
        <w:rPr>
          <w:spacing w:val="-2"/>
          <w:sz w:val="21"/>
        </w:rPr>
        <w:t>分的患者被</w:t>
      </w:r>
      <w:r>
        <w:rPr>
          <w:spacing w:val="-2"/>
          <w:sz w:val="21"/>
        </w:rPr>
        <w:t>分类为系统性硬皮病</w:t>
      </w:r>
      <w:r>
        <w:rPr>
          <w:spacing w:val="-106"/>
          <w:sz w:val="21"/>
        </w:rPr>
        <w:t>）</w:t>
      </w:r>
      <w:r>
        <w:rPr>
          <w:sz w:val="21"/>
        </w:rPr>
        <w:t>；</w:t>
      </w:r>
    </w:p>
    <w:p>
      <w:pPr>
        <w:pStyle w:val="ListParagraph"/>
        <w:numPr>
          <w:ilvl w:val="0"/>
          <w:numId w:val="40"/>
        </w:numPr>
        <w:tabs>
          <w:tab w:pos="3682" w:val="left" w:leader="none"/>
        </w:tabs>
        <w:spacing w:line="240" w:lineRule="auto" w:before="0" w:after="0"/>
        <w:ind w:left="3682" w:right="0" w:hanging="529"/>
        <w:jc w:val="left"/>
        <w:rPr>
          <w:sz w:val="21"/>
        </w:rPr>
      </w:pPr>
      <w:r>
        <w:rPr>
          <w:spacing w:val="-3"/>
          <w:sz w:val="21"/>
        </w:rPr>
        <w:t>须提供明确的病理活检及自身抗体免疫血清学证据支持。</w:t>
      </w:r>
    </w:p>
    <w:p>
      <w:pPr>
        <w:spacing w:after="0" w:line="240" w:lineRule="auto"/>
        <w:jc w:val="left"/>
        <w:rPr>
          <w:sz w:val="21"/>
        </w:rPr>
        <w:sectPr>
          <w:type w:val="continuous"/>
          <w:pgSz w:w="11910" w:h="16840"/>
          <w:pgMar w:header="0" w:footer="878" w:top="160" w:bottom="280" w:left="1480" w:right="440"/>
        </w:sect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2"/>
        <w:gridCol w:w="2160"/>
        <w:gridCol w:w="6273"/>
      </w:tblGrid>
      <w:tr>
        <w:trPr>
          <w:trHeight w:val="792" w:hRule="atLeast"/>
        </w:trPr>
        <w:tc>
          <w:tcPr>
            <w:tcW w:w="2872" w:type="dxa"/>
            <w:gridSpan w:val="2"/>
            <w:vMerge w:val="restart"/>
          </w:tcPr>
          <w:p>
            <w:pPr>
              <w:pStyle w:val="TableParagraph"/>
              <w:rPr>
                <w:rFonts w:ascii="Times New Roman"/>
                <w:sz w:val="20"/>
              </w:rPr>
            </w:pPr>
          </w:p>
        </w:tc>
        <w:tc>
          <w:tcPr>
            <w:tcW w:w="6273" w:type="dxa"/>
          </w:tcPr>
          <w:p>
            <w:pPr>
              <w:pStyle w:val="TableParagraph"/>
              <w:spacing w:line="235" w:lineRule="exact"/>
              <w:ind w:left="108"/>
              <w:rPr>
                <w:rFonts w:ascii="微软雅黑" w:eastAsia="微软雅黑"/>
                <w:b/>
                <w:sz w:val="21"/>
              </w:rPr>
            </w:pPr>
            <w:r>
              <w:rPr>
                <w:rFonts w:ascii="微软雅黑" w:eastAsia="微软雅黑"/>
                <w:b/>
                <w:spacing w:val="-3"/>
                <w:sz w:val="21"/>
              </w:rPr>
              <w:t>以下情况不在保障范围内：</w:t>
            </w:r>
          </w:p>
          <w:p>
            <w:pPr>
              <w:pStyle w:val="TableParagraph"/>
              <w:numPr>
                <w:ilvl w:val="0"/>
                <w:numId w:val="41"/>
              </w:numPr>
              <w:tabs>
                <w:tab w:pos="638" w:val="left" w:leader="none"/>
              </w:tabs>
              <w:spacing w:line="273" w:lineRule="exact" w:before="0" w:after="0"/>
              <w:ind w:left="637" w:right="0" w:hanging="530"/>
              <w:jc w:val="left"/>
              <w:rPr>
                <w:rFonts w:ascii="微软雅黑" w:eastAsia="微软雅黑"/>
                <w:b/>
                <w:sz w:val="21"/>
              </w:rPr>
            </w:pPr>
            <w:r>
              <w:rPr>
                <w:rFonts w:ascii="微软雅黑" w:eastAsia="微软雅黑"/>
                <w:b/>
                <w:spacing w:val="-2"/>
                <w:sz w:val="21"/>
              </w:rPr>
              <w:t>局限性硬皮病（带状硬皮病或斑状损害</w:t>
            </w:r>
            <w:r>
              <w:rPr>
                <w:rFonts w:ascii="微软雅黑" w:eastAsia="微软雅黑"/>
                <w:b/>
                <w:spacing w:val="-10"/>
                <w:sz w:val="21"/>
              </w:rPr>
              <w:t>）</w:t>
            </w:r>
          </w:p>
          <w:p>
            <w:pPr>
              <w:pStyle w:val="TableParagraph"/>
              <w:numPr>
                <w:ilvl w:val="0"/>
                <w:numId w:val="41"/>
              </w:numPr>
              <w:tabs>
                <w:tab w:pos="638" w:val="left" w:leader="none"/>
              </w:tabs>
              <w:spacing w:line="265" w:lineRule="exact" w:before="0" w:after="0"/>
              <w:ind w:left="637" w:right="0" w:hanging="530"/>
              <w:jc w:val="left"/>
              <w:rPr>
                <w:rFonts w:ascii="微软雅黑" w:eastAsia="微软雅黑"/>
                <w:b/>
                <w:sz w:val="21"/>
              </w:rPr>
            </w:pPr>
            <w:r>
              <w:rPr>
                <w:rFonts w:ascii="微软雅黑" w:eastAsia="微软雅黑"/>
                <w:b/>
                <w:spacing w:val="-2"/>
                <w:sz w:val="21"/>
              </w:rPr>
              <w:t>嗜酸性筋膜炎</w:t>
            </w:r>
          </w:p>
        </w:tc>
      </w:tr>
      <w:tr>
        <w:trPr>
          <w:trHeight w:val="398" w:hRule="atLeast"/>
        </w:trPr>
        <w:tc>
          <w:tcPr>
            <w:tcW w:w="2872" w:type="dxa"/>
            <w:gridSpan w:val="2"/>
            <w:vMerge/>
            <w:tcBorders>
              <w:top w:val="nil"/>
            </w:tcBorders>
          </w:tcPr>
          <w:p>
            <w:pPr>
              <w:rPr>
                <w:sz w:val="2"/>
                <w:szCs w:val="2"/>
              </w:rPr>
            </w:pPr>
          </w:p>
        </w:tc>
        <w:tc>
          <w:tcPr>
            <w:tcW w:w="6273" w:type="dxa"/>
          </w:tcPr>
          <w:p>
            <w:pPr>
              <w:pStyle w:val="TableParagraph"/>
              <w:spacing w:line="318" w:lineRule="exact"/>
              <w:ind w:left="108"/>
              <w:rPr>
                <w:rFonts w:ascii="微软雅黑" w:eastAsia="微软雅黑"/>
                <w:b/>
                <w:sz w:val="21"/>
              </w:rPr>
            </w:pPr>
            <w:r>
              <w:rPr>
                <w:rFonts w:ascii="微软雅黑" w:eastAsia="微软雅黑"/>
                <w:b/>
                <w:sz w:val="21"/>
              </w:rPr>
              <w:t>（</w:t>
            </w:r>
            <w:r>
              <w:rPr>
                <w:rFonts w:ascii="Times New Roman" w:eastAsia="Times New Roman"/>
                <w:b/>
                <w:sz w:val="21"/>
              </w:rPr>
              <w:t>3</w:t>
            </w:r>
            <w:r>
              <w:rPr>
                <w:rFonts w:ascii="微软雅黑" w:eastAsia="微软雅黑"/>
                <w:b/>
                <w:sz w:val="21"/>
              </w:rPr>
              <w:t>）</w:t>
            </w:r>
            <w:r>
              <w:rPr>
                <w:rFonts w:ascii="Times New Roman" w:eastAsia="Times New Roman"/>
                <w:b/>
                <w:sz w:val="21"/>
              </w:rPr>
              <w:t>CREST</w:t>
            </w:r>
            <w:r>
              <w:rPr>
                <w:rFonts w:ascii="Times New Roman" w:eastAsia="Times New Roman"/>
                <w:b/>
                <w:spacing w:val="-9"/>
                <w:sz w:val="21"/>
              </w:rPr>
              <w:t> </w:t>
            </w:r>
            <w:r>
              <w:rPr>
                <w:rFonts w:ascii="微软雅黑" w:eastAsia="微软雅黑"/>
                <w:b/>
                <w:spacing w:val="-4"/>
                <w:sz w:val="21"/>
              </w:rPr>
              <w:t>综合征</w:t>
            </w:r>
          </w:p>
        </w:tc>
      </w:tr>
      <w:tr>
        <w:trPr>
          <w:trHeight w:val="414" w:hRule="atLeast"/>
        </w:trPr>
        <w:tc>
          <w:tcPr>
            <w:tcW w:w="712" w:type="dxa"/>
          </w:tcPr>
          <w:p>
            <w:pPr>
              <w:pStyle w:val="TableParagraph"/>
              <w:spacing w:before="137"/>
              <w:ind w:left="50"/>
              <w:rPr>
                <w:rFonts w:ascii="Times New Roman"/>
                <w:sz w:val="21"/>
              </w:rPr>
            </w:pPr>
            <w:r>
              <w:rPr>
                <w:rFonts w:ascii="Times New Roman"/>
                <w:spacing w:val="-2"/>
                <w:sz w:val="21"/>
              </w:rPr>
              <w:t>10.36</w:t>
            </w:r>
          </w:p>
        </w:tc>
        <w:tc>
          <w:tcPr>
            <w:tcW w:w="2160" w:type="dxa"/>
          </w:tcPr>
          <w:p>
            <w:pPr>
              <w:pStyle w:val="TableParagraph"/>
              <w:spacing w:line="317" w:lineRule="exact" w:before="77"/>
              <w:ind w:left="187"/>
              <w:rPr>
                <w:rFonts w:ascii="微软雅黑" w:eastAsia="微软雅黑"/>
                <w:b/>
                <w:sz w:val="21"/>
              </w:rPr>
            </w:pPr>
            <w:r>
              <w:rPr>
                <w:rFonts w:ascii="微软雅黑" w:eastAsia="微软雅黑"/>
                <w:b/>
                <w:spacing w:val="-2"/>
                <w:sz w:val="21"/>
              </w:rPr>
              <w:t>微创颅脑手术</w:t>
            </w:r>
          </w:p>
        </w:tc>
        <w:tc>
          <w:tcPr>
            <w:tcW w:w="6273" w:type="dxa"/>
          </w:tcPr>
          <w:p>
            <w:pPr>
              <w:pStyle w:val="TableParagraph"/>
              <w:spacing w:line="250" w:lineRule="exact" w:before="144"/>
              <w:ind w:left="108"/>
              <w:rPr>
                <w:sz w:val="21"/>
              </w:rPr>
            </w:pPr>
            <w:r>
              <w:rPr>
                <w:spacing w:val="-3"/>
                <w:sz w:val="21"/>
              </w:rPr>
              <w:t>因疾病被保险人确已实施全麻下的颅骨钻孔手术或者经鼻蝶窦入颅</w:t>
            </w:r>
          </w:p>
        </w:tc>
      </w:tr>
      <w:tr>
        <w:trPr>
          <w:trHeight w:val="39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73" w:type="dxa"/>
          </w:tcPr>
          <w:p>
            <w:pPr>
              <w:pStyle w:val="TableParagraph"/>
              <w:spacing w:line="321" w:lineRule="exact"/>
              <w:ind w:left="108"/>
              <w:rPr>
                <w:rFonts w:ascii="微软雅黑" w:eastAsia="微软雅黑"/>
                <w:b/>
                <w:sz w:val="21"/>
              </w:rPr>
            </w:pPr>
            <w:r>
              <w:rPr>
                <w:spacing w:val="-2"/>
                <w:sz w:val="21"/>
              </w:rPr>
              <w:t>手术。</w:t>
            </w:r>
            <w:r>
              <w:rPr>
                <w:rFonts w:ascii="微软雅黑" w:eastAsia="微软雅黑"/>
                <w:b/>
                <w:spacing w:val="-3"/>
                <w:sz w:val="21"/>
              </w:rPr>
              <w:t>因外伤而实施的脑外科手术不在保障范围内。</w:t>
            </w:r>
          </w:p>
        </w:tc>
      </w:tr>
      <w:tr>
        <w:trPr>
          <w:trHeight w:val="393"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73" w:type="dxa"/>
          </w:tcPr>
          <w:p>
            <w:pPr>
              <w:pStyle w:val="TableParagraph"/>
              <w:spacing w:line="318" w:lineRule="exact" w:before="55"/>
              <w:ind w:left="108"/>
              <w:rPr>
                <w:rFonts w:ascii="微软雅黑" w:hAnsi="微软雅黑" w:eastAsia="微软雅黑"/>
                <w:b/>
                <w:sz w:val="21"/>
              </w:rPr>
            </w:pPr>
            <w:r>
              <w:rPr>
                <w:rFonts w:ascii="微软雅黑" w:hAnsi="微软雅黑" w:eastAsia="微软雅黑"/>
                <w:b/>
                <w:spacing w:val="-17"/>
                <w:sz w:val="21"/>
              </w:rPr>
              <w:t>本公司对“微创颅脑手术”、“脑垂体瘤、脑囊肿、脑动脉瘤及脑血</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73" w:type="dxa"/>
          </w:tcPr>
          <w:p>
            <w:pPr>
              <w:pStyle w:val="TableParagraph"/>
              <w:spacing w:line="252" w:lineRule="exact"/>
              <w:ind w:left="108"/>
              <w:rPr>
                <w:rFonts w:ascii="微软雅黑" w:hAnsi="微软雅黑" w:eastAsia="微软雅黑"/>
                <w:b/>
                <w:sz w:val="21"/>
              </w:rPr>
            </w:pPr>
            <w:r>
              <w:rPr>
                <w:rFonts w:ascii="微软雅黑" w:hAnsi="微软雅黑" w:eastAsia="微软雅黑"/>
                <w:b/>
                <w:spacing w:val="-3"/>
                <w:sz w:val="21"/>
              </w:rPr>
              <w:t>管瘤”和“植入大脑内分流器”三项中的其中一项承担保险责任，</w:t>
            </w:r>
          </w:p>
        </w:tc>
      </w:tr>
      <w:tr>
        <w:trPr>
          <w:trHeight w:val="393"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73" w:type="dxa"/>
          </w:tcPr>
          <w:p>
            <w:pPr>
              <w:pStyle w:val="TableParagraph"/>
              <w:spacing w:line="321" w:lineRule="exact"/>
              <w:ind w:left="108"/>
              <w:rPr>
                <w:rFonts w:ascii="微软雅黑" w:eastAsia="微软雅黑"/>
                <w:b/>
                <w:sz w:val="21"/>
              </w:rPr>
            </w:pPr>
            <w:r>
              <w:rPr>
                <w:rFonts w:ascii="微软雅黑" w:eastAsia="微软雅黑"/>
                <w:b/>
                <w:spacing w:val="-3"/>
                <w:sz w:val="21"/>
              </w:rPr>
              <w:t>给付其中一项保险金后，对其他两项轻度疾病保险责任同时终止。</w:t>
            </w:r>
          </w:p>
        </w:tc>
      </w:tr>
      <w:tr>
        <w:trPr>
          <w:trHeight w:val="968" w:hRule="atLeast"/>
        </w:trPr>
        <w:tc>
          <w:tcPr>
            <w:tcW w:w="712" w:type="dxa"/>
          </w:tcPr>
          <w:p>
            <w:pPr>
              <w:pStyle w:val="TableParagraph"/>
              <w:spacing w:before="144"/>
              <w:ind w:left="50"/>
              <w:rPr>
                <w:rFonts w:ascii="Times New Roman"/>
                <w:sz w:val="21"/>
              </w:rPr>
            </w:pPr>
            <w:r>
              <w:rPr>
                <w:rFonts w:ascii="Times New Roman"/>
                <w:spacing w:val="-2"/>
                <w:sz w:val="21"/>
              </w:rPr>
              <w:t>10.37</w:t>
            </w:r>
          </w:p>
        </w:tc>
        <w:tc>
          <w:tcPr>
            <w:tcW w:w="2160" w:type="dxa"/>
          </w:tcPr>
          <w:p>
            <w:pPr>
              <w:pStyle w:val="TableParagraph"/>
              <w:spacing w:line="170" w:lineRule="auto" w:before="165"/>
              <w:ind w:left="187" w:right="104"/>
              <w:rPr>
                <w:rFonts w:ascii="微软雅黑" w:eastAsia="微软雅黑"/>
                <w:b/>
                <w:sz w:val="21"/>
              </w:rPr>
            </w:pPr>
            <w:r>
              <w:rPr>
                <w:rFonts w:ascii="微软雅黑" w:eastAsia="微软雅黑"/>
                <w:b/>
                <w:spacing w:val="19"/>
                <w:sz w:val="21"/>
              </w:rPr>
              <w:t>严重甲型及乙型血</w:t>
            </w:r>
            <w:r>
              <w:rPr>
                <w:rFonts w:ascii="微软雅黑" w:eastAsia="微软雅黑"/>
                <w:b/>
                <w:spacing w:val="-6"/>
                <w:sz w:val="21"/>
              </w:rPr>
              <w:t>友病</w:t>
            </w:r>
          </w:p>
        </w:tc>
        <w:tc>
          <w:tcPr>
            <w:tcW w:w="6273" w:type="dxa"/>
          </w:tcPr>
          <w:p>
            <w:pPr>
              <w:pStyle w:val="TableParagraph"/>
              <w:spacing w:before="152"/>
              <w:ind w:left="108"/>
              <w:rPr>
                <w:sz w:val="21"/>
              </w:rPr>
            </w:pPr>
            <w:r>
              <w:rPr>
                <w:sz w:val="21"/>
              </w:rPr>
              <w:t>被保险人必须是患上严重甲型血友病（缺乏</w:t>
            </w:r>
            <w:r>
              <w:rPr>
                <w:rFonts w:ascii="Times New Roman" w:hAnsi="Times New Roman" w:eastAsia="Times New Roman"/>
                <w:sz w:val="21"/>
              </w:rPr>
              <w:t>Ⅷ</w:t>
            </w:r>
            <w:r>
              <w:rPr>
                <w:sz w:val="21"/>
              </w:rPr>
              <w:t>凝血因子）</w:t>
            </w:r>
            <w:r>
              <w:rPr>
                <w:spacing w:val="-4"/>
                <w:sz w:val="21"/>
              </w:rPr>
              <w:t>或严重</w:t>
            </w:r>
          </w:p>
          <w:p>
            <w:pPr>
              <w:pStyle w:val="TableParagraph"/>
              <w:spacing w:line="270" w:lineRule="atLeast"/>
              <w:ind w:left="108" w:right="60"/>
              <w:rPr>
                <w:sz w:val="21"/>
              </w:rPr>
            </w:pPr>
            <w:r>
              <w:rPr>
                <w:spacing w:val="-2"/>
                <w:sz w:val="21"/>
              </w:rPr>
              <w:t>乙型血友病（缺乏</w:t>
            </w:r>
            <w:r>
              <w:rPr>
                <w:rFonts w:ascii="Times New Roman" w:hAnsi="Times New Roman" w:eastAsia="Times New Roman"/>
                <w:spacing w:val="-2"/>
                <w:sz w:val="21"/>
              </w:rPr>
              <w:t>Ⅸ</w:t>
            </w:r>
            <w:r>
              <w:rPr>
                <w:spacing w:val="-2"/>
                <w:sz w:val="21"/>
              </w:rPr>
              <w:t>凝血因子</w:t>
            </w:r>
            <w:r>
              <w:rPr>
                <w:spacing w:val="-68"/>
                <w:sz w:val="21"/>
              </w:rPr>
              <w:t>）</w:t>
            </w:r>
            <w:r>
              <w:rPr>
                <w:spacing w:val="-15"/>
                <w:sz w:val="21"/>
              </w:rPr>
              <w:t>，而凝血因子</w:t>
            </w:r>
            <w:r>
              <w:rPr>
                <w:rFonts w:ascii="Times New Roman" w:hAnsi="Times New Roman" w:eastAsia="Times New Roman"/>
                <w:spacing w:val="-2"/>
                <w:sz w:val="21"/>
              </w:rPr>
              <w:t>Ⅷ</w:t>
            </w:r>
            <w:r>
              <w:rPr>
                <w:spacing w:val="-2"/>
                <w:sz w:val="21"/>
              </w:rPr>
              <w:t>或凝血因子</w:t>
            </w:r>
            <w:r>
              <w:rPr>
                <w:rFonts w:ascii="Times New Roman" w:hAnsi="Times New Roman" w:eastAsia="Times New Roman"/>
                <w:spacing w:val="-2"/>
                <w:sz w:val="21"/>
              </w:rPr>
              <w:t>Ⅸ</w:t>
            </w:r>
            <w:r>
              <w:rPr>
                <w:spacing w:val="-2"/>
                <w:sz w:val="21"/>
              </w:rPr>
              <w:t>的活</w:t>
            </w:r>
            <w:r>
              <w:rPr>
                <w:spacing w:val="-3"/>
                <w:sz w:val="21"/>
              </w:rPr>
              <w:t>性水平少于百分之一。诊断必须由本公司认可医院的血液病专科医</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73" w:type="dxa"/>
          </w:tcPr>
          <w:p>
            <w:pPr>
              <w:pStyle w:val="TableParagraph"/>
              <w:spacing w:line="250" w:lineRule="exact" w:before="2"/>
              <w:ind w:left="108"/>
              <w:rPr>
                <w:sz w:val="21"/>
              </w:rPr>
            </w:pPr>
            <w:r>
              <w:rPr>
                <w:spacing w:val="-3"/>
                <w:sz w:val="21"/>
              </w:rPr>
              <w:t>生确认。本公司承担本项疾病责任不受本合同责任免除中“遗传性</w:t>
            </w:r>
          </w:p>
        </w:tc>
      </w:tr>
      <w:tr>
        <w:trPr>
          <w:trHeight w:val="378"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73" w:type="dxa"/>
          </w:tcPr>
          <w:p>
            <w:pPr>
              <w:pStyle w:val="TableParagraph"/>
              <w:spacing w:before="2"/>
              <w:ind w:left="108"/>
              <w:rPr>
                <w:sz w:val="21"/>
              </w:rPr>
            </w:pPr>
            <w:r>
              <w:rPr>
                <w:spacing w:val="-3"/>
                <w:sz w:val="21"/>
              </w:rPr>
              <w:t>疾病、先天性畸形、变形或染色体异常”的限制。</w:t>
            </w:r>
          </w:p>
        </w:tc>
      </w:tr>
      <w:tr>
        <w:trPr>
          <w:trHeight w:val="407" w:hRule="atLeast"/>
        </w:trPr>
        <w:tc>
          <w:tcPr>
            <w:tcW w:w="712" w:type="dxa"/>
          </w:tcPr>
          <w:p>
            <w:pPr>
              <w:pStyle w:val="TableParagraph"/>
              <w:spacing w:before="129"/>
              <w:ind w:left="50"/>
              <w:rPr>
                <w:rFonts w:ascii="Times New Roman"/>
                <w:sz w:val="21"/>
              </w:rPr>
            </w:pPr>
            <w:r>
              <w:rPr>
                <w:rFonts w:ascii="Times New Roman"/>
                <w:spacing w:val="-2"/>
                <w:sz w:val="21"/>
              </w:rPr>
              <w:t>10.38</w:t>
            </w:r>
          </w:p>
        </w:tc>
        <w:tc>
          <w:tcPr>
            <w:tcW w:w="2160" w:type="dxa"/>
          </w:tcPr>
          <w:p>
            <w:pPr>
              <w:pStyle w:val="TableParagraph"/>
              <w:spacing w:line="318" w:lineRule="exact" w:before="69"/>
              <w:ind w:left="187"/>
              <w:rPr>
                <w:rFonts w:ascii="微软雅黑" w:eastAsia="微软雅黑"/>
                <w:b/>
                <w:sz w:val="21"/>
              </w:rPr>
            </w:pPr>
            <w:r>
              <w:rPr>
                <w:rFonts w:ascii="微软雅黑" w:eastAsia="微软雅黑"/>
                <w:b/>
                <w:spacing w:val="18"/>
                <w:sz w:val="21"/>
              </w:rPr>
              <w:t>糖尿病导致单足截</w:t>
            </w:r>
          </w:p>
        </w:tc>
        <w:tc>
          <w:tcPr>
            <w:tcW w:w="6273" w:type="dxa"/>
          </w:tcPr>
          <w:p>
            <w:pPr>
              <w:pStyle w:val="TableParagraph"/>
              <w:spacing w:line="251" w:lineRule="exact" w:before="137"/>
              <w:ind w:left="108"/>
              <w:rPr>
                <w:sz w:val="21"/>
              </w:rPr>
            </w:pPr>
            <w:r>
              <w:rPr>
                <w:spacing w:val="-3"/>
                <w:sz w:val="21"/>
              </w:rPr>
              <w:t>因糖尿病引起的神经及血管病变累及足部，为了维持生命在本公司</w:t>
            </w:r>
          </w:p>
        </w:tc>
      </w:tr>
      <w:tr>
        <w:trPr>
          <w:trHeight w:val="272" w:hRule="atLeast"/>
        </w:trPr>
        <w:tc>
          <w:tcPr>
            <w:tcW w:w="712" w:type="dxa"/>
          </w:tcPr>
          <w:p>
            <w:pPr>
              <w:pStyle w:val="TableParagraph"/>
              <w:rPr>
                <w:rFonts w:ascii="Times New Roman"/>
                <w:sz w:val="20"/>
              </w:rPr>
            </w:pPr>
          </w:p>
        </w:tc>
        <w:tc>
          <w:tcPr>
            <w:tcW w:w="2160" w:type="dxa"/>
          </w:tcPr>
          <w:p>
            <w:pPr>
              <w:pStyle w:val="TableParagraph"/>
              <w:spacing w:line="252" w:lineRule="exact"/>
              <w:ind w:left="187"/>
              <w:rPr>
                <w:rFonts w:ascii="微软雅黑" w:eastAsia="微软雅黑"/>
                <w:b/>
                <w:sz w:val="21"/>
              </w:rPr>
            </w:pPr>
            <w:r>
              <w:rPr>
                <w:rFonts w:ascii="微软雅黑" w:eastAsia="微软雅黑"/>
                <w:b/>
                <w:w w:val="100"/>
                <w:sz w:val="21"/>
              </w:rPr>
              <w:t>除</w:t>
            </w:r>
          </w:p>
        </w:tc>
        <w:tc>
          <w:tcPr>
            <w:tcW w:w="6273" w:type="dxa"/>
          </w:tcPr>
          <w:p>
            <w:pPr>
              <w:pStyle w:val="TableParagraph"/>
              <w:spacing w:line="250" w:lineRule="exact" w:before="2"/>
              <w:ind w:left="108"/>
              <w:rPr>
                <w:sz w:val="21"/>
              </w:rPr>
            </w:pPr>
            <w:r>
              <w:rPr>
                <w:spacing w:val="-3"/>
                <w:sz w:val="21"/>
              </w:rPr>
              <w:t>认可医院内已经进行了医疗必须的由足踝或以上位置的单足截除手</w:t>
            </w:r>
          </w:p>
        </w:tc>
      </w:tr>
      <w:tr>
        <w:trPr>
          <w:trHeight w:val="39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73" w:type="dxa"/>
          </w:tcPr>
          <w:p>
            <w:pPr>
              <w:pStyle w:val="TableParagraph"/>
              <w:spacing w:before="1"/>
              <w:ind w:left="108"/>
              <w:rPr>
                <w:sz w:val="21"/>
              </w:rPr>
            </w:pPr>
            <w:r>
              <w:rPr>
                <w:spacing w:val="-5"/>
                <w:sz w:val="21"/>
              </w:rPr>
              <w:t>术。</w:t>
            </w:r>
          </w:p>
        </w:tc>
      </w:tr>
      <w:tr>
        <w:trPr>
          <w:trHeight w:val="499"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73" w:type="dxa"/>
          </w:tcPr>
          <w:p>
            <w:pPr>
              <w:pStyle w:val="TableParagraph"/>
              <w:spacing w:before="55"/>
              <w:ind w:left="108"/>
              <w:rPr>
                <w:rFonts w:ascii="微软雅黑" w:eastAsia="微软雅黑"/>
                <w:b/>
                <w:sz w:val="21"/>
              </w:rPr>
            </w:pPr>
            <w:r>
              <w:rPr>
                <w:rFonts w:ascii="微软雅黑" w:eastAsia="微软雅黑"/>
                <w:b/>
                <w:spacing w:val="-3"/>
                <w:sz w:val="21"/>
              </w:rPr>
              <w:t>切除多只脚趾或因任何其他原因引起的截除术不在保障范围内。</w:t>
            </w:r>
          </w:p>
        </w:tc>
      </w:tr>
      <w:tr>
        <w:trPr>
          <w:trHeight w:val="415" w:hRule="atLeast"/>
        </w:trPr>
        <w:tc>
          <w:tcPr>
            <w:tcW w:w="712" w:type="dxa"/>
          </w:tcPr>
          <w:p>
            <w:pPr>
              <w:pStyle w:val="TableParagraph"/>
              <w:spacing w:before="129"/>
              <w:ind w:left="50"/>
              <w:rPr>
                <w:rFonts w:ascii="Times New Roman"/>
                <w:sz w:val="21"/>
              </w:rPr>
            </w:pPr>
            <w:r>
              <w:rPr>
                <w:rFonts w:ascii="Times New Roman"/>
                <w:spacing w:val="-2"/>
                <w:sz w:val="21"/>
              </w:rPr>
              <w:t>10.39</w:t>
            </w:r>
          </w:p>
        </w:tc>
        <w:tc>
          <w:tcPr>
            <w:tcW w:w="2160" w:type="dxa"/>
          </w:tcPr>
          <w:p>
            <w:pPr>
              <w:pStyle w:val="TableParagraph"/>
              <w:spacing w:line="326" w:lineRule="exact" w:before="69"/>
              <w:ind w:left="187"/>
              <w:rPr>
                <w:rFonts w:ascii="微软雅黑" w:eastAsia="微软雅黑"/>
                <w:b/>
                <w:sz w:val="21"/>
              </w:rPr>
            </w:pPr>
            <w:r>
              <w:rPr>
                <w:rFonts w:ascii="微软雅黑" w:eastAsia="微软雅黑"/>
                <w:b/>
                <w:spacing w:val="18"/>
                <w:sz w:val="21"/>
              </w:rPr>
              <w:t>特定的系统性红斑</w:t>
            </w:r>
          </w:p>
        </w:tc>
        <w:tc>
          <w:tcPr>
            <w:tcW w:w="6273" w:type="dxa"/>
          </w:tcPr>
          <w:p>
            <w:pPr>
              <w:pStyle w:val="TableParagraph"/>
              <w:spacing w:line="259" w:lineRule="exact" w:before="137"/>
              <w:ind w:left="108"/>
              <w:rPr>
                <w:sz w:val="21"/>
              </w:rPr>
            </w:pPr>
            <w:r>
              <w:rPr>
                <w:spacing w:val="-4"/>
                <w:sz w:val="21"/>
              </w:rPr>
              <w:t>指诊断为系统性红斑狼疮，且满足下列全部条件</w:t>
            </w:r>
            <w:r>
              <w:rPr>
                <w:rFonts w:ascii="Times New Roman" w:eastAsia="Times New Roman"/>
                <w:spacing w:val="-4"/>
                <w:sz w:val="21"/>
              </w:rPr>
              <w:t>,</w:t>
            </w:r>
            <w:r>
              <w:rPr>
                <w:spacing w:val="-5"/>
                <w:sz w:val="21"/>
              </w:rPr>
              <w:t>并且未达到本合同</w:t>
            </w:r>
          </w:p>
        </w:tc>
      </w:tr>
      <w:tr>
        <w:trPr>
          <w:trHeight w:val="264" w:hRule="atLeast"/>
        </w:trPr>
        <w:tc>
          <w:tcPr>
            <w:tcW w:w="712" w:type="dxa"/>
          </w:tcPr>
          <w:p>
            <w:pPr>
              <w:pStyle w:val="TableParagraph"/>
              <w:rPr>
                <w:rFonts w:ascii="Times New Roman"/>
                <w:sz w:val="18"/>
              </w:rPr>
            </w:pPr>
          </w:p>
        </w:tc>
        <w:tc>
          <w:tcPr>
            <w:tcW w:w="2160" w:type="dxa"/>
          </w:tcPr>
          <w:p>
            <w:pPr>
              <w:pStyle w:val="TableParagraph"/>
              <w:spacing w:line="244" w:lineRule="exact"/>
              <w:ind w:left="187"/>
              <w:rPr>
                <w:rFonts w:ascii="微软雅黑" w:eastAsia="微软雅黑"/>
                <w:b/>
                <w:sz w:val="21"/>
              </w:rPr>
            </w:pPr>
            <w:r>
              <w:rPr>
                <w:rFonts w:ascii="微软雅黑" w:eastAsia="微软雅黑"/>
                <w:b/>
                <w:spacing w:val="-5"/>
                <w:sz w:val="21"/>
              </w:rPr>
              <w:t>狼疮</w:t>
            </w:r>
          </w:p>
        </w:tc>
        <w:tc>
          <w:tcPr>
            <w:tcW w:w="6273" w:type="dxa"/>
          </w:tcPr>
          <w:p>
            <w:pPr>
              <w:pStyle w:val="TableParagraph"/>
              <w:spacing w:line="244" w:lineRule="exact"/>
              <w:ind w:left="108"/>
              <w:rPr>
                <w:sz w:val="21"/>
              </w:rPr>
            </w:pPr>
            <w:r>
              <w:rPr>
                <w:spacing w:val="-3"/>
                <w:sz w:val="21"/>
              </w:rPr>
              <w:t>所指重度疾病“系统性红斑狼疮性肾炎尿毒症”或“严重慢性肾衰</w:t>
            </w:r>
          </w:p>
        </w:tc>
      </w:tr>
      <w:tr>
        <w:trPr>
          <w:trHeight w:val="269"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73" w:type="dxa"/>
          </w:tcPr>
          <w:p>
            <w:pPr>
              <w:pStyle w:val="TableParagraph"/>
              <w:spacing w:line="248" w:lineRule="exact" w:before="1"/>
              <w:ind w:left="108"/>
              <w:rPr>
                <w:sz w:val="21"/>
              </w:rPr>
            </w:pPr>
            <w:r>
              <w:rPr>
                <w:spacing w:val="-4"/>
                <w:sz w:val="21"/>
              </w:rPr>
              <w:t>竭”的标准：</w:t>
            </w:r>
          </w:p>
        </w:tc>
      </w:tr>
      <w:tr>
        <w:trPr>
          <w:trHeight w:val="261"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73" w:type="dxa"/>
          </w:tcPr>
          <w:p>
            <w:pPr>
              <w:pStyle w:val="TableParagraph"/>
              <w:spacing w:line="236" w:lineRule="exact" w:before="6"/>
              <w:ind w:left="108"/>
              <w:rPr>
                <w:sz w:val="21"/>
              </w:rPr>
            </w:pPr>
            <w:r>
              <w:rPr>
                <w:spacing w:val="-2"/>
                <w:sz w:val="21"/>
              </w:rPr>
              <w:t>（</w:t>
            </w:r>
            <w:r>
              <w:rPr>
                <w:rFonts w:ascii="Times New Roman" w:eastAsia="Times New Roman"/>
                <w:spacing w:val="-2"/>
                <w:sz w:val="21"/>
              </w:rPr>
              <w:t>1</w:t>
            </w:r>
            <w:r>
              <w:rPr>
                <w:spacing w:val="-2"/>
                <w:sz w:val="21"/>
              </w:rPr>
              <w:t>）</w:t>
            </w:r>
            <w:r>
              <w:rPr>
                <w:spacing w:val="-3"/>
                <w:sz w:val="21"/>
              </w:rPr>
              <w:t>在下列五项情况中出现最少两项：</w:t>
            </w:r>
          </w:p>
        </w:tc>
      </w:tr>
    </w:tbl>
    <w:p>
      <w:pPr>
        <w:pStyle w:val="BodyText"/>
        <w:spacing w:before="28"/>
        <w:ind w:left="3678"/>
      </w:pPr>
      <w:r>
        <w:rPr>
          <w:spacing w:val="-3"/>
        </w:rPr>
        <w:t>①关节炎：非磨损性关节炎，需涉及两个或两个以上关节；</w:t>
      </w:r>
    </w:p>
    <w:p>
      <w:pPr>
        <w:pStyle w:val="BodyText"/>
        <w:spacing w:before="4"/>
        <w:ind w:left="3678"/>
      </w:pPr>
      <w:r>
        <w:rPr>
          <w:spacing w:val="-3"/>
        </w:rPr>
        <w:t>②浆膜炎：胸膜炎或心包炎；</w:t>
      </w:r>
    </w:p>
    <w:p>
      <w:pPr>
        <w:pStyle w:val="BodyText"/>
        <w:spacing w:line="244" w:lineRule="auto" w:before="3"/>
        <w:ind w:left="3678" w:right="729"/>
      </w:pPr>
      <w:r>
        <w:rPr>
          <w:spacing w:val="-2"/>
        </w:rPr>
        <w:t>③肾病：</w:t>
      </w:r>
      <w:r>
        <w:rPr>
          <w:rFonts w:ascii="Times New Roman" w:hAnsi="Times New Roman" w:eastAsia="Times New Roman"/>
          <w:spacing w:val="-2"/>
        </w:rPr>
        <w:t>24</w:t>
      </w:r>
      <w:r>
        <w:rPr>
          <w:rFonts w:ascii="Times New Roman" w:hAnsi="Times New Roman" w:eastAsia="Times New Roman"/>
          <w:spacing w:val="-12"/>
        </w:rPr>
        <w:t> </w:t>
      </w:r>
      <w:r>
        <w:rPr>
          <w:spacing w:val="-8"/>
        </w:rPr>
        <w:t>小时尿蛋白定量达到 </w:t>
      </w:r>
      <w:r>
        <w:rPr>
          <w:rFonts w:ascii="Times New Roman" w:hAnsi="Times New Roman" w:eastAsia="Times New Roman"/>
          <w:spacing w:val="-2"/>
        </w:rPr>
        <w:t>0.5</w:t>
      </w:r>
      <w:r>
        <w:rPr>
          <w:rFonts w:ascii="Times New Roman" w:hAnsi="Times New Roman" w:eastAsia="Times New Roman"/>
          <w:spacing w:val="-8"/>
        </w:rPr>
        <w:t> </w:t>
      </w:r>
      <w:r>
        <w:rPr>
          <w:spacing w:val="-10"/>
        </w:rPr>
        <w:t>克，或尿液检查出现细胞</w:t>
      </w:r>
      <w:r>
        <w:rPr>
          <w:spacing w:val="-4"/>
        </w:rPr>
        <w:t>管型；</w:t>
      </w:r>
    </w:p>
    <w:p>
      <w:pPr>
        <w:pStyle w:val="BodyText"/>
        <w:spacing w:line="265" w:lineRule="exact"/>
        <w:ind w:left="3678"/>
      </w:pPr>
      <w:r>
        <w:rPr>
          <w:spacing w:val="-3"/>
        </w:rPr>
        <w:t>④血液学异常：溶血性贫血、白细胞减少、或血小板减少；</w:t>
      </w:r>
    </w:p>
    <w:p>
      <w:pPr>
        <w:pStyle w:val="BodyText"/>
        <w:spacing w:before="4"/>
        <w:ind w:left="3678"/>
      </w:pPr>
      <w:r>
        <w:rPr>
          <w:spacing w:val="-7"/>
        </w:rPr>
        <w:t>⑤抗核抗体阳性、或抗 </w:t>
      </w:r>
      <w:r>
        <w:rPr>
          <w:rFonts w:ascii="Times New Roman" w:hAnsi="Times New Roman" w:eastAsia="Times New Roman"/>
          <w:spacing w:val="-2"/>
        </w:rPr>
        <w:t>dsDNA</w:t>
      </w:r>
      <w:r>
        <w:rPr>
          <w:rFonts w:ascii="Times New Roman" w:hAnsi="Times New Roman" w:eastAsia="Times New Roman"/>
          <w:spacing w:val="6"/>
        </w:rPr>
        <w:t> </w:t>
      </w:r>
      <w:r>
        <w:rPr>
          <w:spacing w:val="-10"/>
        </w:rPr>
        <w:t>阳性，或抗 </w:t>
      </w:r>
      <w:r>
        <w:rPr>
          <w:rFonts w:ascii="Times New Roman" w:hAnsi="Times New Roman" w:eastAsia="Times New Roman"/>
          <w:spacing w:val="-2"/>
        </w:rPr>
        <w:t>Smith</w:t>
      </w:r>
      <w:r>
        <w:rPr>
          <w:rFonts w:ascii="Times New Roman" w:hAnsi="Times New Roman" w:eastAsia="Times New Roman"/>
          <w:spacing w:val="5"/>
        </w:rPr>
        <w:t> </w:t>
      </w:r>
      <w:r>
        <w:rPr>
          <w:spacing w:val="-4"/>
        </w:rPr>
        <w:t>抗体阳性。</w:t>
      </w:r>
    </w:p>
    <w:p>
      <w:pPr>
        <w:pStyle w:val="BodyText"/>
        <w:spacing w:line="244" w:lineRule="auto" w:before="2"/>
        <w:ind w:left="3678" w:right="842" w:hanging="526"/>
      </w:pPr>
      <w:r>
        <w:rPr>
          <w:spacing w:val="-2"/>
        </w:rPr>
        <w:t>（</w:t>
      </w:r>
      <w:r>
        <w:rPr>
          <w:rFonts w:ascii="Times New Roman" w:eastAsia="Times New Roman"/>
          <w:spacing w:val="-2"/>
        </w:rPr>
        <w:t>2</w:t>
      </w:r>
      <w:r>
        <w:rPr>
          <w:spacing w:val="-2"/>
        </w:rPr>
        <w:t>）系统性红斑狼疮的诊断必须由医院的风湿科或免疫系统专科</w:t>
      </w:r>
      <w:r>
        <w:rPr>
          <w:spacing w:val="-4"/>
        </w:rPr>
        <w:t>医生确定。</w:t>
      </w:r>
    </w:p>
    <w:p>
      <w:pPr>
        <w:pStyle w:val="BodyText"/>
        <w:spacing w:before="11"/>
        <w:ind w:left="0"/>
        <w:rPr>
          <w:sz w:val="10"/>
        </w:rPr>
      </w:pPr>
    </w:p>
    <w:p>
      <w:pPr>
        <w:spacing w:after="0"/>
        <w:rPr>
          <w:sz w:val="10"/>
        </w:rPr>
        <w:sectPr>
          <w:pgSz w:w="11910" w:h="16840"/>
          <w:pgMar w:header="0" w:footer="878" w:top="1140" w:bottom="1060" w:left="1480" w:right="440"/>
        </w:sectPr>
      </w:pPr>
    </w:p>
    <w:p>
      <w:pPr>
        <w:tabs>
          <w:tab w:pos="1071" w:val="left" w:leader="none"/>
        </w:tabs>
        <w:spacing w:line="329" w:lineRule="exact" w:before="32"/>
        <w:ind w:left="222" w:right="0" w:firstLine="0"/>
        <w:jc w:val="left"/>
        <w:rPr>
          <w:rFonts w:ascii="微软雅黑" w:eastAsia="微软雅黑"/>
          <w:b/>
          <w:sz w:val="21"/>
        </w:rPr>
      </w:pPr>
      <w:r>
        <w:rPr>
          <w:rFonts w:ascii="Times New Roman" w:eastAsia="Times New Roman"/>
          <w:spacing w:val="-2"/>
          <w:position w:val="2"/>
          <w:sz w:val="21"/>
        </w:rPr>
        <w:t>10.40</w:t>
      </w:r>
      <w:r>
        <w:rPr>
          <w:rFonts w:ascii="Times New Roman" w:eastAsia="Times New Roman"/>
          <w:position w:val="2"/>
          <w:sz w:val="21"/>
        </w:rPr>
        <w:tab/>
      </w:r>
      <w:r>
        <w:rPr>
          <w:rFonts w:ascii="微软雅黑" w:eastAsia="微软雅黑"/>
          <w:b/>
          <w:spacing w:val="18"/>
          <w:sz w:val="21"/>
        </w:rPr>
        <w:t>轻度继发性肺动脉</w:t>
      </w:r>
    </w:p>
    <w:p>
      <w:pPr>
        <w:spacing w:line="329" w:lineRule="exact" w:before="0"/>
        <w:ind w:left="1071" w:right="0" w:firstLine="0"/>
        <w:jc w:val="left"/>
        <w:rPr>
          <w:rFonts w:ascii="微软雅黑" w:eastAsia="微软雅黑"/>
          <w:b/>
          <w:sz w:val="21"/>
        </w:rPr>
      </w:pPr>
      <w:r>
        <w:rPr>
          <w:rFonts w:ascii="微软雅黑" w:eastAsia="微软雅黑"/>
          <w:b/>
          <w:spacing w:val="-5"/>
          <w:sz w:val="21"/>
        </w:rPr>
        <w:t>高压</w:t>
      </w:r>
    </w:p>
    <w:p>
      <w:pPr>
        <w:spacing w:line="216" w:lineRule="auto" w:before="121"/>
        <w:ind w:left="175" w:right="729" w:firstLine="0"/>
        <w:jc w:val="both"/>
        <w:rPr>
          <w:rFonts w:ascii="微软雅黑" w:eastAsia="微软雅黑"/>
          <w:b/>
          <w:sz w:val="21"/>
        </w:rPr>
      </w:pPr>
      <w:r>
        <w:rPr/>
        <w:br w:type="column"/>
      </w:r>
      <w:r>
        <w:rPr>
          <w:spacing w:val="-2"/>
          <w:sz w:val="21"/>
        </w:rPr>
        <w:t>本保障的轻度继发性肺动脉高压指继发性肺动脉压力持续增高，导</w:t>
      </w:r>
      <w:r>
        <w:rPr>
          <w:spacing w:val="-2"/>
          <w:sz w:val="21"/>
        </w:rPr>
        <w:t>致右心室肥厚，已经造成永久不可逆性的体力活动能力受限，达到</w:t>
      </w:r>
      <w:r>
        <w:rPr>
          <w:rFonts w:ascii="微软雅黑" w:eastAsia="微软雅黑"/>
          <w:b/>
          <w:spacing w:val="-2"/>
          <w:sz w:val="21"/>
        </w:rPr>
        <w:t>美国纽约心脏病学会（</w:t>
      </w:r>
      <w:r>
        <w:rPr>
          <w:rFonts w:ascii="Times New Roman" w:eastAsia="Times New Roman"/>
          <w:b/>
          <w:spacing w:val="-2"/>
          <w:sz w:val="21"/>
        </w:rPr>
        <w:t>New</w:t>
      </w:r>
      <w:r>
        <w:rPr>
          <w:rFonts w:ascii="Times New Roman" w:eastAsia="Times New Roman"/>
          <w:b/>
          <w:spacing w:val="-1"/>
          <w:sz w:val="21"/>
        </w:rPr>
        <w:t> </w:t>
      </w:r>
      <w:r>
        <w:rPr>
          <w:rFonts w:ascii="Times New Roman" w:eastAsia="Times New Roman"/>
          <w:b/>
          <w:spacing w:val="-2"/>
          <w:sz w:val="21"/>
        </w:rPr>
        <w:t>York</w:t>
      </w:r>
      <w:r>
        <w:rPr>
          <w:rFonts w:ascii="Times New Roman" w:eastAsia="Times New Roman"/>
          <w:b/>
          <w:spacing w:val="6"/>
          <w:sz w:val="21"/>
        </w:rPr>
        <w:t> </w:t>
      </w:r>
      <w:r>
        <w:rPr>
          <w:rFonts w:ascii="Times New Roman" w:eastAsia="Times New Roman"/>
          <w:b/>
          <w:spacing w:val="-2"/>
          <w:sz w:val="21"/>
        </w:rPr>
        <w:t>Heart</w:t>
      </w:r>
      <w:r>
        <w:rPr>
          <w:rFonts w:ascii="Times New Roman" w:eastAsia="Times New Roman"/>
          <w:b/>
          <w:spacing w:val="-3"/>
          <w:sz w:val="21"/>
        </w:rPr>
        <w:t> </w:t>
      </w:r>
      <w:r>
        <w:rPr>
          <w:rFonts w:ascii="Times New Roman" w:eastAsia="Times New Roman"/>
          <w:b/>
          <w:spacing w:val="-2"/>
          <w:sz w:val="21"/>
        </w:rPr>
        <w:t>Association</w:t>
      </w:r>
      <w:r>
        <w:rPr>
          <w:rFonts w:ascii="微软雅黑" w:eastAsia="微软雅黑"/>
          <w:b/>
          <w:spacing w:val="-2"/>
          <w:sz w:val="21"/>
        </w:rPr>
        <w:t>，</w:t>
      </w:r>
      <w:r>
        <w:rPr>
          <w:rFonts w:ascii="Times New Roman" w:eastAsia="Times New Roman"/>
          <w:b/>
          <w:spacing w:val="-2"/>
          <w:sz w:val="21"/>
        </w:rPr>
        <w:t>NYHA</w:t>
      </w:r>
      <w:r>
        <w:rPr>
          <w:rFonts w:ascii="微软雅黑" w:eastAsia="微软雅黑"/>
          <w:b/>
          <w:spacing w:val="-2"/>
          <w:sz w:val="21"/>
        </w:rPr>
        <w:t>）</w:t>
      </w:r>
      <w:r>
        <w:rPr>
          <w:rFonts w:ascii="微软雅黑" w:eastAsia="微软雅黑"/>
          <w:b/>
          <w:spacing w:val="-6"/>
          <w:sz w:val="21"/>
        </w:rPr>
        <w:t>心功</w:t>
      </w:r>
    </w:p>
    <w:p>
      <w:pPr>
        <w:pStyle w:val="BodyText"/>
        <w:spacing w:line="259" w:lineRule="exact"/>
        <w:ind w:left="175"/>
        <w:jc w:val="both"/>
      </w:pPr>
      <w:r>
        <w:rPr>
          <w:rFonts w:ascii="微软雅黑" w:hAnsi="微软雅黑" w:eastAsia="微软雅黑"/>
          <w:b/>
          <w:spacing w:val="-18"/>
        </w:rPr>
        <w:t>能状态分级</w:t>
      </w:r>
      <w:r>
        <w:rPr>
          <w:spacing w:val="-4"/>
        </w:rPr>
        <w:t>（</w:t>
      </w:r>
      <w:r>
        <w:rPr>
          <w:spacing w:val="-23"/>
        </w:rPr>
        <w:t>见 </w:t>
      </w:r>
      <w:r>
        <w:rPr>
          <w:rFonts w:ascii="Times New Roman" w:hAnsi="Times New Roman" w:eastAsia="Times New Roman"/>
          <w:spacing w:val="-4"/>
        </w:rPr>
        <w:t>14.27</w:t>
      </w:r>
      <w:r>
        <w:rPr>
          <w:spacing w:val="-4"/>
        </w:rPr>
        <w:t>）</w:t>
      </w:r>
      <w:r>
        <w:rPr>
          <w:spacing w:val="-13"/>
        </w:rPr>
        <w:t>Ⅲ级，由认可的医院的心脏科专科医生确诊，</w:t>
      </w:r>
    </w:p>
    <w:p>
      <w:pPr>
        <w:pStyle w:val="BodyText"/>
        <w:spacing w:line="246" w:lineRule="exact"/>
        <w:ind w:left="175"/>
        <w:jc w:val="both"/>
      </w:pPr>
      <w:r>
        <w:rPr>
          <w:spacing w:val="-4"/>
        </w:rPr>
        <w:t>并且心导管检查报告显示静息状态下肺动脉平均压超过 </w:t>
      </w:r>
      <w:r>
        <w:rPr>
          <w:rFonts w:ascii="Times New Roman" w:eastAsia="Times New Roman"/>
          <w:spacing w:val="-2"/>
        </w:rPr>
        <w:t>25mmHg</w:t>
      </w:r>
      <w:r>
        <w:rPr>
          <w:spacing w:val="-10"/>
        </w:rPr>
        <w:t>。</w:t>
      </w:r>
    </w:p>
    <w:p>
      <w:pPr>
        <w:spacing w:after="0" w:line="246" w:lineRule="exact"/>
        <w:jc w:val="both"/>
        <w:sectPr>
          <w:type w:val="continuous"/>
          <w:pgSz w:w="11910" w:h="16840"/>
          <w:pgMar w:header="0" w:footer="878" w:top="160" w:bottom="280" w:left="1480" w:right="440"/>
          <w:cols w:num="2" w:equalWidth="0">
            <w:col w:w="2938" w:space="40"/>
            <w:col w:w="7012"/>
          </w:cols>
        </w:sectPr>
      </w:pPr>
    </w:p>
    <w:p>
      <w:pPr>
        <w:pStyle w:val="BodyText"/>
        <w:spacing w:before="6"/>
        <w:ind w:left="0"/>
        <w:rPr>
          <w:sz w:val="20"/>
        </w:rPr>
      </w:pPr>
    </w:p>
    <w:p>
      <w:pPr>
        <w:pStyle w:val="Heading1"/>
        <w:numPr>
          <w:ilvl w:val="0"/>
          <w:numId w:val="27"/>
        </w:numPr>
        <w:tabs>
          <w:tab w:pos="1071" w:val="left" w:leader="none"/>
          <w:tab w:pos="1072" w:val="left" w:leader="none"/>
        </w:tabs>
        <w:spacing w:line="240" w:lineRule="auto" w:before="0" w:after="0"/>
        <w:ind w:left="1071" w:right="0" w:hanging="850"/>
        <w:jc w:val="left"/>
      </w:pPr>
      <w:r>
        <w:rPr/>
        <w:drawing>
          <wp:anchor distT="0" distB="0" distL="0" distR="0" allowOverlap="1" layoutInCell="1" locked="0" behindDoc="0" simplePos="0" relativeHeight="10">
            <wp:simplePos x="0" y="0"/>
            <wp:positionH relativeFrom="page">
              <wp:posOffset>1012240</wp:posOffset>
            </wp:positionH>
            <wp:positionV relativeFrom="paragraph">
              <wp:posOffset>288390</wp:posOffset>
            </wp:positionV>
            <wp:extent cx="5870006" cy="6095"/>
            <wp:effectExtent l="0" t="0" r="0" b="0"/>
            <wp:wrapTopAndBottom/>
            <wp:docPr id="19" name="image8.png"/>
            <wp:cNvGraphicFramePr>
              <a:graphicFrameLocks noChangeAspect="1"/>
            </wp:cNvGraphicFramePr>
            <a:graphic>
              <a:graphicData uri="http://schemas.openxmlformats.org/drawingml/2006/picture">
                <pic:pic>
                  <pic:nvPicPr>
                    <pic:cNvPr id="20" name="image8.png"/>
                    <pic:cNvPicPr/>
                  </pic:nvPicPr>
                  <pic:blipFill>
                    <a:blip r:embed="rId13" cstate="print"/>
                    <a:stretch>
                      <a:fillRect/>
                    </a:stretch>
                  </pic:blipFill>
                  <pic:spPr>
                    <a:xfrm>
                      <a:off x="0" y="0"/>
                      <a:ext cx="5870006" cy="6095"/>
                    </a:xfrm>
                    <a:prstGeom prst="rect">
                      <a:avLst/>
                    </a:prstGeom>
                  </pic:spPr>
                </pic:pic>
              </a:graphicData>
            </a:graphic>
          </wp:anchor>
        </w:drawing>
      </w:r>
      <w:r>
        <w:rPr>
          <w:spacing w:val="-1"/>
        </w:rPr>
        <w:t>中度疾病的定义及范围</w:t>
      </w:r>
    </w:p>
    <w:p>
      <w:pPr>
        <w:pStyle w:val="BodyText"/>
        <w:ind w:left="0"/>
        <w:rPr>
          <w:rFonts w:ascii="微软雅黑"/>
          <w:b/>
          <w:sz w:val="15"/>
        </w:rPr>
      </w:pPr>
    </w:p>
    <w:p>
      <w:pPr>
        <w:pStyle w:val="BodyText"/>
        <w:spacing w:line="242" w:lineRule="auto"/>
        <w:ind w:left="1071" w:right="715"/>
      </w:pPr>
      <w:r>
        <w:rPr>
          <w:spacing w:val="-2"/>
        </w:rPr>
        <w:t>本合同所指中度疾病，是被保险人发生符合以下定义所述条件的疾病、疾病状态或手术，</w:t>
      </w:r>
      <w:r>
        <w:rPr>
          <w:spacing w:val="-2"/>
        </w:rPr>
        <w:t>应当由专科医生明确诊断。</w:t>
      </w:r>
    </w:p>
    <w:p>
      <w:pPr>
        <w:pStyle w:val="ListParagraph"/>
        <w:numPr>
          <w:ilvl w:val="1"/>
          <w:numId w:val="27"/>
        </w:numPr>
        <w:tabs>
          <w:tab w:pos="1071" w:val="left" w:leader="none"/>
          <w:tab w:pos="1072" w:val="left" w:leader="none"/>
          <w:tab w:pos="3152" w:val="left" w:leader="none"/>
        </w:tabs>
        <w:spacing w:line="363" w:lineRule="exact" w:before="177" w:after="0"/>
        <w:ind w:left="1071" w:right="0" w:hanging="850"/>
        <w:jc w:val="left"/>
        <w:rPr>
          <w:sz w:val="21"/>
        </w:rPr>
      </w:pPr>
      <w:r>
        <w:rPr>
          <w:rFonts w:ascii="微软雅黑" w:eastAsia="微软雅黑"/>
          <w:b/>
          <w:sz w:val="21"/>
        </w:rPr>
        <w:t>肾脏切</w:t>
      </w:r>
      <w:r>
        <w:rPr>
          <w:rFonts w:ascii="微软雅黑" w:eastAsia="微软雅黑"/>
          <w:b/>
          <w:spacing w:val="-10"/>
          <w:sz w:val="21"/>
        </w:rPr>
        <w:t>除</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肾</w:t>
      </w:r>
      <w:r>
        <w:rPr>
          <w:spacing w:val="-2"/>
          <w:sz w:val="21"/>
        </w:rPr>
        <w:t>脏</w:t>
      </w:r>
      <w:r>
        <w:rPr>
          <w:spacing w:val="-2"/>
          <w:sz w:val="21"/>
        </w:rPr>
        <w:t>严</w:t>
      </w:r>
      <w:r>
        <w:rPr>
          <w:spacing w:val="-2"/>
          <w:sz w:val="21"/>
        </w:rPr>
        <w:t>重</w:t>
      </w:r>
      <w:r>
        <w:rPr>
          <w:spacing w:val="-2"/>
          <w:sz w:val="21"/>
        </w:rPr>
        <w:t>损</w:t>
      </w:r>
      <w:r>
        <w:rPr>
          <w:spacing w:val="-2"/>
          <w:sz w:val="21"/>
        </w:rPr>
        <w:t>害，已</w:t>
      </w:r>
      <w:r>
        <w:rPr>
          <w:spacing w:val="-2"/>
          <w:sz w:val="21"/>
        </w:rPr>
        <w:t>经</w:t>
      </w:r>
      <w:r>
        <w:rPr>
          <w:spacing w:val="-2"/>
          <w:sz w:val="21"/>
        </w:rPr>
        <w:t>实</w:t>
      </w:r>
      <w:r>
        <w:rPr>
          <w:spacing w:val="-2"/>
          <w:sz w:val="21"/>
        </w:rPr>
        <w:t>施</w:t>
      </w:r>
      <w:r>
        <w:rPr>
          <w:spacing w:val="-2"/>
          <w:sz w:val="21"/>
        </w:rPr>
        <w:t>了</w:t>
      </w:r>
      <w:r>
        <w:rPr>
          <w:spacing w:val="-2"/>
          <w:sz w:val="21"/>
        </w:rPr>
        <w:t>至</w:t>
      </w:r>
      <w:r>
        <w:rPr>
          <w:spacing w:val="-2"/>
          <w:sz w:val="21"/>
        </w:rPr>
        <w:t>少</w:t>
      </w:r>
      <w:r>
        <w:rPr>
          <w:spacing w:val="-2"/>
          <w:sz w:val="21"/>
        </w:rPr>
        <w:t>单</w:t>
      </w:r>
      <w:r>
        <w:rPr>
          <w:spacing w:val="-2"/>
          <w:sz w:val="21"/>
        </w:rPr>
        <w:t>侧</w:t>
      </w:r>
      <w:r>
        <w:rPr>
          <w:spacing w:val="-2"/>
          <w:sz w:val="21"/>
        </w:rPr>
        <w:t>全</w:t>
      </w:r>
      <w:r>
        <w:rPr>
          <w:spacing w:val="-10"/>
          <w:sz w:val="21"/>
        </w:rPr>
        <w:t>肾</w:t>
      </w:r>
    </w:p>
    <w:p>
      <w:pPr>
        <w:pStyle w:val="BodyText"/>
        <w:spacing w:line="245" w:lineRule="exact"/>
      </w:pPr>
      <w:r>
        <w:rPr>
          <w:spacing w:val="-4"/>
        </w:rPr>
        <w:t>的切除手术。</w:t>
      </w:r>
    </w:p>
    <w:p>
      <w:pPr>
        <w:spacing w:line="330" w:lineRule="exact" w:before="177"/>
        <w:ind w:left="3153" w:right="0" w:firstLine="0"/>
        <w:jc w:val="left"/>
        <w:rPr>
          <w:rFonts w:ascii="微软雅黑" w:eastAsia="微软雅黑"/>
          <w:b/>
          <w:sz w:val="21"/>
        </w:rPr>
      </w:pPr>
      <w:r>
        <w:rPr>
          <w:rFonts w:ascii="微软雅黑" w:eastAsia="微软雅黑"/>
          <w:b/>
          <w:spacing w:val="-3"/>
          <w:sz w:val="21"/>
        </w:rPr>
        <w:t>下列情况不在保障范围内：</w:t>
      </w:r>
    </w:p>
    <w:p>
      <w:pPr>
        <w:pStyle w:val="ListParagraph"/>
        <w:numPr>
          <w:ilvl w:val="0"/>
          <w:numId w:val="42"/>
        </w:numPr>
        <w:tabs>
          <w:tab w:pos="3682" w:val="left" w:leader="none"/>
        </w:tabs>
        <w:spacing w:line="330" w:lineRule="exact" w:before="0" w:after="0"/>
        <w:ind w:left="3682" w:right="0" w:hanging="529"/>
        <w:jc w:val="left"/>
        <w:rPr>
          <w:rFonts w:ascii="微软雅黑" w:eastAsia="微软雅黑"/>
          <w:b/>
          <w:sz w:val="21"/>
        </w:rPr>
      </w:pPr>
      <w:r>
        <w:rPr>
          <w:rFonts w:ascii="微软雅黑" w:eastAsia="微软雅黑"/>
          <w:b/>
          <w:spacing w:val="-4"/>
          <w:sz w:val="21"/>
        </w:rPr>
        <w:t>部分肾切除手术；</w:t>
      </w:r>
    </w:p>
    <w:p>
      <w:pPr>
        <w:spacing w:after="0" w:line="330" w:lineRule="exact"/>
        <w:jc w:val="left"/>
        <w:rPr>
          <w:rFonts w:ascii="微软雅黑" w:eastAsia="微软雅黑"/>
          <w:sz w:val="21"/>
        </w:rPr>
        <w:sectPr>
          <w:type w:val="continuous"/>
          <w:pgSz w:w="11910" w:h="16840"/>
          <w:pgMar w:header="0" w:footer="878" w:top="160" w:bottom="280" w:left="1480" w:right="440"/>
        </w:sectPr>
      </w:pPr>
    </w:p>
    <w:p>
      <w:pPr>
        <w:pStyle w:val="ListParagraph"/>
        <w:numPr>
          <w:ilvl w:val="0"/>
          <w:numId w:val="42"/>
        </w:numPr>
        <w:tabs>
          <w:tab w:pos="3682" w:val="left" w:leader="none"/>
        </w:tabs>
        <w:spacing w:line="319" w:lineRule="exact" w:before="0" w:after="0"/>
        <w:ind w:left="3682" w:right="0" w:hanging="529"/>
        <w:jc w:val="left"/>
        <w:rPr>
          <w:rFonts w:ascii="微软雅黑" w:eastAsia="微软雅黑"/>
          <w:b/>
          <w:sz w:val="21"/>
        </w:rPr>
      </w:pPr>
      <w:r>
        <w:rPr>
          <w:rFonts w:ascii="微软雅黑" w:eastAsia="微软雅黑"/>
          <w:b/>
          <w:spacing w:val="-3"/>
          <w:sz w:val="21"/>
        </w:rPr>
        <w:t>因恶性肿瘤进行的肾切除手术；</w:t>
      </w:r>
    </w:p>
    <w:p>
      <w:pPr>
        <w:pStyle w:val="ListParagraph"/>
        <w:numPr>
          <w:ilvl w:val="0"/>
          <w:numId w:val="42"/>
        </w:numPr>
        <w:tabs>
          <w:tab w:pos="3682" w:val="left" w:leader="none"/>
        </w:tabs>
        <w:spacing w:line="330" w:lineRule="exact" w:before="0" w:after="0"/>
        <w:ind w:left="3682" w:right="0" w:hanging="529"/>
        <w:jc w:val="left"/>
        <w:rPr>
          <w:rFonts w:ascii="微软雅黑" w:eastAsia="微软雅黑"/>
          <w:b/>
          <w:sz w:val="21"/>
        </w:rPr>
      </w:pPr>
      <w:r>
        <w:rPr>
          <w:rFonts w:ascii="微软雅黑" w:eastAsia="微软雅黑"/>
          <w:b/>
          <w:spacing w:val="-3"/>
          <w:sz w:val="21"/>
        </w:rPr>
        <w:t>作为器官捐献者而实施的肾切除手术。</w:t>
      </w:r>
    </w:p>
    <w:p>
      <w:pPr>
        <w:pStyle w:val="ListParagraph"/>
        <w:numPr>
          <w:ilvl w:val="1"/>
          <w:numId w:val="27"/>
        </w:numPr>
        <w:tabs>
          <w:tab w:pos="1071" w:val="left" w:leader="none"/>
          <w:tab w:pos="1072" w:val="left" w:leader="none"/>
          <w:tab w:pos="3152" w:val="left" w:leader="none"/>
        </w:tabs>
        <w:spacing w:line="363" w:lineRule="exact" w:before="158" w:after="0"/>
        <w:ind w:left="1071" w:right="0" w:hanging="850"/>
        <w:jc w:val="left"/>
        <w:rPr>
          <w:sz w:val="21"/>
        </w:rPr>
      </w:pPr>
      <w:r>
        <w:rPr>
          <w:rFonts w:ascii="微软雅黑" w:eastAsia="微软雅黑"/>
          <w:b/>
          <w:sz w:val="21"/>
        </w:rPr>
        <w:t>心包膜切除</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为</w:t>
      </w:r>
      <w:r>
        <w:rPr>
          <w:spacing w:val="-2"/>
          <w:sz w:val="21"/>
        </w:rPr>
        <w:t>治</w:t>
      </w:r>
      <w:r>
        <w:rPr>
          <w:spacing w:val="-2"/>
          <w:sz w:val="21"/>
        </w:rPr>
        <w:t>疗</w:t>
      </w:r>
      <w:r>
        <w:rPr>
          <w:spacing w:val="-2"/>
          <w:sz w:val="21"/>
        </w:rPr>
        <w:t>心</w:t>
      </w:r>
      <w:r>
        <w:rPr>
          <w:spacing w:val="-2"/>
          <w:sz w:val="21"/>
        </w:rPr>
        <w:t>包膜疾</w:t>
      </w:r>
      <w:r>
        <w:rPr>
          <w:spacing w:val="-2"/>
          <w:sz w:val="21"/>
        </w:rPr>
        <w:t>病</w:t>
      </w:r>
      <w:r>
        <w:rPr>
          <w:spacing w:val="-2"/>
          <w:sz w:val="21"/>
        </w:rPr>
        <w:t>，已</w:t>
      </w:r>
      <w:r>
        <w:rPr>
          <w:spacing w:val="-2"/>
          <w:sz w:val="21"/>
        </w:rPr>
        <w:t>经</w:t>
      </w:r>
      <w:r>
        <w:rPr>
          <w:spacing w:val="-2"/>
          <w:sz w:val="21"/>
        </w:rPr>
        <w:t>实</w:t>
      </w:r>
      <w:r>
        <w:rPr>
          <w:spacing w:val="-2"/>
          <w:sz w:val="21"/>
        </w:rPr>
        <w:t>施</w:t>
      </w:r>
      <w:r>
        <w:rPr>
          <w:spacing w:val="-2"/>
          <w:sz w:val="21"/>
        </w:rPr>
        <w:t>了</w:t>
      </w:r>
      <w:r>
        <w:rPr>
          <w:spacing w:val="-2"/>
          <w:sz w:val="21"/>
        </w:rPr>
        <w:t>心</w:t>
      </w:r>
      <w:r>
        <w:rPr>
          <w:spacing w:val="-2"/>
          <w:sz w:val="21"/>
        </w:rPr>
        <w:t>包膜切</w:t>
      </w:r>
      <w:r>
        <w:rPr>
          <w:spacing w:val="-2"/>
          <w:sz w:val="21"/>
        </w:rPr>
        <w:t>除</w:t>
      </w:r>
      <w:r>
        <w:rPr>
          <w:spacing w:val="-2"/>
          <w:sz w:val="21"/>
        </w:rPr>
        <w:t>术</w:t>
      </w:r>
      <w:r>
        <w:rPr>
          <w:spacing w:val="-2"/>
          <w:sz w:val="21"/>
        </w:rPr>
        <w:t>，</w:t>
      </w:r>
      <w:r>
        <w:rPr>
          <w:spacing w:val="-2"/>
          <w:sz w:val="21"/>
        </w:rPr>
        <w:t>但</w:t>
      </w:r>
      <w:r>
        <w:rPr>
          <w:spacing w:val="-2"/>
          <w:sz w:val="21"/>
        </w:rPr>
        <w:t>未</w:t>
      </w:r>
      <w:r>
        <w:rPr>
          <w:spacing w:val="-2"/>
          <w:sz w:val="21"/>
        </w:rPr>
        <w:t>达</w:t>
      </w:r>
      <w:r>
        <w:rPr>
          <w:spacing w:val="-2"/>
          <w:sz w:val="21"/>
        </w:rPr>
        <w:t>到</w:t>
      </w:r>
      <w:r>
        <w:rPr>
          <w:spacing w:val="-2"/>
          <w:sz w:val="21"/>
        </w:rPr>
        <w:t>本</w:t>
      </w:r>
      <w:r>
        <w:rPr>
          <w:spacing w:val="-2"/>
          <w:sz w:val="21"/>
        </w:rPr>
        <w:t>合</w:t>
      </w:r>
      <w:r>
        <w:rPr>
          <w:spacing w:val="-10"/>
          <w:sz w:val="21"/>
        </w:rPr>
        <w:t>同</w:t>
      </w:r>
    </w:p>
    <w:p>
      <w:pPr>
        <w:pStyle w:val="BodyText"/>
        <w:spacing w:line="245" w:lineRule="exact"/>
      </w:pPr>
      <w:r>
        <w:rPr>
          <w:spacing w:val="-3"/>
        </w:rPr>
        <w:t>所指重度疾病“严重慢性缩窄性心包炎”的标准。手术必须在心脏</w:t>
      </w:r>
    </w:p>
    <w:p>
      <w:pPr>
        <w:pStyle w:val="BodyText"/>
        <w:spacing w:before="4"/>
      </w:pPr>
      <w:r>
        <w:rPr>
          <w:spacing w:val="-3"/>
        </w:rPr>
        <w:t>科医生认为是医学上必需的情况下进行。</w:t>
      </w:r>
    </w:p>
    <w:p>
      <w:pPr>
        <w:pStyle w:val="BodyText"/>
        <w:spacing w:before="4"/>
        <w:ind w:left="0"/>
        <w:rPr>
          <w:sz w:val="16"/>
        </w:rPr>
      </w:pPr>
    </w:p>
    <w:p>
      <w:pPr>
        <w:pStyle w:val="ListParagraph"/>
        <w:numPr>
          <w:ilvl w:val="1"/>
          <w:numId w:val="27"/>
        </w:numPr>
        <w:tabs>
          <w:tab w:pos="1071" w:val="left" w:leader="none"/>
          <w:tab w:pos="1072" w:val="left" w:leader="none"/>
          <w:tab w:pos="3152" w:val="left" w:leader="none"/>
        </w:tabs>
        <w:spacing w:line="363" w:lineRule="exact" w:before="0" w:after="0"/>
        <w:ind w:left="1071" w:right="0" w:hanging="850"/>
        <w:jc w:val="left"/>
        <w:rPr>
          <w:sz w:val="21"/>
        </w:rPr>
      </w:pPr>
      <w:r>
        <w:rPr>
          <w:rFonts w:ascii="微软雅黑" w:eastAsia="微软雅黑"/>
          <w:b/>
          <w:sz w:val="21"/>
        </w:rPr>
        <w:t>肝叶切</w:t>
      </w:r>
      <w:r>
        <w:rPr>
          <w:rFonts w:ascii="微软雅黑" w:eastAsia="微软雅黑"/>
          <w:b/>
          <w:spacing w:val="-10"/>
          <w:sz w:val="21"/>
        </w:rPr>
        <w:t>除</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肝</w:t>
      </w:r>
      <w:r>
        <w:rPr>
          <w:spacing w:val="-2"/>
          <w:sz w:val="21"/>
        </w:rPr>
        <w:t>脏</w:t>
      </w:r>
      <w:r>
        <w:rPr>
          <w:spacing w:val="-2"/>
          <w:sz w:val="21"/>
        </w:rPr>
        <w:t>严</w:t>
      </w:r>
      <w:r>
        <w:rPr>
          <w:spacing w:val="-2"/>
          <w:sz w:val="21"/>
        </w:rPr>
        <w:t>重</w:t>
      </w:r>
      <w:r>
        <w:rPr>
          <w:spacing w:val="-2"/>
          <w:sz w:val="21"/>
        </w:rPr>
        <w:t>损</w:t>
      </w:r>
      <w:r>
        <w:rPr>
          <w:spacing w:val="-2"/>
          <w:sz w:val="21"/>
        </w:rPr>
        <w:t>害，已</w:t>
      </w:r>
      <w:r>
        <w:rPr>
          <w:spacing w:val="-2"/>
          <w:sz w:val="21"/>
        </w:rPr>
        <w:t>经</w:t>
      </w:r>
      <w:r>
        <w:rPr>
          <w:spacing w:val="-2"/>
          <w:sz w:val="21"/>
        </w:rPr>
        <w:t>实</w:t>
      </w:r>
      <w:r>
        <w:rPr>
          <w:spacing w:val="-2"/>
          <w:sz w:val="21"/>
        </w:rPr>
        <w:t>施</w:t>
      </w:r>
      <w:r>
        <w:rPr>
          <w:spacing w:val="-2"/>
          <w:sz w:val="21"/>
        </w:rPr>
        <w:t>了</w:t>
      </w:r>
      <w:r>
        <w:rPr>
          <w:spacing w:val="-2"/>
          <w:sz w:val="21"/>
        </w:rPr>
        <w:t>肝</w:t>
      </w:r>
      <w:r>
        <w:rPr>
          <w:spacing w:val="-2"/>
          <w:sz w:val="21"/>
        </w:rPr>
        <w:t>左</w:t>
      </w:r>
      <w:r>
        <w:rPr>
          <w:spacing w:val="-2"/>
          <w:sz w:val="21"/>
        </w:rPr>
        <w:t>叶</w:t>
      </w:r>
      <w:r>
        <w:rPr>
          <w:spacing w:val="-2"/>
          <w:sz w:val="21"/>
        </w:rPr>
        <w:t>切</w:t>
      </w:r>
      <w:r>
        <w:rPr>
          <w:spacing w:val="-2"/>
          <w:sz w:val="21"/>
        </w:rPr>
        <w:t>除</w:t>
      </w:r>
      <w:r>
        <w:rPr>
          <w:spacing w:val="-10"/>
          <w:sz w:val="21"/>
        </w:rPr>
        <w:t>手</w:t>
      </w:r>
    </w:p>
    <w:p>
      <w:pPr>
        <w:pStyle w:val="BodyText"/>
        <w:spacing w:line="245" w:lineRule="exact"/>
      </w:pPr>
      <w:r>
        <w:rPr>
          <w:spacing w:val="-2"/>
        </w:rPr>
        <w:t>术或肝右叶切除手术（</w:t>
      </w:r>
      <w:r>
        <w:rPr>
          <w:spacing w:val="-3"/>
        </w:rPr>
        <w:t>备注：本定义是按肝脏的传统解剖分段法将</w:t>
      </w:r>
    </w:p>
    <w:p>
      <w:pPr>
        <w:pStyle w:val="BodyText"/>
        <w:spacing w:before="4"/>
      </w:pPr>
      <w:r>
        <w:rPr>
          <w:spacing w:val="-2"/>
        </w:rPr>
        <w:t>肝脏分为肝左叶和肝右叶</w:t>
      </w:r>
      <w:r>
        <w:rPr>
          <w:spacing w:val="-108"/>
        </w:rPr>
        <w:t>）</w:t>
      </w:r>
      <w:r>
        <w:rPr>
          <w:spacing w:val="-10"/>
        </w:rPr>
        <w:t>。</w:t>
      </w:r>
    </w:p>
    <w:p>
      <w:pPr>
        <w:spacing w:line="329" w:lineRule="exact" w:before="178"/>
        <w:ind w:left="3153" w:right="0" w:firstLine="0"/>
        <w:jc w:val="left"/>
        <w:rPr>
          <w:rFonts w:ascii="微软雅黑" w:eastAsia="微软雅黑"/>
          <w:b/>
          <w:sz w:val="21"/>
        </w:rPr>
      </w:pPr>
      <w:r>
        <w:rPr>
          <w:rFonts w:ascii="微软雅黑" w:eastAsia="微软雅黑"/>
          <w:b/>
          <w:spacing w:val="-3"/>
          <w:sz w:val="21"/>
        </w:rPr>
        <w:t>下列情况不在保障范围内：</w:t>
      </w:r>
    </w:p>
    <w:p>
      <w:pPr>
        <w:pStyle w:val="ListParagraph"/>
        <w:numPr>
          <w:ilvl w:val="0"/>
          <w:numId w:val="43"/>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3"/>
          <w:sz w:val="21"/>
        </w:rPr>
        <w:t>肝区切除、肝段切除手术；</w:t>
      </w:r>
    </w:p>
    <w:p>
      <w:pPr>
        <w:pStyle w:val="ListParagraph"/>
        <w:numPr>
          <w:ilvl w:val="0"/>
          <w:numId w:val="43"/>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3"/>
          <w:sz w:val="21"/>
        </w:rPr>
        <w:t>因酒精或者滥用药物引致的疾病或者紊乱；</w:t>
      </w:r>
    </w:p>
    <w:p>
      <w:pPr>
        <w:pStyle w:val="ListParagraph"/>
        <w:numPr>
          <w:ilvl w:val="0"/>
          <w:numId w:val="43"/>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3"/>
          <w:sz w:val="21"/>
        </w:rPr>
        <w:t>因恶性肿瘤进行的肝切除手术；</w:t>
      </w:r>
    </w:p>
    <w:p>
      <w:pPr>
        <w:pStyle w:val="ListParagraph"/>
        <w:numPr>
          <w:ilvl w:val="0"/>
          <w:numId w:val="43"/>
        </w:numPr>
        <w:tabs>
          <w:tab w:pos="3682" w:val="left" w:leader="none"/>
        </w:tabs>
        <w:spacing w:line="330" w:lineRule="exact" w:before="0" w:after="0"/>
        <w:ind w:left="3682" w:right="0" w:hanging="529"/>
        <w:jc w:val="left"/>
        <w:rPr>
          <w:rFonts w:ascii="微软雅黑" w:eastAsia="微软雅黑"/>
          <w:b/>
          <w:sz w:val="21"/>
        </w:rPr>
      </w:pPr>
      <w:r>
        <w:rPr>
          <w:rFonts w:ascii="微软雅黑" w:eastAsia="微软雅黑"/>
          <w:b/>
          <w:spacing w:val="-3"/>
          <w:sz w:val="21"/>
        </w:rPr>
        <w:t>作为器官捐献者而实施的肝切除手术。</w:t>
      </w:r>
    </w:p>
    <w:p>
      <w:pPr>
        <w:pStyle w:val="ListParagraph"/>
        <w:numPr>
          <w:ilvl w:val="1"/>
          <w:numId w:val="27"/>
        </w:numPr>
        <w:tabs>
          <w:tab w:pos="1071" w:val="left" w:leader="none"/>
          <w:tab w:pos="1072" w:val="left" w:leader="none"/>
          <w:tab w:pos="3152" w:val="left" w:leader="none"/>
        </w:tabs>
        <w:spacing w:line="363" w:lineRule="exact" w:before="158" w:after="0"/>
        <w:ind w:left="1071" w:right="0" w:hanging="850"/>
        <w:jc w:val="left"/>
        <w:rPr>
          <w:sz w:val="21"/>
        </w:rPr>
      </w:pPr>
      <w:r>
        <w:rPr>
          <w:rFonts w:ascii="微软雅黑" w:eastAsia="微软雅黑"/>
          <w:b/>
          <w:sz w:val="21"/>
        </w:rPr>
        <w:t>单侧肺脏切</w:t>
      </w:r>
      <w:r>
        <w:rPr>
          <w:rFonts w:ascii="微软雅黑" w:eastAsia="微软雅黑"/>
          <w:b/>
          <w:spacing w:val="-10"/>
          <w:sz w:val="21"/>
        </w:rPr>
        <w:t>除</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肺</w:t>
      </w:r>
      <w:r>
        <w:rPr>
          <w:spacing w:val="-2"/>
          <w:sz w:val="21"/>
        </w:rPr>
        <w:t>部</w:t>
      </w:r>
      <w:r>
        <w:rPr>
          <w:spacing w:val="-2"/>
          <w:sz w:val="21"/>
        </w:rPr>
        <w:t>严</w:t>
      </w:r>
      <w:r>
        <w:rPr>
          <w:spacing w:val="-2"/>
          <w:sz w:val="21"/>
        </w:rPr>
        <w:t>重</w:t>
      </w:r>
      <w:r>
        <w:rPr>
          <w:spacing w:val="-2"/>
          <w:sz w:val="21"/>
        </w:rPr>
        <w:t>损</w:t>
      </w:r>
      <w:r>
        <w:rPr>
          <w:spacing w:val="-2"/>
          <w:sz w:val="21"/>
        </w:rPr>
        <w:t>害，已</w:t>
      </w:r>
      <w:r>
        <w:rPr>
          <w:spacing w:val="-2"/>
          <w:sz w:val="21"/>
        </w:rPr>
        <w:t>经</w:t>
      </w:r>
      <w:r>
        <w:rPr>
          <w:spacing w:val="-2"/>
          <w:sz w:val="21"/>
        </w:rPr>
        <w:t>实</w:t>
      </w:r>
      <w:r>
        <w:rPr>
          <w:spacing w:val="-2"/>
          <w:sz w:val="21"/>
        </w:rPr>
        <w:t>施</w:t>
      </w:r>
      <w:r>
        <w:rPr>
          <w:spacing w:val="-2"/>
          <w:sz w:val="21"/>
        </w:rPr>
        <w:t>了</w:t>
      </w:r>
      <w:r>
        <w:rPr>
          <w:spacing w:val="-2"/>
          <w:sz w:val="21"/>
        </w:rPr>
        <w:t>单</w:t>
      </w:r>
      <w:r>
        <w:rPr>
          <w:spacing w:val="-2"/>
          <w:sz w:val="21"/>
        </w:rPr>
        <w:t>侧</w:t>
      </w:r>
      <w:r>
        <w:rPr>
          <w:spacing w:val="-2"/>
          <w:sz w:val="21"/>
        </w:rPr>
        <w:t>全</w:t>
      </w:r>
      <w:r>
        <w:rPr>
          <w:spacing w:val="-2"/>
          <w:sz w:val="21"/>
        </w:rPr>
        <w:t>肺</w:t>
      </w:r>
      <w:r>
        <w:rPr>
          <w:spacing w:val="-2"/>
          <w:sz w:val="21"/>
        </w:rPr>
        <w:t>切</w:t>
      </w:r>
      <w:r>
        <w:rPr>
          <w:spacing w:val="-10"/>
          <w:sz w:val="21"/>
        </w:rPr>
        <w:t>除</w:t>
      </w:r>
    </w:p>
    <w:p>
      <w:pPr>
        <w:pStyle w:val="BodyText"/>
        <w:spacing w:line="245" w:lineRule="exact"/>
      </w:pPr>
      <w:r>
        <w:rPr>
          <w:spacing w:val="-4"/>
        </w:rPr>
        <w:t>手术。</w:t>
      </w:r>
    </w:p>
    <w:p>
      <w:pPr>
        <w:spacing w:line="330" w:lineRule="exact" w:before="178"/>
        <w:ind w:left="3153" w:right="0" w:firstLine="0"/>
        <w:jc w:val="left"/>
        <w:rPr>
          <w:rFonts w:ascii="微软雅黑" w:eastAsia="微软雅黑"/>
          <w:b/>
          <w:sz w:val="21"/>
        </w:rPr>
      </w:pPr>
      <w:r>
        <w:rPr>
          <w:rFonts w:ascii="微软雅黑" w:eastAsia="微软雅黑"/>
          <w:b/>
          <w:spacing w:val="-3"/>
          <w:sz w:val="21"/>
        </w:rPr>
        <w:t>下列情况不在保障范围内：</w:t>
      </w:r>
    </w:p>
    <w:p>
      <w:pPr>
        <w:pStyle w:val="ListParagraph"/>
        <w:numPr>
          <w:ilvl w:val="0"/>
          <w:numId w:val="44"/>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3"/>
          <w:sz w:val="21"/>
        </w:rPr>
        <w:t>肺叶切除、肺段切除手术；</w:t>
      </w:r>
    </w:p>
    <w:p>
      <w:pPr>
        <w:pStyle w:val="ListParagraph"/>
        <w:numPr>
          <w:ilvl w:val="0"/>
          <w:numId w:val="44"/>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3"/>
          <w:sz w:val="21"/>
        </w:rPr>
        <w:t>因恶性肿瘤进行的肺切除手术；</w:t>
      </w:r>
    </w:p>
    <w:p>
      <w:pPr>
        <w:pStyle w:val="ListParagraph"/>
        <w:numPr>
          <w:ilvl w:val="0"/>
          <w:numId w:val="44"/>
        </w:numPr>
        <w:tabs>
          <w:tab w:pos="3682" w:val="left" w:leader="none"/>
        </w:tabs>
        <w:spacing w:line="330" w:lineRule="exact" w:before="0" w:after="0"/>
        <w:ind w:left="3682" w:right="0" w:hanging="529"/>
        <w:jc w:val="left"/>
        <w:rPr>
          <w:rFonts w:ascii="微软雅黑" w:eastAsia="微软雅黑"/>
          <w:b/>
          <w:sz w:val="21"/>
        </w:rPr>
      </w:pPr>
      <w:r>
        <w:rPr>
          <w:rFonts w:ascii="微软雅黑" w:eastAsia="微软雅黑"/>
          <w:b/>
          <w:spacing w:val="-3"/>
          <w:sz w:val="21"/>
        </w:rPr>
        <w:t>作为器官捐献者而实施的肺切除手术。</w:t>
      </w:r>
    </w:p>
    <w:p>
      <w:pPr>
        <w:pStyle w:val="ListParagraph"/>
        <w:numPr>
          <w:ilvl w:val="1"/>
          <w:numId w:val="27"/>
        </w:numPr>
        <w:tabs>
          <w:tab w:pos="1071" w:val="left" w:leader="none"/>
          <w:tab w:pos="1072" w:val="left" w:leader="none"/>
          <w:tab w:pos="3152" w:val="left" w:leader="none"/>
        </w:tabs>
        <w:spacing w:line="363" w:lineRule="exact" w:before="157" w:after="0"/>
        <w:ind w:left="1071" w:right="0" w:hanging="850"/>
        <w:jc w:val="left"/>
        <w:rPr>
          <w:sz w:val="21"/>
        </w:rPr>
      </w:pPr>
      <w:r>
        <w:rPr>
          <w:rFonts w:ascii="微软雅黑" w:eastAsia="微软雅黑"/>
          <w:b/>
          <w:sz w:val="21"/>
        </w:rPr>
        <w:t>双侧睾丸切除</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为</w:t>
      </w:r>
      <w:r>
        <w:rPr>
          <w:spacing w:val="-2"/>
          <w:sz w:val="21"/>
        </w:rPr>
        <w:t>治</w:t>
      </w:r>
      <w:r>
        <w:rPr>
          <w:spacing w:val="-2"/>
          <w:sz w:val="21"/>
        </w:rPr>
        <w:t>疗</w:t>
      </w:r>
      <w:r>
        <w:rPr>
          <w:spacing w:val="-2"/>
          <w:sz w:val="21"/>
        </w:rPr>
        <w:t>疾</w:t>
      </w:r>
      <w:r>
        <w:rPr>
          <w:spacing w:val="-2"/>
          <w:sz w:val="21"/>
        </w:rPr>
        <w:t>病实际</w:t>
      </w:r>
      <w:r>
        <w:rPr>
          <w:spacing w:val="-2"/>
          <w:sz w:val="21"/>
        </w:rPr>
        <w:t>接</w:t>
      </w:r>
      <w:r>
        <w:rPr>
          <w:spacing w:val="-2"/>
          <w:sz w:val="21"/>
        </w:rPr>
        <w:t>受</w:t>
      </w:r>
      <w:r>
        <w:rPr>
          <w:spacing w:val="-2"/>
          <w:sz w:val="21"/>
        </w:rPr>
        <w:t>了</w:t>
      </w:r>
      <w:r>
        <w:rPr>
          <w:spacing w:val="-2"/>
          <w:sz w:val="21"/>
        </w:rPr>
        <w:t>经</w:t>
      </w:r>
      <w:r>
        <w:rPr>
          <w:spacing w:val="-2"/>
          <w:sz w:val="21"/>
        </w:rPr>
        <w:t>腹</w:t>
      </w:r>
      <w:r>
        <w:rPr>
          <w:spacing w:val="-2"/>
          <w:sz w:val="21"/>
        </w:rPr>
        <w:t>部</w:t>
      </w:r>
      <w:r>
        <w:rPr>
          <w:spacing w:val="-2"/>
          <w:sz w:val="21"/>
        </w:rPr>
        <w:t>切</w:t>
      </w:r>
      <w:r>
        <w:rPr>
          <w:spacing w:val="-2"/>
          <w:sz w:val="21"/>
        </w:rPr>
        <w:t>开</w:t>
      </w:r>
      <w:r>
        <w:rPr>
          <w:spacing w:val="-2"/>
          <w:sz w:val="21"/>
        </w:rPr>
        <w:t>或腹腔</w:t>
      </w:r>
      <w:r>
        <w:rPr>
          <w:spacing w:val="-2"/>
          <w:sz w:val="21"/>
        </w:rPr>
        <w:t>镜</w:t>
      </w:r>
      <w:r>
        <w:rPr>
          <w:spacing w:val="-2"/>
          <w:sz w:val="21"/>
        </w:rPr>
        <w:t>进</w:t>
      </w:r>
      <w:r>
        <w:rPr>
          <w:spacing w:val="-2"/>
          <w:sz w:val="21"/>
        </w:rPr>
        <w:t>行</w:t>
      </w:r>
      <w:r>
        <w:rPr>
          <w:spacing w:val="-2"/>
          <w:sz w:val="21"/>
        </w:rPr>
        <w:t>的</w:t>
      </w:r>
      <w:r>
        <w:rPr>
          <w:spacing w:val="-2"/>
          <w:sz w:val="21"/>
        </w:rPr>
        <w:t>双</w:t>
      </w:r>
      <w:r>
        <w:rPr>
          <w:spacing w:val="-2"/>
          <w:sz w:val="21"/>
        </w:rPr>
        <w:t>侧</w:t>
      </w:r>
      <w:r>
        <w:rPr>
          <w:spacing w:val="-2"/>
          <w:sz w:val="21"/>
        </w:rPr>
        <w:t>睾</w:t>
      </w:r>
      <w:r>
        <w:rPr>
          <w:spacing w:val="-2"/>
          <w:sz w:val="21"/>
        </w:rPr>
        <w:t>丸</w:t>
      </w:r>
      <w:r>
        <w:rPr>
          <w:spacing w:val="-2"/>
          <w:sz w:val="21"/>
        </w:rPr>
        <w:t>完</w:t>
      </w:r>
      <w:r>
        <w:rPr>
          <w:spacing w:val="-10"/>
          <w:sz w:val="21"/>
        </w:rPr>
        <w:t>全</w:t>
      </w:r>
    </w:p>
    <w:p>
      <w:pPr>
        <w:pStyle w:val="BodyText"/>
        <w:spacing w:line="245" w:lineRule="exact"/>
      </w:pPr>
      <w:r>
        <w:rPr>
          <w:spacing w:val="-4"/>
        </w:rPr>
        <w:t>切除手术。</w:t>
      </w:r>
    </w:p>
    <w:p>
      <w:pPr>
        <w:spacing w:line="330" w:lineRule="exact" w:before="178"/>
        <w:ind w:left="3153" w:right="0" w:firstLine="0"/>
        <w:jc w:val="left"/>
        <w:rPr>
          <w:rFonts w:ascii="微软雅黑" w:eastAsia="微软雅黑"/>
          <w:b/>
          <w:sz w:val="21"/>
        </w:rPr>
      </w:pPr>
      <w:r>
        <w:rPr>
          <w:rFonts w:ascii="微软雅黑" w:eastAsia="微软雅黑"/>
          <w:b/>
          <w:spacing w:val="-3"/>
          <w:sz w:val="21"/>
        </w:rPr>
        <w:t>下列情况不在保障范围内：</w:t>
      </w:r>
    </w:p>
    <w:p>
      <w:pPr>
        <w:pStyle w:val="ListParagraph"/>
        <w:numPr>
          <w:ilvl w:val="0"/>
          <w:numId w:val="45"/>
        </w:numPr>
        <w:tabs>
          <w:tab w:pos="3682" w:val="left" w:leader="none"/>
        </w:tabs>
        <w:spacing w:line="273" w:lineRule="exact" w:before="0" w:after="0"/>
        <w:ind w:left="3682" w:right="0" w:hanging="529"/>
        <w:jc w:val="left"/>
        <w:rPr>
          <w:rFonts w:ascii="微软雅黑" w:eastAsia="微软雅黑"/>
          <w:b/>
          <w:sz w:val="21"/>
        </w:rPr>
      </w:pPr>
      <w:r>
        <w:rPr>
          <w:rFonts w:ascii="微软雅黑" w:eastAsia="微软雅黑"/>
          <w:b/>
          <w:spacing w:val="-4"/>
          <w:sz w:val="21"/>
        </w:rPr>
        <w:t>部分睾丸切除；</w:t>
      </w:r>
    </w:p>
    <w:p>
      <w:pPr>
        <w:pStyle w:val="ListParagraph"/>
        <w:numPr>
          <w:ilvl w:val="0"/>
          <w:numId w:val="45"/>
        </w:numPr>
        <w:tabs>
          <w:tab w:pos="3682" w:val="left" w:leader="none"/>
        </w:tabs>
        <w:spacing w:line="329" w:lineRule="exact" w:before="0" w:after="0"/>
        <w:ind w:left="3682" w:right="0" w:hanging="529"/>
        <w:jc w:val="left"/>
        <w:rPr>
          <w:rFonts w:ascii="微软雅黑" w:eastAsia="微软雅黑"/>
          <w:b/>
          <w:sz w:val="21"/>
        </w:rPr>
      </w:pPr>
      <w:r>
        <w:rPr>
          <w:rFonts w:ascii="微软雅黑" w:eastAsia="微软雅黑"/>
          <w:b/>
          <w:spacing w:val="-3"/>
          <w:sz w:val="21"/>
        </w:rPr>
        <w:t>因恶性肿瘤进行的睾丸切除术。</w:t>
      </w:r>
    </w:p>
    <w:p>
      <w:pPr>
        <w:pStyle w:val="ListParagraph"/>
        <w:numPr>
          <w:ilvl w:val="1"/>
          <w:numId w:val="27"/>
        </w:numPr>
        <w:tabs>
          <w:tab w:pos="1071" w:val="left" w:leader="none"/>
          <w:tab w:pos="1072" w:val="left" w:leader="none"/>
          <w:tab w:pos="3152" w:val="left" w:leader="none"/>
        </w:tabs>
        <w:spacing w:line="364" w:lineRule="exact" w:before="126" w:after="0"/>
        <w:ind w:left="1071" w:right="0" w:hanging="850"/>
        <w:jc w:val="left"/>
        <w:rPr>
          <w:sz w:val="21"/>
        </w:rPr>
      </w:pPr>
      <w:r>
        <w:rPr>
          <w:rFonts w:ascii="微软雅黑" w:eastAsia="微软雅黑"/>
          <w:b/>
          <w:sz w:val="21"/>
        </w:rPr>
        <w:t>双侧卵巢切除</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为</w:t>
      </w:r>
      <w:r>
        <w:rPr>
          <w:spacing w:val="-2"/>
          <w:sz w:val="21"/>
        </w:rPr>
        <w:t>治</w:t>
      </w:r>
      <w:r>
        <w:rPr>
          <w:spacing w:val="-2"/>
          <w:sz w:val="21"/>
        </w:rPr>
        <w:t>疗</w:t>
      </w:r>
      <w:r>
        <w:rPr>
          <w:spacing w:val="-2"/>
          <w:sz w:val="21"/>
        </w:rPr>
        <w:t>疾</w:t>
      </w:r>
      <w:r>
        <w:rPr>
          <w:spacing w:val="-2"/>
          <w:sz w:val="21"/>
        </w:rPr>
        <w:t>病实际</w:t>
      </w:r>
      <w:r>
        <w:rPr>
          <w:spacing w:val="-2"/>
          <w:sz w:val="21"/>
        </w:rPr>
        <w:t>接</w:t>
      </w:r>
      <w:r>
        <w:rPr>
          <w:spacing w:val="-2"/>
          <w:sz w:val="21"/>
        </w:rPr>
        <w:t>受</w:t>
      </w:r>
      <w:r>
        <w:rPr>
          <w:spacing w:val="-2"/>
          <w:sz w:val="21"/>
        </w:rPr>
        <w:t>了</w:t>
      </w:r>
      <w:r>
        <w:rPr>
          <w:spacing w:val="-2"/>
          <w:sz w:val="21"/>
        </w:rPr>
        <w:t>经</w:t>
      </w:r>
      <w:r>
        <w:rPr>
          <w:spacing w:val="-2"/>
          <w:sz w:val="21"/>
        </w:rPr>
        <w:t>腹</w:t>
      </w:r>
      <w:r>
        <w:rPr>
          <w:spacing w:val="-2"/>
          <w:sz w:val="21"/>
        </w:rPr>
        <w:t>部</w:t>
      </w:r>
      <w:r>
        <w:rPr>
          <w:spacing w:val="-2"/>
          <w:sz w:val="21"/>
        </w:rPr>
        <w:t>切</w:t>
      </w:r>
      <w:r>
        <w:rPr>
          <w:spacing w:val="-2"/>
          <w:sz w:val="21"/>
        </w:rPr>
        <w:t>开</w:t>
      </w:r>
      <w:r>
        <w:rPr>
          <w:spacing w:val="-2"/>
          <w:sz w:val="21"/>
        </w:rPr>
        <w:t>或腹腔</w:t>
      </w:r>
      <w:r>
        <w:rPr>
          <w:spacing w:val="-2"/>
          <w:sz w:val="21"/>
        </w:rPr>
        <w:t>镜</w:t>
      </w:r>
      <w:r>
        <w:rPr>
          <w:spacing w:val="-2"/>
          <w:sz w:val="21"/>
        </w:rPr>
        <w:t>进</w:t>
      </w:r>
      <w:r>
        <w:rPr>
          <w:spacing w:val="-2"/>
          <w:sz w:val="21"/>
        </w:rPr>
        <w:t>行</w:t>
      </w:r>
      <w:r>
        <w:rPr>
          <w:spacing w:val="-2"/>
          <w:sz w:val="21"/>
        </w:rPr>
        <w:t>的</w:t>
      </w:r>
      <w:r>
        <w:rPr>
          <w:spacing w:val="-2"/>
          <w:sz w:val="21"/>
        </w:rPr>
        <w:t>双</w:t>
      </w:r>
      <w:r>
        <w:rPr>
          <w:spacing w:val="-2"/>
          <w:sz w:val="21"/>
        </w:rPr>
        <w:t>侧</w:t>
      </w:r>
      <w:r>
        <w:rPr>
          <w:spacing w:val="-2"/>
          <w:sz w:val="21"/>
        </w:rPr>
        <w:t>卵</w:t>
      </w:r>
      <w:r>
        <w:rPr>
          <w:spacing w:val="-2"/>
          <w:sz w:val="21"/>
        </w:rPr>
        <w:t>巢</w:t>
      </w:r>
      <w:r>
        <w:rPr>
          <w:spacing w:val="-2"/>
          <w:sz w:val="21"/>
        </w:rPr>
        <w:t>完</w:t>
      </w:r>
      <w:r>
        <w:rPr>
          <w:spacing w:val="-10"/>
          <w:sz w:val="21"/>
        </w:rPr>
        <w:t>全</w:t>
      </w:r>
    </w:p>
    <w:p>
      <w:pPr>
        <w:pStyle w:val="BodyText"/>
        <w:spacing w:line="246" w:lineRule="exact"/>
      </w:pPr>
      <w:r>
        <w:rPr>
          <w:spacing w:val="-4"/>
        </w:rPr>
        <w:t>切除手术。</w:t>
      </w:r>
    </w:p>
    <w:p>
      <w:pPr>
        <w:spacing w:line="329" w:lineRule="exact" w:before="178"/>
        <w:ind w:left="3153" w:right="0" w:firstLine="0"/>
        <w:jc w:val="left"/>
        <w:rPr>
          <w:rFonts w:ascii="微软雅黑" w:eastAsia="微软雅黑"/>
          <w:b/>
          <w:sz w:val="21"/>
        </w:rPr>
      </w:pPr>
      <w:r>
        <w:rPr>
          <w:rFonts w:ascii="微软雅黑" w:eastAsia="微软雅黑"/>
          <w:b/>
          <w:spacing w:val="-3"/>
          <w:sz w:val="21"/>
        </w:rPr>
        <w:t>下列情况不在保障范围内：</w:t>
      </w:r>
    </w:p>
    <w:p>
      <w:pPr>
        <w:pStyle w:val="ListParagraph"/>
        <w:numPr>
          <w:ilvl w:val="0"/>
          <w:numId w:val="46"/>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4"/>
          <w:sz w:val="21"/>
        </w:rPr>
        <w:t>部分卵巢切除；</w:t>
      </w:r>
    </w:p>
    <w:p>
      <w:pPr>
        <w:pStyle w:val="ListParagraph"/>
        <w:numPr>
          <w:ilvl w:val="0"/>
          <w:numId w:val="46"/>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3"/>
          <w:sz w:val="21"/>
        </w:rPr>
        <w:t>因恶性肿瘤进行的卵巢切除术；</w:t>
      </w:r>
    </w:p>
    <w:p>
      <w:pPr>
        <w:pStyle w:val="ListParagraph"/>
        <w:numPr>
          <w:ilvl w:val="0"/>
          <w:numId w:val="46"/>
        </w:numPr>
        <w:tabs>
          <w:tab w:pos="3682" w:val="left" w:leader="none"/>
        </w:tabs>
        <w:spacing w:line="329" w:lineRule="exact" w:before="0" w:after="0"/>
        <w:ind w:left="3682" w:right="0" w:hanging="529"/>
        <w:jc w:val="left"/>
        <w:rPr>
          <w:rFonts w:ascii="微软雅黑" w:eastAsia="微软雅黑"/>
          <w:b/>
          <w:sz w:val="21"/>
        </w:rPr>
      </w:pPr>
      <w:r>
        <w:rPr>
          <w:rFonts w:ascii="微软雅黑" w:eastAsia="微软雅黑"/>
          <w:b/>
          <w:spacing w:val="-4"/>
          <w:sz w:val="21"/>
        </w:rPr>
        <w:t>预防性卵巢切除。</w:t>
      </w:r>
    </w:p>
    <w:p>
      <w:pPr>
        <w:pStyle w:val="ListParagraph"/>
        <w:numPr>
          <w:ilvl w:val="1"/>
          <w:numId w:val="27"/>
        </w:numPr>
        <w:tabs>
          <w:tab w:pos="1071" w:val="left" w:leader="none"/>
          <w:tab w:pos="1072" w:val="left" w:leader="none"/>
          <w:tab w:pos="3152" w:val="left" w:leader="none"/>
        </w:tabs>
        <w:spacing w:line="364" w:lineRule="exact" w:before="157" w:after="0"/>
        <w:ind w:left="1071" w:right="0" w:hanging="850"/>
        <w:jc w:val="left"/>
        <w:rPr>
          <w:sz w:val="21"/>
        </w:rPr>
      </w:pPr>
      <w:r>
        <w:rPr>
          <w:rFonts w:ascii="微软雅黑" w:eastAsia="微软雅黑"/>
          <w:b/>
          <w:sz w:val="21"/>
        </w:rPr>
        <w:t>中度脑损</w:t>
      </w:r>
      <w:r>
        <w:rPr>
          <w:rFonts w:ascii="微软雅黑" w:eastAsia="微软雅黑"/>
          <w:b/>
          <w:spacing w:val="-10"/>
          <w:sz w:val="21"/>
        </w:rPr>
        <w:t>伤</w:t>
      </w:r>
      <w:r>
        <w:rPr>
          <w:rFonts w:ascii="微软雅黑" w:eastAsia="微软雅黑"/>
          <w:b/>
          <w:sz w:val="21"/>
        </w:rPr>
        <w:tab/>
      </w:r>
      <w:r>
        <w:rPr>
          <w:spacing w:val="-2"/>
          <w:sz w:val="21"/>
        </w:rPr>
        <w:t>指</w:t>
      </w:r>
      <w:r>
        <w:rPr>
          <w:spacing w:val="-2"/>
          <w:sz w:val="21"/>
        </w:rPr>
        <w:t>因</w:t>
      </w:r>
      <w:r>
        <w:rPr>
          <w:spacing w:val="-2"/>
          <w:sz w:val="21"/>
        </w:rPr>
        <w:t>头</w:t>
      </w:r>
      <w:r>
        <w:rPr>
          <w:spacing w:val="-2"/>
          <w:sz w:val="21"/>
        </w:rPr>
        <w:t>部</w:t>
      </w:r>
      <w:r>
        <w:rPr>
          <w:spacing w:val="-2"/>
          <w:sz w:val="21"/>
        </w:rPr>
        <w:t>遭</w:t>
      </w:r>
      <w:r>
        <w:rPr>
          <w:spacing w:val="-2"/>
          <w:sz w:val="21"/>
        </w:rPr>
        <w:t>受机械</w:t>
      </w:r>
      <w:r>
        <w:rPr>
          <w:spacing w:val="-2"/>
          <w:sz w:val="21"/>
        </w:rPr>
        <w:t>性</w:t>
      </w:r>
      <w:r>
        <w:rPr>
          <w:spacing w:val="-2"/>
          <w:sz w:val="21"/>
        </w:rPr>
        <w:t>外</w:t>
      </w:r>
      <w:r>
        <w:rPr>
          <w:spacing w:val="-2"/>
          <w:sz w:val="21"/>
        </w:rPr>
        <w:t>力，</w:t>
      </w:r>
      <w:r>
        <w:rPr>
          <w:spacing w:val="-2"/>
          <w:sz w:val="21"/>
        </w:rPr>
        <w:t>引</w:t>
      </w:r>
      <w:r>
        <w:rPr>
          <w:spacing w:val="-2"/>
          <w:sz w:val="21"/>
        </w:rPr>
        <w:t>起</w:t>
      </w:r>
      <w:r>
        <w:rPr>
          <w:spacing w:val="-2"/>
          <w:sz w:val="21"/>
        </w:rPr>
        <w:t>脑</w:t>
      </w:r>
      <w:r>
        <w:rPr>
          <w:spacing w:val="-2"/>
          <w:sz w:val="21"/>
        </w:rPr>
        <w:t>重</w:t>
      </w:r>
      <w:r>
        <w:rPr>
          <w:spacing w:val="-2"/>
          <w:sz w:val="21"/>
        </w:rPr>
        <w:t>要部位</w:t>
      </w:r>
      <w:r>
        <w:rPr>
          <w:spacing w:val="-2"/>
          <w:sz w:val="21"/>
        </w:rPr>
        <w:t>损</w:t>
      </w:r>
      <w:r>
        <w:rPr>
          <w:spacing w:val="-2"/>
          <w:sz w:val="21"/>
        </w:rPr>
        <w:t>伤</w:t>
      </w:r>
      <w:r>
        <w:rPr>
          <w:spacing w:val="-2"/>
          <w:sz w:val="21"/>
        </w:rPr>
        <w:t>，</w:t>
      </w:r>
      <w:r>
        <w:rPr>
          <w:spacing w:val="-2"/>
          <w:sz w:val="21"/>
        </w:rPr>
        <w:t>导</w:t>
      </w:r>
      <w:r>
        <w:rPr>
          <w:spacing w:val="-2"/>
          <w:sz w:val="21"/>
        </w:rPr>
        <w:t>致</w:t>
      </w:r>
      <w:r>
        <w:rPr>
          <w:spacing w:val="-2"/>
          <w:sz w:val="21"/>
        </w:rPr>
        <w:t>神</w:t>
      </w:r>
      <w:r>
        <w:rPr>
          <w:spacing w:val="-2"/>
          <w:sz w:val="21"/>
        </w:rPr>
        <w:t>经</w:t>
      </w:r>
      <w:r>
        <w:rPr>
          <w:spacing w:val="-2"/>
          <w:sz w:val="21"/>
        </w:rPr>
        <w:t>系</w:t>
      </w:r>
      <w:r>
        <w:rPr>
          <w:spacing w:val="-2"/>
          <w:sz w:val="21"/>
        </w:rPr>
        <w:t>统</w:t>
      </w:r>
      <w:r>
        <w:rPr>
          <w:spacing w:val="-10"/>
          <w:sz w:val="21"/>
        </w:rPr>
        <w:t>永</w:t>
      </w:r>
    </w:p>
    <w:p>
      <w:pPr>
        <w:pStyle w:val="BodyText"/>
        <w:spacing w:line="246" w:lineRule="exact"/>
      </w:pPr>
      <w:r>
        <w:rPr>
          <w:spacing w:val="-8"/>
        </w:rPr>
        <w:t>久性的功能障碍。须由头颅断层扫描</w:t>
      </w:r>
      <w:r>
        <w:rPr>
          <w:spacing w:val="16"/>
        </w:rPr>
        <w:t>（</w:t>
      </w:r>
      <w:r>
        <w:rPr>
          <w:rFonts w:ascii="Times New Roman" w:eastAsia="Times New Roman"/>
          <w:spacing w:val="19"/>
        </w:rPr>
        <w:t>CT</w:t>
      </w:r>
      <w:r>
        <w:rPr>
          <w:spacing w:val="-89"/>
        </w:rPr>
        <w:t>）</w:t>
      </w:r>
      <w:r>
        <w:rPr>
          <w:spacing w:val="-8"/>
        </w:rPr>
        <w:t>、核磁共振检查（</w:t>
      </w:r>
      <w:r>
        <w:rPr>
          <w:rFonts w:ascii="Times New Roman" w:eastAsia="Times New Roman"/>
          <w:spacing w:val="-8"/>
        </w:rPr>
        <w:t>MRI</w:t>
      </w:r>
      <w:r>
        <w:rPr>
          <w:spacing w:val="-8"/>
        </w:rPr>
        <w:t>）</w:t>
      </w:r>
    </w:p>
    <w:p>
      <w:pPr>
        <w:pStyle w:val="BodyText"/>
        <w:spacing w:line="242" w:lineRule="auto" w:before="2"/>
        <w:ind w:right="729"/>
        <w:jc w:val="both"/>
      </w:pPr>
      <w:r>
        <w:rPr>
          <w:spacing w:val="-2"/>
        </w:rPr>
        <w:t>或正电子发射断层扫描（</w:t>
      </w:r>
      <w:r>
        <w:rPr>
          <w:rFonts w:ascii="Times New Roman" w:hAnsi="Times New Roman" w:eastAsia="Times New Roman"/>
          <w:spacing w:val="-2"/>
        </w:rPr>
        <w:t>PET</w:t>
      </w:r>
      <w:r>
        <w:rPr>
          <w:spacing w:val="-2"/>
        </w:rPr>
        <w:t>）等影像学检查证实。神经系统永久</w:t>
      </w:r>
      <w:r>
        <w:rPr>
          <w:spacing w:val="-4"/>
        </w:rPr>
        <w:t>性的功能障碍，指脑损伤 </w:t>
      </w:r>
      <w:r>
        <w:rPr>
          <w:rFonts w:ascii="Times New Roman" w:hAnsi="Times New Roman" w:eastAsia="Times New Roman"/>
          <w:spacing w:val="-2"/>
        </w:rPr>
        <w:t>180</w:t>
      </w:r>
      <w:r>
        <w:rPr>
          <w:rFonts w:ascii="Times New Roman" w:hAnsi="Times New Roman" w:eastAsia="Times New Roman"/>
          <w:spacing w:val="10"/>
        </w:rPr>
        <w:t> </w:t>
      </w:r>
      <w:r>
        <w:rPr>
          <w:spacing w:val="-2"/>
        </w:rPr>
        <w:t>天后，仍完全丧失自主生活能力，经</w:t>
      </w:r>
      <w:r>
        <w:rPr>
          <w:spacing w:val="-2"/>
        </w:rPr>
        <w:t>鉴定无法独立完成六项基本日常生活活动中的两项或以上，但未达</w:t>
      </w:r>
      <w:r>
        <w:rPr>
          <w:spacing w:val="-2"/>
        </w:rPr>
        <w:t>到重度疾病“严重脑损伤”或“瘫痪”的给付标准。</w:t>
      </w:r>
    </w:p>
    <w:p>
      <w:pPr>
        <w:pStyle w:val="BodyText"/>
        <w:spacing w:before="5"/>
        <w:ind w:left="0"/>
        <w:rPr>
          <w:sz w:val="16"/>
        </w:rPr>
      </w:pPr>
    </w:p>
    <w:p>
      <w:pPr>
        <w:pStyle w:val="ListParagraph"/>
        <w:numPr>
          <w:ilvl w:val="1"/>
          <w:numId w:val="27"/>
        </w:numPr>
        <w:tabs>
          <w:tab w:pos="849" w:val="left" w:leader="none"/>
          <w:tab w:pos="1072" w:val="left" w:leader="none"/>
          <w:tab w:pos="2930" w:val="left" w:leader="none"/>
        </w:tabs>
        <w:spacing w:line="363" w:lineRule="exact" w:before="0" w:after="0"/>
        <w:ind w:left="1071" w:right="729" w:hanging="1072"/>
        <w:jc w:val="right"/>
        <w:rPr>
          <w:sz w:val="21"/>
        </w:rPr>
      </w:pPr>
      <w:r>
        <w:rPr>
          <w:rFonts w:ascii="微软雅黑" w:eastAsia="微软雅黑"/>
          <w:b/>
          <w:sz w:val="21"/>
        </w:rPr>
        <w:t>中度运动神经元</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一</w:t>
      </w:r>
      <w:r>
        <w:rPr>
          <w:spacing w:val="-2"/>
          <w:sz w:val="21"/>
        </w:rPr>
        <w:t>组</w:t>
      </w:r>
      <w:r>
        <w:rPr>
          <w:spacing w:val="-2"/>
          <w:sz w:val="21"/>
        </w:rPr>
        <w:t>中</w:t>
      </w:r>
      <w:r>
        <w:rPr>
          <w:spacing w:val="-2"/>
          <w:sz w:val="21"/>
        </w:rPr>
        <w:t>枢</w:t>
      </w:r>
      <w:r>
        <w:rPr>
          <w:spacing w:val="-2"/>
          <w:sz w:val="21"/>
        </w:rPr>
        <w:t>神经系</w:t>
      </w:r>
      <w:r>
        <w:rPr>
          <w:spacing w:val="-2"/>
          <w:sz w:val="21"/>
        </w:rPr>
        <w:t>统</w:t>
      </w:r>
      <w:r>
        <w:rPr>
          <w:spacing w:val="-2"/>
          <w:sz w:val="21"/>
        </w:rPr>
        <w:t>运</w:t>
      </w:r>
      <w:r>
        <w:rPr>
          <w:spacing w:val="-2"/>
          <w:sz w:val="21"/>
        </w:rPr>
        <w:t>动</w:t>
      </w:r>
      <w:r>
        <w:rPr>
          <w:spacing w:val="-2"/>
          <w:sz w:val="21"/>
        </w:rPr>
        <w:t>神</w:t>
      </w:r>
      <w:r>
        <w:rPr>
          <w:spacing w:val="-2"/>
          <w:sz w:val="21"/>
        </w:rPr>
        <w:t>经</w:t>
      </w:r>
      <w:r>
        <w:rPr>
          <w:spacing w:val="-2"/>
          <w:sz w:val="21"/>
        </w:rPr>
        <w:t>元</w:t>
      </w:r>
      <w:r>
        <w:rPr>
          <w:spacing w:val="-2"/>
          <w:sz w:val="21"/>
        </w:rPr>
        <w:t>的</w:t>
      </w:r>
      <w:r>
        <w:rPr>
          <w:spacing w:val="-2"/>
          <w:sz w:val="21"/>
        </w:rPr>
        <w:t>进</w:t>
      </w:r>
      <w:r>
        <w:rPr>
          <w:spacing w:val="-2"/>
          <w:sz w:val="21"/>
        </w:rPr>
        <w:t>行性变</w:t>
      </w:r>
      <w:r>
        <w:rPr>
          <w:spacing w:val="-2"/>
          <w:sz w:val="21"/>
        </w:rPr>
        <w:t>性</w:t>
      </w:r>
      <w:r>
        <w:rPr>
          <w:spacing w:val="-2"/>
          <w:sz w:val="21"/>
        </w:rPr>
        <w:t>疾</w:t>
      </w:r>
      <w:r>
        <w:rPr>
          <w:spacing w:val="-2"/>
          <w:sz w:val="21"/>
        </w:rPr>
        <w:t>病，</w:t>
      </w:r>
      <w:r>
        <w:rPr>
          <w:spacing w:val="-2"/>
          <w:sz w:val="21"/>
        </w:rPr>
        <w:t>包</w:t>
      </w:r>
      <w:r>
        <w:rPr>
          <w:spacing w:val="-2"/>
          <w:sz w:val="21"/>
        </w:rPr>
        <w:t>括</w:t>
      </w:r>
      <w:r>
        <w:rPr>
          <w:spacing w:val="-2"/>
          <w:sz w:val="21"/>
        </w:rPr>
        <w:t>进</w:t>
      </w:r>
      <w:r>
        <w:rPr>
          <w:spacing w:val="-2"/>
          <w:sz w:val="21"/>
        </w:rPr>
        <w:t>行</w:t>
      </w:r>
      <w:r>
        <w:rPr>
          <w:spacing w:val="-2"/>
          <w:sz w:val="21"/>
        </w:rPr>
        <w:t>性</w:t>
      </w:r>
      <w:r>
        <w:rPr>
          <w:spacing w:val="-10"/>
          <w:sz w:val="21"/>
        </w:rPr>
        <w:t>脊</w:t>
      </w:r>
    </w:p>
    <w:p>
      <w:pPr>
        <w:pStyle w:val="BodyText"/>
        <w:spacing w:line="245" w:lineRule="exact"/>
        <w:ind w:left="0" w:right="729"/>
        <w:jc w:val="right"/>
      </w:pPr>
      <w:r>
        <w:rPr>
          <w:spacing w:val="-3"/>
        </w:rPr>
        <w:t>肌萎缩症、进行性延髓麻痹症、原发性侧索硬化症、肌萎缩性侧索</w:t>
      </w:r>
    </w:p>
    <w:p>
      <w:pPr>
        <w:pStyle w:val="BodyText"/>
        <w:spacing w:line="242" w:lineRule="auto" w:before="5"/>
        <w:ind w:right="729"/>
        <w:jc w:val="both"/>
      </w:pPr>
      <w:r>
        <w:rPr>
          <w:spacing w:val="-2"/>
        </w:rPr>
        <w:t>硬化症。须满足自主生活能力部分丧失，经鉴定无法独立完成六项</w:t>
      </w:r>
      <w:r>
        <w:rPr>
          <w:spacing w:val="-2"/>
        </w:rPr>
        <w:t>基本日常生活活动中的两项。但未达到本合同所指重度疾病“严重</w:t>
      </w:r>
      <w:r>
        <w:rPr>
          <w:spacing w:val="-2"/>
        </w:rPr>
        <w:t>运动神经元病”或“瘫痪”的给付标准。</w:t>
      </w:r>
    </w:p>
    <w:p>
      <w:pPr>
        <w:pStyle w:val="BodyText"/>
        <w:spacing w:before="12"/>
        <w:ind w:left="0"/>
        <w:rPr>
          <w:sz w:val="15"/>
        </w:rPr>
      </w:pPr>
    </w:p>
    <w:p>
      <w:pPr>
        <w:pStyle w:val="ListParagraph"/>
        <w:numPr>
          <w:ilvl w:val="1"/>
          <w:numId w:val="27"/>
        </w:numPr>
        <w:tabs>
          <w:tab w:pos="1071" w:val="left" w:leader="none"/>
          <w:tab w:pos="1072" w:val="left" w:leader="none"/>
          <w:tab w:pos="3152" w:val="left" w:leader="none"/>
        </w:tabs>
        <w:spacing w:line="240" w:lineRule="auto" w:before="0" w:after="0"/>
        <w:ind w:left="1071" w:right="0" w:hanging="850"/>
        <w:jc w:val="left"/>
        <w:rPr>
          <w:sz w:val="21"/>
        </w:rPr>
      </w:pPr>
      <w:r>
        <w:rPr>
          <w:rFonts w:ascii="微软雅黑" w:eastAsia="微软雅黑"/>
          <w:b/>
          <w:spacing w:val="26"/>
          <w:sz w:val="21"/>
        </w:rPr>
        <w:t>中</w:t>
      </w:r>
      <w:r>
        <w:rPr>
          <w:rFonts w:ascii="微软雅黑" w:eastAsia="微软雅黑"/>
          <w:b/>
          <w:spacing w:val="23"/>
          <w:sz w:val="21"/>
        </w:rPr>
        <w:t>度</w:t>
      </w:r>
      <w:r>
        <w:rPr>
          <w:rFonts w:ascii="微软雅黑" w:eastAsia="微软雅黑"/>
          <w:b/>
          <w:spacing w:val="26"/>
          <w:sz w:val="21"/>
        </w:rPr>
        <w:t>脑</w:t>
      </w:r>
      <w:r>
        <w:rPr>
          <w:rFonts w:ascii="微软雅黑" w:eastAsia="微软雅黑"/>
          <w:b/>
          <w:spacing w:val="23"/>
          <w:sz w:val="21"/>
        </w:rPr>
        <w:t>炎或</w:t>
      </w:r>
      <w:r>
        <w:rPr>
          <w:rFonts w:ascii="微软雅黑" w:eastAsia="微软雅黑"/>
          <w:b/>
          <w:spacing w:val="26"/>
          <w:sz w:val="21"/>
        </w:rPr>
        <w:t>脑膜</w:t>
      </w:r>
      <w:r>
        <w:rPr>
          <w:rFonts w:ascii="微软雅黑" w:eastAsia="微软雅黑"/>
          <w:b/>
          <w:spacing w:val="-10"/>
          <w:sz w:val="21"/>
        </w:rPr>
        <w:t>炎</w:t>
      </w:r>
      <w:r>
        <w:rPr>
          <w:rFonts w:ascii="微软雅黑" w:eastAsia="微软雅黑"/>
          <w:b/>
          <w:sz w:val="21"/>
        </w:rPr>
        <w:tab/>
      </w:r>
      <w:r>
        <w:rPr>
          <w:spacing w:val="-2"/>
          <w:sz w:val="21"/>
        </w:rPr>
        <w:t>指</w:t>
      </w:r>
      <w:r>
        <w:rPr>
          <w:spacing w:val="-2"/>
          <w:sz w:val="21"/>
        </w:rPr>
        <w:t>因</w:t>
      </w:r>
      <w:r>
        <w:rPr>
          <w:spacing w:val="-2"/>
          <w:sz w:val="21"/>
        </w:rPr>
        <w:t>患</w:t>
      </w:r>
      <w:r>
        <w:rPr>
          <w:spacing w:val="-2"/>
          <w:sz w:val="21"/>
        </w:rPr>
        <w:t>脑</w:t>
      </w:r>
      <w:r>
        <w:rPr>
          <w:spacing w:val="-2"/>
          <w:sz w:val="21"/>
        </w:rPr>
        <w:t>炎</w:t>
      </w:r>
      <w:r>
        <w:rPr>
          <w:spacing w:val="-2"/>
          <w:sz w:val="21"/>
        </w:rPr>
        <w:t>或脑膜</w:t>
      </w:r>
      <w:r>
        <w:rPr>
          <w:spacing w:val="-2"/>
          <w:sz w:val="21"/>
        </w:rPr>
        <w:t>炎</w:t>
      </w:r>
      <w:r>
        <w:rPr>
          <w:spacing w:val="-2"/>
          <w:sz w:val="21"/>
        </w:rPr>
        <w:t>导</w:t>
      </w:r>
      <w:r>
        <w:rPr>
          <w:spacing w:val="-2"/>
          <w:sz w:val="21"/>
        </w:rPr>
        <w:t>致</w:t>
      </w:r>
      <w:r>
        <w:rPr>
          <w:spacing w:val="-2"/>
          <w:sz w:val="21"/>
        </w:rPr>
        <w:t>的</w:t>
      </w:r>
      <w:r>
        <w:rPr>
          <w:spacing w:val="-2"/>
          <w:sz w:val="21"/>
        </w:rPr>
        <w:t>神</w:t>
      </w:r>
      <w:r>
        <w:rPr>
          <w:spacing w:val="-2"/>
          <w:sz w:val="21"/>
        </w:rPr>
        <w:t>经</w:t>
      </w:r>
      <w:r>
        <w:rPr>
          <w:spacing w:val="-2"/>
          <w:sz w:val="21"/>
        </w:rPr>
        <w:t>系</w:t>
      </w:r>
      <w:r>
        <w:rPr>
          <w:spacing w:val="-2"/>
          <w:sz w:val="21"/>
        </w:rPr>
        <w:t>统</w:t>
      </w:r>
      <w:r>
        <w:rPr>
          <w:spacing w:val="-2"/>
          <w:sz w:val="21"/>
        </w:rPr>
        <w:t>的功能</w:t>
      </w:r>
      <w:r>
        <w:rPr>
          <w:spacing w:val="-2"/>
          <w:sz w:val="21"/>
        </w:rPr>
        <w:t>障</w:t>
      </w:r>
      <w:r>
        <w:rPr>
          <w:spacing w:val="-2"/>
          <w:sz w:val="21"/>
        </w:rPr>
        <w:t>碍</w:t>
      </w:r>
      <w:r>
        <w:rPr>
          <w:spacing w:val="-2"/>
          <w:sz w:val="21"/>
        </w:rPr>
        <w:t>。</w:t>
      </w:r>
      <w:r>
        <w:rPr>
          <w:spacing w:val="-2"/>
          <w:sz w:val="21"/>
        </w:rPr>
        <w:t>神</w:t>
      </w:r>
      <w:r>
        <w:rPr>
          <w:spacing w:val="-2"/>
          <w:sz w:val="21"/>
        </w:rPr>
        <w:t>经</w:t>
      </w:r>
      <w:r>
        <w:rPr>
          <w:spacing w:val="-2"/>
          <w:sz w:val="21"/>
        </w:rPr>
        <w:t>系</w:t>
      </w:r>
      <w:r>
        <w:rPr>
          <w:spacing w:val="-2"/>
          <w:sz w:val="21"/>
        </w:rPr>
        <w:t>统</w:t>
      </w:r>
      <w:r>
        <w:rPr>
          <w:spacing w:val="-2"/>
          <w:sz w:val="21"/>
        </w:rPr>
        <w:t>的</w:t>
      </w:r>
      <w:r>
        <w:rPr>
          <w:spacing w:val="-2"/>
          <w:sz w:val="21"/>
        </w:rPr>
        <w:t>功</w:t>
      </w:r>
      <w:r>
        <w:rPr>
          <w:spacing w:val="-10"/>
          <w:sz w:val="21"/>
        </w:rPr>
        <w:t>能</w:t>
      </w:r>
    </w:p>
    <w:p>
      <w:pPr>
        <w:spacing w:after="0" w:line="240" w:lineRule="auto"/>
        <w:jc w:val="left"/>
        <w:rPr>
          <w:sz w:val="21"/>
        </w:rPr>
        <w:sectPr>
          <w:pgSz w:w="11910" w:h="16840"/>
          <w:pgMar w:header="0" w:footer="878" w:top="1060" w:bottom="1060" w:left="1480" w:right="440"/>
        </w:sectPr>
      </w:pPr>
    </w:p>
    <w:p>
      <w:pPr>
        <w:pStyle w:val="BodyText"/>
        <w:tabs>
          <w:tab w:pos="3152" w:val="left" w:leader="none"/>
        </w:tabs>
        <w:spacing w:line="223" w:lineRule="auto" w:before="8"/>
        <w:ind w:right="729" w:hanging="2082"/>
        <w:jc w:val="both"/>
      </w:pPr>
      <w:r>
        <w:rPr>
          <w:rFonts w:ascii="微软雅黑" w:hAnsi="微软雅黑" w:eastAsia="微软雅黑"/>
          <w:b/>
          <w:spacing w:val="-4"/>
        </w:rPr>
        <w:t>后</w:t>
      </w:r>
      <w:r>
        <w:rPr>
          <w:rFonts w:ascii="微软雅黑" w:hAnsi="微软雅黑" w:eastAsia="微软雅黑"/>
          <w:b/>
          <w:spacing w:val="-4"/>
        </w:rPr>
        <w:t>遗</w:t>
      </w:r>
      <w:r>
        <w:rPr>
          <w:rFonts w:ascii="微软雅黑" w:hAnsi="微软雅黑" w:eastAsia="微软雅黑"/>
          <w:b/>
          <w:spacing w:val="-4"/>
        </w:rPr>
        <w:t>症</w:t>
      </w:r>
      <w:r>
        <w:rPr>
          <w:rFonts w:ascii="微软雅黑" w:hAnsi="微软雅黑" w:eastAsia="微软雅黑"/>
          <w:b/>
        </w:rPr>
        <w:tab/>
      </w:r>
      <w:r>
        <w:rPr>
          <w:spacing w:val="-2"/>
        </w:rPr>
        <w:t>障</w:t>
      </w:r>
      <w:r>
        <w:rPr>
          <w:spacing w:val="-2"/>
        </w:rPr>
        <w:t>碍</w:t>
      </w:r>
      <w:r>
        <w:rPr>
          <w:spacing w:val="-2"/>
        </w:rPr>
        <w:t>，指疾病确诊</w:t>
      </w:r>
      <w:r>
        <w:rPr>
          <w:spacing w:val="-25"/>
        </w:rPr>
        <w:t> </w:t>
      </w:r>
      <w:r>
        <w:rPr>
          <w:rFonts w:ascii="Times New Roman" w:hAnsi="Times New Roman" w:eastAsia="Times New Roman"/>
          <w:spacing w:val="-2"/>
        </w:rPr>
        <w:t>180</w:t>
      </w:r>
      <w:r>
        <w:rPr>
          <w:rFonts w:ascii="Times New Roman" w:hAnsi="Times New Roman" w:eastAsia="Times New Roman"/>
          <w:spacing w:val="11"/>
        </w:rPr>
        <w:t> </w:t>
      </w:r>
      <w:r>
        <w:rPr>
          <w:spacing w:val="-2"/>
        </w:rPr>
        <w:t>天</w:t>
      </w:r>
      <w:r>
        <w:rPr>
          <w:spacing w:val="-2"/>
        </w:rPr>
        <w:t>后</w:t>
      </w:r>
      <w:r>
        <w:rPr>
          <w:spacing w:val="-2"/>
        </w:rPr>
        <w:t>，仍存在自主活动能力</w:t>
      </w:r>
      <w:r>
        <w:rPr>
          <w:spacing w:val="-2"/>
        </w:rPr>
        <w:t>完</w:t>
      </w:r>
      <w:r>
        <w:rPr>
          <w:spacing w:val="-2"/>
        </w:rPr>
        <w:t>全</w:t>
      </w:r>
      <w:r>
        <w:rPr>
          <w:spacing w:val="-2"/>
        </w:rPr>
        <w:t>丧失，经</w:t>
      </w:r>
      <w:r>
        <w:rPr>
          <w:spacing w:val="-2"/>
        </w:rPr>
        <w:t>鉴</w:t>
      </w:r>
      <w:r>
        <w:rPr>
          <w:spacing w:val="-2"/>
        </w:rPr>
        <w:t>定</w:t>
      </w:r>
      <w:r>
        <w:rPr>
          <w:spacing w:val="-2"/>
        </w:rPr>
        <w:t>无</w:t>
      </w:r>
      <w:r>
        <w:rPr>
          <w:spacing w:val="-2"/>
        </w:rPr>
        <w:t>法</w:t>
      </w:r>
      <w:r>
        <w:rPr>
          <w:spacing w:val="-2"/>
        </w:rPr>
        <w:t>独</w:t>
      </w:r>
      <w:r>
        <w:rPr>
          <w:spacing w:val="-2"/>
        </w:rPr>
        <w:t>立</w:t>
      </w:r>
      <w:r>
        <w:rPr>
          <w:spacing w:val="-2"/>
        </w:rPr>
        <w:t>完成六</w:t>
      </w:r>
      <w:r>
        <w:rPr>
          <w:spacing w:val="-2"/>
        </w:rPr>
        <w:t>项</w:t>
      </w:r>
      <w:r>
        <w:rPr>
          <w:spacing w:val="-2"/>
        </w:rPr>
        <w:t>基</w:t>
      </w:r>
      <w:r>
        <w:rPr>
          <w:spacing w:val="-2"/>
        </w:rPr>
        <w:t>本</w:t>
      </w:r>
      <w:r>
        <w:rPr>
          <w:spacing w:val="-2"/>
        </w:rPr>
        <w:t>日</w:t>
      </w:r>
      <w:r>
        <w:rPr>
          <w:spacing w:val="-2"/>
        </w:rPr>
        <w:t>常</w:t>
      </w:r>
      <w:r>
        <w:rPr>
          <w:spacing w:val="-2"/>
        </w:rPr>
        <w:t>生</w:t>
      </w:r>
      <w:r>
        <w:rPr>
          <w:spacing w:val="-2"/>
        </w:rPr>
        <w:t>活</w:t>
      </w:r>
      <w:r>
        <w:rPr>
          <w:spacing w:val="-2"/>
        </w:rPr>
        <w:t>活</w:t>
      </w:r>
      <w:r>
        <w:rPr>
          <w:spacing w:val="-2"/>
        </w:rPr>
        <w:t>动中的</w:t>
      </w:r>
      <w:r>
        <w:rPr>
          <w:spacing w:val="-2"/>
        </w:rPr>
        <w:t>两</w:t>
      </w:r>
      <w:r>
        <w:rPr>
          <w:spacing w:val="-2"/>
        </w:rPr>
        <w:t>项</w:t>
      </w:r>
      <w:r>
        <w:rPr>
          <w:spacing w:val="-2"/>
        </w:rPr>
        <w:t>，</w:t>
      </w:r>
      <w:r>
        <w:rPr>
          <w:spacing w:val="-2"/>
        </w:rPr>
        <w:t>但</w:t>
      </w:r>
      <w:r>
        <w:rPr>
          <w:spacing w:val="-2"/>
        </w:rPr>
        <w:t>未</w:t>
      </w:r>
      <w:r>
        <w:rPr>
          <w:spacing w:val="-2"/>
        </w:rPr>
        <w:t>达</w:t>
      </w:r>
      <w:r>
        <w:rPr>
          <w:spacing w:val="-2"/>
        </w:rPr>
        <w:t>到</w:t>
      </w:r>
      <w:r>
        <w:rPr>
          <w:spacing w:val="-2"/>
        </w:rPr>
        <w:t>本</w:t>
      </w:r>
      <w:r>
        <w:rPr>
          <w:spacing w:val="-2"/>
        </w:rPr>
        <w:t>合</w:t>
      </w:r>
      <w:r>
        <w:rPr>
          <w:spacing w:val="-2"/>
        </w:rPr>
        <w:t>同</w:t>
      </w:r>
      <w:r>
        <w:rPr>
          <w:spacing w:val="-2"/>
        </w:rPr>
        <w:t>所</w:t>
      </w:r>
      <w:r>
        <w:rPr>
          <w:spacing w:val="-2"/>
        </w:rPr>
        <w:t>指</w:t>
      </w:r>
      <w:r>
        <w:rPr>
          <w:spacing w:val="-2"/>
        </w:rPr>
        <w:t>重</w:t>
      </w:r>
      <w:r>
        <w:rPr>
          <w:spacing w:val="-2"/>
        </w:rPr>
        <w:t>度</w:t>
      </w:r>
      <w:r>
        <w:rPr>
          <w:spacing w:val="-2"/>
        </w:rPr>
        <w:t>疾</w:t>
      </w:r>
      <w:r>
        <w:rPr>
          <w:spacing w:val="-2"/>
        </w:rPr>
        <w:t>病“严</w:t>
      </w:r>
      <w:r>
        <w:rPr>
          <w:spacing w:val="-2"/>
        </w:rPr>
        <w:t>重</w:t>
      </w:r>
      <w:r>
        <w:rPr>
          <w:spacing w:val="-2"/>
        </w:rPr>
        <w:t>脑</w:t>
      </w:r>
      <w:r>
        <w:rPr>
          <w:spacing w:val="-2"/>
        </w:rPr>
        <w:t>炎</w:t>
      </w:r>
      <w:r>
        <w:rPr>
          <w:spacing w:val="-2"/>
        </w:rPr>
        <w:t>后</w:t>
      </w:r>
      <w:r>
        <w:rPr>
          <w:spacing w:val="-2"/>
        </w:rPr>
        <w:t>遗</w:t>
      </w:r>
      <w:r>
        <w:rPr>
          <w:spacing w:val="-2"/>
        </w:rPr>
        <w:t>症</w:t>
      </w:r>
      <w:r>
        <w:rPr>
          <w:spacing w:val="-2"/>
        </w:rPr>
        <w:t>或</w:t>
      </w:r>
      <w:r>
        <w:rPr>
          <w:spacing w:val="-2"/>
        </w:rPr>
        <w:t>严</w:t>
      </w:r>
      <w:r>
        <w:rPr>
          <w:spacing w:val="-2"/>
        </w:rPr>
        <w:t>重脑膜</w:t>
      </w:r>
      <w:r>
        <w:rPr>
          <w:spacing w:val="-2"/>
        </w:rPr>
        <w:t>炎</w:t>
      </w:r>
      <w:r>
        <w:rPr>
          <w:spacing w:val="-2"/>
        </w:rPr>
        <w:t>后</w:t>
      </w:r>
      <w:r>
        <w:rPr>
          <w:spacing w:val="-2"/>
        </w:rPr>
        <w:t>遗</w:t>
      </w:r>
      <w:r>
        <w:rPr>
          <w:spacing w:val="-2"/>
        </w:rPr>
        <w:t>症</w:t>
      </w:r>
      <w:r>
        <w:rPr>
          <w:spacing w:val="-2"/>
        </w:rPr>
        <w:t>”或“</w:t>
      </w:r>
      <w:r>
        <w:rPr>
          <w:spacing w:val="-2"/>
        </w:rPr>
        <w:t>瘫</w:t>
      </w:r>
      <w:r>
        <w:rPr>
          <w:spacing w:val="-2"/>
        </w:rPr>
        <w:t>痪</w:t>
      </w:r>
      <w:r>
        <w:rPr>
          <w:spacing w:val="-10"/>
        </w:rPr>
        <w:t>”</w:t>
      </w:r>
    </w:p>
    <w:p>
      <w:pPr>
        <w:pStyle w:val="BodyText"/>
        <w:spacing w:before="6"/>
      </w:pPr>
      <w:r>
        <w:rPr>
          <w:spacing w:val="-4"/>
        </w:rPr>
        <w:t>的给付标准。</w:t>
      </w:r>
    </w:p>
    <w:p>
      <w:pPr>
        <w:pStyle w:val="BodyText"/>
        <w:spacing w:before="3"/>
        <w:ind w:left="0"/>
        <w:rPr>
          <w:sz w:val="16"/>
        </w:rPr>
      </w:pPr>
    </w:p>
    <w:p>
      <w:pPr>
        <w:pStyle w:val="ListParagraph"/>
        <w:numPr>
          <w:ilvl w:val="1"/>
          <w:numId w:val="27"/>
        </w:numPr>
        <w:tabs>
          <w:tab w:pos="1071" w:val="left" w:leader="none"/>
          <w:tab w:pos="1072" w:val="left" w:leader="none"/>
          <w:tab w:pos="3152" w:val="left" w:leader="none"/>
        </w:tabs>
        <w:spacing w:line="363" w:lineRule="exact" w:before="0" w:after="0"/>
        <w:ind w:left="1071" w:right="0" w:hanging="850"/>
        <w:jc w:val="left"/>
        <w:rPr>
          <w:sz w:val="21"/>
        </w:rPr>
      </w:pPr>
      <w:r>
        <w:rPr>
          <w:rFonts w:ascii="微软雅黑" w:eastAsia="微软雅黑"/>
          <w:b/>
          <w:sz w:val="21"/>
        </w:rPr>
        <w:t>心脏瓣膜介入手</w:t>
      </w:r>
      <w:r>
        <w:rPr>
          <w:rFonts w:ascii="微软雅黑" w:eastAsia="微软雅黑"/>
          <w:b/>
          <w:spacing w:val="-10"/>
          <w:sz w:val="21"/>
        </w:rPr>
        <w:t>术</w:t>
      </w:r>
      <w:r>
        <w:rPr>
          <w:rFonts w:ascii="微软雅黑" w:eastAsia="微软雅黑"/>
          <w:b/>
          <w:sz w:val="21"/>
        </w:rPr>
        <w:tab/>
      </w:r>
      <w:r>
        <w:rPr>
          <w:spacing w:val="-2"/>
          <w:sz w:val="21"/>
        </w:rPr>
        <w:t>为</w:t>
      </w:r>
      <w:r>
        <w:rPr>
          <w:spacing w:val="-2"/>
          <w:sz w:val="21"/>
        </w:rPr>
        <w:t>了</w:t>
      </w:r>
      <w:r>
        <w:rPr>
          <w:spacing w:val="-2"/>
          <w:sz w:val="21"/>
        </w:rPr>
        <w:t>治</w:t>
      </w:r>
      <w:r>
        <w:rPr>
          <w:spacing w:val="-2"/>
          <w:sz w:val="21"/>
        </w:rPr>
        <w:t>疗</w:t>
      </w:r>
      <w:r>
        <w:rPr>
          <w:spacing w:val="-2"/>
          <w:sz w:val="21"/>
        </w:rPr>
        <w:t>心</w:t>
      </w:r>
      <w:r>
        <w:rPr>
          <w:spacing w:val="-2"/>
          <w:sz w:val="21"/>
        </w:rPr>
        <w:t>脏瓣膜</w:t>
      </w:r>
      <w:r>
        <w:rPr>
          <w:spacing w:val="-2"/>
          <w:sz w:val="21"/>
        </w:rPr>
        <w:t>疾</w:t>
      </w:r>
      <w:r>
        <w:rPr>
          <w:spacing w:val="-2"/>
          <w:sz w:val="21"/>
        </w:rPr>
        <w:t>病</w:t>
      </w:r>
      <w:r>
        <w:rPr>
          <w:spacing w:val="-2"/>
          <w:sz w:val="21"/>
        </w:rPr>
        <w:t>，</w:t>
      </w:r>
      <w:r>
        <w:rPr>
          <w:spacing w:val="-2"/>
          <w:sz w:val="21"/>
        </w:rPr>
        <w:t>实</w:t>
      </w:r>
      <w:r>
        <w:rPr>
          <w:spacing w:val="-2"/>
          <w:sz w:val="21"/>
        </w:rPr>
        <w:t>际</w:t>
      </w:r>
      <w:r>
        <w:rPr>
          <w:spacing w:val="-2"/>
          <w:sz w:val="21"/>
        </w:rPr>
        <w:t>实</w:t>
      </w:r>
      <w:r>
        <w:rPr>
          <w:spacing w:val="-2"/>
          <w:sz w:val="21"/>
        </w:rPr>
        <w:t>施</w:t>
      </w:r>
      <w:r>
        <w:rPr>
          <w:spacing w:val="-2"/>
          <w:sz w:val="21"/>
        </w:rPr>
        <w:t>了</w:t>
      </w:r>
      <w:r>
        <w:rPr>
          <w:spacing w:val="-2"/>
          <w:sz w:val="21"/>
        </w:rPr>
        <w:t>经皮经</w:t>
      </w:r>
      <w:r>
        <w:rPr>
          <w:spacing w:val="-2"/>
          <w:sz w:val="21"/>
        </w:rPr>
        <w:t>导</w:t>
      </w:r>
      <w:r>
        <w:rPr>
          <w:spacing w:val="-2"/>
          <w:sz w:val="21"/>
        </w:rPr>
        <w:t>管</w:t>
      </w:r>
      <w:r>
        <w:rPr>
          <w:spacing w:val="-2"/>
          <w:sz w:val="21"/>
        </w:rPr>
        <w:t>介</w:t>
      </w:r>
      <w:r>
        <w:rPr>
          <w:spacing w:val="-2"/>
          <w:sz w:val="21"/>
        </w:rPr>
        <w:t>入</w:t>
      </w:r>
      <w:r>
        <w:rPr>
          <w:spacing w:val="-2"/>
          <w:sz w:val="21"/>
        </w:rPr>
        <w:t>手</w:t>
      </w:r>
      <w:r>
        <w:rPr>
          <w:spacing w:val="-2"/>
          <w:sz w:val="21"/>
        </w:rPr>
        <w:t>术</w:t>
      </w:r>
      <w:r>
        <w:rPr>
          <w:spacing w:val="-2"/>
          <w:sz w:val="21"/>
        </w:rPr>
        <w:t>进</w:t>
      </w:r>
      <w:r>
        <w:rPr>
          <w:spacing w:val="-2"/>
          <w:sz w:val="21"/>
        </w:rPr>
        <w:t>行</w:t>
      </w:r>
      <w:r>
        <w:rPr>
          <w:spacing w:val="-2"/>
          <w:sz w:val="21"/>
        </w:rPr>
        <w:t>的</w:t>
      </w:r>
      <w:r>
        <w:rPr>
          <w:spacing w:val="-10"/>
          <w:sz w:val="21"/>
        </w:rPr>
        <w:t>心</w:t>
      </w:r>
    </w:p>
    <w:p>
      <w:pPr>
        <w:pStyle w:val="BodyText"/>
        <w:spacing w:line="245" w:lineRule="exact"/>
      </w:pPr>
      <w:r>
        <w:rPr>
          <w:spacing w:val="-3"/>
        </w:rPr>
        <w:t>脏瓣膜置换或者修复手术。</w:t>
      </w:r>
    </w:p>
    <w:p>
      <w:pPr>
        <w:pStyle w:val="BodyText"/>
        <w:spacing w:before="4"/>
        <w:ind w:left="0"/>
        <w:rPr>
          <w:sz w:val="16"/>
        </w:rPr>
      </w:pPr>
    </w:p>
    <w:p>
      <w:pPr>
        <w:pStyle w:val="ListParagraph"/>
        <w:numPr>
          <w:ilvl w:val="1"/>
          <w:numId w:val="27"/>
        </w:numPr>
        <w:tabs>
          <w:tab w:pos="849" w:val="left" w:leader="none"/>
          <w:tab w:pos="1072" w:val="left" w:leader="none"/>
          <w:tab w:pos="2930" w:val="left" w:leader="none"/>
        </w:tabs>
        <w:spacing w:line="364" w:lineRule="exact" w:before="0" w:after="0"/>
        <w:ind w:left="1071" w:right="729" w:hanging="1072"/>
        <w:jc w:val="right"/>
        <w:rPr>
          <w:sz w:val="21"/>
        </w:rPr>
      </w:pPr>
      <w:r>
        <w:rPr>
          <w:rFonts w:ascii="微软雅黑" w:eastAsia="微软雅黑"/>
          <w:b/>
          <w:sz w:val="21"/>
        </w:rPr>
        <w:t>中度肠道并发</w:t>
      </w:r>
      <w:r>
        <w:rPr>
          <w:rFonts w:ascii="微软雅黑" w:eastAsia="微软雅黑"/>
          <w:b/>
          <w:spacing w:val="-10"/>
          <w:sz w:val="21"/>
        </w:rPr>
        <w:t>症</w:t>
      </w:r>
      <w:r>
        <w:rPr>
          <w:rFonts w:ascii="微软雅黑" w:eastAsia="微软雅黑"/>
          <w:b/>
          <w:sz w:val="21"/>
        </w:rPr>
        <w:tab/>
      </w:r>
      <w:r>
        <w:rPr>
          <w:spacing w:val="-2"/>
          <w:sz w:val="21"/>
        </w:rPr>
        <w:t>严</w:t>
      </w:r>
      <w:r>
        <w:rPr>
          <w:spacing w:val="-2"/>
          <w:sz w:val="21"/>
        </w:rPr>
        <w:t>重</w:t>
      </w:r>
      <w:r>
        <w:rPr>
          <w:spacing w:val="-2"/>
          <w:sz w:val="21"/>
        </w:rPr>
        <w:t>肠</w:t>
      </w:r>
      <w:r>
        <w:rPr>
          <w:spacing w:val="-2"/>
          <w:sz w:val="21"/>
        </w:rPr>
        <w:t>道</w:t>
      </w:r>
      <w:r>
        <w:rPr>
          <w:spacing w:val="-2"/>
          <w:sz w:val="21"/>
        </w:rPr>
        <w:t>疾</w:t>
      </w:r>
      <w:r>
        <w:rPr>
          <w:spacing w:val="-2"/>
          <w:sz w:val="21"/>
        </w:rPr>
        <w:t>病或外</w:t>
      </w:r>
      <w:r>
        <w:rPr>
          <w:spacing w:val="-2"/>
          <w:sz w:val="21"/>
        </w:rPr>
        <w:t>伤</w:t>
      </w:r>
      <w:r>
        <w:rPr>
          <w:spacing w:val="-2"/>
          <w:sz w:val="21"/>
        </w:rPr>
        <w:t>导</w:t>
      </w:r>
      <w:r>
        <w:rPr>
          <w:spacing w:val="-2"/>
          <w:sz w:val="21"/>
        </w:rPr>
        <w:t>致</w:t>
      </w:r>
      <w:r>
        <w:rPr>
          <w:spacing w:val="-2"/>
          <w:sz w:val="21"/>
        </w:rPr>
        <w:t>小</w:t>
      </w:r>
      <w:r>
        <w:rPr>
          <w:spacing w:val="-2"/>
          <w:sz w:val="21"/>
        </w:rPr>
        <w:t>肠</w:t>
      </w:r>
      <w:r>
        <w:rPr>
          <w:spacing w:val="-2"/>
          <w:sz w:val="21"/>
        </w:rPr>
        <w:t>损</w:t>
      </w:r>
      <w:r>
        <w:rPr>
          <w:spacing w:val="-2"/>
          <w:sz w:val="21"/>
        </w:rPr>
        <w:t>害</w:t>
      </w:r>
      <w:r>
        <w:rPr>
          <w:spacing w:val="-2"/>
          <w:sz w:val="21"/>
        </w:rPr>
        <w:t>并</w:t>
      </w:r>
      <w:r>
        <w:rPr>
          <w:spacing w:val="-2"/>
          <w:sz w:val="21"/>
        </w:rPr>
        <w:t>发症，</w:t>
      </w:r>
      <w:r>
        <w:rPr>
          <w:spacing w:val="-2"/>
          <w:sz w:val="21"/>
        </w:rPr>
        <w:t>且</w:t>
      </w:r>
      <w:r>
        <w:rPr>
          <w:spacing w:val="-2"/>
          <w:sz w:val="21"/>
        </w:rPr>
        <w:t>未</w:t>
      </w:r>
      <w:r>
        <w:rPr>
          <w:spacing w:val="-2"/>
          <w:sz w:val="21"/>
        </w:rPr>
        <w:t>达</w:t>
      </w:r>
      <w:r>
        <w:rPr>
          <w:spacing w:val="-2"/>
          <w:sz w:val="21"/>
        </w:rPr>
        <w:t>到</w:t>
      </w:r>
      <w:r>
        <w:rPr>
          <w:spacing w:val="-2"/>
          <w:sz w:val="21"/>
        </w:rPr>
        <w:t>本</w:t>
      </w:r>
      <w:r>
        <w:rPr>
          <w:spacing w:val="-2"/>
          <w:sz w:val="21"/>
        </w:rPr>
        <w:t>合</w:t>
      </w:r>
      <w:r>
        <w:rPr>
          <w:spacing w:val="-2"/>
          <w:sz w:val="21"/>
        </w:rPr>
        <w:t>同</w:t>
      </w:r>
      <w:r>
        <w:rPr>
          <w:spacing w:val="-2"/>
          <w:sz w:val="21"/>
        </w:rPr>
        <w:t>所</w:t>
      </w:r>
      <w:r>
        <w:rPr>
          <w:spacing w:val="-2"/>
          <w:sz w:val="21"/>
        </w:rPr>
        <w:t>指</w:t>
      </w:r>
      <w:r>
        <w:rPr>
          <w:spacing w:val="-10"/>
          <w:sz w:val="21"/>
        </w:rPr>
        <w:t>重</w:t>
      </w:r>
    </w:p>
    <w:p>
      <w:pPr>
        <w:pStyle w:val="BodyText"/>
        <w:spacing w:line="246" w:lineRule="exact"/>
        <w:ind w:left="0" w:right="729"/>
        <w:jc w:val="right"/>
      </w:pPr>
      <w:r>
        <w:rPr>
          <w:spacing w:val="-3"/>
        </w:rPr>
        <w:t>度疾病“严重肠道疾病并发症”的标准。本疾病须满足以下所有条</w:t>
      </w:r>
    </w:p>
    <w:p>
      <w:pPr>
        <w:spacing w:line="180" w:lineRule="auto" w:before="54"/>
        <w:ind w:left="3153" w:right="631" w:firstLine="0"/>
        <w:jc w:val="left"/>
        <w:rPr>
          <w:rFonts w:ascii="微软雅黑" w:hAnsi="微软雅黑" w:eastAsia="微软雅黑"/>
          <w:b/>
          <w:sz w:val="21"/>
        </w:rPr>
      </w:pPr>
      <w:r>
        <w:rPr>
          <w:spacing w:val="-2"/>
          <w:sz w:val="21"/>
        </w:rPr>
        <w:t>件：</w:t>
      </w:r>
      <w:r>
        <w:rPr>
          <w:rFonts w:ascii="Times New Roman" w:hAnsi="Times New Roman" w:eastAsia="Times New Roman"/>
          <w:spacing w:val="-2"/>
          <w:sz w:val="21"/>
        </w:rPr>
        <w:t>1.</w:t>
      </w:r>
      <w:r>
        <w:rPr>
          <w:spacing w:val="-2"/>
          <w:sz w:val="21"/>
        </w:rPr>
        <w:t>至少切除了二分之一小肠；</w:t>
      </w:r>
      <w:r>
        <w:rPr>
          <w:rFonts w:ascii="Times New Roman" w:hAnsi="Times New Roman" w:eastAsia="Times New Roman"/>
          <w:spacing w:val="-2"/>
          <w:sz w:val="21"/>
        </w:rPr>
        <w:t>2.</w:t>
      </w:r>
      <w:r>
        <w:rPr>
          <w:spacing w:val="-2"/>
          <w:sz w:val="21"/>
        </w:rPr>
        <w:t>完全肠外营养支持二个月以上。</w:t>
      </w:r>
      <w:r>
        <w:rPr>
          <w:rFonts w:ascii="微软雅黑" w:hAnsi="微软雅黑" w:eastAsia="微软雅黑"/>
          <w:b/>
          <w:spacing w:val="-2"/>
          <w:sz w:val="21"/>
        </w:rPr>
        <w:t>被保险人已达到本合同所指的重度疾病“严重肠道疾病并发症”标</w:t>
      </w:r>
      <w:r>
        <w:rPr>
          <w:rFonts w:ascii="微软雅黑" w:hAnsi="微软雅黑" w:eastAsia="微软雅黑"/>
          <w:b/>
          <w:spacing w:val="-2"/>
          <w:sz w:val="21"/>
        </w:rPr>
        <w:t>准的，本公司不承担本项中度疾病保险责任。</w:t>
      </w:r>
    </w:p>
    <w:p>
      <w:pPr>
        <w:pStyle w:val="BodyText"/>
        <w:spacing w:before="5"/>
        <w:ind w:left="0"/>
        <w:rPr>
          <w:rFonts w:ascii="微软雅黑"/>
          <w:b/>
          <w:sz w:val="12"/>
        </w:rPr>
      </w:pPr>
    </w:p>
    <w:p>
      <w:pPr>
        <w:pStyle w:val="ListParagraph"/>
        <w:numPr>
          <w:ilvl w:val="1"/>
          <w:numId w:val="27"/>
        </w:numPr>
        <w:tabs>
          <w:tab w:pos="1071" w:val="left" w:leader="none"/>
          <w:tab w:pos="1072" w:val="left" w:leader="none"/>
          <w:tab w:pos="3152" w:val="left" w:leader="none"/>
        </w:tabs>
        <w:spacing w:line="206" w:lineRule="auto" w:before="1" w:after="0"/>
        <w:ind w:left="3153" w:right="729" w:hanging="2931"/>
        <w:jc w:val="left"/>
        <w:rPr>
          <w:sz w:val="21"/>
        </w:rPr>
      </w:pPr>
      <w:r>
        <w:rPr>
          <w:rFonts w:ascii="微软雅黑" w:hAnsi="微软雅黑" w:eastAsia="微软雅黑"/>
          <w:b/>
          <w:spacing w:val="-2"/>
          <w:sz w:val="21"/>
        </w:rPr>
        <w:t>早</w:t>
      </w:r>
      <w:r>
        <w:rPr>
          <w:rFonts w:ascii="微软雅黑" w:hAnsi="微软雅黑" w:eastAsia="微软雅黑"/>
          <w:b/>
          <w:spacing w:val="-2"/>
          <w:sz w:val="21"/>
        </w:rPr>
        <w:t>期</w:t>
      </w:r>
      <w:r>
        <w:rPr>
          <w:rFonts w:ascii="微软雅黑" w:hAnsi="微软雅黑" w:eastAsia="微软雅黑"/>
          <w:b/>
          <w:spacing w:val="-2"/>
          <w:sz w:val="21"/>
        </w:rPr>
        <w:t>原</w:t>
      </w:r>
      <w:r>
        <w:rPr>
          <w:rFonts w:ascii="微软雅黑" w:hAnsi="微软雅黑" w:eastAsia="微软雅黑"/>
          <w:b/>
          <w:spacing w:val="-2"/>
          <w:sz w:val="21"/>
        </w:rPr>
        <w:t>发</w:t>
      </w:r>
      <w:r>
        <w:rPr>
          <w:rFonts w:ascii="微软雅黑" w:hAnsi="微软雅黑" w:eastAsia="微软雅黑"/>
          <w:b/>
          <w:spacing w:val="-2"/>
          <w:sz w:val="21"/>
        </w:rPr>
        <w:t>性</w:t>
      </w:r>
      <w:r>
        <w:rPr>
          <w:rFonts w:ascii="微软雅黑" w:hAnsi="微软雅黑" w:eastAsia="微软雅黑"/>
          <w:b/>
          <w:spacing w:val="-2"/>
          <w:sz w:val="21"/>
        </w:rPr>
        <w:t>心</w:t>
      </w:r>
      <w:r>
        <w:rPr>
          <w:rFonts w:ascii="微软雅黑" w:hAnsi="微软雅黑" w:eastAsia="微软雅黑"/>
          <w:b/>
          <w:spacing w:val="-2"/>
          <w:sz w:val="21"/>
        </w:rPr>
        <w:t>肌</w:t>
      </w:r>
      <w:r>
        <w:rPr>
          <w:rFonts w:ascii="微软雅黑" w:hAnsi="微软雅黑" w:eastAsia="微软雅黑"/>
          <w:b/>
          <w:spacing w:val="-2"/>
          <w:sz w:val="21"/>
        </w:rPr>
        <w:t>病</w:t>
      </w:r>
      <w:r>
        <w:rPr>
          <w:rFonts w:ascii="微软雅黑" w:hAnsi="微软雅黑" w:eastAsia="微软雅黑"/>
          <w:b/>
          <w:sz w:val="21"/>
        </w:rPr>
        <w:tab/>
      </w:r>
      <w:r>
        <w:rPr>
          <w:spacing w:val="-2"/>
          <w:sz w:val="21"/>
        </w:rPr>
        <w:t>被</w:t>
      </w:r>
      <w:r>
        <w:rPr>
          <w:spacing w:val="-2"/>
          <w:sz w:val="21"/>
        </w:rPr>
        <w:t>诊</w:t>
      </w:r>
      <w:r>
        <w:rPr>
          <w:spacing w:val="-2"/>
          <w:sz w:val="21"/>
        </w:rPr>
        <w:t>断</w:t>
      </w:r>
      <w:r>
        <w:rPr>
          <w:spacing w:val="-2"/>
          <w:sz w:val="21"/>
        </w:rPr>
        <w:t>为</w:t>
      </w:r>
      <w:r>
        <w:rPr>
          <w:spacing w:val="-2"/>
          <w:sz w:val="21"/>
        </w:rPr>
        <w:t>原</w:t>
      </w:r>
      <w:r>
        <w:rPr>
          <w:spacing w:val="-2"/>
          <w:sz w:val="21"/>
        </w:rPr>
        <w:t>发性心</w:t>
      </w:r>
      <w:r>
        <w:rPr>
          <w:spacing w:val="-2"/>
          <w:sz w:val="21"/>
        </w:rPr>
        <w:t>肌</w:t>
      </w:r>
      <w:r>
        <w:rPr>
          <w:spacing w:val="-2"/>
          <w:sz w:val="21"/>
        </w:rPr>
        <w:t>病</w:t>
      </w:r>
      <w:r>
        <w:rPr>
          <w:spacing w:val="-2"/>
          <w:sz w:val="21"/>
        </w:rPr>
        <w:t>，</w:t>
      </w:r>
      <w:r>
        <w:rPr>
          <w:spacing w:val="-2"/>
          <w:sz w:val="21"/>
        </w:rPr>
        <w:t>并</w:t>
      </w:r>
      <w:r>
        <w:rPr>
          <w:spacing w:val="-2"/>
          <w:sz w:val="21"/>
        </w:rPr>
        <w:t>符</w:t>
      </w:r>
      <w:r>
        <w:rPr>
          <w:spacing w:val="-2"/>
          <w:sz w:val="21"/>
        </w:rPr>
        <w:t>合</w:t>
      </w:r>
      <w:r>
        <w:rPr>
          <w:spacing w:val="-2"/>
          <w:sz w:val="21"/>
        </w:rPr>
        <w:t>下</w:t>
      </w:r>
      <w:r>
        <w:rPr>
          <w:spacing w:val="-2"/>
          <w:sz w:val="21"/>
        </w:rPr>
        <w:t>列</w:t>
      </w:r>
      <w:r>
        <w:rPr>
          <w:spacing w:val="-2"/>
          <w:sz w:val="21"/>
        </w:rPr>
        <w:t>所有条</w:t>
      </w:r>
      <w:r>
        <w:rPr>
          <w:spacing w:val="-2"/>
          <w:sz w:val="21"/>
        </w:rPr>
        <w:t>件</w:t>
      </w:r>
      <w:r>
        <w:rPr>
          <w:spacing w:val="-2"/>
          <w:sz w:val="21"/>
        </w:rPr>
        <w:t>，但</w:t>
      </w:r>
      <w:r>
        <w:rPr>
          <w:spacing w:val="-2"/>
          <w:sz w:val="21"/>
        </w:rPr>
        <w:t>未</w:t>
      </w:r>
      <w:r>
        <w:rPr>
          <w:spacing w:val="-2"/>
          <w:sz w:val="21"/>
        </w:rPr>
        <w:t>达</w:t>
      </w:r>
      <w:r>
        <w:rPr>
          <w:spacing w:val="-2"/>
          <w:sz w:val="21"/>
        </w:rPr>
        <w:t>到</w:t>
      </w:r>
      <w:r>
        <w:rPr>
          <w:spacing w:val="-2"/>
          <w:sz w:val="21"/>
        </w:rPr>
        <w:t>本</w:t>
      </w:r>
      <w:r>
        <w:rPr>
          <w:spacing w:val="-2"/>
          <w:sz w:val="21"/>
        </w:rPr>
        <w:t>合</w:t>
      </w:r>
      <w:r>
        <w:rPr>
          <w:spacing w:val="-2"/>
          <w:sz w:val="21"/>
        </w:rPr>
        <w:t>同所</w:t>
      </w:r>
      <w:r>
        <w:rPr>
          <w:spacing w:val="-2"/>
          <w:sz w:val="21"/>
        </w:rPr>
        <w:t>指</w:t>
      </w:r>
      <w:r>
        <w:rPr>
          <w:spacing w:val="-2"/>
          <w:sz w:val="21"/>
        </w:rPr>
        <w:t>重</w:t>
      </w:r>
      <w:r>
        <w:rPr>
          <w:spacing w:val="-2"/>
          <w:sz w:val="21"/>
        </w:rPr>
        <w:t>度疾病“严重心肌病”</w:t>
      </w:r>
      <w:r>
        <w:rPr>
          <w:spacing w:val="-2"/>
          <w:sz w:val="21"/>
        </w:rPr>
        <w:t>的</w:t>
      </w:r>
      <w:r>
        <w:rPr>
          <w:spacing w:val="-2"/>
          <w:sz w:val="21"/>
        </w:rPr>
        <w:t>标</w:t>
      </w:r>
      <w:r>
        <w:rPr>
          <w:spacing w:val="-2"/>
          <w:sz w:val="21"/>
        </w:rPr>
        <w:t>准</w:t>
      </w:r>
      <w:r>
        <w:rPr>
          <w:spacing w:val="-2"/>
          <w:sz w:val="21"/>
        </w:rPr>
        <w:t>：</w:t>
      </w:r>
    </w:p>
    <w:p>
      <w:pPr>
        <w:pStyle w:val="ListParagraph"/>
        <w:numPr>
          <w:ilvl w:val="0"/>
          <w:numId w:val="47"/>
        </w:numPr>
        <w:tabs>
          <w:tab w:pos="3682" w:val="left" w:leader="none"/>
        </w:tabs>
        <w:spacing w:line="244" w:lineRule="auto" w:before="9" w:after="0"/>
        <w:ind w:left="3678" w:right="842" w:hanging="526"/>
        <w:jc w:val="left"/>
        <w:rPr>
          <w:sz w:val="21"/>
        </w:rPr>
      </w:pPr>
      <w:r>
        <w:rPr>
          <w:spacing w:val="-2"/>
          <w:sz w:val="21"/>
        </w:rPr>
        <w:t>导致心室功能受损，其受损程度达到美国纽约心脏病学会心</w:t>
      </w:r>
      <w:r>
        <w:rPr>
          <w:spacing w:val="-2"/>
          <w:sz w:val="21"/>
        </w:rPr>
        <w:t>功能状态分级Ⅲ级，或其同等级别。</w:t>
      </w:r>
    </w:p>
    <w:p>
      <w:pPr>
        <w:pStyle w:val="ListParagraph"/>
        <w:numPr>
          <w:ilvl w:val="0"/>
          <w:numId w:val="47"/>
        </w:numPr>
        <w:tabs>
          <w:tab w:pos="3682" w:val="left" w:leader="none"/>
        </w:tabs>
        <w:spacing w:line="244" w:lineRule="auto" w:before="0" w:after="0"/>
        <w:ind w:left="3678" w:right="842" w:hanging="526"/>
        <w:jc w:val="left"/>
        <w:rPr>
          <w:sz w:val="21"/>
        </w:rPr>
      </w:pPr>
      <w:r>
        <w:rPr>
          <w:spacing w:val="-2"/>
          <w:sz w:val="21"/>
        </w:rPr>
        <w:t>原发性心肌病的诊断必须由本公司认可医院的心脏专科医生</w:t>
      </w:r>
      <w:r>
        <w:rPr>
          <w:spacing w:val="-2"/>
          <w:sz w:val="21"/>
        </w:rPr>
        <w:t>确认，并提供心脏超声检查结果报告。</w:t>
      </w:r>
    </w:p>
    <w:p>
      <w:pPr>
        <w:pStyle w:val="BodyText"/>
        <w:spacing w:before="6" w:after="1"/>
        <w:ind w:left="0"/>
        <w:rPr>
          <w:sz w:val="20"/>
        </w:r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9"/>
        <w:gridCol w:w="2165"/>
        <w:gridCol w:w="6363"/>
      </w:tblGrid>
      <w:tr>
        <w:trPr>
          <w:trHeight w:val="908" w:hRule="atLeast"/>
        </w:trPr>
        <w:tc>
          <w:tcPr>
            <w:tcW w:w="2874" w:type="dxa"/>
            <w:gridSpan w:val="2"/>
          </w:tcPr>
          <w:p>
            <w:pPr>
              <w:pStyle w:val="TableParagraph"/>
              <w:rPr>
                <w:rFonts w:ascii="Times New Roman"/>
                <w:sz w:val="20"/>
              </w:rPr>
            </w:pPr>
          </w:p>
        </w:tc>
        <w:tc>
          <w:tcPr>
            <w:tcW w:w="6363" w:type="dxa"/>
          </w:tcPr>
          <w:p>
            <w:pPr>
              <w:pStyle w:val="TableParagraph"/>
              <w:spacing w:line="168" w:lineRule="auto"/>
              <w:ind w:left="106" w:right="155"/>
              <w:jc w:val="both"/>
              <w:rPr>
                <w:rFonts w:ascii="微软雅黑" w:eastAsia="微软雅黑"/>
                <w:b/>
                <w:sz w:val="21"/>
              </w:rPr>
            </w:pPr>
            <w:r>
              <w:rPr>
                <w:rFonts w:ascii="微软雅黑" w:eastAsia="微软雅黑"/>
                <w:b/>
                <w:spacing w:val="-2"/>
                <w:sz w:val="21"/>
              </w:rPr>
              <w:t>本保障范围内的心肌病仅包括扩张型心肌病、肥厚型心肌病及限制</w:t>
            </w:r>
            <w:r>
              <w:rPr>
                <w:rFonts w:ascii="微软雅黑" w:eastAsia="微软雅黑"/>
                <w:b/>
                <w:spacing w:val="-2"/>
                <w:sz w:val="21"/>
              </w:rPr>
              <w:t>型心肌病。继发于全身性疾病或其他器官系统疾病及酒精滥用造成</w:t>
            </w:r>
            <w:r>
              <w:rPr>
                <w:rFonts w:ascii="微软雅黑" w:eastAsia="微软雅黑"/>
                <w:b/>
                <w:spacing w:val="-2"/>
                <w:sz w:val="21"/>
              </w:rPr>
              <w:t>的心肌病变不在保障范围内。</w:t>
            </w:r>
          </w:p>
        </w:tc>
      </w:tr>
      <w:tr>
        <w:trPr>
          <w:trHeight w:val="422" w:hRule="atLeast"/>
        </w:trPr>
        <w:tc>
          <w:tcPr>
            <w:tcW w:w="709" w:type="dxa"/>
          </w:tcPr>
          <w:p>
            <w:pPr>
              <w:pStyle w:val="TableParagraph"/>
              <w:spacing w:before="144"/>
              <w:ind w:left="50"/>
              <w:rPr>
                <w:rFonts w:ascii="Times New Roman"/>
                <w:sz w:val="21"/>
              </w:rPr>
            </w:pPr>
            <w:r>
              <w:rPr>
                <w:rFonts w:ascii="Times New Roman"/>
                <w:spacing w:val="-2"/>
                <w:sz w:val="21"/>
              </w:rPr>
              <w:t>11.13</w:t>
            </w:r>
          </w:p>
        </w:tc>
        <w:tc>
          <w:tcPr>
            <w:tcW w:w="2165" w:type="dxa"/>
          </w:tcPr>
          <w:p>
            <w:pPr>
              <w:pStyle w:val="TableParagraph"/>
              <w:spacing w:line="317" w:lineRule="exact" w:before="85"/>
              <w:ind w:left="190"/>
              <w:rPr>
                <w:rFonts w:ascii="微软雅黑" w:eastAsia="微软雅黑"/>
                <w:b/>
                <w:sz w:val="21"/>
              </w:rPr>
            </w:pPr>
            <w:r>
              <w:rPr>
                <w:rFonts w:ascii="微软雅黑" w:eastAsia="微软雅黑"/>
                <w:b/>
                <w:spacing w:val="18"/>
                <w:sz w:val="21"/>
              </w:rPr>
              <w:t>中度慢性呼吸功能</w:t>
            </w:r>
          </w:p>
        </w:tc>
        <w:tc>
          <w:tcPr>
            <w:tcW w:w="6363" w:type="dxa"/>
          </w:tcPr>
          <w:p>
            <w:pPr>
              <w:pStyle w:val="TableParagraph"/>
              <w:spacing w:line="250" w:lineRule="exact" w:before="152"/>
              <w:ind w:left="106"/>
              <w:rPr>
                <w:sz w:val="21"/>
              </w:rPr>
            </w:pPr>
            <w:r>
              <w:rPr>
                <w:spacing w:val="-3"/>
                <w:sz w:val="21"/>
              </w:rPr>
              <w:t>指因慢性呼吸系统疾病导致永久不可逆的呼吸功能衰竭，但未达到</w:t>
            </w:r>
          </w:p>
        </w:tc>
      </w:tr>
      <w:tr>
        <w:trPr>
          <w:trHeight w:val="272" w:hRule="atLeast"/>
        </w:trPr>
        <w:tc>
          <w:tcPr>
            <w:tcW w:w="709" w:type="dxa"/>
          </w:tcPr>
          <w:p>
            <w:pPr>
              <w:pStyle w:val="TableParagraph"/>
              <w:rPr>
                <w:rFonts w:ascii="Times New Roman"/>
                <w:sz w:val="20"/>
              </w:rPr>
            </w:pPr>
          </w:p>
        </w:tc>
        <w:tc>
          <w:tcPr>
            <w:tcW w:w="2165" w:type="dxa"/>
          </w:tcPr>
          <w:p>
            <w:pPr>
              <w:pStyle w:val="TableParagraph"/>
              <w:spacing w:line="252" w:lineRule="exact"/>
              <w:ind w:left="190"/>
              <w:rPr>
                <w:rFonts w:ascii="微软雅黑" w:eastAsia="微软雅黑"/>
                <w:b/>
                <w:sz w:val="21"/>
              </w:rPr>
            </w:pPr>
            <w:r>
              <w:rPr>
                <w:rFonts w:ascii="微软雅黑" w:eastAsia="微软雅黑"/>
                <w:b/>
                <w:spacing w:val="-5"/>
                <w:sz w:val="21"/>
              </w:rPr>
              <w:t>衰竭</w:t>
            </w:r>
          </w:p>
        </w:tc>
        <w:tc>
          <w:tcPr>
            <w:tcW w:w="6363" w:type="dxa"/>
          </w:tcPr>
          <w:p>
            <w:pPr>
              <w:pStyle w:val="TableParagraph"/>
              <w:spacing w:line="251" w:lineRule="exact" w:before="1"/>
              <w:ind w:left="106"/>
              <w:rPr>
                <w:sz w:val="21"/>
              </w:rPr>
            </w:pPr>
            <w:r>
              <w:rPr>
                <w:spacing w:val="-3"/>
                <w:sz w:val="21"/>
              </w:rPr>
              <w:t>本合同所指重度疾病“严重慢性呼吸衰竭”的标准，且诊断必须满</w:t>
            </w:r>
          </w:p>
        </w:tc>
      </w:tr>
      <w:tr>
        <w:trPr>
          <w:trHeight w:val="269" w:hRule="atLeast"/>
        </w:trPr>
        <w:tc>
          <w:tcPr>
            <w:tcW w:w="709" w:type="dxa"/>
          </w:tcPr>
          <w:p>
            <w:pPr>
              <w:pStyle w:val="TableParagraph"/>
              <w:rPr>
                <w:rFonts w:ascii="Times New Roman"/>
                <w:sz w:val="18"/>
              </w:rPr>
            </w:pPr>
          </w:p>
        </w:tc>
        <w:tc>
          <w:tcPr>
            <w:tcW w:w="2165" w:type="dxa"/>
          </w:tcPr>
          <w:p>
            <w:pPr>
              <w:pStyle w:val="TableParagraph"/>
              <w:rPr>
                <w:rFonts w:ascii="Times New Roman"/>
                <w:sz w:val="18"/>
              </w:rPr>
            </w:pPr>
          </w:p>
        </w:tc>
        <w:tc>
          <w:tcPr>
            <w:tcW w:w="6363" w:type="dxa"/>
          </w:tcPr>
          <w:p>
            <w:pPr>
              <w:pStyle w:val="TableParagraph"/>
              <w:spacing w:line="246" w:lineRule="exact" w:before="2"/>
              <w:ind w:left="106"/>
              <w:rPr>
                <w:sz w:val="21"/>
              </w:rPr>
            </w:pPr>
            <w:r>
              <w:rPr>
                <w:spacing w:val="-4"/>
                <w:sz w:val="21"/>
              </w:rPr>
              <w:t>足以下所有条件：</w:t>
            </w:r>
          </w:p>
        </w:tc>
      </w:tr>
      <w:tr>
        <w:trPr>
          <w:trHeight w:val="952" w:hRule="atLeast"/>
        </w:trPr>
        <w:tc>
          <w:tcPr>
            <w:tcW w:w="709" w:type="dxa"/>
          </w:tcPr>
          <w:p>
            <w:pPr>
              <w:pStyle w:val="TableParagraph"/>
              <w:rPr>
                <w:rFonts w:ascii="Times New Roman"/>
                <w:sz w:val="20"/>
              </w:rPr>
            </w:pPr>
          </w:p>
        </w:tc>
        <w:tc>
          <w:tcPr>
            <w:tcW w:w="2165" w:type="dxa"/>
          </w:tcPr>
          <w:p>
            <w:pPr>
              <w:pStyle w:val="TableParagraph"/>
              <w:rPr>
                <w:rFonts w:ascii="Times New Roman"/>
                <w:sz w:val="20"/>
              </w:rPr>
            </w:pPr>
          </w:p>
        </w:tc>
        <w:tc>
          <w:tcPr>
            <w:tcW w:w="6363" w:type="dxa"/>
          </w:tcPr>
          <w:p>
            <w:pPr>
              <w:pStyle w:val="TableParagraph"/>
              <w:numPr>
                <w:ilvl w:val="0"/>
                <w:numId w:val="48"/>
              </w:numPr>
              <w:tabs>
                <w:tab w:pos="636" w:val="left" w:leader="none"/>
              </w:tabs>
              <w:spacing w:line="240" w:lineRule="auto" w:before="5" w:after="0"/>
              <w:ind w:left="635" w:right="0" w:hanging="530"/>
              <w:jc w:val="left"/>
              <w:rPr>
                <w:sz w:val="21"/>
              </w:rPr>
            </w:pPr>
            <w:r>
              <w:rPr>
                <w:spacing w:val="-2"/>
                <w:sz w:val="21"/>
              </w:rPr>
              <w:t>第一秒末用力呼吸量（</w:t>
            </w:r>
            <w:r>
              <w:rPr>
                <w:rFonts w:ascii="Times New Roman" w:eastAsia="Times New Roman"/>
                <w:spacing w:val="-2"/>
                <w:sz w:val="21"/>
              </w:rPr>
              <w:t>FEV1</w:t>
            </w:r>
            <w:r>
              <w:rPr>
                <w:spacing w:val="-2"/>
                <w:sz w:val="21"/>
              </w:rPr>
              <w:t>）</w:t>
            </w:r>
            <w:r>
              <w:rPr>
                <w:spacing w:val="-18"/>
                <w:sz w:val="21"/>
              </w:rPr>
              <w:t>小于 </w:t>
            </w:r>
            <w:r>
              <w:rPr>
                <w:rFonts w:ascii="Times New Roman" w:eastAsia="Times New Roman"/>
                <w:spacing w:val="-2"/>
                <w:sz w:val="21"/>
              </w:rPr>
              <w:t>1</w:t>
            </w:r>
            <w:r>
              <w:rPr>
                <w:rFonts w:ascii="Times New Roman" w:eastAsia="Times New Roman"/>
                <w:spacing w:val="5"/>
                <w:sz w:val="21"/>
              </w:rPr>
              <w:t> </w:t>
            </w:r>
            <w:r>
              <w:rPr>
                <w:spacing w:val="-6"/>
                <w:sz w:val="21"/>
              </w:rPr>
              <w:t>升；</w:t>
            </w:r>
          </w:p>
          <w:p>
            <w:pPr>
              <w:pStyle w:val="TableParagraph"/>
              <w:numPr>
                <w:ilvl w:val="0"/>
                <w:numId w:val="48"/>
              </w:numPr>
              <w:tabs>
                <w:tab w:pos="636" w:val="left" w:leader="none"/>
              </w:tabs>
              <w:spacing w:line="240" w:lineRule="auto" w:before="2" w:after="0"/>
              <w:ind w:left="635" w:right="0" w:hanging="530"/>
              <w:jc w:val="left"/>
              <w:rPr>
                <w:sz w:val="21"/>
              </w:rPr>
            </w:pPr>
            <w:r>
              <w:rPr>
                <w:spacing w:val="-2"/>
                <w:sz w:val="21"/>
              </w:rPr>
              <w:t>残气容积占肺总量（</w:t>
            </w:r>
            <w:r>
              <w:rPr>
                <w:rFonts w:ascii="Times New Roman" w:eastAsia="Times New Roman"/>
                <w:spacing w:val="-2"/>
                <w:sz w:val="21"/>
              </w:rPr>
              <w:t>TLC</w:t>
            </w:r>
            <w:r>
              <w:rPr>
                <w:spacing w:val="-2"/>
                <w:sz w:val="21"/>
              </w:rPr>
              <w:t>）</w:t>
            </w:r>
            <w:r>
              <w:rPr>
                <w:spacing w:val="-22"/>
                <w:sz w:val="21"/>
              </w:rPr>
              <w:t>的 </w:t>
            </w:r>
            <w:r>
              <w:rPr>
                <w:rFonts w:ascii="Times New Roman" w:eastAsia="Times New Roman"/>
                <w:spacing w:val="-2"/>
                <w:sz w:val="21"/>
              </w:rPr>
              <w:t>50%</w:t>
            </w:r>
            <w:r>
              <w:rPr>
                <w:spacing w:val="-5"/>
                <w:sz w:val="21"/>
              </w:rPr>
              <w:t>以上；</w:t>
            </w:r>
          </w:p>
          <w:p>
            <w:pPr>
              <w:pStyle w:val="TableParagraph"/>
              <w:numPr>
                <w:ilvl w:val="0"/>
                <w:numId w:val="48"/>
              </w:numPr>
              <w:tabs>
                <w:tab w:pos="636" w:val="left" w:leader="none"/>
              </w:tabs>
              <w:spacing w:line="240" w:lineRule="auto" w:before="4" w:after="0"/>
              <w:ind w:left="635" w:right="0" w:hanging="530"/>
              <w:jc w:val="left"/>
              <w:rPr>
                <w:sz w:val="21"/>
              </w:rPr>
            </w:pPr>
            <w:r>
              <w:rPr>
                <w:rFonts w:ascii="Times New Roman" w:hAnsi="Times New Roman" w:eastAsia="Times New Roman"/>
                <w:w w:val="95"/>
                <w:position w:val="2"/>
                <w:sz w:val="21"/>
              </w:rPr>
              <w:t>PaO</w:t>
            </w:r>
            <w:r>
              <w:rPr>
                <w:rFonts w:ascii="Times New Roman" w:hAnsi="Times New Roman" w:eastAsia="Times New Roman"/>
                <w:w w:val="95"/>
                <w:sz w:val="14"/>
              </w:rPr>
              <w:t>2</w:t>
            </w:r>
            <w:r>
              <w:rPr>
                <w:rFonts w:ascii="Times New Roman" w:hAnsi="Times New Roman" w:eastAsia="Times New Roman"/>
                <w:w w:val="95"/>
                <w:position w:val="2"/>
                <w:sz w:val="21"/>
              </w:rPr>
              <w:t>&lt;60mmHg</w:t>
            </w:r>
            <w:r>
              <w:rPr>
                <w:w w:val="95"/>
                <w:position w:val="2"/>
                <w:sz w:val="21"/>
              </w:rPr>
              <w:t>，但≥</w:t>
            </w:r>
            <w:r>
              <w:rPr>
                <w:rFonts w:ascii="Times New Roman" w:hAnsi="Times New Roman" w:eastAsia="Times New Roman"/>
                <w:w w:val="95"/>
                <w:position w:val="2"/>
                <w:sz w:val="21"/>
              </w:rPr>
              <w:t>50mmHg</w:t>
            </w:r>
            <w:r>
              <w:rPr>
                <w:spacing w:val="-10"/>
                <w:w w:val="95"/>
                <w:position w:val="2"/>
                <w:sz w:val="21"/>
              </w:rPr>
              <w:t>。</w:t>
            </w:r>
          </w:p>
        </w:tc>
      </w:tr>
      <w:tr>
        <w:trPr>
          <w:trHeight w:val="412" w:hRule="atLeast"/>
        </w:trPr>
        <w:tc>
          <w:tcPr>
            <w:tcW w:w="709" w:type="dxa"/>
          </w:tcPr>
          <w:p>
            <w:pPr>
              <w:pStyle w:val="TableParagraph"/>
              <w:spacing w:before="135"/>
              <w:ind w:left="50"/>
              <w:rPr>
                <w:rFonts w:ascii="Times New Roman"/>
                <w:sz w:val="21"/>
              </w:rPr>
            </w:pPr>
            <w:r>
              <w:rPr>
                <w:rFonts w:ascii="Times New Roman"/>
                <w:spacing w:val="-2"/>
                <w:sz w:val="21"/>
              </w:rPr>
              <w:t>11.14</w:t>
            </w:r>
          </w:p>
        </w:tc>
        <w:tc>
          <w:tcPr>
            <w:tcW w:w="2165" w:type="dxa"/>
          </w:tcPr>
          <w:p>
            <w:pPr>
              <w:pStyle w:val="TableParagraph"/>
              <w:spacing w:line="317" w:lineRule="exact" w:before="75"/>
              <w:ind w:left="190"/>
              <w:rPr>
                <w:rFonts w:ascii="微软雅黑" w:eastAsia="微软雅黑"/>
                <w:b/>
                <w:sz w:val="21"/>
              </w:rPr>
            </w:pPr>
            <w:r>
              <w:rPr>
                <w:rFonts w:ascii="微软雅黑" w:eastAsia="微软雅黑"/>
                <w:b/>
                <w:spacing w:val="18"/>
                <w:sz w:val="21"/>
              </w:rPr>
              <w:t>腔静脉过滤器植入</w:t>
            </w:r>
          </w:p>
        </w:tc>
        <w:tc>
          <w:tcPr>
            <w:tcW w:w="6363" w:type="dxa"/>
          </w:tcPr>
          <w:p>
            <w:pPr>
              <w:pStyle w:val="TableParagraph"/>
              <w:spacing w:line="250" w:lineRule="exact" w:before="142"/>
              <w:ind w:left="106"/>
              <w:rPr>
                <w:sz w:val="21"/>
              </w:rPr>
            </w:pPr>
            <w:r>
              <w:rPr>
                <w:spacing w:val="-3"/>
                <w:sz w:val="21"/>
              </w:rPr>
              <w:t>指为治疗反复肺栓塞发作，抗凝血疗法无效，已经实施了腔静脉过</w:t>
            </w:r>
          </w:p>
        </w:tc>
      </w:tr>
      <w:tr>
        <w:trPr>
          <w:trHeight w:val="393" w:hRule="atLeast"/>
        </w:trPr>
        <w:tc>
          <w:tcPr>
            <w:tcW w:w="709" w:type="dxa"/>
          </w:tcPr>
          <w:p>
            <w:pPr>
              <w:pStyle w:val="TableParagraph"/>
              <w:rPr>
                <w:rFonts w:ascii="Times New Roman"/>
                <w:sz w:val="20"/>
              </w:rPr>
            </w:pPr>
          </w:p>
        </w:tc>
        <w:tc>
          <w:tcPr>
            <w:tcW w:w="2165" w:type="dxa"/>
          </w:tcPr>
          <w:p>
            <w:pPr>
              <w:pStyle w:val="TableParagraph"/>
              <w:spacing w:line="321" w:lineRule="exact"/>
              <w:ind w:left="190"/>
              <w:rPr>
                <w:rFonts w:ascii="微软雅黑" w:eastAsia="微软雅黑"/>
                <w:b/>
                <w:sz w:val="21"/>
              </w:rPr>
            </w:pPr>
            <w:r>
              <w:rPr>
                <w:rFonts w:ascii="微软雅黑" w:eastAsia="微软雅黑"/>
                <w:b/>
                <w:w w:val="100"/>
                <w:sz w:val="21"/>
              </w:rPr>
              <w:t>术</w:t>
            </w:r>
          </w:p>
        </w:tc>
        <w:tc>
          <w:tcPr>
            <w:tcW w:w="6363" w:type="dxa"/>
          </w:tcPr>
          <w:p>
            <w:pPr>
              <w:pStyle w:val="TableParagraph"/>
              <w:spacing w:before="1"/>
              <w:ind w:left="106"/>
              <w:rPr>
                <w:sz w:val="21"/>
              </w:rPr>
            </w:pPr>
            <w:r>
              <w:rPr>
                <w:spacing w:val="-13"/>
                <w:sz w:val="21"/>
              </w:rPr>
              <w:t>滤器植入术。手术必须在专科医生认为是医学上必需的情况下进行。</w:t>
            </w:r>
          </w:p>
        </w:tc>
      </w:tr>
      <w:tr>
        <w:trPr>
          <w:trHeight w:val="423" w:hRule="atLeast"/>
        </w:trPr>
        <w:tc>
          <w:tcPr>
            <w:tcW w:w="709" w:type="dxa"/>
          </w:tcPr>
          <w:p>
            <w:pPr>
              <w:pStyle w:val="TableParagraph"/>
              <w:spacing w:before="144"/>
              <w:ind w:left="50"/>
              <w:rPr>
                <w:rFonts w:ascii="Times New Roman"/>
                <w:sz w:val="21"/>
              </w:rPr>
            </w:pPr>
            <w:r>
              <w:rPr>
                <w:rFonts w:ascii="Times New Roman"/>
                <w:spacing w:val="-2"/>
                <w:sz w:val="21"/>
              </w:rPr>
              <w:t>11.15</w:t>
            </w:r>
          </w:p>
        </w:tc>
        <w:tc>
          <w:tcPr>
            <w:tcW w:w="2165" w:type="dxa"/>
          </w:tcPr>
          <w:p>
            <w:pPr>
              <w:pStyle w:val="TableParagraph"/>
              <w:spacing w:line="318" w:lineRule="exact" w:before="85"/>
              <w:ind w:left="190"/>
              <w:rPr>
                <w:rFonts w:ascii="微软雅黑" w:eastAsia="微软雅黑"/>
                <w:b/>
                <w:sz w:val="21"/>
              </w:rPr>
            </w:pPr>
            <w:r>
              <w:rPr>
                <w:rFonts w:ascii="微软雅黑" w:eastAsia="微软雅黑"/>
                <w:b/>
                <w:spacing w:val="18"/>
                <w:sz w:val="21"/>
              </w:rPr>
              <w:t>特定周围动脉疾病</w:t>
            </w:r>
          </w:p>
        </w:tc>
        <w:tc>
          <w:tcPr>
            <w:tcW w:w="6363" w:type="dxa"/>
          </w:tcPr>
          <w:p>
            <w:pPr>
              <w:pStyle w:val="TableParagraph"/>
              <w:spacing w:line="251" w:lineRule="exact" w:before="152"/>
              <w:ind w:left="106"/>
              <w:rPr>
                <w:sz w:val="21"/>
              </w:rPr>
            </w:pPr>
            <w:r>
              <w:rPr>
                <w:spacing w:val="-1"/>
                <w:sz w:val="21"/>
              </w:rPr>
              <w:t>指为治疗一条或者一条以上的下列动脉狭窄而实施的血管介入治</w:t>
            </w:r>
          </w:p>
        </w:tc>
      </w:tr>
      <w:tr>
        <w:trPr>
          <w:trHeight w:val="269" w:hRule="atLeast"/>
        </w:trPr>
        <w:tc>
          <w:tcPr>
            <w:tcW w:w="709" w:type="dxa"/>
          </w:tcPr>
          <w:p>
            <w:pPr>
              <w:pStyle w:val="TableParagraph"/>
              <w:rPr>
                <w:rFonts w:ascii="Times New Roman"/>
                <w:sz w:val="18"/>
              </w:rPr>
            </w:pPr>
          </w:p>
        </w:tc>
        <w:tc>
          <w:tcPr>
            <w:tcW w:w="2165" w:type="dxa"/>
          </w:tcPr>
          <w:p>
            <w:pPr>
              <w:pStyle w:val="TableParagraph"/>
              <w:spacing w:line="249" w:lineRule="exact"/>
              <w:ind w:left="190"/>
              <w:rPr>
                <w:rFonts w:ascii="微软雅黑" w:eastAsia="微软雅黑"/>
                <w:b/>
                <w:sz w:val="21"/>
              </w:rPr>
            </w:pPr>
            <w:r>
              <w:rPr>
                <w:rFonts w:ascii="微软雅黑" w:eastAsia="微软雅黑"/>
                <w:b/>
                <w:spacing w:val="-2"/>
                <w:sz w:val="21"/>
              </w:rPr>
              <w:t>的血管介入治疗</w:t>
            </w:r>
          </w:p>
        </w:tc>
        <w:tc>
          <w:tcPr>
            <w:tcW w:w="6363" w:type="dxa"/>
          </w:tcPr>
          <w:p>
            <w:pPr>
              <w:pStyle w:val="TableParagraph"/>
              <w:spacing w:line="246" w:lineRule="exact" w:before="2"/>
              <w:ind w:left="106"/>
              <w:rPr>
                <w:sz w:val="21"/>
              </w:rPr>
            </w:pPr>
            <w:r>
              <w:rPr>
                <w:spacing w:val="-5"/>
                <w:sz w:val="21"/>
              </w:rPr>
              <w:t>疗：</w:t>
            </w:r>
          </w:p>
        </w:tc>
      </w:tr>
      <w:tr>
        <w:trPr>
          <w:trHeight w:val="948" w:hRule="atLeast"/>
        </w:trPr>
        <w:tc>
          <w:tcPr>
            <w:tcW w:w="709" w:type="dxa"/>
          </w:tcPr>
          <w:p>
            <w:pPr>
              <w:pStyle w:val="TableParagraph"/>
              <w:rPr>
                <w:rFonts w:ascii="Times New Roman"/>
                <w:sz w:val="20"/>
              </w:rPr>
            </w:pPr>
          </w:p>
        </w:tc>
        <w:tc>
          <w:tcPr>
            <w:tcW w:w="2165" w:type="dxa"/>
          </w:tcPr>
          <w:p>
            <w:pPr>
              <w:pStyle w:val="TableParagraph"/>
              <w:rPr>
                <w:rFonts w:ascii="Times New Roman"/>
                <w:sz w:val="20"/>
              </w:rPr>
            </w:pPr>
          </w:p>
        </w:tc>
        <w:tc>
          <w:tcPr>
            <w:tcW w:w="6363" w:type="dxa"/>
          </w:tcPr>
          <w:p>
            <w:pPr>
              <w:pStyle w:val="TableParagraph"/>
              <w:numPr>
                <w:ilvl w:val="0"/>
                <w:numId w:val="49"/>
              </w:numPr>
              <w:tabs>
                <w:tab w:pos="636" w:val="left" w:leader="none"/>
              </w:tabs>
              <w:spacing w:line="240" w:lineRule="auto" w:before="5" w:after="0"/>
              <w:ind w:left="635" w:right="0" w:hanging="530"/>
              <w:jc w:val="left"/>
              <w:rPr>
                <w:sz w:val="21"/>
              </w:rPr>
            </w:pPr>
            <w:r>
              <w:rPr>
                <w:spacing w:val="-3"/>
                <w:sz w:val="21"/>
              </w:rPr>
              <w:t>为下肢或者上肢供血的动脉；</w:t>
            </w:r>
          </w:p>
          <w:p>
            <w:pPr>
              <w:pStyle w:val="TableParagraph"/>
              <w:numPr>
                <w:ilvl w:val="0"/>
                <w:numId w:val="49"/>
              </w:numPr>
              <w:tabs>
                <w:tab w:pos="636" w:val="left" w:leader="none"/>
              </w:tabs>
              <w:spacing w:line="240" w:lineRule="auto" w:before="4" w:after="0"/>
              <w:ind w:left="635" w:right="0" w:hanging="530"/>
              <w:jc w:val="left"/>
              <w:rPr>
                <w:sz w:val="21"/>
              </w:rPr>
            </w:pPr>
            <w:r>
              <w:rPr>
                <w:spacing w:val="-4"/>
                <w:sz w:val="21"/>
              </w:rPr>
              <w:t>肾动脉；</w:t>
            </w:r>
          </w:p>
          <w:p>
            <w:pPr>
              <w:pStyle w:val="TableParagraph"/>
              <w:numPr>
                <w:ilvl w:val="0"/>
                <w:numId w:val="49"/>
              </w:numPr>
              <w:tabs>
                <w:tab w:pos="636" w:val="left" w:leader="none"/>
              </w:tabs>
              <w:spacing w:line="240" w:lineRule="auto" w:before="2" w:after="0"/>
              <w:ind w:left="635" w:right="0" w:hanging="530"/>
              <w:jc w:val="left"/>
              <w:rPr>
                <w:sz w:val="21"/>
              </w:rPr>
            </w:pPr>
            <w:r>
              <w:rPr>
                <w:spacing w:val="-4"/>
                <w:sz w:val="21"/>
              </w:rPr>
              <w:t>肠系膜动脉。</w:t>
            </w:r>
          </w:p>
        </w:tc>
      </w:tr>
      <w:tr>
        <w:trPr>
          <w:trHeight w:val="382" w:hRule="atLeast"/>
        </w:trPr>
        <w:tc>
          <w:tcPr>
            <w:tcW w:w="709" w:type="dxa"/>
          </w:tcPr>
          <w:p>
            <w:pPr>
              <w:pStyle w:val="TableParagraph"/>
              <w:rPr>
                <w:rFonts w:ascii="Times New Roman"/>
                <w:sz w:val="20"/>
              </w:rPr>
            </w:pPr>
          </w:p>
        </w:tc>
        <w:tc>
          <w:tcPr>
            <w:tcW w:w="2165" w:type="dxa"/>
          </w:tcPr>
          <w:p>
            <w:pPr>
              <w:pStyle w:val="TableParagraph"/>
              <w:rPr>
                <w:rFonts w:ascii="Times New Roman"/>
                <w:sz w:val="20"/>
              </w:rPr>
            </w:pPr>
          </w:p>
        </w:tc>
        <w:tc>
          <w:tcPr>
            <w:tcW w:w="6363" w:type="dxa"/>
          </w:tcPr>
          <w:p>
            <w:pPr>
              <w:pStyle w:val="TableParagraph"/>
              <w:spacing w:line="248" w:lineRule="exact" w:before="114"/>
              <w:ind w:left="106"/>
              <w:rPr>
                <w:sz w:val="21"/>
              </w:rPr>
            </w:pPr>
            <w:r>
              <w:rPr>
                <w:spacing w:val="-3"/>
                <w:sz w:val="21"/>
              </w:rPr>
              <w:t>须满足下列全部条件：</w:t>
            </w:r>
          </w:p>
        </w:tc>
      </w:tr>
      <w:tr>
        <w:trPr>
          <w:trHeight w:val="261" w:hRule="atLeast"/>
        </w:trPr>
        <w:tc>
          <w:tcPr>
            <w:tcW w:w="709" w:type="dxa"/>
          </w:tcPr>
          <w:p>
            <w:pPr>
              <w:pStyle w:val="TableParagraph"/>
              <w:rPr>
                <w:rFonts w:ascii="Times New Roman"/>
                <w:sz w:val="18"/>
              </w:rPr>
            </w:pPr>
          </w:p>
        </w:tc>
        <w:tc>
          <w:tcPr>
            <w:tcW w:w="2165" w:type="dxa"/>
          </w:tcPr>
          <w:p>
            <w:pPr>
              <w:pStyle w:val="TableParagraph"/>
              <w:rPr>
                <w:rFonts w:ascii="Times New Roman"/>
                <w:sz w:val="18"/>
              </w:rPr>
            </w:pPr>
          </w:p>
        </w:tc>
        <w:tc>
          <w:tcPr>
            <w:tcW w:w="6363" w:type="dxa"/>
          </w:tcPr>
          <w:p>
            <w:pPr>
              <w:pStyle w:val="TableParagraph"/>
              <w:spacing w:line="236" w:lineRule="exact" w:before="6"/>
              <w:ind w:left="106"/>
              <w:rPr>
                <w:sz w:val="21"/>
              </w:rPr>
            </w:pPr>
            <w:r>
              <w:rPr>
                <w:spacing w:val="-2"/>
                <w:sz w:val="21"/>
              </w:rPr>
              <w:t>（</w:t>
            </w:r>
            <w:r>
              <w:rPr>
                <w:rFonts w:ascii="Times New Roman" w:eastAsia="Times New Roman"/>
                <w:spacing w:val="-2"/>
                <w:sz w:val="21"/>
              </w:rPr>
              <w:t>1</w:t>
            </w:r>
            <w:r>
              <w:rPr>
                <w:spacing w:val="-2"/>
                <w:sz w:val="21"/>
              </w:rPr>
              <w:t>）</w:t>
            </w:r>
            <w:r>
              <w:rPr>
                <w:spacing w:val="-3"/>
                <w:sz w:val="21"/>
              </w:rPr>
              <w:t>经血管造影术证实一条或者一条以上的上述动脉狭窄达到</w:t>
            </w:r>
          </w:p>
        </w:tc>
      </w:tr>
    </w:tbl>
    <w:p>
      <w:pPr>
        <w:pStyle w:val="BodyText"/>
        <w:spacing w:before="20"/>
        <w:ind w:left="3676" w:right="4865"/>
        <w:jc w:val="center"/>
      </w:pPr>
      <w:r>
        <w:rPr>
          <w:rFonts w:ascii="Times New Roman" w:eastAsia="Times New Roman"/>
          <w:spacing w:val="-2"/>
        </w:rPr>
        <w:t>50%</w:t>
      </w:r>
      <w:r>
        <w:rPr>
          <w:spacing w:val="-4"/>
        </w:rPr>
        <w:t>或者以上；</w:t>
      </w:r>
    </w:p>
    <w:p>
      <w:pPr>
        <w:pStyle w:val="BodyText"/>
        <w:spacing w:line="242" w:lineRule="auto" w:before="5"/>
        <w:ind w:left="3678" w:right="782" w:hanging="526"/>
        <w:jc w:val="both"/>
      </w:pPr>
      <w:r>
        <w:rPr>
          <w:spacing w:val="-2"/>
        </w:rPr>
        <w:t>（</w:t>
      </w:r>
      <w:r>
        <w:rPr>
          <w:rFonts w:ascii="Times New Roman" w:eastAsia="Times New Roman"/>
          <w:spacing w:val="-2"/>
        </w:rPr>
        <w:t>2</w:t>
      </w:r>
      <w:r>
        <w:rPr>
          <w:spacing w:val="-2"/>
        </w:rPr>
        <w:t>）对一条或者一条以上的上述动脉施行了血管介入治疗，如血</w:t>
      </w:r>
      <w:r>
        <w:rPr>
          <w:spacing w:val="-2"/>
        </w:rPr>
        <w:t>管成形术及</w:t>
      </w:r>
      <w:r>
        <w:rPr>
          <w:rFonts w:ascii="Times New Roman" w:eastAsia="Times New Roman"/>
          <w:spacing w:val="-2"/>
        </w:rPr>
        <w:t>/</w:t>
      </w:r>
      <w:r>
        <w:rPr>
          <w:spacing w:val="-2"/>
        </w:rPr>
        <w:t>或者进行植入支架或者动脉粥样瘤清除手术。此</w:t>
      </w:r>
      <w:r>
        <w:rPr>
          <w:spacing w:val="-2"/>
        </w:rPr>
        <w:t>诊断及治疗均须在本公司认可医院内由血管疾病的专科医生</w:t>
      </w:r>
      <w:r>
        <w:rPr>
          <w:spacing w:val="-2"/>
        </w:rPr>
        <w:t>认为是医疗必须的情况下进行。</w:t>
      </w:r>
    </w:p>
    <w:p>
      <w:pPr>
        <w:pStyle w:val="BodyText"/>
        <w:spacing w:before="7"/>
        <w:ind w:left="0"/>
        <w:rPr>
          <w:sz w:val="13"/>
        </w:rPr>
      </w:pPr>
    </w:p>
    <w:p>
      <w:pPr>
        <w:spacing w:after="0"/>
        <w:rPr>
          <w:sz w:val="13"/>
        </w:rPr>
        <w:sectPr>
          <w:pgSz w:w="11910" w:h="16840"/>
          <w:pgMar w:header="0" w:footer="878" w:top="1060" w:bottom="1060" w:left="1480" w:right="440"/>
        </w:sectPr>
      </w:pPr>
    </w:p>
    <w:p>
      <w:pPr>
        <w:pStyle w:val="ListParagraph"/>
        <w:numPr>
          <w:ilvl w:val="1"/>
          <w:numId w:val="50"/>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于颈动脉进行血管</w:t>
      </w:r>
    </w:p>
    <w:p>
      <w:pPr>
        <w:spacing w:line="168" w:lineRule="auto" w:before="26"/>
        <w:ind w:left="1071" w:right="0" w:firstLine="0"/>
        <w:jc w:val="left"/>
        <w:rPr>
          <w:rFonts w:ascii="微软雅黑" w:eastAsia="微软雅黑"/>
          <w:b/>
          <w:sz w:val="21"/>
        </w:rPr>
      </w:pPr>
      <w:r>
        <w:rPr>
          <w:rFonts w:ascii="微软雅黑" w:eastAsia="微软雅黑"/>
          <w:b/>
          <w:spacing w:val="19"/>
          <w:sz w:val="21"/>
        </w:rPr>
        <w:t>成形术或内膜切除</w:t>
      </w:r>
      <w:r>
        <w:rPr>
          <w:rFonts w:ascii="微软雅黑" w:eastAsia="微软雅黑"/>
          <w:b/>
          <w:spacing w:val="-10"/>
          <w:sz w:val="21"/>
        </w:rPr>
        <w:t>术</w:t>
      </w:r>
    </w:p>
    <w:p>
      <w:pPr>
        <w:pStyle w:val="BodyText"/>
        <w:spacing w:line="242" w:lineRule="auto" w:before="100"/>
        <w:ind w:left="175" w:right="729"/>
        <w:jc w:val="both"/>
      </w:pPr>
      <w:r>
        <w:rPr/>
        <w:br w:type="column"/>
      </w:r>
      <w:r>
        <w:rPr>
          <w:spacing w:val="-2"/>
        </w:rPr>
        <w:t>指根据颈动脉造影检查结果，确诊一条或以上颈动脉存在严重狭窄</w:t>
      </w:r>
      <w:r>
        <w:rPr/>
        <w:t>性病变（至少一支血管管腔直径减少 </w:t>
      </w:r>
      <w:r>
        <w:rPr>
          <w:rFonts w:ascii="Times New Roman" w:eastAsia="Times New Roman"/>
        </w:rPr>
        <w:t>50%</w:t>
      </w:r>
      <w:r>
        <w:rPr/>
        <w:t>以上</w:t>
      </w:r>
      <w:r>
        <w:rPr>
          <w:spacing w:val="-106"/>
        </w:rPr>
        <w:t>）</w:t>
      </w:r>
      <w:r>
        <w:rPr/>
        <w:t>。本病须经国家机</w:t>
      </w:r>
      <w:r>
        <w:rPr>
          <w:spacing w:val="-2"/>
        </w:rPr>
        <w:t>关认可的有合法资质的专科医生明确诊断，同时必须已经采取以下</w:t>
      </w:r>
      <w:r>
        <w:rPr>
          <w:spacing w:val="-2"/>
        </w:rPr>
        <w:t>手术以减轻症状：</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ListParagraph"/>
        <w:numPr>
          <w:ilvl w:val="0"/>
          <w:numId w:val="51"/>
        </w:numPr>
        <w:tabs>
          <w:tab w:pos="3682" w:val="left" w:leader="none"/>
        </w:tabs>
        <w:spacing w:line="240" w:lineRule="auto" w:before="55" w:after="0"/>
        <w:ind w:left="3682" w:right="0" w:hanging="529"/>
        <w:jc w:val="left"/>
        <w:rPr>
          <w:sz w:val="21"/>
        </w:rPr>
      </w:pPr>
      <w:r>
        <w:rPr>
          <w:spacing w:val="-3"/>
          <w:sz w:val="21"/>
        </w:rPr>
        <w:t>确实进行动脉内膜切除术；</w:t>
      </w:r>
    </w:p>
    <w:p>
      <w:pPr>
        <w:pStyle w:val="ListParagraph"/>
        <w:numPr>
          <w:ilvl w:val="0"/>
          <w:numId w:val="51"/>
        </w:numPr>
        <w:tabs>
          <w:tab w:pos="3682" w:val="left" w:leader="none"/>
        </w:tabs>
        <w:spacing w:line="242" w:lineRule="auto" w:before="5" w:after="0"/>
        <w:ind w:left="3678" w:right="785" w:hanging="526"/>
        <w:jc w:val="left"/>
        <w:rPr>
          <w:sz w:val="21"/>
        </w:rPr>
      </w:pPr>
      <w:r>
        <w:rPr>
          <w:spacing w:val="-2"/>
          <w:sz w:val="21"/>
        </w:rPr>
        <w:t>确实进行血管介入治疗，例如血管成形术及</w:t>
      </w:r>
      <w:r>
        <w:rPr>
          <w:rFonts w:ascii="Times New Roman" w:eastAsia="Times New Roman"/>
          <w:spacing w:val="-2"/>
          <w:sz w:val="21"/>
        </w:rPr>
        <w:t>/</w:t>
      </w:r>
      <w:r>
        <w:rPr>
          <w:spacing w:val="-2"/>
          <w:sz w:val="21"/>
        </w:rPr>
        <w:t>或进行植入支架</w:t>
      </w:r>
      <w:r>
        <w:rPr>
          <w:spacing w:val="-4"/>
          <w:sz w:val="21"/>
        </w:rPr>
        <w:t>手术。</w:t>
      </w:r>
    </w:p>
    <w:p>
      <w:pPr>
        <w:pStyle w:val="BodyText"/>
        <w:spacing w:before="6"/>
        <w:ind w:left="0"/>
        <w:rPr>
          <w:sz w:val="13"/>
        </w:rPr>
      </w:pPr>
    </w:p>
    <w:p>
      <w:pPr>
        <w:spacing w:after="0"/>
        <w:rPr>
          <w:sz w:val="13"/>
        </w:rPr>
        <w:sectPr>
          <w:pgSz w:w="11910" w:h="16840"/>
          <w:pgMar w:header="0" w:footer="878" w:top="1060" w:bottom="1060" w:left="1480" w:right="440"/>
        </w:sectPr>
      </w:pPr>
    </w:p>
    <w:p>
      <w:pPr>
        <w:pStyle w:val="ListParagraph"/>
        <w:numPr>
          <w:ilvl w:val="1"/>
          <w:numId w:val="50"/>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中度类风湿性关节</w:t>
      </w:r>
    </w:p>
    <w:p>
      <w:pPr>
        <w:spacing w:line="330" w:lineRule="exact" w:before="0"/>
        <w:ind w:left="1071" w:right="0" w:firstLine="0"/>
        <w:jc w:val="left"/>
        <w:rPr>
          <w:rFonts w:ascii="微软雅黑" w:eastAsia="微软雅黑"/>
          <w:b/>
          <w:sz w:val="21"/>
        </w:rPr>
      </w:pPr>
      <w:r>
        <w:rPr>
          <w:rFonts w:ascii="微软雅黑" w:eastAsia="微软雅黑"/>
          <w:b/>
          <w:w w:val="100"/>
          <w:sz w:val="21"/>
        </w:rPr>
        <w:t>炎</w:t>
      </w:r>
    </w:p>
    <w:p>
      <w:pPr>
        <w:pStyle w:val="BodyText"/>
        <w:spacing w:line="242" w:lineRule="auto" w:before="100"/>
        <w:ind w:left="175" w:right="729"/>
        <w:jc w:val="both"/>
      </w:pPr>
      <w:r>
        <w:rPr/>
        <w:br w:type="column"/>
      </w:r>
      <w:r>
        <w:rPr>
          <w:spacing w:val="-2"/>
        </w:rPr>
        <w:t>根据美国风湿病学院的诊断标准，由风湿科专科医生明确诊断并符</w:t>
      </w:r>
      <w:r>
        <w:rPr>
          <w:spacing w:val="-2"/>
        </w:rPr>
        <w:t>合下列所有理赔条件，但未达到本合同所指重度疾病“严重类风湿</w:t>
      </w:r>
      <w:r>
        <w:rPr>
          <w:spacing w:val="-2"/>
        </w:rPr>
        <w:t>性关节炎”的标准：表现为关节严重变形，侵犯至少两个主要关节</w:t>
      </w:r>
      <w:r>
        <w:rPr>
          <w:spacing w:val="-2"/>
        </w:rPr>
        <w:t>或关节组（如：双手（多手指）关节、双足（多足趾）关节、双腕</w:t>
      </w:r>
      <w:r>
        <w:rPr>
          <w:spacing w:val="-10"/>
        </w:rPr>
        <w:t>关节、双膝关节和双髋关节</w:t>
      </w:r>
      <w:r>
        <w:rPr>
          <w:spacing w:val="-106"/>
        </w:rPr>
        <w:t>）</w:t>
      </w:r>
      <w:r>
        <w:rPr>
          <w:spacing w:val="-10"/>
        </w:rPr>
        <w:t>。类风湿性关节炎必须明确诊断并且已</w:t>
      </w:r>
      <w:r>
        <w:rPr>
          <w:spacing w:val="-2"/>
        </w:rPr>
        <w:t>经达到类风湿性关节炎功能分级Ⅲ级以上的功能障碍（关节活动严</w:t>
      </w:r>
      <w:r>
        <w:rPr>
          <w:spacing w:val="-2"/>
        </w:rPr>
        <w:t>重限制，不能完成大部分的日常工作和活动</w:t>
      </w:r>
      <w:r>
        <w:rPr>
          <w:spacing w:val="-108"/>
        </w:rPr>
        <w:t>）</w:t>
      </w:r>
      <w:r>
        <w:rPr>
          <w:spacing w:val="-2"/>
        </w:rPr>
        <w:t>。</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BodyText"/>
        <w:spacing w:before="5"/>
        <w:ind w:left="0"/>
        <w:rPr>
          <w:sz w:val="11"/>
        </w:rPr>
      </w:pPr>
    </w:p>
    <w:p>
      <w:pPr>
        <w:pStyle w:val="ListParagraph"/>
        <w:numPr>
          <w:ilvl w:val="1"/>
          <w:numId w:val="50"/>
        </w:numPr>
        <w:tabs>
          <w:tab w:pos="849" w:val="left" w:leader="none"/>
          <w:tab w:pos="1072" w:val="left" w:leader="none"/>
          <w:tab w:pos="2930" w:val="left" w:leader="none"/>
        </w:tabs>
        <w:spacing w:line="364" w:lineRule="exact" w:before="33" w:after="0"/>
        <w:ind w:left="1071" w:right="729" w:hanging="1072"/>
        <w:jc w:val="right"/>
        <w:rPr>
          <w:sz w:val="21"/>
        </w:rPr>
      </w:pPr>
      <w:r>
        <w:rPr>
          <w:rFonts w:ascii="微软雅黑" w:eastAsia="微软雅黑"/>
          <w:b/>
          <w:sz w:val="21"/>
        </w:rPr>
        <w:t>中度重症肌无</w:t>
      </w:r>
      <w:r>
        <w:rPr>
          <w:rFonts w:ascii="微软雅黑" w:eastAsia="微软雅黑"/>
          <w:b/>
          <w:spacing w:val="-10"/>
          <w:sz w:val="21"/>
        </w:rPr>
        <w:t>力</w:t>
      </w:r>
      <w:r>
        <w:rPr>
          <w:rFonts w:ascii="微软雅黑" w:eastAsia="微软雅黑"/>
          <w:b/>
          <w:sz w:val="21"/>
        </w:rPr>
        <w:tab/>
      </w:r>
      <w:r>
        <w:rPr>
          <w:spacing w:val="-2"/>
          <w:sz w:val="21"/>
        </w:rPr>
        <w:t>是</w:t>
      </w:r>
      <w:r>
        <w:rPr>
          <w:spacing w:val="-2"/>
          <w:sz w:val="21"/>
        </w:rPr>
        <w:t>一</w:t>
      </w:r>
      <w:r>
        <w:rPr>
          <w:spacing w:val="-2"/>
          <w:sz w:val="21"/>
        </w:rPr>
        <w:t>种</w:t>
      </w:r>
      <w:r>
        <w:rPr>
          <w:spacing w:val="-2"/>
          <w:sz w:val="21"/>
        </w:rPr>
        <w:t>神</w:t>
      </w:r>
      <w:r>
        <w:rPr>
          <w:spacing w:val="-2"/>
          <w:sz w:val="21"/>
        </w:rPr>
        <w:t>经</w:t>
      </w:r>
      <w:r>
        <w:rPr>
          <w:spacing w:val="-2"/>
          <w:sz w:val="21"/>
        </w:rPr>
        <w:t>与肌肉</w:t>
      </w:r>
      <w:r>
        <w:rPr>
          <w:spacing w:val="-2"/>
          <w:sz w:val="21"/>
        </w:rPr>
        <w:t>接</w:t>
      </w:r>
      <w:r>
        <w:rPr>
          <w:spacing w:val="-2"/>
          <w:sz w:val="21"/>
        </w:rPr>
        <w:t>头</w:t>
      </w:r>
      <w:r>
        <w:rPr>
          <w:spacing w:val="-2"/>
          <w:sz w:val="21"/>
        </w:rPr>
        <w:t>部</w:t>
      </w:r>
      <w:r>
        <w:rPr>
          <w:spacing w:val="-2"/>
          <w:sz w:val="21"/>
        </w:rPr>
        <w:t>位</w:t>
      </w:r>
      <w:r>
        <w:rPr>
          <w:spacing w:val="-2"/>
          <w:sz w:val="21"/>
        </w:rPr>
        <w:t>传</w:t>
      </w:r>
      <w:r>
        <w:rPr>
          <w:spacing w:val="-2"/>
          <w:sz w:val="21"/>
        </w:rPr>
        <w:t>递</w:t>
      </w:r>
      <w:r>
        <w:rPr>
          <w:spacing w:val="-2"/>
          <w:sz w:val="21"/>
        </w:rPr>
        <w:t>障</w:t>
      </w:r>
      <w:r>
        <w:rPr>
          <w:spacing w:val="-2"/>
          <w:sz w:val="21"/>
        </w:rPr>
        <w:t>碍</w:t>
      </w:r>
      <w:r>
        <w:rPr>
          <w:spacing w:val="-2"/>
          <w:sz w:val="21"/>
        </w:rPr>
        <w:t>的自身</w:t>
      </w:r>
      <w:r>
        <w:rPr>
          <w:spacing w:val="-2"/>
          <w:sz w:val="21"/>
        </w:rPr>
        <w:t>免</w:t>
      </w:r>
      <w:r>
        <w:rPr>
          <w:spacing w:val="-2"/>
          <w:sz w:val="21"/>
        </w:rPr>
        <w:t>疫</w:t>
      </w:r>
      <w:r>
        <w:rPr>
          <w:spacing w:val="-2"/>
          <w:sz w:val="21"/>
        </w:rPr>
        <w:t>性</w:t>
      </w:r>
      <w:r>
        <w:rPr>
          <w:spacing w:val="-2"/>
          <w:sz w:val="21"/>
        </w:rPr>
        <w:t>疾</w:t>
      </w:r>
      <w:r>
        <w:rPr>
          <w:spacing w:val="-2"/>
          <w:sz w:val="21"/>
        </w:rPr>
        <w:t>病</w:t>
      </w:r>
      <w:r>
        <w:rPr>
          <w:spacing w:val="-2"/>
          <w:sz w:val="21"/>
        </w:rPr>
        <w:t>，</w:t>
      </w:r>
      <w:r>
        <w:rPr>
          <w:spacing w:val="-2"/>
          <w:sz w:val="21"/>
        </w:rPr>
        <w:t>临</w:t>
      </w:r>
      <w:r>
        <w:rPr>
          <w:spacing w:val="-2"/>
          <w:sz w:val="21"/>
        </w:rPr>
        <w:t>床</w:t>
      </w:r>
      <w:r>
        <w:rPr>
          <w:spacing w:val="-2"/>
          <w:sz w:val="21"/>
        </w:rPr>
        <w:t>特</w:t>
      </w:r>
      <w:r>
        <w:rPr>
          <w:spacing w:val="-10"/>
          <w:sz w:val="21"/>
        </w:rPr>
        <w:t>征</w:t>
      </w:r>
    </w:p>
    <w:p>
      <w:pPr>
        <w:pStyle w:val="BodyText"/>
        <w:spacing w:line="246" w:lineRule="exact"/>
        <w:ind w:left="0" w:right="729"/>
        <w:jc w:val="right"/>
      </w:pPr>
      <w:r>
        <w:rPr>
          <w:spacing w:val="-3"/>
        </w:rPr>
        <w:t>是局部或全身横纹肌于活动时易于疲劳无力，颅神经眼外肌最易累</w:t>
      </w:r>
    </w:p>
    <w:p>
      <w:pPr>
        <w:pStyle w:val="BodyText"/>
        <w:spacing w:line="242" w:lineRule="auto" w:before="2"/>
        <w:ind w:right="729"/>
        <w:jc w:val="both"/>
      </w:pPr>
      <w:r>
        <w:rPr>
          <w:spacing w:val="-2"/>
        </w:rPr>
        <w:t>及，也可涉及呼吸肌、下肢近端肌群以至全身肌肉。该病必须由本</w:t>
      </w:r>
      <w:r>
        <w:rPr>
          <w:spacing w:val="-4"/>
        </w:rPr>
        <w:t>公司认可医院的专科医生明确诊断，且疾病确诊 </w:t>
      </w:r>
      <w:r>
        <w:rPr>
          <w:rFonts w:ascii="Times New Roman" w:hAnsi="Times New Roman" w:eastAsia="Times New Roman"/>
          <w:spacing w:val="-2"/>
        </w:rPr>
        <w:t>180</w:t>
      </w:r>
      <w:r>
        <w:rPr>
          <w:rFonts w:ascii="Times New Roman" w:hAnsi="Times New Roman" w:eastAsia="Times New Roman"/>
          <w:spacing w:val="10"/>
        </w:rPr>
        <w:t> </w:t>
      </w:r>
      <w:r>
        <w:rPr>
          <w:spacing w:val="-2"/>
        </w:rPr>
        <w:t>天后，仍然存</w:t>
      </w:r>
      <w:r>
        <w:rPr>
          <w:spacing w:val="-2"/>
        </w:rPr>
        <w:t>在自主生活能力部分丧失，经鉴定无法独立完成六项基本日常生活</w:t>
      </w:r>
      <w:r>
        <w:rPr>
          <w:spacing w:val="-16"/>
        </w:rPr>
        <w:t>活动中的二项，但未达到本合同所指重度疾病“重症肌无力”或“瘫</w:t>
      </w:r>
      <w:r>
        <w:rPr>
          <w:spacing w:val="-2"/>
        </w:rPr>
        <w:t>痪”的标准。</w:t>
      </w:r>
    </w:p>
    <w:p>
      <w:pPr>
        <w:pStyle w:val="BodyText"/>
        <w:spacing w:before="4"/>
        <w:ind w:left="0"/>
        <w:rPr>
          <w:sz w:val="16"/>
        </w:rPr>
      </w:pPr>
    </w:p>
    <w:p>
      <w:pPr>
        <w:pStyle w:val="ListParagraph"/>
        <w:numPr>
          <w:ilvl w:val="1"/>
          <w:numId w:val="50"/>
        </w:numPr>
        <w:tabs>
          <w:tab w:pos="1071" w:val="left" w:leader="none"/>
          <w:tab w:pos="1072" w:val="left" w:leader="none"/>
          <w:tab w:pos="3152" w:val="left" w:leader="none"/>
        </w:tabs>
        <w:spacing w:line="364" w:lineRule="exact" w:before="0" w:after="0"/>
        <w:ind w:left="1071" w:right="0" w:hanging="850"/>
        <w:jc w:val="left"/>
        <w:rPr>
          <w:sz w:val="21"/>
        </w:rPr>
      </w:pPr>
      <w:r>
        <w:rPr>
          <w:rFonts w:ascii="微软雅黑" w:eastAsia="微软雅黑"/>
          <w:b/>
          <w:sz w:val="21"/>
        </w:rPr>
        <w:t>中度肌营养不良</w:t>
      </w:r>
      <w:r>
        <w:rPr>
          <w:rFonts w:ascii="微软雅黑" w:eastAsia="微软雅黑"/>
          <w:b/>
          <w:spacing w:val="-10"/>
          <w:sz w:val="21"/>
        </w:rPr>
        <w:t>症</w:t>
      </w:r>
      <w:r>
        <w:rPr>
          <w:rFonts w:ascii="微软雅黑" w:eastAsia="微软雅黑"/>
          <w:b/>
          <w:sz w:val="21"/>
        </w:rPr>
        <w:tab/>
      </w:r>
      <w:r>
        <w:rPr>
          <w:spacing w:val="-2"/>
          <w:sz w:val="21"/>
        </w:rPr>
        <w:t>指</w:t>
      </w:r>
      <w:r>
        <w:rPr>
          <w:spacing w:val="-2"/>
          <w:sz w:val="21"/>
        </w:rPr>
        <w:t>一</w:t>
      </w:r>
      <w:r>
        <w:rPr>
          <w:spacing w:val="-2"/>
          <w:sz w:val="21"/>
        </w:rPr>
        <w:t>组</w:t>
      </w:r>
      <w:r>
        <w:rPr>
          <w:spacing w:val="-2"/>
          <w:sz w:val="21"/>
        </w:rPr>
        <w:t>原</w:t>
      </w:r>
      <w:r>
        <w:rPr>
          <w:spacing w:val="-2"/>
          <w:sz w:val="21"/>
        </w:rPr>
        <w:t>发</w:t>
      </w:r>
      <w:r>
        <w:rPr>
          <w:spacing w:val="-2"/>
          <w:sz w:val="21"/>
        </w:rPr>
        <w:t>于肌肉</w:t>
      </w:r>
      <w:r>
        <w:rPr>
          <w:spacing w:val="-2"/>
          <w:sz w:val="21"/>
        </w:rPr>
        <w:t>的</w:t>
      </w:r>
      <w:r>
        <w:rPr>
          <w:spacing w:val="-2"/>
          <w:sz w:val="21"/>
        </w:rPr>
        <w:t>遗</w:t>
      </w:r>
      <w:r>
        <w:rPr>
          <w:spacing w:val="-2"/>
          <w:sz w:val="21"/>
        </w:rPr>
        <w:t>传</w:t>
      </w:r>
      <w:r>
        <w:rPr>
          <w:spacing w:val="-2"/>
          <w:sz w:val="21"/>
        </w:rPr>
        <w:t>性</w:t>
      </w:r>
      <w:r>
        <w:rPr>
          <w:spacing w:val="-2"/>
          <w:sz w:val="21"/>
        </w:rPr>
        <w:t>疾</w:t>
      </w:r>
      <w:r>
        <w:rPr>
          <w:spacing w:val="-2"/>
          <w:sz w:val="21"/>
        </w:rPr>
        <w:t>病，</w:t>
      </w:r>
      <w:r>
        <w:rPr>
          <w:spacing w:val="-2"/>
          <w:sz w:val="21"/>
        </w:rPr>
        <w:t>临</w:t>
      </w:r>
      <w:r>
        <w:rPr>
          <w:spacing w:val="-2"/>
          <w:sz w:val="21"/>
        </w:rPr>
        <w:t>床表现</w:t>
      </w:r>
      <w:r>
        <w:rPr>
          <w:spacing w:val="-2"/>
          <w:sz w:val="21"/>
        </w:rPr>
        <w:t>为</w:t>
      </w:r>
      <w:r>
        <w:rPr>
          <w:spacing w:val="-2"/>
          <w:sz w:val="21"/>
        </w:rPr>
        <w:t>与</w:t>
      </w:r>
      <w:r>
        <w:rPr>
          <w:spacing w:val="-2"/>
          <w:sz w:val="21"/>
        </w:rPr>
        <w:t>神</w:t>
      </w:r>
      <w:r>
        <w:rPr>
          <w:spacing w:val="-2"/>
          <w:sz w:val="21"/>
        </w:rPr>
        <w:t>经</w:t>
      </w:r>
      <w:r>
        <w:rPr>
          <w:spacing w:val="-2"/>
          <w:sz w:val="21"/>
        </w:rPr>
        <w:t>系</w:t>
      </w:r>
      <w:r>
        <w:rPr>
          <w:spacing w:val="-2"/>
          <w:sz w:val="21"/>
        </w:rPr>
        <w:t>统</w:t>
      </w:r>
      <w:r>
        <w:rPr>
          <w:spacing w:val="-2"/>
          <w:sz w:val="21"/>
        </w:rPr>
        <w:t>无</w:t>
      </w:r>
      <w:r>
        <w:rPr>
          <w:spacing w:val="-2"/>
          <w:sz w:val="21"/>
        </w:rPr>
        <w:t>关</w:t>
      </w:r>
      <w:r>
        <w:rPr>
          <w:spacing w:val="-2"/>
          <w:sz w:val="21"/>
        </w:rPr>
        <w:t>的</w:t>
      </w:r>
      <w:r>
        <w:rPr>
          <w:spacing w:val="-10"/>
          <w:sz w:val="21"/>
        </w:rPr>
        <w:t>肌</w:t>
      </w:r>
    </w:p>
    <w:p>
      <w:pPr>
        <w:pStyle w:val="BodyText"/>
        <w:spacing w:line="246" w:lineRule="exact"/>
      </w:pPr>
      <w:r>
        <w:rPr>
          <w:spacing w:val="-11"/>
        </w:rPr>
        <w:t>肉无力和肌肉萎缩。但未达到本合同所指重度疾病“肌营养不良症”</w:t>
      </w:r>
    </w:p>
    <w:p>
      <w:pPr>
        <w:pStyle w:val="BodyText"/>
        <w:spacing w:line="242" w:lineRule="auto" w:before="2"/>
        <w:ind w:right="729"/>
        <w:jc w:val="both"/>
      </w:pPr>
      <w:r>
        <w:rPr>
          <w:spacing w:val="-2"/>
        </w:rPr>
        <w:t>或“瘫痪”标准。须满足下列全部条件：</w:t>
      </w:r>
      <w:r>
        <w:rPr>
          <w:rFonts w:ascii="Times New Roman" w:hAnsi="Times New Roman" w:eastAsia="Times New Roman"/>
          <w:spacing w:val="-2"/>
        </w:rPr>
        <w:t>1.</w:t>
      </w:r>
      <w:r>
        <w:rPr>
          <w:spacing w:val="-2"/>
        </w:rPr>
        <w:t>肌肉组织活检结果满足</w:t>
      </w:r>
      <w:r>
        <w:rPr>
          <w:spacing w:val="-2"/>
        </w:rPr>
        <w:t>肌营养不良症的肌肉细胞变性、坏死等阳性改变；</w:t>
      </w:r>
      <w:r>
        <w:rPr>
          <w:rFonts w:ascii="Times New Roman" w:hAnsi="Times New Roman" w:eastAsia="Times New Roman"/>
          <w:spacing w:val="-2"/>
        </w:rPr>
        <w:t>2.</w:t>
      </w:r>
      <w:r>
        <w:rPr>
          <w:spacing w:val="-2"/>
        </w:rPr>
        <w:t>自主生活能力</w:t>
      </w:r>
      <w:r>
        <w:rPr>
          <w:spacing w:val="-2"/>
        </w:rPr>
        <w:t>严重丧失，经鉴定无法独立完成六项基本日常生活活动中的两项或</w:t>
      </w:r>
      <w:r>
        <w:rPr>
          <w:spacing w:val="-2"/>
        </w:rPr>
        <w:t>两项以上。</w:t>
      </w:r>
    </w:p>
    <w:p>
      <w:pPr>
        <w:pStyle w:val="BodyText"/>
        <w:spacing w:before="2"/>
        <w:ind w:left="0"/>
        <w:rPr>
          <w:sz w:val="19"/>
        </w:rPr>
      </w:pPr>
    </w:p>
    <w:p>
      <w:pPr>
        <w:pStyle w:val="BodyText"/>
        <w:spacing w:line="242" w:lineRule="auto"/>
        <w:ind w:right="729"/>
      </w:pPr>
      <w:r>
        <w:rPr>
          <w:spacing w:val="-2"/>
        </w:rPr>
        <w:t>本公司承担本项疾病责任不受本合同责任免除中“遗传性疾病，先</w:t>
      </w:r>
      <w:r>
        <w:rPr>
          <w:spacing w:val="-2"/>
        </w:rPr>
        <w:t>天性畸形、变形或染色体异常”的限制。</w:t>
      </w:r>
    </w:p>
    <w:p>
      <w:pPr>
        <w:pStyle w:val="BodyText"/>
        <w:ind w:left="0"/>
        <w:rPr>
          <w:sz w:val="16"/>
        </w:rPr>
      </w:pPr>
    </w:p>
    <w:p>
      <w:pPr>
        <w:pStyle w:val="ListParagraph"/>
        <w:numPr>
          <w:ilvl w:val="1"/>
          <w:numId w:val="50"/>
        </w:numPr>
        <w:tabs>
          <w:tab w:pos="849" w:val="left" w:leader="none"/>
          <w:tab w:pos="1072" w:val="left" w:leader="none"/>
          <w:tab w:pos="2930" w:val="left" w:leader="none"/>
        </w:tabs>
        <w:spacing w:line="364" w:lineRule="exact" w:before="0" w:after="0"/>
        <w:ind w:left="1071" w:right="730" w:hanging="1072"/>
        <w:jc w:val="right"/>
        <w:rPr>
          <w:sz w:val="21"/>
        </w:rPr>
      </w:pPr>
      <w:r>
        <w:rPr>
          <w:rFonts w:ascii="微软雅黑" w:eastAsia="微软雅黑"/>
          <w:b/>
          <w:sz w:val="21"/>
        </w:rPr>
        <w:t>中度溃疡性结肠</w:t>
      </w:r>
      <w:r>
        <w:rPr>
          <w:rFonts w:ascii="微软雅黑" w:eastAsia="微软雅黑"/>
          <w:b/>
          <w:spacing w:val="-10"/>
          <w:sz w:val="21"/>
        </w:rPr>
        <w:t>炎</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所</w:t>
      </w:r>
      <w:r>
        <w:rPr>
          <w:spacing w:val="-2"/>
          <w:sz w:val="21"/>
        </w:rPr>
        <w:t>保</w:t>
      </w:r>
      <w:r>
        <w:rPr>
          <w:spacing w:val="-2"/>
          <w:sz w:val="21"/>
        </w:rPr>
        <w:t>障的中</w:t>
      </w:r>
      <w:r>
        <w:rPr>
          <w:spacing w:val="-2"/>
          <w:sz w:val="21"/>
        </w:rPr>
        <w:t>度</w:t>
      </w:r>
      <w:r>
        <w:rPr>
          <w:spacing w:val="-2"/>
          <w:sz w:val="21"/>
        </w:rPr>
        <w:t>溃</w:t>
      </w:r>
      <w:r>
        <w:rPr>
          <w:spacing w:val="-2"/>
          <w:sz w:val="21"/>
        </w:rPr>
        <w:t>疡</w:t>
      </w:r>
      <w:r>
        <w:rPr>
          <w:spacing w:val="-2"/>
          <w:sz w:val="21"/>
        </w:rPr>
        <w:t>性</w:t>
      </w:r>
      <w:r>
        <w:rPr>
          <w:spacing w:val="-2"/>
          <w:sz w:val="21"/>
        </w:rPr>
        <w:t>结</w:t>
      </w:r>
      <w:r>
        <w:rPr>
          <w:spacing w:val="-2"/>
          <w:sz w:val="21"/>
        </w:rPr>
        <w:t>肠</w:t>
      </w:r>
      <w:r>
        <w:rPr>
          <w:spacing w:val="-2"/>
          <w:sz w:val="21"/>
        </w:rPr>
        <w:t>炎</w:t>
      </w:r>
      <w:r>
        <w:rPr>
          <w:spacing w:val="-2"/>
          <w:sz w:val="21"/>
        </w:rPr>
        <w:t>是</w:t>
      </w:r>
      <w:r>
        <w:rPr>
          <w:spacing w:val="-2"/>
          <w:sz w:val="21"/>
        </w:rPr>
        <w:t>指伴有</w:t>
      </w:r>
      <w:r>
        <w:rPr>
          <w:spacing w:val="-2"/>
          <w:sz w:val="21"/>
        </w:rPr>
        <w:t>致</w:t>
      </w:r>
      <w:r>
        <w:rPr>
          <w:spacing w:val="-2"/>
          <w:sz w:val="21"/>
        </w:rPr>
        <w:t>命</w:t>
      </w:r>
      <w:r>
        <w:rPr>
          <w:spacing w:val="-2"/>
          <w:sz w:val="21"/>
        </w:rPr>
        <w:t>性</w:t>
      </w:r>
      <w:r>
        <w:rPr>
          <w:spacing w:val="-2"/>
          <w:sz w:val="21"/>
        </w:rPr>
        <w:t>电</w:t>
      </w:r>
      <w:r>
        <w:rPr>
          <w:spacing w:val="-2"/>
          <w:sz w:val="21"/>
        </w:rPr>
        <w:t>解</w:t>
      </w:r>
      <w:r>
        <w:rPr>
          <w:spacing w:val="-2"/>
          <w:sz w:val="21"/>
        </w:rPr>
        <w:t>质</w:t>
      </w:r>
      <w:r>
        <w:rPr>
          <w:spacing w:val="-2"/>
          <w:sz w:val="21"/>
        </w:rPr>
        <w:t>紊</w:t>
      </w:r>
      <w:r>
        <w:rPr>
          <w:spacing w:val="-2"/>
          <w:sz w:val="21"/>
        </w:rPr>
        <w:t>乱</w:t>
      </w:r>
      <w:r>
        <w:rPr>
          <w:spacing w:val="-2"/>
          <w:sz w:val="21"/>
        </w:rPr>
        <w:t>的</w:t>
      </w:r>
      <w:r>
        <w:rPr>
          <w:spacing w:val="-10"/>
          <w:sz w:val="21"/>
        </w:rPr>
        <w:t>急</w:t>
      </w:r>
    </w:p>
    <w:p>
      <w:pPr>
        <w:pStyle w:val="BodyText"/>
        <w:spacing w:line="246" w:lineRule="exact"/>
        <w:ind w:left="0" w:right="729"/>
        <w:jc w:val="right"/>
      </w:pPr>
      <w:r>
        <w:rPr>
          <w:spacing w:val="-3"/>
        </w:rPr>
        <w:t>性暴发性溃疡性结肠炎，病变累及全结肠，表现为严重的血便和系</w:t>
      </w:r>
    </w:p>
    <w:p>
      <w:pPr>
        <w:pStyle w:val="BodyText"/>
        <w:spacing w:line="242" w:lineRule="auto" w:before="3"/>
        <w:ind w:right="729"/>
        <w:jc w:val="both"/>
      </w:pPr>
      <w:r>
        <w:rPr>
          <w:spacing w:val="-2"/>
        </w:rPr>
        <w:t>统性症状体征和肠破裂的风险，本疾病的确诊必须经由内窥镜检查</w:t>
      </w:r>
      <w:r>
        <w:rPr>
          <w:spacing w:val="-2"/>
        </w:rPr>
        <w:t>证实该疾病侵犯全部结肠及直肠及活体切片检查证实为溃疡性结肠</w:t>
      </w:r>
      <w:r>
        <w:rPr>
          <w:spacing w:val="-2"/>
        </w:rPr>
        <w:t>炎。且须经肠胃专科医生连续以系统性免疫抑制剂或免疫调节剂持</w:t>
      </w:r>
      <w:r>
        <w:rPr>
          <w:spacing w:val="-6"/>
        </w:rPr>
        <w:t>续治疗最少 </w:t>
      </w:r>
      <w:r>
        <w:rPr>
          <w:rFonts w:ascii="Times New Roman" w:hAnsi="Times New Roman" w:eastAsia="Times New Roman"/>
          <w:spacing w:val="-2"/>
        </w:rPr>
        <w:t>90</w:t>
      </w:r>
      <w:r>
        <w:rPr>
          <w:rFonts w:ascii="Times New Roman" w:hAnsi="Times New Roman" w:eastAsia="Times New Roman"/>
          <w:spacing w:val="3"/>
        </w:rPr>
        <w:t> </w:t>
      </w:r>
      <w:r>
        <w:rPr>
          <w:spacing w:val="-13"/>
        </w:rPr>
        <w:t>天，但未达到本合同所指重度疾病“严重溃疡性结肠</w:t>
      </w:r>
      <w:r>
        <w:rPr>
          <w:spacing w:val="-2"/>
        </w:rPr>
        <w:t>炎”的标准，才符合本保障范围。</w:t>
      </w:r>
    </w:p>
    <w:p>
      <w:pPr>
        <w:spacing w:line="170" w:lineRule="auto" w:before="15"/>
        <w:ind w:left="3153" w:right="730" w:firstLine="0"/>
        <w:jc w:val="left"/>
        <w:rPr>
          <w:rFonts w:ascii="微软雅黑" w:eastAsia="微软雅黑"/>
          <w:b/>
          <w:sz w:val="21"/>
        </w:rPr>
      </w:pPr>
      <w:r>
        <w:rPr>
          <w:rFonts w:ascii="微软雅黑" w:eastAsia="微软雅黑"/>
          <w:b/>
          <w:spacing w:val="4"/>
          <w:w w:val="100"/>
          <w:sz w:val="21"/>
        </w:rPr>
        <w:t>其他种类的炎性结肠炎</w:t>
      </w:r>
      <w:r>
        <w:rPr>
          <w:rFonts w:ascii="Times New Roman" w:eastAsia="Times New Roman"/>
          <w:b/>
          <w:spacing w:val="2"/>
          <w:w w:val="100"/>
          <w:sz w:val="21"/>
        </w:rPr>
        <w:t>,</w:t>
      </w:r>
      <w:r>
        <w:rPr>
          <w:rFonts w:ascii="微软雅黑" w:eastAsia="微软雅黑"/>
          <w:b/>
          <w:spacing w:val="3"/>
          <w:w w:val="100"/>
          <w:sz w:val="21"/>
        </w:rPr>
        <w:t>只发生在直肠的溃疡性结肠炎均不在保障</w:t>
      </w:r>
      <w:r>
        <w:rPr>
          <w:rFonts w:ascii="微软雅黑" w:eastAsia="微软雅黑"/>
          <w:b/>
          <w:w w:val="100"/>
          <w:sz w:val="21"/>
        </w:rPr>
        <w:t>范围内。</w:t>
      </w:r>
    </w:p>
    <w:p>
      <w:pPr>
        <w:pStyle w:val="BodyText"/>
        <w:spacing w:before="10"/>
        <w:ind w:left="0"/>
        <w:rPr>
          <w:rFonts w:ascii="微软雅黑"/>
          <w:b/>
          <w:sz w:val="14"/>
        </w:rPr>
      </w:pPr>
    </w:p>
    <w:p>
      <w:pPr>
        <w:pStyle w:val="Heading1"/>
        <w:numPr>
          <w:ilvl w:val="0"/>
          <w:numId w:val="27"/>
        </w:numPr>
        <w:tabs>
          <w:tab w:pos="1071" w:val="left" w:leader="none"/>
          <w:tab w:pos="1072" w:val="left" w:leader="none"/>
        </w:tabs>
        <w:spacing w:line="240" w:lineRule="auto" w:before="1" w:after="0"/>
        <w:ind w:left="1071" w:right="0" w:hanging="850"/>
        <w:jc w:val="left"/>
      </w:pPr>
      <w:r>
        <w:rPr>
          <w:spacing w:val="-1"/>
        </w:rPr>
        <w:t>重度疾病的定义及范围</w:t>
      </w:r>
    </w:p>
    <w:p>
      <w:pPr>
        <w:pStyle w:val="BodyText"/>
        <w:spacing w:line="20" w:lineRule="exact"/>
        <w:ind w:left="114"/>
        <w:rPr>
          <w:rFonts w:ascii="微软雅黑"/>
          <w:sz w:val="2"/>
        </w:rPr>
      </w:pPr>
      <w:r>
        <w:rPr>
          <w:rFonts w:ascii="微软雅黑"/>
          <w:sz w:val="2"/>
        </w:rPr>
        <w:drawing>
          <wp:inline distT="0" distB="0" distL="0" distR="0">
            <wp:extent cx="5869400" cy="6095"/>
            <wp:effectExtent l="0" t="0" r="0" b="0"/>
            <wp:docPr id="21" name="image6.png"/>
            <wp:cNvGraphicFramePr>
              <a:graphicFrameLocks noChangeAspect="1"/>
            </wp:cNvGraphicFramePr>
            <a:graphic>
              <a:graphicData uri="http://schemas.openxmlformats.org/drawingml/2006/picture">
                <pic:pic>
                  <pic:nvPicPr>
                    <pic:cNvPr id="22" name="image6.png"/>
                    <pic:cNvPicPr/>
                  </pic:nvPicPr>
                  <pic:blipFill>
                    <a:blip r:embed="rId11" cstate="print"/>
                    <a:stretch>
                      <a:fillRect/>
                    </a:stretch>
                  </pic:blipFill>
                  <pic:spPr>
                    <a:xfrm>
                      <a:off x="0" y="0"/>
                      <a:ext cx="5869400" cy="6095"/>
                    </a:xfrm>
                    <a:prstGeom prst="rect">
                      <a:avLst/>
                    </a:prstGeom>
                  </pic:spPr>
                </pic:pic>
              </a:graphicData>
            </a:graphic>
          </wp:inline>
        </w:drawing>
      </w:r>
      <w:r>
        <w:rPr>
          <w:rFonts w:ascii="微软雅黑"/>
          <w:sz w:val="2"/>
        </w:rPr>
      </w:r>
    </w:p>
    <w:p>
      <w:pPr>
        <w:pStyle w:val="BodyText"/>
        <w:spacing w:before="3"/>
        <w:ind w:left="0"/>
        <w:rPr>
          <w:rFonts w:ascii="微软雅黑"/>
          <w:b/>
          <w:sz w:val="15"/>
        </w:rPr>
      </w:pPr>
    </w:p>
    <w:p>
      <w:pPr>
        <w:pStyle w:val="BodyText"/>
        <w:spacing w:line="242" w:lineRule="auto"/>
        <w:ind w:left="1071" w:right="715"/>
        <w:jc w:val="both"/>
      </w:pPr>
      <w:r>
        <w:rPr>
          <w:spacing w:val="-2"/>
        </w:rPr>
        <w:t>本合同所指重度疾病，是被保险人发生符合以下定义所述条件的疾病、疾病状态或手术，</w:t>
      </w:r>
      <w:r>
        <w:rPr>
          <w:spacing w:val="-2"/>
        </w:rPr>
        <w:t>应当由专科医生明确诊断。其中第</w:t>
      </w:r>
      <w:r>
        <w:rPr>
          <w:rFonts w:ascii="Times New Roman" w:eastAsia="Times New Roman"/>
          <w:spacing w:val="-2"/>
        </w:rPr>
        <w:t>1</w:t>
      </w:r>
      <w:r>
        <w:rPr>
          <w:spacing w:val="-2"/>
        </w:rPr>
        <w:t>至</w:t>
      </w:r>
      <w:r>
        <w:rPr>
          <w:rFonts w:ascii="Times New Roman" w:eastAsia="Times New Roman"/>
          <w:spacing w:val="-2"/>
        </w:rPr>
        <w:t>28</w:t>
      </w:r>
      <w:r>
        <w:rPr>
          <w:spacing w:val="-2"/>
        </w:rPr>
        <w:t>项重度疾病为中国保险行业协会发布的《重大疾</w:t>
      </w:r>
      <w:r>
        <w:rPr>
          <w:spacing w:val="-2"/>
        </w:rPr>
        <w:t>病保险的疾病定义使用规范（</w:t>
      </w:r>
      <w:r>
        <w:rPr>
          <w:rFonts w:ascii="Times New Roman" w:eastAsia="Times New Roman"/>
          <w:spacing w:val="-2"/>
        </w:rPr>
        <w:t>2020</w:t>
      </w:r>
      <w:r>
        <w:rPr>
          <w:spacing w:val="-2"/>
        </w:rPr>
        <w:t>年修订版</w:t>
      </w:r>
      <w:r>
        <w:rPr>
          <w:spacing w:val="-104"/>
        </w:rPr>
        <w:t>）</w:t>
      </w:r>
      <w:r>
        <w:rPr>
          <w:spacing w:val="-2"/>
        </w:rPr>
        <w:t>》规定的</w:t>
      </w:r>
      <w:r>
        <w:rPr>
          <w:rFonts w:ascii="Times New Roman" w:eastAsia="Times New Roman"/>
          <w:spacing w:val="-2"/>
        </w:rPr>
        <w:t>28</w:t>
      </w:r>
      <w:r>
        <w:rPr>
          <w:spacing w:val="-2"/>
        </w:rPr>
        <w:t>种重度疾病，其他为我们增加的</w:t>
      </w:r>
      <w:r>
        <w:rPr>
          <w:spacing w:val="-2"/>
        </w:rPr>
        <w:t>重度疾病。</w:t>
      </w:r>
    </w:p>
    <w:p>
      <w:pPr>
        <w:pStyle w:val="ListParagraph"/>
        <w:numPr>
          <w:ilvl w:val="1"/>
          <w:numId w:val="27"/>
        </w:numPr>
        <w:tabs>
          <w:tab w:pos="849" w:val="left" w:leader="none"/>
          <w:tab w:pos="850" w:val="left" w:leader="none"/>
          <w:tab w:pos="2930" w:val="left" w:leader="none"/>
        </w:tabs>
        <w:spacing w:line="364" w:lineRule="exact" w:before="176" w:after="0"/>
        <w:ind w:left="849" w:right="729" w:hanging="850"/>
        <w:jc w:val="right"/>
        <w:rPr>
          <w:sz w:val="21"/>
        </w:rPr>
      </w:pPr>
      <w:r>
        <w:rPr>
          <w:rFonts w:ascii="微软雅黑" w:hAnsi="微软雅黑" w:eastAsia="微软雅黑"/>
          <w:b/>
          <w:w w:val="95"/>
          <w:sz w:val="21"/>
        </w:rPr>
        <w:t>恶</w:t>
      </w:r>
      <w:r>
        <w:rPr>
          <w:rFonts w:ascii="微软雅黑" w:hAnsi="微软雅黑" w:eastAsia="微软雅黑"/>
          <w:b/>
          <w:w w:val="95"/>
          <w:sz w:val="21"/>
        </w:rPr>
        <w:t>性</w:t>
      </w:r>
      <w:r>
        <w:rPr>
          <w:rFonts w:ascii="微软雅黑" w:hAnsi="微软雅黑" w:eastAsia="微软雅黑"/>
          <w:b/>
          <w:w w:val="95"/>
          <w:sz w:val="21"/>
        </w:rPr>
        <w:t>肿</w:t>
      </w:r>
      <w:r>
        <w:rPr>
          <w:rFonts w:ascii="微软雅黑" w:hAnsi="微软雅黑" w:eastAsia="微软雅黑"/>
          <w:b/>
          <w:w w:val="95"/>
          <w:sz w:val="21"/>
        </w:rPr>
        <w:t>瘤</w:t>
      </w:r>
      <w:r>
        <w:rPr>
          <w:rFonts w:ascii="微软雅黑" w:hAnsi="微软雅黑" w:eastAsia="微软雅黑"/>
          <w:b/>
          <w:w w:val="95"/>
          <w:sz w:val="21"/>
        </w:rPr>
        <w:t>——</w:t>
      </w:r>
      <w:r>
        <w:rPr>
          <w:rFonts w:ascii="微软雅黑" w:hAnsi="微软雅黑" w:eastAsia="微软雅黑"/>
          <w:b/>
          <w:w w:val="95"/>
          <w:sz w:val="21"/>
        </w:rPr>
        <w:t>重</w:t>
      </w:r>
      <w:r>
        <w:rPr>
          <w:rFonts w:ascii="微软雅黑" w:hAnsi="微软雅黑" w:eastAsia="微软雅黑"/>
          <w:b/>
          <w:spacing w:val="-10"/>
          <w:w w:val="95"/>
          <w:sz w:val="21"/>
        </w:rPr>
        <w:t>度</w:t>
      </w:r>
      <w:r>
        <w:rPr>
          <w:rFonts w:ascii="微软雅黑" w:hAnsi="微软雅黑" w:eastAsia="微软雅黑"/>
          <w:b/>
          <w:sz w:val="21"/>
        </w:rPr>
        <w:tab/>
      </w:r>
      <w:r>
        <w:rPr>
          <w:spacing w:val="-2"/>
          <w:sz w:val="21"/>
        </w:rPr>
        <w:t>指</w:t>
      </w:r>
      <w:r>
        <w:rPr>
          <w:spacing w:val="-2"/>
          <w:sz w:val="21"/>
        </w:rPr>
        <w:t>恶</w:t>
      </w:r>
      <w:r>
        <w:rPr>
          <w:spacing w:val="-2"/>
          <w:sz w:val="21"/>
        </w:rPr>
        <w:t>性</w:t>
      </w:r>
      <w:r>
        <w:rPr>
          <w:spacing w:val="-2"/>
          <w:sz w:val="21"/>
        </w:rPr>
        <w:t>细</w:t>
      </w:r>
      <w:r>
        <w:rPr>
          <w:spacing w:val="-2"/>
          <w:sz w:val="21"/>
        </w:rPr>
        <w:t>胞</w:t>
      </w:r>
      <w:r>
        <w:rPr>
          <w:spacing w:val="-2"/>
          <w:sz w:val="21"/>
        </w:rPr>
        <w:t>不受控</w:t>
      </w:r>
      <w:r>
        <w:rPr>
          <w:spacing w:val="-2"/>
          <w:sz w:val="21"/>
        </w:rPr>
        <w:t>制</w:t>
      </w:r>
      <w:r>
        <w:rPr>
          <w:spacing w:val="-2"/>
          <w:sz w:val="21"/>
        </w:rPr>
        <w:t>的</w:t>
      </w:r>
      <w:r>
        <w:rPr>
          <w:spacing w:val="-2"/>
          <w:sz w:val="21"/>
        </w:rPr>
        <w:t>进</w:t>
      </w:r>
      <w:r>
        <w:rPr>
          <w:spacing w:val="-2"/>
          <w:sz w:val="21"/>
        </w:rPr>
        <w:t>行</w:t>
      </w:r>
      <w:r>
        <w:rPr>
          <w:spacing w:val="-2"/>
          <w:sz w:val="21"/>
        </w:rPr>
        <w:t>性</w:t>
      </w:r>
      <w:r>
        <w:rPr>
          <w:spacing w:val="-2"/>
          <w:sz w:val="21"/>
        </w:rPr>
        <w:t>增</w:t>
      </w:r>
      <w:r>
        <w:rPr>
          <w:spacing w:val="-2"/>
          <w:sz w:val="21"/>
        </w:rPr>
        <w:t>长</w:t>
      </w:r>
      <w:r>
        <w:rPr>
          <w:spacing w:val="-2"/>
          <w:sz w:val="21"/>
        </w:rPr>
        <w:t>和</w:t>
      </w:r>
      <w:r>
        <w:rPr>
          <w:spacing w:val="-2"/>
          <w:sz w:val="21"/>
        </w:rPr>
        <w:t>扩散，</w:t>
      </w:r>
      <w:r>
        <w:rPr>
          <w:spacing w:val="-2"/>
          <w:sz w:val="21"/>
        </w:rPr>
        <w:t>浸</w:t>
      </w:r>
      <w:r>
        <w:rPr>
          <w:spacing w:val="-2"/>
          <w:sz w:val="21"/>
        </w:rPr>
        <w:t>润</w:t>
      </w:r>
      <w:r>
        <w:rPr>
          <w:spacing w:val="-2"/>
          <w:sz w:val="21"/>
        </w:rPr>
        <w:t>和</w:t>
      </w:r>
      <w:r>
        <w:rPr>
          <w:spacing w:val="-2"/>
          <w:sz w:val="21"/>
        </w:rPr>
        <w:t>破</w:t>
      </w:r>
      <w:r>
        <w:rPr>
          <w:spacing w:val="-2"/>
          <w:sz w:val="21"/>
        </w:rPr>
        <w:t>坏</w:t>
      </w:r>
      <w:r>
        <w:rPr>
          <w:spacing w:val="-2"/>
          <w:sz w:val="21"/>
        </w:rPr>
        <w:t>周</w:t>
      </w:r>
      <w:r>
        <w:rPr>
          <w:spacing w:val="-2"/>
          <w:sz w:val="21"/>
        </w:rPr>
        <w:t>围</w:t>
      </w:r>
      <w:r>
        <w:rPr>
          <w:spacing w:val="-2"/>
          <w:sz w:val="21"/>
        </w:rPr>
        <w:t>正</w:t>
      </w:r>
      <w:r>
        <w:rPr>
          <w:spacing w:val="-2"/>
          <w:sz w:val="21"/>
        </w:rPr>
        <w:t>常</w:t>
      </w:r>
      <w:r>
        <w:rPr>
          <w:spacing w:val="-10"/>
          <w:sz w:val="21"/>
        </w:rPr>
        <w:t>组</w:t>
      </w:r>
    </w:p>
    <w:p>
      <w:pPr>
        <w:pStyle w:val="BodyText"/>
        <w:spacing w:line="246" w:lineRule="exact"/>
        <w:ind w:left="0" w:right="729"/>
        <w:jc w:val="right"/>
      </w:pPr>
      <w:r>
        <w:rPr>
          <w:spacing w:val="-3"/>
        </w:rPr>
        <w:t>织，可以经血管、淋巴管和体腔扩散转移到身体其他部位，病灶经</w:t>
      </w:r>
    </w:p>
    <w:p>
      <w:pPr>
        <w:pStyle w:val="BodyText"/>
        <w:spacing w:line="242" w:lineRule="auto" w:before="3"/>
        <w:ind w:right="729"/>
        <w:jc w:val="both"/>
      </w:pPr>
      <w:r>
        <w:rPr>
          <w:spacing w:val="-2"/>
        </w:rPr>
        <w:t>组织病理学检查（涵盖骨髓病理学检查）结果明确诊断，临床诊断</w:t>
      </w:r>
      <w:r>
        <w:rPr>
          <w:spacing w:val="-2"/>
        </w:rPr>
        <w:t>属于世界卫生组织（</w:t>
      </w:r>
      <w:r>
        <w:rPr>
          <w:rFonts w:ascii="Times New Roman" w:eastAsia="Times New Roman"/>
          <w:spacing w:val="-2"/>
        </w:rPr>
        <w:t>WHO</w:t>
      </w:r>
      <w:r>
        <w:rPr>
          <w:spacing w:val="-2"/>
        </w:rPr>
        <w:t>，</w:t>
      </w:r>
      <w:r>
        <w:rPr>
          <w:rFonts w:ascii="Times New Roman" w:eastAsia="Times New Roman"/>
          <w:spacing w:val="-2"/>
        </w:rPr>
        <w:t>World</w:t>
      </w:r>
      <w:r>
        <w:rPr>
          <w:rFonts w:ascii="Times New Roman" w:eastAsia="Times New Roman"/>
          <w:spacing w:val="-4"/>
        </w:rPr>
        <w:t> </w:t>
      </w:r>
      <w:r>
        <w:rPr>
          <w:rFonts w:ascii="Times New Roman" w:eastAsia="Times New Roman"/>
          <w:spacing w:val="-2"/>
        </w:rPr>
        <w:t>Health</w:t>
      </w:r>
      <w:r>
        <w:rPr>
          <w:rFonts w:ascii="Times New Roman" w:eastAsia="Times New Roman"/>
          <w:spacing w:val="-4"/>
        </w:rPr>
        <w:t> </w:t>
      </w:r>
      <w:r>
        <w:rPr>
          <w:rFonts w:ascii="Times New Roman" w:eastAsia="Times New Roman"/>
          <w:spacing w:val="7"/>
        </w:rPr>
        <w:t>O</w:t>
      </w:r>
      <w:r>
        <w:rPr>
          <w:rFonts w:ascii="Times New Roman" w:eastAsia="Times New Roman"/>
          <w:spacing w:val="1"/>
        </w:rPr>
        <w:t>r</w:t>
      </w:r>
      <w:r>
        <w:rPr>
          <w:rFonts w:ascii="Times New Roman" w:eastAsia="Times New Roman"/>
          <w:spacing w:val="7"/>
        </w:rPr>
        <w:t>gan</w:t>
      </w:r>
      <w:r>
        <w:rPr>
          <w:rFonts w:ascii="Times New Roman" w:eastAsia="Times New Roman"/>
          <w:spacing w:val="5"/>
        </w:rPr>
        <w:t>i</w:t>
      </w:r>
      <w:r>
        <w:rPr>
          <w:rFonts w:ascii="Times New Roman" w:eastAsia="Times New Roman"/>
          <w:spacing w:val="7"/>
        </w:rPr>
        <w:t>za</w:t>
      </w:r>
      <w:r>
        <w:rPr>
          <w:rFonts w:ascii="Times New Roman" w:eastAsia="Times New Roman"/>
          <w:spacing w:val="5"/>
        </w:rPr>
        <w:t>ti</w:t>
      </w:r>
      <w:r>
        <w:rPr>
          <w:rFonts w:ascii="Times New Roman" w:eastAsia="Times New Roman"/>
          <w:spacing w:val="7"/>
        </w:rPr>
        <w:t>o</w:t>
      </w:r>
      <w:r>
        <w:rPr>
          <w:rFonts w:ascii="Times New Roman" w:eastAsia="Times New Roman"/>
          <w:spacing w:val="8"/>
        </w:rPr>
        <w:t>n</w:t>
      </w:r>
      <w:r>
        <w:rPr>
          <w:spacing w:val="-99"/>
        </w:rPr>
        <w:t>）</w:t>
      </w:r>
      <w:r>
        <w:rPr>
          <w:spacing w:val="-2"/>
        </w:rPr>
        <w:t>《疾病和有</w:t>
      </w:r>
      <w:r>
        <w:rPr>
          <w:spacing w:val="-2"/>
        </w:rPr>
        <w:t>关健康问题的国际统计分类》第十次修订版（</w:t>
      </w:r>
      <w:r>
        <w:rPr>
          <w:rFonts w:ascii="Times New Roman" w:eastAsia="Times New Roman"/>
          <w:spacing w:val="-2"/>
        </w:rPr>
        <w:t>ICD-10</w:t>
      </w:r>
      <w:r>
        <w:rPr>
          <w:spacing w:val="-2"/>
        </w:rPr>
        <w:t>）的恶性肿瘤</w:t>
      </w:r>
      <w:r>
        <w:rPr/>
        <w:t>类别及《国际疾病分类肿瘤学专辑》第三版（</w:t>
      </w:r>
      <w:r>
        <w:rPr>
          <w:rFonts w:ascii="Times New Roman" w:eastAsia="Times New Roman"/>
        </w:rPr>
        <w:t>ICD-O-3</w:t>
      </w:r>
      <w:r>
        <w:rPr/>
        <w:t>）</w:t>
      </w:r>
      <w:r>
        <w:rPr>
          <w:spacing w:val="-3"/>
        </w:rPr>
        <w:t>的肿瘤形</w:t>
      </w:r>
    </w:p>
    <w:p>
      <w:pPr>
        <w:spacing w:after="0" w:line="242" w:lineRule="auto"/>
        <w:jc w:val="both"/>
        <w:sectPr>
          <w:type w:val="continuous"/>
          <w:pgSz w:w="11910" w:h="16840"/>
          <w:pgMar w:header="0" w:footer="878" w:top="160" w:bottom="280" w:left="1480" w:right="440"/>
        </w:sectPr>
      </w:pPr>
    </w:p>
    <w:p>
      <w:pPr>
        <w:pStyle w:val="BodyText"/>
        <w:spacing w:before="55"/>
      </w:pPr>
      <w:r>
        <w:rPr>
          <w:spacing w:val="-2"/>
        </w:rPr>
        <w:t>态学编码属于</w:t>
      </w:r>
      <w:r>
        <w:rPr>
          <w:rFonts w:ascii="Times New Roman" w:eastAsia="Times New Roman"/>
          <w:spacing w:val="-2"/>
        </w:rPr>
        <w:t>3</w:t>
      </w:r>
      <w:r>
        <w:rPr>
          <w:spacing w:val="-2"/>
        </w:rPr>
        <w:t>、</w:t>
      </w:r>
      <w:r>
        <w:rPr>
          <w:rFonts w:ascii="Times New Roman" w:eastAsia="Times New Roman"/>
          <w:spacing w:val="-2"/>
        </w:rPr>
        <w:t>6</w:t>
      </w:r>
      <w:r>
        <w:rPr>
          <w:spacing w:val="-2"/>
        </w:rPr>
        <w:t>、</w:t>
      </w:r>
      <w:r>
        <w:rPr>
          <w:rFonts w:ascii="Times New Roman" w:eastAsia="Times New Roman"/>
          <w:spacing w:val="-2"/>
        </w:rPr>
        <w:t>9</w:t>
      </w:r>
      <w:r>
        <w:rPr>
          <w:spacing w:val="-2"/>
        </w:rPr>
        <w:t>（恶性肿瘤）</w:t>
      </w:r>
      <w:r>
        <w:rPr>
          <w:spacing w:val="-4"/>
        </w:rPr>
        <w:t>范畴的疾病。</w:t>
      </w:r>
    </w:p>
    <w:p>
      <w:pPr>
        <w:spacing w:line="329" w:lineRule="exact" w:before="180"/>
        <w:ind w:left="3153" w:right="0" w:firstLine="0"/>
        <w:jc w:val="left"/>
        <w:rPr>
          <w:rFonts w:ascii="微软雅黑" w:hAnsi="微软雅黑" w:eastAsia="微软雅黑"/>
          <w:b/>
          <w:sz w:val="21"/>
        </w:rPr>
      </w:pPr>
      <w:r>
        <w:rPr>
          <w:rFonts w:ascii="微软雅黑" w:hAnsi="微软雅黑" w:eastAsia="微软雅黑"/>
          <w:b/>
          <w:w w:val="95"/>
          <w:sz w:val="21"/>
        </w:rPr>
        <w:t>下</w:t>
      </w:r>
      <w:r>
        <w:rPr>
          <w:rFonts w:ascii="微软雅黑" w:hAnsi="微软雅黑" w:eastAsia="微软雅黑"/>
          <w:b/>
          <w:w w:val="95"/>
          <w:sz w:val="21"/>
        </w:rPr>
        <w:t>列</w:t>
      </w:r>
      <w:r>
        <w:rPr>
          <w:rFonts w:ascii="微软雅黑" w:hAnsi="微软雅黑" w:eastAsia="微软雅黑"/>
          <w:b/>
          <w:w w:val="95"/>
          <w:sz w:val="21"/>
        </w:rPr>
        <w:t>疾</w:t>
      </w:r>
      <w:r>
        <w:rPr>
          <w:rFonts w:ascii="微软雅黑" w:hAnsi="微软雅黑" w:eastAsia="微软雅黑"/>
          <w:b/>
          <w:w w:val="95"/>
          <w:sz w:val="21"/>
        </w:rPr>
        <w:t>病</w:t>
      </w:r>
      <w:r>
        <w:rPr>
          <w:rFonts w:ascii="微软雅黑" w:hAnsi="微软雅黑" w:eastAsia="微软雅黑"/>
          <w:b/>
          <w:w w:val="95"/>
          <w:sz w:val="21"/>
        </w:rPr>
        <w:t>不</w:t>
      </w:r>
      <w:r>
        <w:rPr>
          <w:rFonts w:ascii="微软雅黑" w:hAnsi="微软雅黑" w:eastAsia="微软雅黑"/>
          <w:b/>
          <w:w w:val="95"/>
          <w:sz w:val="21"/>
        </w:rPr>
        <w:t>属</w:t>
      </w:r>
      <w:r>
        <w:rPr>
          <w:rFonts w:ascii="微软雅黑" w:hAnsi="微软雅黑" w:eastAsia="微软雅黑"/>
          <w:b/>
          <w:w w:val="95"/>
          <w:sz w:val="21"/>
        </w:rPr>
        <w:t>于</w:t>
      </w:r>
      <w:r>
        <w:rPr>
          <w:rFonts w:ascii="微软雅黑" w:hAnsi="微软雅黑" w:eastAsia="微软雅黑"/>
          <w:b/>
          <w:w w:val="95"/>
          <w:sz w:val="21"/>
        </w:rPr>
        <w:t>“恶性肿瘤——</w:t>
      </w:r>
      <w:r>
        <w:rPr>
          <w:rFonts w:ascii="微软雅黑" w:hAnsi="微软雅黑" w:eastAsia="微软雅黑"/>
          <w:b/>
          <w:w w:val="95"/>
          <w:sz w:val="21"/>
        </w:rPr>
        <w:t>重</w:t>
      </w:r>
      <w:r>
        <w:rPr>
          <w:rFonts w:ascii="微软雅黑" w:hAnsi="微软雅黑" w:eastAsia="微软雅黑"/>
          <w:b/>
          <w:w w:val="95"/>
          <w:sz w:val="21"/>
        </w:rPr>
        <w:t>度</w:t>
      </w:r>
      <w:r>
        <w:rPr>
          <w:rFonts w:ascii="微软雅黑" w:hAnsi="微软雅黑" w:eastAsia="微软雅黑"/>
          <w:b/>
          <w:spacing w:val="-53"/>
          <w:w w:val="95"/>
          <w:sz w:val="21"/>
        </w:rPr>
        <w:t>”，</w:t>
      </w:r>
      <w:r>
        <w:rPr>
          <w:rFonts w:ascii="微软雅黑" w:hAnsi="微软雅黑" w:eastAsia="微软雅黑"/>
          <w:b/>
          <w:w w:val="95"/>
          <w:sz w:val="21"/>
        </w:rPr>
        <w:t>不</w:t>
      </w:r>
      <w:r>
        <w:rPr>
          <w:rFonts w:ascii="微软雅黑" w:hAnsi="微软雅黑" w:eastAsia="微软雅黑"/>
          <w:b/>
          <w:w w:val="95"/>
          <w:sz w:val="21"/>
        </w:rPr>
        <w:t>在</w:t>
      </w:r>
      <w:r>
        <w:rPr>
          <w:rFonts w:ascii="微软雅黑" w:hAnsi="微软雅黑" w:eastAsia="微软雅黑"/>
          <w:b/>
          <w:w w:val="95"/>
          <w:sz w:val="21"/>
        </w:rPr>
        <w:t>保障范</w:t>
      </w:r>
      <w:r>
        <w:rPr>
          <w:rFonts w:ascii="微软雅黑" w:hAnsi="微软雅黑" w:eastAsia="微软雅黑"/>
          <w:b/>
          <w:w w:val="95"/>
          <w:sz w:val="21"/>
        </w:rPr>
        <w:t>围</w:t>
      </w:r>
      <w:r>
        <w:rPr>
          <w:rFonts w:ascii="微软雅黑" w:hAnsi="微软雅黑" w:eastAsia="微软雅黑"/>
          <w:b/>
          <w:w w:val="95"/>
          <w:sz w:val="21"/>
        </w:rPr>
        <w:t>内</w:t>
      </w:r>
      <w:r>
        <w:rPr>
          <w:rFonts w:ascii="微软雅黑" w:hAnsi="微软雅黑" w:eastAsia="微软雅黑"/>
          <w:b/>
          <w:spacing w:val="-10"/>
          <w:w w:val="95"/>
          <w:sz w:val="21"/>
        </w:rPr>
        <w:t>：</w:t>
      </w:r>
    </w:p>
    <w:p>
      <w:pPr>
        <w:pStyle w:val="ListParagraph"/>
        <w:numPr>
          <w:ilvl w:val="0"/>
          <w:numId w:val="52"/>
        </w:numPr>
        <w:tabs>
          <w:tab w:pos="3682" w:val="left" w:leader="none"/>
        </w:tabs>
        <w:spacing w:line="170" w:lineRule="auto" w:before="23" w:after="0"/>
        <w:ind w:left="3681" w:right="835" w:hanging="528"/>
        <w:jc w:val="left"/>
        <w:rPr>
          <w:rFonts w:ascii="微软雅黑" w:eastAsia="微软雅黑"/>
          <w:b/>
          <w:sz w:val="21"/>
        </w:rPr>
      </w:pPr>
      <w:r>
        <w:rPr>
          <w:rFonts w:ascii="Times New Roman" w:eastAsia="Times New Roman"/>
          <w:b/>
          <w:spacing w:val="-2"/>
          <w:sz w:val="21"/>
        </w:rPr>
        <w:t>ICD-O-3</w:t>
      </w:r>
      <w:r>
        <w:rPr>
          <w:rFonts w:ascii="微软雅黑" w:eastAsia="微软雅黑"/>
          <w:b/>
          <w:spacing w:val="-2"/>
          <w:sz w:val="21"/>
        </w:rPr>
        <w:t>肿瘤形态学编码属于</w:t>
      </w:r>
      <w:r>
        <w:rPr>
          <w:rFonts w:ascii="Times New Roman" w:eastAsia="Times New Roman"/>
          <w:b/>
          <w:spacing w:val="-2"/>
          <w:sz w:val="21"/>
        </w:rPr>
        <w:t>0</w:t>
      </w:r>
      <w:r>
        <w:rPr>
          <w:rFonts w:ascii="微软雅黑" w:eastAsia="微软雅黑"/>
          <w:b/>
          <w:spacing w:val="-2"/>
          <w:sz w:val="21"/>
        </w:rPr>
        <w:t>（良性肿瘤</w:t>
      </w:r>
      <w:r>
        <w:rPr>
          <w:rFonts w:ascii="微软雅黑" w:eastAsia="微软雅黑"/>
          <w:b/>
          <w:spacing w:val="-108"/>
          <w:sz w:val="21"/>
        </w:rPr>
        <w:t>）</w:t>
      </w:r>
      <w:r>
        <w:rPr>
          <w:rFonts w:ascii="微软雅黑" w:eastAsia="微软雅黑"/>
          <w:b/>
          <w:spacing w:val="-2"/>
          <w:sz w:val="21"/>
        </w:rPr>
        <w:t>、</w:t>
      </w:r>
      <w:r>
        <w:rPr>
          <w:rFonts w:ascii="Times New Roman" w:eastAsia="Times New Roman"/>
          <w:b/>
          <w:spacing w:val="-2"/>
          <w:sz w:val="21"/>
        </w:rPr>
        <w:t>1</w:t>
      </w:r>
      <w:r>
        <w:rPr>
          <w:rFonts w:ascii="微软雅黑" w:eastAsia="微软雅黑"/>
          <w:b/>
          <w:spacing w:val="-2"/>
          <w:sz w:val="21"/>
        </w:rPr>
        <w:t>（动态未定性</w:t>
      </w:r>
      <w:r>
        <w:rPr>
          <w:rFonts w:ascii="微软雅黑" w:eastAsia="微软雅黑"/>
          <w:b/>
          <w:spacing w:val="-2"/>
          <w:sz w:val="21"/>
        </w:rPr>
        <w:t>肿瘤</w:t>
      </w:r>
      <w:r>
        <w:rPr>
          <w:rFonts w:ascii="微软雅黑" w:eastAsia="微软雅黑"/>
          <w:b/>
          <w:spacing w:val="-106"/>
          <w:sz w:val="21"/>
        </w:rPr>
        <w:t>）</w:t>
      </w:r>
      <w:r>
        <w:rPr>
          <w:rFonts w:ascii="微软雅黑" w:eastAsia="微软雅黑"/>
          <w:b/>
          <w:spacing w:val="-2"/>
          <w:sz w:val="21"/>
        </w:rPr>
        <w:t>、</w:t>
      </w:r>
      <w:r>
        <w:rPr>
          <w:rFonts w:ascii="Times New Roman" w:eastAsia="Times New Roman"/>
          <w:b/>
          <w:spacing w:val="-2"/>
          <w:sz w:val="21"/>
        </w:rPr>
        <w:t>2</w:t>
      </w:r>
      <w:r>
        <w:rPr>
          <w:rFonts w:ascii="微软雅黑" w:eastAsia="微软雅黑"/>
          <w:b/>
          <w:spacing w:val="-2"/>
          <w:sz w:val="21"/>
        </w:rPr>
        <w:t>（原位癌和非侵袭性癌）范畴的疾病，如：</w:t>
      </w:r>
    </w:p>
    <w:p>
      <w:pPr>
        <w:pStyle w:val="ListParagraph"/>
        <w:numPr>
          <w:ilvl w:val="1"/>
          <w:numId w:val="52"/>
        </w:numPr>
        <w:tabs>
          <w:tab w:pos="3629" w:val="left" w:leader="none"/>
        </w:tabs>
        <w:spacing w:line="168" w:lineRule="auto" w:before="0" w:after="0"/>
        <w:ind w:left="3678" w:right="632" w:hanging="315"/>
        <w:jc w:val="left"/>
        <w:rPr>
          <w:rFonts w:ascii="微软雅黑" w:eastAsia="微软雅黑"/>
          <w:b/>
          <w:sz w:val="21"/>
        </w:rPr>
      </w:pPr>
      <w:r>
        <w:rPr>
          <w:rFonts w:ascii="微软雅黑" w:eastAsia="微软雅黑"/>
          <w:b/>
          <w:spacing w:val="-2"/>
          <w:sz w:val="21"/>
        </w:rPr>
        <w:t>原位癌，癌前病变，非浸润性癌，非侵袭性癌，肿瘤细胞未侵</w:t>
      </w:r>
      <w:r>
        <w:rPr>
          <w:rFonts w:ascii="微软雅黑" w:eastAsia="微软雅黑"/>
          <w:b/>
          <w:spacing w:val="-2"/>
          <w:sz w:val="21"/>
        </w:rPr>
        <w:t>基底层，上皮内瘤变，细胞不典型性增生等；</w:t>
      </w:r>
    </w:p>
    <w:p>
      <w:pPr>
        <w:pStyle w:val="ListParagraph"/>
        <w:numPr>
          <w:ilvl w:val="1"/>
          <w:numId w:val="52"/>
        </w:numPr>
        <w:tabs>
          <w:tab w:pos="3638" w:val="left" w:leader="none"/>
        </w:tabs>
        <w:spacing w:line="168" w:lineRule="auto" w:before="1" w:after="0"/>
        <w:ind w:left="3678" w:right="862" w:hanging="315"/>
        <w:jc w:val="left"/>
        <w:rPr>
          <w:rFonts w:ascii="微软雅黑" w:eastAsia="微软雅黑"/>
          <w:b/>
          <w:sz w:val="21"/>
        </w:rPr>
      </w:pPr>
      <w:r>
        <w:rPr>
          <w:rFonts w:ascii="微软雅黑" w:eastAsia="微软雅黑"/>
          <w:b/>
          <w:spacing w:val="-2"/>
          <w:sz w:val="21"/>
        </w:rPr>
        <w:t>交界性肿瘤，交界恶性肿瘤，肿瘤低度恶性潜能，潜在低度</w:t>
      </w:r>
      <w:r>
        <w:rPr>
          <w:rFonts w:ascii="微软雅黑" w:eastAsia="微软雅黑"/>
          <w:b/>
          <w:spacing w:val="-2"/>
          <w:sz w:val="21"/>
        </w:rPr>
        <w:t>恶性肿瘤等；</w:t>
      </w:r>
    </w:p>
    <w:p>
      <w:pPr>
        <w:pStyle w:val="ListParagraph"/>
        <w:numPr>
          <w:ilvl w:val="0"/>
          <w:numId w:val="52"/>
        </w:numPr>
        <w:tabs>
          <w:tab w:pos="3682" w:val="left" w:leader="none"/>
        </w:tabs>
        <w:spacing w:line="248" w:lineRule="exact" w:before="0" w:after="0"/>
        <w:ind w:left="3682" w:right="0" w:hanging="529"/>
        <w:jc w:val="left"/>
        <w:rPr>
          <w:rFonts w:ascii="微软雅黑" w:hAnsi="微软雅黑" w:eastAsia="微软雅黑"/>
          <w:b/>
          <w:sz w:val="21"/>
        </w:rPr>
      </w:pPr>
      <w:r>
        <w:rPr>
          <w:rFonts w:ascii="Times New Roman" w:hAnsi="Times New Roman" w:eastAsia="Times New Roman"/>
          <w:b/>
          <w:spacing w:val="-2"/>
          <w:sz w:val="21"/>
        </w:rPr>
        <w:t>TNM</w:t>
      </w:r>
      <w:r>
        <w:rPr>
          <w:rFonts w:ascii="微软雅黑" w:hAnsi="微软雅黑" w:eastAsia="微软雅黑"/>
          <w:b/>
          <w:spacing w:val="-3"/>
          <w:sz w:val="21"/>
        </w:rPr>
        <w:t>分期为Ⅰ期或更轻分期的甲状腺癌；</w:t>
      </w:r>
    </w:p>
    <w:p>
      <w:pPr>
        <w:pStyle w:val="ListParagraph"/>
        <w:numPr>
          <w:ilvl w:val="0"/>
          <w:numId w:val="52"/>
        </w:numPr>
        <w:tabs>
          <w:tab w:pos="3682" w:val="left" w:leader="none"/>
        </w:tabs>
        <w:spacing w:line="272" w:lineRule="exact" w:before="0" w:after="0"/>
        <w:ind w:left="3682" w:right="0" w:hanging="529"/>
        <w:jc w:val="left"/>
        <w:rPr>
          <w:rFonts w:ascii="微软雅黑" w:eastAsia="微软雅黑"/>
          <w:b/>
          <w:sz w:val="21"/>
        </w:rPr>
      </w:pPr>
      <w:r>
        <w:rPr>
          <w:rFonts w:ascii="Times New Roman" w:eastAsia="Times New Roman"/>
          <w:b/>
          <w:w w:val="95"/>
          <w:position w:val="2"/>
          <w:sz w:val="21"/>
        </w:rPr>
        <w:t>TNM</w:t>
      </w:r>
      <w:r>
        <w:rPr>
          <w:rFonts w:ascii="微软雅黑" w:eastAsia="微软雅黑"/>
          <w:b/>
          <w:w w:val="95"/>
          <w:position w:val="2"/>
          <w:sz w:val="21"/>
        </w:rPr>
        <w:t>分</w:t>
      </w:r>
      <w:r>
        <w:rPr>
          <w:rFonts w:ascii="微软雅黑" w:eastAsia="微软雅黑"/>
          <w:b/>
          <w:w w:val="95"/>
          <w:position w:val="2"/>
          <w:sz w:val="21"/>
        </w:rPr>
        <w:t>期</w:t>
      </w:r>
      <w:r>
        <w:rPr>
          <w:rFonts w:ascii="微软雅黑" w:eastAsia="微软雅黑"/>
          <w:b/>
          <w:w w:val="95"/>
          <w:position w:val="2"/>
          <w:sz w:val="21"/>
        </w:rPr>
        <w:t>为</w:t>
      </w:r>
      <w:r>
        <w:rPr>
          <w:rFonts w:ascii="Times New Roman" w:eastAsia="Times New Roman"/>
          <w:b/>
          <w:w w:val="95"/>
          <w:position w:val="2"/>
          <w:sz w:val="21"/>
        </w:rPr>
        <w:t>T</w:t>
      </w:r>
      <w:r>
        <w:rPr>
          <w:rFonts w:ascii="Times New Roman" w:eastAsia="Times New Roman"/>
          <w:b/>
          <w:w w:val="95"/>
          <w:sz w:val="14"/>
        </w:rPr>
        <w:t>1</w:t>
      </w:r>
      <w:r>
        <w:rPr>
          <w:rFonts w:ascii="Times New Roman" w:eastAsia="Times New Roman"/>
          <w:b/>
          <w:w w:val="95"/>
          <w:position w:val="2"/>
          <w:sz w:val="21"/>
        </w:rPr>
        <w:t>N</w:t>
      </w:r>
      <w:r>
        <w:rPr>
          <w:rFonts w:ascii="Times New Roman" w:eastAsia="Times New Roman"/>
          <w:b/>
          <w:w w:val="95"/>
          <w:sz w:val="14"/>
        </w:rPr>
        <w:t>0</w:t>
      </w:r>
      <w:r>
        <w:rPr>
          <w:rFonts w:ascii="Times New Roman" w:eastAsia="Times New Roman"/>
          <w:b/>
          <w:w w:val="95"/>
          <w:position w:val="2"/>
          <w:sz w:val="21"/>
        </w:rPr>
        <w:t>M</w:t>
      </w:r>
      <w:r>
        <w:rPr>
          <w:rFonts w:ascii="Times New Roman" w:eastAsia="Times New Roman"/>
          <w:b/>
          <w:w w:val="95"/>
          <w:sz w:val="14"/>
        </w:rPr>
        <w:t>0</w:t>
      </w:r>
      <w:r>
        <w:rPr>
          <w:rFonts w:ascii="微软雅黑" w:eastAsia="微软雅黑"/>
          <w:b/>
          <w:w w:val="95"/>
          <w:position w:val="2"/>
          <w:sz w:val="21"/>
        </w:rPr>
        <w:t>期</w:t>
      </w:r>
      <w:r>
        <w:rPr>
          <w:rFonts w:ascii="微软雅黑" w:eastAsia="微软雅黑"/>
          <w:b/>
          <w:w w:val="95"/>
          <w:position w:val="2"/>
          <w:sz w:val="21"/>
        </w:rPr>
        <w:t>或</w:t>
      </w:r>
      <w:r>
        <w:rPr>
          <w:rFonts w:ascii="微软雅黑" w:eastAsia="微软雅黑"/>
          <w:b/>
          <w:w w:val="95"/>
          <w:position w:val="2"/>
          <w:sz w:val="21"/>
        </w:rPr>
        <w:t>更</w:t>
      </w:r>
      <w:r>
        <w:rPr>
          <w:rFonts w:ascii="微软雅黑" w:eastAsia="微软雅黑"/>
          <w:b/>
          <w:w w:val="95"/>
          <w:position w:val="2"/>
          <w:sz w:val="21"/>
        </w:rPr>
        <w:t>轻</w:t>
      </w:r>
      <w:r>
        <w:rPr>
          <w:rFonts w:ascii="微软雅黑" w:eastAsia="微软雅黑"/>
          <w:b/>
          <w:w w:val="95"/>
          <w:position w:val="2"/>
          <w:sz w:val="21"/>
        </w:rPr>
        <w:t>分</w:t>
      </w:r>
      <w:r>
        <w:rPr>
          <w:rFonts w:ascii="微软雅黑" w:eastAsia="微软雅黑"/>
          <w:b/>
          <w:w w:val="95"/>
          <w:position w:val="2"/>
          <w:sz w:val="21"/>
        </w:rPr>
        <w:t>期</w:t>
      </w:r>
      <w:r>
        <w:rPr>
          <w:rFonts w:ascii="微软雅黑" w:eastAsia="微软雅黑"/>
          <w:b/>
          <w:w w:val="95"/>
          <w:position w:val="2"/>
          <w:sz w:val="21"/>
        </w:rPr>
        <w:t>的</w:t>
      </w:r>
      <w:r>
        <w:rPr>
          <w:rFonts w:ascii="微软雅黑" w:eastAsia="微软雅黑"/>
          <w:b/>
          <w:w w:val="95"/>
          <w:position w:val="2"/>
          <w:sz w:val="21"/>
        </w:rPr>
        <w:t>前</w:t>
      </w:r>
      <w:r>
        <w:rPr>
          <w:rFonts w:ascii="微软雅黑" w:eastAsia="微软雅黑"/>
          <w:b/>
          <w:spacing w:val="-3"/>
          <w:w w:val="95"/>
          <w:position w:val="2"/>
          <w:sz w:val="21"/>
        </w:rPr>
        <w:t>列腺癌；</w:t>
      </w:r>
    </w:p>
    <w:p>
      <w:pPr>
        <w:pStyle w:val="ListParagraph"/>
        <w:numPr>
          <w:ilvl w:val="0"/>
          <w:numId w:val="52"/>
        </w:numPr>
        <w:tabs>
          <w:tab w:pos="3682" w:val="left" w:leader="none"/>
        </w:tabs>
        <w:spacing w:line="273" w:lineRule="exact" w:before="0" w:after="0"/>
        <w:ind w:left="3682" w:right="0" w:hanging="529"/>
        <w:jc w:val="left"/>
        <w:rPr>
          <w:rFonts w:ascii="微软雅黑" w:eastAsia="微软雅黑"/>
          <w:b/>
          <w:sz w:val="21"/>
        </w:rPr>
      </w:pPr>
      <w:r>
        <w:rPr>
          <w:rFonts w:ascii="微软雅黑" w:eastAsia="微软雅黑"/>
          <w:b/>
          <w:spacing w:val="-3"/>
          <w:sz w:val="21"/>
        </w:rPr>
        <w:t>黑色素瘤以外的未发生淋巴结和远处转移的皮肤恶性肿瘤；</w:t>
      </w:r>
    </w:p>
    <w:p>
      <w:pPr>
        <w:pStyle w:val="ListParagraph"/>
        <w:numPr>
          <w:ilvl w:val="0"/>
          <w:numId w:val="52"/>
        </w:numPr>
        <w:tabs>
          <w:tab w:pos="3682" w:val="left" w:leader="none"/>
        </w:tabs>
        <w:spacing w:line="272" w:lineRule="exact" w:before="0" w:after="0"/>
        <w:ind w:left="3682" w:right="0" w:hanging="529"/>
        <w:jc w:val="left"/>
        <w:rPr>
          <w:rFonts w:ascii="微软雅黑" w:eastAsia="微软雅黑"/>
          <w:b/>
          <w:sz w:val="21"/>
        </w:rPr>
      </w:pPr>
      <w:r>
        <w:rPr>
          <w:rFonts w:ascii="微软雅黑" w:eastAsia="微软雅黑"/>
          <w:b/>
          <w:spacing w:val="-2"/>
          <w:sz w:val="21"/>
        </w:rPr>
        <w:t>相当于</w:t>
      </w:r>
      <w:r>
        <w:rPr>
          <w:rFonts w:ascii="Times New Roman" w:eastAsia="Times New Roman"/>
          <w:b/>
          <w:spacing w:val="-2"/>
          <w:sz w:val="21"/>
        </w:rPr>
        <w:t>Binet</w:t>
      </w:r>
      <w:r>
        <w:rPr>
          <w:rFonts w:ascii="微软雅黑" w:eastAsia="微软雅黑"/>
          <w:b/>
          <w:spacing w:val="-2"/>
          <w:sz w:val="21"/>
        </w:rPr>
        <w:t>分期方案</w:t>
      </w:r>
      <w:r>
        <w:rPr>
          <w:rFonts w:ascii="Times New Roman" w:eastAsia="Times New Roman"/>
          <w:b/>
          <w:spacing w:val="-2"/>
          <w:sz w:val="21"/>
        </w:rPr>
        <w:t>A</w:t>
      </w:r>
      <w:r>
        <w:rPr>
          <w:rFonts w:ascii="微软雅黑" w:eastAsia="微软雅黑"/>
          <w:b/>
          <w:spacing w:val="-3"/>
          <w:sz w:val="21"/>
        </w:rPr>
        <w:t>期程度的慢性淋巴细胞白血病；</w:t>
      </w:r>
    </w:p>
    <w:p>
      <w:pPr>
        <w:pStyle w:val="ListParagraph"/>
        <w:numPr>
          <w:ilvl w:val="0"/>
          <w:numId w:val="52"/>
        </w:numPr>
        <w:tabs>
          <w:tab w:pos="3682" w:val="left" w:leader="none"/>
        </w:tabs>
        <w:spacing w:line="272" w:lineRule="exact" w:before="0" w:after="0"/>
        <w:ind w:left="3682" w:right="0" w:hanging="529"/>
        <w:jc w:val="left"/>
        <w:rPr>
          <w:rFonts w:ascii="微软雅黑" w:hAnsi="微软雅黑" w:eastAsia="微软雅黑"/>
          <w:b/>
          <w:sz w:val="21"/>
        </w:rPr>
      </w:pPr>
      <w:r>
        <w:rPr>
          <w:rFonts w:ascii="微软雅黑" w:hAnsi="微软雅黑" w:eastAsia="微软雅黑"/>
          <w:b/>
          <w:spacing w:val="-2"/>
          <w:sz w:val="21"/>
        </w:rPr>
        <w:t>相当于</w:t>
      </w:r>
      <w:r>
        <w:rPr>
          <w:rFonts w:ascii="Times New Roman" w:hAnsi="Times New Roman" w:eastAsia="Times New Roman"/>
          <w:b/>
          <w:spacing w:val="-2"/>
          <w:sz w:val="21"/>
        </w:rPr>
        <w:t>Ann</w:t>
      </w:r>
      <w:r>
        <w:rPr>
          <w:rFonts w:ascii="Times New Roman" w:hAnsi="Times New Roman" w:eastAsia="Times New Roman"/>
          <w:b/>
          <w:spacing w:val="21"/>
          <w:sz w:val="21"/>
        </w:rPr>
        <w:t> </w:t>
      </w:r>
      <w:r>
        <w:rPr>
          <w:rFonts w:ascii="Times New Roman" w:hAnsi="Times New Roman" w:eastAsia="Times New Roman"/>
          <w:b/>
          <w:spacing w:val="-2"/>
          <w:sz w:val="21"/>
        </w:rPr>
        <w:t>Arbor</w:t>
      </w:r>
      <w:r>
        <w:rPr>
          <w:rFonts w:ascii="微软雅黑" w:hAnsi="微软雅黑" w:eastAsia="微软雅黑"/>
          <w:b/>
          <w:spacing w:val="-3"/>
          <w:sz w:val="21"/>
        </w:rPr>
        <w:t>分期方案Ⅰ期程度的何杰金氏病；</w:t>
      </w:r>
    </w:p>
    <w:p>
      <w:pPr>
        <w:pStyle w:val="ListParagraph"/>
        <w:numPr>
          <w:ilvl w:val="0"/>
          <w:numId w:val="52"/>
        </w:numPr>
        <w:tabs>
          <w:tab w:pos="3696" w:val="left" w:leader="none"/>
        </w:tabs>
        <w:spacing w:line="272" w:lineRule="exact" w:before="0" w:after="0"/>
        <w:ind w:left="3695" w:right="0" w:hanging="543"/>
        <w:jc w:val="left"/>
        <w:rPr>
          <w:rFonts w:ascii="微软雅黑" w:eastAsia="微软雅黑"/>
          <w:b/>
          <w:sz w:val="21"/>
        </w:rPr>
      </w:pPr>
      <w:r>
        <w:rPr>
          <w:rFonts w:ascii="微软雅黑" w:eastAsia="微软雅黑"/>
          <w:b/>
          <w:sz w:val="21"/>
        </w:rPr>
        <w:t>未发生淋巴结和远处转移且</w:t>
      </w:r>
      <w:r>
        <w:rPr>
          <w:rFonts w:ascii="Times New Roman" w:eastAsia="Times New Roman"/>
          <w:b/>
          <w:sz w:val="21"/>
        </w:rPr>
        <w:t>WHO</w:t>
      </w:r>
      <w:r>
        <w:rPr>
          <w:rFonts w:ascii="微软雅黑" w:eastAsia="微软雅黑"/>
          <w:b/>
          <w:sz w:val="21"/>
        </w:rPr>
        <w:t>分级为</w:t>
      </w:r>
      <w:r>
        <w:rPr>
          <w:rFonts w:ascii="Times New Roman" w:eastAsia="Times New Roman"/>
          <w:b/>
          <w:sz w:val="21"/>
        </w:rPr>
        <w:t>G1</w:t>
      </w:r>
      <w:r>
        <w:rPr>
          <w:rFonts w:ascii="微软雅黑" w:eastAsia="微软雅黑"/>
          <w:b/>
          <w:sz w:val="21"/>
        </w:rPr>
        <w:t>级别（</w:t>
      </w:r>
      <w:r>
        <w:rPr>
          <w:rFonts w:ascii="微软雅黑" w:eastAsia="微软雅黑"/>
          <w:b/>
          <w:spacing w:val="-3"/>
          <w:sz w:val="21"/>
        </w:rPr>
        <w:t>核分裂像</w:t>
      </w:r>
    </w:p>
    <w:p>
      <w:pPr>
        <w:spacing w:line="330" w:lineRule="exact" w:before="0"/>
        <w:ind w:left="3681" w:right="0" w:firstLine="0"/>
        <w:jc w:val="left"/>
        <w:rPr>
          <w:rFonts w:ascii="微软雅黑" w:hAnsi="微软雅黑" w:eastAsia="微软雅黑"/>
          <w:b/>
          <w:sz w:val="21"/>
        </w:rPr>
      </w:pPr>
      <w:r>
        <w:rPr>
          <w:rFonts w:ascii="Times New Roman" w:hAnsi="Times New Roman" w:eastAsia="Times New Roman"/>
          <w:b/>
          <w:sz w:val="21"/>
        </w:rPr>
        <w:t>&lt;10/50</w:t>
      </w:r>
      <w:r>
        <w:rPr>
          <w:rFonts w:ascii="Times New Roman" w:hAnsi="Times New Roman" w:eastAsia="Times New Roman"/>
          <w:b/>
          <w:spacing w:val="29"/>
          <w:sz w:val="21"/>
        </w:rPr>
        <w:t> </w:t>
      </w:r>
      <w:r>
        <w:rPr>
          <w:rFonts w:ascii="Times New Roman" w:hAnsi="Times New Roman" w:eastAsia="Times New Roman"/>
          <w:b/>
          <w:sz w:val="21"/>
        </w:rPr>
        <w:t>HPF</w:t>
      </w:r>
      <w:r>
        <w:rPr>
          <w:rFonts w:ascii="微软雅黑" w:hAnsi="微软雅黑" w:eastAsia="微软雅黑"/>
          <w:b/>
          <w:sz w:val="21"/>
        </w:rPr>
        <w:t>和</w:t>
      </w:r>
      <w:r>
        <w:rPr>
          <w:rFonts w:ascii="Times New Roman" w:hAnsi="Times New Roman" w:eastAsia="Times New Roman"/>
          <w:b/>
          <w:sz w:val="21"/>
        </w:rPr>
        <w:t>ki-67</w:t>
      </w:r>
      <w:r>
        <w:rPr>
          <w:rFonts w:ascii="微软雅黑" w:hAnsi="微软雅黑" w:eastAsia="微软雅黑"/>
          <w:b/>
          <w:sz w:val="21"/>
        </w:rPr>
        <w:t>≤</w:t>
      </w:r>
      <w:r>
        <w:rPr>
          <w:rFonts w:ascii="Times New Roman" w:hAnsi="Times New Roman" w:eastAsia="Times New Roman"/>
          <w:b/>
          <w:sz w:val="21"/>
        </w:rPr>
        <w:t>2%</w:t>
      </w:r>
      <w:r>
        <w:rPr>
          <w:rFonts w:ascii="微软雅黑" w:hAnsi="微软雅黑" w:eastAsia="微软雅黑"/>
          <w:b/>
          <w:sz w:val="21"/>
        </w:rPr>
        <w:t>）</w:t>
      </w:r>
      <w:r>
        <w:rPr>
          <w:rFonts w:ascii="微软雅黑" w:hAnsi="微软雅黑" w:eastAsia="微软雅黑"/>
          <w:b/>
          <w:spacing w:val="-1"/>
          <w:sz w:val="21"/>
        </w:rPr>
        <w:t>或更轻分级的神经内分泌肿瘤。</w:t>
      </w:r>
    </w:p>
    <w:p>
      <w:pPr>
        <w:pStyle w:val="ListParagraph"/>
        <w:numPr>
          <w:ilvl w:val="1"/>
          <w:numId w:val="27"/>
        </w:numPr>
        <w:tabs>
          <w:tab w:pos="849" w:val="left" w:leader="none"/>
          <w:tab w:pos="850" w:val="left" w:leader="none"/>
          <w:tab w:pos="2930" w:val="left" w:leader="none"/>
        </w:tabs>
        <w:spacing w:line="363" w:lineRule="exact" w:before="127" w:after="0"/>
        <w:ind w:left="849" w:right="729" w:hanging="850"/>
        <w:jc w:val="right"/>
        <w:rPr>
          <w:sz w:val="21"/>
        </w:rPr>
      </w:pPr>
      <w:r>
        <w:rPr>
          <w:rFonts w:ascii="微软雅黑" w:eastAsia="微软雅黑"/>
          <w:b/>
          <w:sz w:val="21"/>
        </w:rPr>
        <w:t>较重急性心肌梗</w:t>
      </w:r>
      <w:r>
        <w:rPr>
          <w:rFonts w:ascii="微软雅黑" w:eastAsia="微软雅黑"/>
          <w:b/>
          <w:spacing w:val="-10"/>
          <w:sz w:val="21"/>
        </w:rPr>
        <w:t>死</w:t>
      </w:r>
      <w:r>
        <w:rPr>
          <w:rFonts w:ascii="微软雅黑" w:eastAsia="微软雅黑"/>
          <w:b/>
          <w:sz w:val="21"/>
        </w:rPr>
        <w:tab/>
      </w:r>
      <w:r>
        <w:rPr>
          <w:spacing w:val="-2"/>
          <w:sz w:val="21"/>
        </w:rPr>
        <w:t>急</w:t>
      </w:r>
      <w:r>
        <w:rPr>
          <w:spacing w:val="-2"/>
          <w:sz w:val="21"/>
        </w:rPr>
        <w:t>性</w:t>
      </w:r>
      <w:r>
        <w:rPr>
          <w:spacing w:val="-2"/>
          <w:sz w:val="21"/>
        </w:rPr>
        <w:t>心</w:t>
      </w:r>
      <w:r>
        <w:rPr>
          <w:spacing w:val="-2"/>
          <w:sz w:val="21"/>
        </w:rPr>
        <w:t>肌</w:t>
      </w:r>
      <w:r>
        <w:rPr>
          <w:spacing w:val="-2"/>
          <w:sz w:val="21"/>
        </w:rPr>
        <w:t>梗</w:t>
      </w:r>
      <w:r>
        <w:rPr>
          <w:spacing w:val="-2"/>
          <w:sz w:val="21"/>
        </w:rPr>
        <w:t>死指由</w:t>
      </w:r>
      <w:r>
        <w:rPr>
          <w:spacing w:val="-2"/>
          <w:sz w:val="21"/>
        </w:rPr>
        <w:t>于</w:t>
      </w:r>
      <w:r>
        <w:rPr>
          <w:spacing w:val="-2"/>
          <w:sz w:val="21"/>
        </w:rPr>
        <w:t>冠</w:t>
      </w:r>
      <w:r>
        <w:rPr>
          <w:spacing w:val="-2"/>
          <w:sz w:val="21"/>
        </w:rPr>
        <w:t>状</w:t>
      </w:r>
      <w:r>
        <w:rPr>
          <w:spacing w:val="-2"/>
          <w:sz w:val="21"/>
        </w:rPr>
        <w:t>动</w:t>
      </w:r>
      <w:r>
        <w:rPr>
          <w:spacing w:val="-2"/>
          <w:sz w:val="21"/>
        </w:rPr>
        <w:t>脉</w:t>
      </w:r>
      <w:r>
        <w:rPr>
          <w:spacing w:val="-2"/>
          <w:sz w:val="21"/>
        </w:rPr>
        <w:t>闭</w:t>
      </w:r>
      <w:r>
        <w:rPr>
          <w:spacing w:val="-2"/>
          <w:sz w:val="21"/>
        </w:rPr>
        <w:t>塞</w:t>
      </w:r>
      <w:r>
        <w:rPr>
          <w:spacing w:val="-2"/>
          <w:sz w:val="21"/>
        </w:rPr>
        <w:t>或</w:t>
      </w:r>
      <w:r>
        <w:rPr>
          <w:spacing w:val="-2"/>
          <w:sz w:val="21"/>
        </w:rPr>
        <w:t>梗阻引</w:t>
      </w:r>
      <w:r>
        <w:rPr>
          <w:spacing w:val="-2"/>
          <w:sz w:val="21"/>
        </w:rPr>
        <w:t>起</w:t>
      </w:r>
      <w:r>
        <w:rPr>
          <w:spacing w:val="-2"/>
          <w:sz w:val="21"/>
        </w:rPr>
        <w:t>部</w:t>
      </w:r>
      <w:r>
        <w:rPr>
          <w:spacing w:val="-2"/>
          <w:sz w:val="21"/>
        </w:rPr>
        <w:t>分</w:t>
      </w:r>
      <w:r>
        <w:rPr>
          <w:spacing w:val="-2"/>
          <w:sz w:val="21"/>
        </w:rPr>
        <w:t>心</w:t>
      </w:r>
      <w:r>
        <w:rPr>
          <w:spacing w:val="-2"/>
          <w:sz w:val="21"/>
        </w:rPr>
        <w:t>肌</w:t>
      </w:r>
      <w:r>
        <w:rPr>
          <w:spacing w:val="-2"/>
          <w:sz w:val="21"/>
        </w:rPr>
        <w:t>严</w:t>
      </w:r>
      <w:r>
        <w:rPr>
          <w:spacing w:val="-2"/>
          <w:sz w:val="21"/>
        </w:rPr>
        <w:t>重</w:t>
      </w:r>
      <w:r>
        <w:rPr>
          <w:spacing w:val="-2"/>
          <w:sz w:val="21"/>
        </w:rPr>
        <w:t>的</w:t>
      </w:r>
      <w:r>
        <w:rPr>
          <w:spacing w:val="-2"/>
          <w:sz w:val="21"/>
        </w:rPr>
        <w:t>持</w:t>
      </w:r>
      <w:r>
        <w:rPr>
          <w:spacing w:val="-10"/>
          <w:sz w:val="21"/>
        </w:rPr>
        <w:t>久</w:t>
      </w:r>
    </w:p>
    <w:p>
      <w:pPr>
        <w:pStyle w:val="BodyText"/>
        <w:spacing w:line="245" w:lineRule="exact"/>
        <w:ind w:left="0" w:right="729"/>
        <w:jc w:val="right"/>
      </w:pPr>
      <w:r>
        <w:rPr>
          <w:spacing w:val="-3"/>
        </w:rPr>
        <w:t>性缺血造成急性心肌坏死。急性心肌梗死的诊断必须依据国际国内</w:t>
      </w:r>
    </w:p>
    <w:p>
      <w:pPr>
        <w:pStyle w:val="BodyText"/>
        <w:spacing w:line="242" w:lineRule="auto" w:before="4"/>
        <w:ind w:right="725"/>
        <w:jc w:val="both"/>
      </w:pPr>
      <w:r>
        <w:rPr>
          <w:w w:val="100"/>
        </w:rPr>
        <w:t>诊断标准，符合（</w:t>
      </w:r>
      <w:r>
        <w:rPr>
          <w:rFonts w:ascii="Times New Roman" w:eastAsia="Times New Roman"/>
          <w:spacing w:val="2"/>
          <w:w w:val="100"/>
        </w:rPr>
        <w:t>1</w:t>
      </w:r>
      <w:r>
        <w:rPr>
          <w:w w:val="100"/>
        </w:rPr>
        <w:t>）检测到肌酸激酶同工酶</w:t>
      </w:r>
      <w:r>
        <w:rPr>
          <w:spacing w:val="3"/>
          <w:w w:val="100"/>
        </w:rPr>
        <w:t>（</w:t>
      </w:r>
      <w:r>
        <w:rPr>
          <w:rFonts w:ascii="Times New Roman" w:eastAsia="Times New Roman"/>
          <w:w w:val="100"/>
        </w:rPr>
        <w:t>C</w:t>
      </w:r>
      <w:r>
        <w:rPr>
          <w:rFonts w:ascii="Times New Roman" w:eastAsia="Times New Roman"/>
          <w:spacing w:val="-4"/>
          <w:w w:val="100"/>
        </w:rPr>
        <w:t>K</w:t>
      </w:r>
      <w:r>
        <w:rPr>
          <w:rFonts w:ascii="Times New Roman" w:eastAsia="Times New Roman"/>
          <w:spacing w:val="-1"/>
          <w:w w:val="100"/>
        </w:rPr>
        <w:t>-M</w:t>
      </w:r>
      <w:r>
        <w:rPr>
          <w:rFonts w:ascii="Times New Roman" w:eastAsia="Times New Roman"/>
          <w:w w:val="100"/>
        </w:rPr>
        <w:t>B</w:t>
      </w:r>
      <w:r>
        <w:rPr>
          <w:spacing w:val="2"/>
          <w:w w:val="100"/>
        </w:rPr>
        <w:t>）</w:t>
      </w:r>
      <w:r>
        <w:rPr>
          <w:w w:val="100"/>
        </w:rPr>
        <w:t>或肌钙蛋白</w:t>
      </w:r>
      <w:r>
        <w:rPr>
          <w:spacing w:val="2"/>
          <w:w w:val="100"/>
        </w:rPr>
        <w:t>（</w:t>
      </w:r>
      <w:r>
        <w:rPr>
          <w:rFonts w:ascii="Times New Roman" w:eastAsia="Times New Roman"/>
          <w:w w:val="100"/>
        </w:rPr>
        <w:t>c</w:t>
      </w:r>
      <w:r>
        <w:rPr>
          <w:rFonts w:ascii="Times New Roman" w:eastAsia="Times New Roman"/>
          <w:spacing w:val="-3"/>
          <w:w w:val="100"/>
        </w:rPr>
        <w:t>T</w:t>
      </w:r>
      <w:r>
        <w:rPr>
          <w:rFonts w:ascii="Times New Roman" w:eastAsia="Times New Roman"/>
          <w:w w:val="100"/>
        </w:rPr>
        <w:t>n</w:t>
      </w:r>
      <w:r>
        <w:rPr>
          <w:w w:val="100"/>
        </w:rPr>
        <w:t>）升高和</w:t>
      </w:r>
      <w:r>
        <w:rPr>
          <w:rFonts w:ascii="Times New Roman" w:eastAsia="Times New Roman"/>
          <w:spacing w:val="-2"/>
          <w:w w:val="100"/>
        </w:rPr>
        <w:t>/</w:t>
      </w:r>
      <w:r>
        <w:rPr>
          <w:w w:val="100"/>
        </w:rPr>
        <w:t>或降低的动态变化，至少一次达到或超过心肌梗</w:t>
      </w:r>
      <w:r>
        <w:rPr>
          <w:spacing w:val="-14"/>
          <w:w w:val="100"/>
        </w:rPr>
        <w:t>死的临床诊断标准；</w:t>
      </w:r>
      <w:r>
        <w:rPr>
          <w:w w:val="100"/>
        </w:rPr>
        <w:t>（</w:t>
      </w:r>
      <w:r>
        <w:rPr>
          <w:rFonts w:ascii="Times New Roman" w:eastAsia="Times New Roman"/>
          <w:w w:val="100"/>
        </w:rPr>
        <w:t>2</w:t>
      </w:r>
      <w:r>
        <w:rPr>
          <w:spacing w:val="-3"/>
          <w:w w:val="100"/>
        </w:rPr>
        <w:t>）同时存在下列之一的证据，包括：缺血性</w:t>
      </w:r>
      <w:r>
        <w:rPr>
          <w:w w:val="100"/>
        </w:rPr>
        <w:t>胸痛症状、新发生的缺血性心电图改变、新生成的病理性</w:t>
      </w:r>
      <w:r>
        <w:rPr>
          <w:rFonts w:ascii="Times New Roman" w:eastAsia="Times New Roman"/>
          <w:spacing w:val="1"/>
          <w:w w:val="100"/>
        </w:rPr>
        <w:t>Q</w:t>
      </w:r>
      <w:r>
        <w:rPr>
          <w:w w:val="100"/>
        </w:rPr>
        <w:t>波、影</w:t>
      </w:r>
      <w:r>
        <w:rPr>
          <w:spacing w:val="4"/>
          <w:w w:val="100"/>
        </w:rPr>
        <w:t>像学证据显示有新出现的心肌活性丧失或新出现局部室壁运动异</w:t>
      </w:r>
      <w:r>
        <w:rPr>
          <w:spacing w:val="-3"/>
          <w:w w:val="100"/>
        </w:rPr>
        <w:t>常、冠脉造影证实存在冠状动脉血栓。</w:t>
      </w:r>
    </w:p>
    <w:p>
      <w:pPr>
        <w:pStyle w:val="BodyText"/>
        <w:spacing w:before="1"/>
        <w:ind w:left="0"/>
        <w:rPr>
          <w:sz w:val="19"/>
        </w:rPr>
      </w:pPr>
    </w:p>
    <w:p>
      <w:pPr>
        <w:pStyle w:val="BodyText"/>
        <w:spacing w:line="244" w:lineRule="auto"/>
        <w:ind w:right="729"/>
      </w:pPr>
      <w:r>
        <w:rPr>
          <w:spacing w:val="-2"/>
        </w:rPr>
        <w:t>较重急性心肌梗死指依照上述标准被明确诊断为急性心肌梗死，并</w:t>
      </w:r>
      <w:r>
        <w:rPr>
          <w:spacing w:val="-2"/>
        </w:rPr>
        <w:t>且必须同时满足下列至少一项条件：</w:t>
      </w:r>
    </w:p>
    <w:p>
      <w:pPr>
        <w:pStyle w:val="ListParagraph"/>
        <w:numPr>
          <w:ilvl w:val="0"/>
          <w:numId w:val="53"/>
        </w:numPr>
        <w:tabs>
          <w:tab w:pos="3682" w:val="left" w:leader="none"/>
        </w:tabs>
        <w:spacing w:line="244" w:lineRule="auto" w:before="0" w:after="0"/>
        <w:ind w:left="3678" w:right="732" w:hanging="526"/>
        <w:jc w:val="left"/>
        <w:rPr>
          <w:sz w:val="21"/>
        </w:rPr>
      </w:pPr>
      <w:r>
        <w:rPr>
          <w:spacing w:val="-2"/>
          <w:sz w:val="21"/>
        </w:rPr>
        <w:t>心肌损伤标志物肌钙蛋白（</w:t>
      </w:r>
      <w:r>
        <w:rPr>
          <w:rFonts w:ascii="Times New Roman" w:eastAsia="Times New Roman"/>
          <w:spacing w:val="-2"/>
          <w:sz w:val="21"/>
        </w:rPr>
        <w:t>cTn</w:t>
      </w:r>
      <w:r>
        <w:rPr>
          <w:spacing w:val="-2"/>
          <w:sz w:val="21"/>
        </w:rPr>
        <w:t>）升高，至少一次检测结果达</w:t>
      </w:r>
      <w:r>
        <w:rPr>
          <w:spacing w:val="-2"/>
          <w:sz w:val="21"/>
        </w:rPr>
        <w:t>到该检验正常参考值上限的</w:t>
      </w:r>
      <w:r>
        <w:rPr>
          <w:rFonts w:ascii="Times New Roman" w:eastAsia="Times New Roman"/>
          <w:spacing w:val="-2"/>
          <w:sz w:val="21"/>
        </w:rPr>
        <w:t>15</w:t>
      </w:r>
      <w:r>
        <w:rPr>
          <w:spacing w:val="-2"/>
          <w:sz w:val="21"/>
        </w:rPr>
        <w:t>倍（含）以上；</w:t>
      </w:r>
    </w:p>
    <w:p>
      <w:pPr>
        <w:pStyle w:val="ListParagraph"/>
        <w:numPr>
          <w:ilvl w:val="0"/>
          <w:numId w:val="53"/>
        </w:numPr>
        <w:tabs>
          <w:tab w:pos="3686" w:val="left" w:leader="none"/>
        </w:tabs>
        <w:spacing w:line="244" w:lineRule="auto" w:before="0" w:after="0"/>
        <w:ind w:left="3678" w:right="729" w:hanging="526"/>
        <w:jc w:val="left"/>
        <w:rPr>
          <w:sz w:val="21"/>
        </w:rPr>
      </w:pPr>
      <w:r>
        <w:rPr>
          <w:spacing w:val="-2"/>
          <w:sz w:val="21"/>
        </w:rPr>
        <w:t>肌酸激酶同工酶（</w:t>
      </w:r>
      <w:r>
        <w:rPr>
          <w:rFonts w:ascii="Times New Roman" w:eastAsia="Times New Roman"/>
          <w:spacing w:val="-2"/>
          <w:sz w:val="21"/>
        </w:rPr>
        <w:t>CK-MB</w:t>
      </w:r>
      <w:r>
        <w:rPr>
          <w:spacing w:val="-2"/>
          <w:sz w:val="21"/>
        </w:rPr>
        <w:t>）升高，至少一次检测结果达到该</w:t>
      </w:r>
      <w:r>
        <w:rPr>
          <w:spacing w:val="-2"/>
          <w:sz w:val="21"/>
        </w:rPr>
        <w:t>检验正常参考值上限的</w:t>
      </w:r>
      <w:r>
        <w:rPr>
          <w:rFonts w:ascii="Times New Roman" w:eastAsia="Times New Roman"/>
          <w:spacing w:val="-2"/>
          <w:sz w:val="21"/>
        </w:rPr>
        <w:t>2</w:t>
      </w:r>
      <w:r>
        <w:rPr>
          <w:spacing w:val="-2"/>
          <w:sz w:val="21"/>
        </w:rPr>
        <w:t>倍（含）以上；</w:t>
      </w:r>
    </w:p>
    <w:p>
      <w:pPr>
        <w:pStyle w:val="ListParagraph"/>
        <w:numPr>
          <w:ilvl w:val="0"/>
          <w:numId w:val="53"/>
        </w:numPr>
        <w:tabs>
          <w:tab w:pos="3682" w:val="left" w:leader="none"/>
        </w:tabs>
        <w:spacing w:line="244" w:lineRule="auto" w:before="0" w:after="0"/>
        <w:ind w:left="3678" w:right="734" w:hanging="526"/>
        <w:jc w:val="left"/>
        <w:rPr>
          <w:sz w:val="21"/>
        </w:rPr>
      </w:pPr>
      <w:r>
        <w:rPr>
          <w:spacing w:val="-2"/>
          <w:sz w:val="21"/>
        </w:rPr>
        <w:t>出现左心室收缩功能下降，在确诊</w:t>
      </w:r>
      <w:r>
        <w:rPr>
          <w:rFonts w:ascii="Times New Roman" w:eastAsia="Times New Roman"/>
          <w:spacing w:val="-2"/>
          <w:sz w:val="21"/>
        </w:rPr>
        <w:t>6</w:t>
      </w:r>
      <w:r>
        <w:rPr>
          <w:spacing w:val="-2"/>
          <w:sz w:val="21"/>
        </w:rPr>
        <w:t>周以后，检测左室射血分</w:t>
      </w:r>
      <w:r>
        <w:rPr>
          <w:spacing w:val="-2"/>
          <w:sz w:val="21"/>
        </w:rPr>
        <w:t>数（</w:t>
      </w:r>
      <w:r>
        <w:rPr>
          <w:rFonts w:ascii="Times New Roman" w:eastAsia="Times New Roman"/>
          <w:spacing w:val="-2"/>
          <w:sz w:val="21"/>
        </w:rPr>
        <w:t>LVEF</w:t>
      </w:r>
      <w:r>
        <w:rPr>
          <w:spacing w:val="-2"/>
          <w:sz w:val="21"/>
        </w:rPr>
        <w:t>）低于</w:t>
      </w:r>
      <w:r>
        <w:rPr>
          <w:rFonts w:ascii="Times New Roman" w:eastAsia="Times New Roman"/>
          <w:spacing w:val="-2"/>
          <w:sz w:val="21"/>
        </w:rPr>
        <w:t>50%</w:t>
      </w:r>
      <w:r>
        <w:rPr>
          <w:spacing w:val="-2"/>
          <w:sz w:val="21"/>
        </w:rPr>
        <w:t>（不含</w:t>
      </w:r>
      <w:r>
        <w:rPr>
          <w:spacing w:val="-106"/>
          <w:sz w:val="21"/>
        </w:rPr>
        <w:t>）</w:t>
      </w:r>
      <w:r>
        <w:rPr>
          <w:sz w:val="21"/>
        </w:rPr>
        <w:t>；</w:t>
      </w:r>
    </w:p>
    <w:p>
      <w:pPr>
        <w:pStyle w:val="ListParagraph"/>
        <w:numPr>
          <w:ilvl w:val="0"/>
          <w:numId w:val="53"/>
        </w:numPr>
        <w:tabs>
          <w:tab w:pos="3682" w:val="left" w:leader="none"/>
        </w:tabs>
        <w:spacing w:line="244" w:lineRule="auto" w:before="0" w:after="0"/>
        <w:ind w:left="3678" w:right="842" w:hanging="526"/>
        <w:jc w:val="left"/>
        <w:rPr>
          <w:sz w:val="21"/>
        </w:rPr>
      </w:pPr>
      <w:r>
        <w:rPr>
          <w:spacing w:val="-2"/>
          <w:sz w:val="21"/>
        </w:rPr>
        <w:t>影像学检查证实存在新发的乳头肌功能失调或断裂引起的中</w:t>
      </w:r>
      <w:r>
        <w:rPr>
          <w:spacing w:val="-2"/>
          <w:sz w:val="21"/>
        </w:rPr>
        <w:t>度（含）以上的二尖瓣反流；</w:t>
      </w:r>
    </w:p>
    <w:p>
      <w:pPr>
        <w:pStyle w:val="ListParagraph"/>
        <w:numPr>
          <w:ilvl w:val="0"/>
          <w:numId w:val="53"/>
        </w:numPr>
        <w:tabs>
          <w:tab w:pos="3682" w:val="left" w:leader="none"/>
        </w:tabs>
        <w:spacing w:line="265" w:lineRule="exact" w:before="0" w:after="0"/>
        <w:ind w:left="3682" w:right="0" w:hanging="529"/>
        <w:jc w:val="left"/>
        <w:rPr>
          <w:sz w:val="21"/>
        </w:rPr>
      </w:pPr>
      <w:r>
        <w:rPr>
          <w:spacing w:val="-3"/>
          <w:sz w:val="21"/>
        </w:rPr>
        <w:t>影像学检查证实存在新出现的室壁瘤；</w:t>
      </w:r>
    </w:p>
    <w:p>
      <w:pPr>
        <w:pStyle w:val="ListParagraph"/>
        <w:numPr>
          <w:ilvl w:val="0"/>
          <w:numId w:val="53"/>
        </w:numPr>
        <w:tabs>
          <w:tab w:pos="3682" w:val="left" w:leader="none"/>
        </w:tabs>
        <w:spacing w:line="240" w:lineRule="auto" w:before="0" w:after="0"/>
        <w:ind w:left="3682" w:right="0" w:hanging="529"/>
        <w:jc w:val="left"/>
        <w:rPr>
          <w:sz w:val="21"/>
        </w:rPr>
      </w:pPr>
      <w:r>
        <w:rPr>
          <w:spacing w:val="-3"/>
          <w:sz w:val="21"/>
        </w:rPr>
        <w:t>出现室性心动过速、心室颤动或心源性休克。</w:t>
      </w:r>
    </w:p>
    <w:p>
      <w:pPr>
        <w:pStyle w:val="BodyText"/>
        <w:spacing w:before="5"/>
        <w:ind w:left="0"/>
        <w:rPr>
          <w:sz w:val="19"/>
        </w:rPr>
      </w:pPr>
    </w:p>
    <w:p>
      <w:pPr>
        <w:spacing w:line="168" w:lineRule="auto" w:before="0"/>
        <w:ind w:left="3153" w:right="729" w:firstLine="0"/>
        <w:jc w:val="left"/>
        <w:rPr>
          <w:rFonts w:ascii="微软雅黑" w:eastAsia="微软雅黑"/>
          <w:b/>
          <w:sz w:val="21"/>
        </w:rPr>
      </w:pPr>
      <w:r>
        <w:rPr>
          <w:rFonts w:ascii="微软雅黑" w:eastAsia="微软雅黑"/>
          <w:b/>
          <w:spacing w:val="-2"/>
          <w:sz w:val="21"/>
        </w:rPr>
        <w:t>其他非冠状动脉阻塞性疾病所引起的肌钙蛋白（</w:t>
      </w:r>
      <w:r>
        <w:rPr>
          <w:rFonts w:ascii="Times New Roman" w:eastAsia="Times New Roman"/>
          <w:b/>
          <w:spacing w:val="-2"/>
          <w:sz w:val="21"/>
        </w:rPr>
        <w:t>cTn</w:t>
      </w:r>
      <w:r>
        <w:rPr>
          <w:rFonts w:ascii="微软雅黑" w:eastAsia="微软雅黑"/>
          <w:b/>
          <w:spacing w:val="-2"/>
          <w:sz w:val="21"/>
        </w:rPr>
        <w:t>）升高不在保</w:t>
      </w:r>
      <w:r>
        <w:rPr>
          <w:rFonts w:ascii="微软雅黑" w:eastAsia="微软雅黑"/>
          <w:b/>
          <w:spacing w:val="-2"/>
          <w:sz w:val="21"/>
        </w:rPr>
        <w:t>障范围内。</w:t>
      </w:r>
    </w:p>
    <w:p>
      <w:pPr>
        <w:pStyle w:val="ListParagraph"/>
        <w:numPr>
          <w:ilvl w:val="1"/>
          <w:numId w:val="27"/>
        </w:numPr>
        <w:tabs>
          <w:tab w:pos="1071" w:val="left" w:leader="none"/>
          <w:tab w:pos="1072" w:val="left" w:leader="none"/>
          <w:tab w:pos="3152" w:val="left" w:leader="none"/>
        </w:tabs>
        <w:spacing w:line="364" w:lineRule="exact" w:before="160" w:after="0"/>
        <w:ind w:left="1071" w:right="0" w:hanging="850"/>
        <w:jc w:val="left"/>
        <w:rPr>
          <w:sz w:val="21"/>
        </w:rPr>
      </w:pPr>
      <w:r>
        <w:rPr>
          <w:rFonts w:ascii="微软雅黑" w:eastAsia="微软雅黑"/>
          <w:b/>
          <w:sz w:val="21"/>
        </w:rPr>
        <w:t>严重脑中风后遗</w:t>
      </w:r>
      <w:r>
        <w:rPr>
          <w:rFonts w:ascii="微软雅黑" w:eastAsia="微软雅黑"/>
          <w:b/>
          <w:spacing w:val="-10"/>
          <w:sz w:val="21"/>
        </w:rPr>
        <w:t>症</w:t>
      </w:r>
      <w:r>
        <w:rPr>
          <w:rFonts w:ascii="微软雅黑" w:eastAsia="微软雅黑"/>
          <w:b/>
          <w:sz w:val="21"/>
        </w:rPr>
        <w:tab/>
      </w:r>
      <w:r>
        <w:rPr>
          <w:spacing w:val="-2"/>
          <w:sz w:val="21"/>
        </w:rPr>
        <w:t>指</w:t>
      </w:r>
      <w:r>
        <w:rPr>
          <w:spacing w:val="-2"/>
          <w:sz w:val="21"/>
        </w:rPr>
        <w:t>因</w:t>
      </w:r>
      <w:r>
        <w:rPr>
          <w:spacing w:val="-2"/>
          <w:sz w:val="21"/>
        </w:rPr>
        <w:t>脑</w:t>
      </w:r>
      <w:r>
        <w:rPr>
          <w:spacing w:val="-2"/>
          <w:sz w:val="21"/>
        </w:rPr>
        <w:t>血</w:t>
      </w:r>
      <w:r>
        <w:rPr>
          <w:spacing w:val="-2"/>
          <w:sz w:val="21"/>
        </w:rPr>
        <w:t>管</w:t>
      </w:r>
      <w:r>
        <w:rPr>
          <w:spacing w:val="-2"/>
          <w:sz w:val="21"/>
        </w:rPr>
        <w:t>的突发</w:t>
      </w:r>
      <w:r>
        <w:rPr>
          <w:spacing w:val="-2"/>
          <w:sz w:val="21"/>
        </w:rPr>
        <w:t>病</w:t>
      </w:r>
      <w:r>
        <w:rPr>
          <w:spacing w:val="-2"/>
          <w:sz w:val="21"/>
        </w:rPr>
        <w:t>变</w:t>
      </w:r>
      <w:r>
        <w:rPr>
          <w:spacing w:val="-2"/>
          <w:sz w:val="21"/>
        </w:rPr>
        <w:t>引</w:t>
      </w:r>
      <w:r>
        <w:rPr>
          <w:spacing w:val="-2"/>
          <w:sz w:val="21"/>
        </w:rPr>
        <w:t>起</w:t>
      </w:r>
      <w:r>
        <w:rPr>
          <w:spacing w:val="-2"/>
          <w:sz w:val="21"/>
        </w:rPr>
        <w:t>脑</w:t>
      </w:r>
      <w:r>
        <w:rPr>
          <w:spacing w:val="-2"/>
          <w:sz w:val="21"/>
        </w:rPr>
        <w:t>血</w:t>
      </w:r>
      <w:r>
        <w:rPr>
          <w:spacing w:val="-2"/>
          <w:sz w:val="21"/>
        </w:rPr>
        <w:t>管</w:t>
      </w:r>
      <w:r>
        <w:rPr>
          <w:spacing w:val="-2"/>
          <w:sz w:val="21"/>
        </w:rPr>
        <w:t>出</w:t>
      </w:r>
      <w:r>
        <w:rPr>
          <w:spacing w:val="-2"/>
          <w:sz w:val="21"/>
        </w:rPr>
        <w:t>血、栓</w:t>
      </w:r>
      <w:r>
        <w:rPr>
          <w:spacing w:val="-2"/>
          <w:sz w:val="21"/>
        </w:rPr>
        <w:t>塞</w:t>
      </w:r>
      <w:r>
        <w:rPr>
          <w:spacing w:val="-2"/>
          <w:sz w:val="21"/>
        </w:rPr>
        <w:t>或</w:t>
      </w:r>
      <w:r>
        <w:rPr>
          <w:spacing w:val="-2"/>
          <w:sz w:val="21"/>
        </w:rPr>
        <w:t>梗</w:t>
      </w:r>
      <w:r>
        <w:rPr>
          <w:spacing w:val="-2"/>
          <w:sz w:val="21"/>
        </w:rPr>
        <w:t>塞</w:t>
      </w:r>
      <w:r>
        <w:rPr>
          <w:spacing w:val="-2"/>
          <w:sz w:val="21"/>
        </w:rPr>
        <w:t>，须</w:t>
      </w:r>
      <w:r>
        <w:rPr>
          <w:spacing w:val="-2"/>
          <w:sz w:val="21"/>
        </w:rPr>
        <w:t>由</w:t>
      </w:r>
      <w:r>
        <w:rPr>
          <w:spacing w:val="-2"/>
          <w:sz w:val="21"/>
        </w:rPr>
        <w:t>头</w:t>
      </w:r>
      <w:r>
        <w:rPr>
          <w:spacing w:val="-2"/>
          <w:sz w:val="21"/>
        </w:rPr>
        <w:t>颅</w:t>
      </w:r>
      <w:r>
        <w:rPr>
          <w:spacing w:val="-10"/>
          <w:sz w:val="21"/>
        </w:rPr>
        <w:t>断</w:t>
      </w:r>
    </w:p>
    <w:p>
      <w:pPr>
        <w:pStyle w:val="BodyText"/>
        <w:spacing w:line="246" w:lineRule="exact"/>
      </w:pPr>
      <w:r>
        <w:rPr>
          <w:spacing w:val="-4"/>
        </w:rPr>
        <w:t>层扫描</w:t>
      </w:r>
      <w:r>
        <w:rPr>
          <w:spacing w:val="21"/>
        </w:rPr>
        <w:t>（</w:t>
      </w:r>
      <w:r>
        <w:rPr>
          <w:rFonts w:ascii="Times New Roman" w:eastAsia="Times New Roman"/>
          <w:spacing w:val="21"/>
        </w:rPr>
        <w:t>C</w:t>
      </w:r>
      <w:r>
        <w:rPr>
          <w:rFonts w:ascii="Times New Roman" w:eastAsia="Times New Roman"/>
          <w:spacing w:val="24"/>
        </w:rPr>
        <w:t>T</w:t>
      </w:r>
      <w:r>
        <w:rPr>
          <w:spacing w:val="-85"/>
        </w:rPr>
        <w:t>）</w:t>
      </w:r>
      <w:r>
        <w:rPr>
          <w:spacing w:val="-4"/>
        </w:rPr>
        <w:t>、核磁共振检查（</w:t>
      </w:r>
      <w:r>
        <w:rPr>
          <w:rFonts w:ascii="Times New Roman" w:eastAsia="Times New Roman"/>
          <w:spacing w:val="-4"/>
        </w:rPr>
        <w:t>MRI</w:t>
      </w:r>
      <w:r>
        <w:rPr>
          <w:spacing w:val="-4"/>
        </w:rPr>
        <w:t>）</w:t>
      </w:r>
      <w:r>
        <w:rPr>
          <w:spacing w:val="-5"/>
        </w:rPr>
        <w:t>等影像学检查证实，并导致</w:t>
      </w:r>
    </w:p>
    <w:p>
      <w:pPr>
        <w:pStyle w:val="BodyText"/>
        <w:spacing w:line="244" w:lineRule="auto" w:before="3"/>
        <w:ind w:right="729"/>
      </w:pPr>
      <w:r>
        <w:rPr>
          <w:spacing w:val="-2"/>
        </w:rPr>
        <w:t>神经系统永久性的功能障碍。神经系统永久性的功能障碍，指疾病</w:t>
      </w:r>
      <w:r>
        <w:rPr>
          <w:spacing w:val="-2"/>
        </w:rPr>
        <w:t>确诊</w:t>
      </w:r>
      <w:r>
        <w:rPr>
          <w:rFonts w:ascii="Times New Roman" w:eastAsia="Times New Roman"/>
          <w:spacing w:val="-2"/>
        </w:rPr>
        <w:t>180</w:t>
      </w:r>
      <w:r>
        <w:rPr>
          <w:spacing w:val="-2"/>
        </w:rPr>
        <w:t>天后，仍遗留下列至少一种障碍：</w:t>
      </w:r>
    </w:p>
    <w:p>
      <w:pPr>
        <w:pStyle w:val="ListParagraph"/>
        <w:numPr>
          <w:ilvl w:val="0"/>
          <w:numId w:val="54"/>
        </w:numPr>
        <w:tabs>
          <w:tab w:pos="3682" w:val="left" w:leader="none"/>
        </w:tabs>
        <w:spacing w:line="234" w:lineRule="exact" w:before="0" w:after="0"/>
        <w:ind w:left="3682" w:right="0" w:hanging="529"/>
        <w:jc w:val="left"/>
        <w:rPr>
          <w:sz w:val="21"/>
        </w:rPr>
      </w:pPr>
      <w:r>
        <w:rPr>
          <w:spacing w:val="-2"/>
          <w:sz w:val="21"/>
        </w:rPr>
        <w:t>一肢（含）以上肢体肌力</w:t>
      </w:r>
      <w:r>
        <w:rPr>
          <w:rFonts w:ascii="Times New Roman" w:eastAsia="Times New Roman"/>
          <w:spacing w:val="-2"/>
          <w:sz w:val="21"/>
        </w:rPr>
        <w:t>2</w:t>
      </w:r>
      <w:r>
        <w:rPr>
          <w:spacing w:val="-2"/>
          <w:sz w:val="21"/>
        </w:rPr>
        <w:t>级（含）</w:t>
      </w:r>
      <w:r>
        <w:rPr>
          <w:spacing w:val="-5"/>
          <w:sz w:val="21"/>
        </w:rPr>
        <w:t>以下；</w:t>
      </w:r>
    </w:p>
    <w:p>
      <w:pPr>
        <w:pStyle w:val="ListParagraph"/>
        <w:numPr>
          <w:ilvl w:val="0"/>
          <w:numId w:val="54"/>
        </w:numPr>
        <w:tabs>
          <w:tab w:pos="3682" w:val="left" w:leader="none"/>
        </w:tabs>
        <w:spacing w:line="331" w:lineRule="exact" w:before="0" w:after="0"/>
        <w:ind w:left="3682" w:right="0" w:hanging="529"/>
        <w:jc w:val="left"/>
        <w:rPr>
          <w:sz w:val="21"/>
        </w:rPr>
      </w:pPr>
      <w:r>
        <w:rPr>
          <w:rFonts w:ascii="微软雅黑" w:eastAsia="微软雅黑"/>
          <w:b/>
          <w:spacing w:val="-2"/>
          <w:sz w:val="21"/>
        </w:rPr>
        <w:t>语言能力完全丧失，或严重咀嚼吞咽功能障碍</w:t>
      </w:r>
      <w:r>
        <w:rPr>
          <w:spacing w:val="-2"/>
          <w:sz w:val="21"/>
        </w:rPr>
        <w:t>（见</w:t>
      </w:r>
      <w:r>
        <w:rPr>
          <w:rFonts w:ascii="Times New Roman" w:eastAsia="Times New Roman"/>
          <w:spacing w:val="13"/>
          <w:sz w:val="21"/>
        </w:rPr>
        <w:t>1</w:t>
      </w:r>
      <w:r>
        <w:rPr>
          <w:rFonts w:ascii="Times New Roman" w:eastAsia="Times New Roman"/>
          <w:spacing w:val="10"/>
          <w:sz w:val="21"/>
        </w:rPr>
        <w:t>4</w:t>
      </w:r>
      <w:r>
        <w:rPr>
          <w:rFonts w:ascii="Times New Roman" w:eastAsia="Times New Roman"/>
          <w:spacing w:val="13"/>
          <w:sz w:val="21"/>
        </w:rPr>
        <w:t>.28</w:t>
      </w:r>
      <w:r>
        <w:rPr>
          <w:spacing w:val="-95"/>
          <w:sz w:val="21"/>
        </w:rPr>
        <w:t>）</w:t>
      </w:r>
      <w:r>
        <w:rPr>
          <w:spacing w:val="13"/>
          <w:sz w:val="21"/>
        </w:rPr>
        <w:t>；</w:t>
      </w:r>
    </w:p>
    <w:p>
      <w:pPr>
        <w:pStyle w:val="ListParagraph"/>
        <w:numPr>
          <w:ilvl w:val="0"/>
          <w:numId w:val="54"/>
        </w:numPr>
        <w:tabs>
          <w:tab w:pos="3682" w:val="left" w:leader="none"/>
        </w:tabs>
        <w:spacing w:line="245" w:lineRule="exact" w:before="0" w:after="0"/>
        <w:ind w:left="3682" w:right="0" w:hanging="529"/>
        <w:jc w:val="left"/>
        <w:rPr>
          <w:sz w:val="21"/>
        </w:rPr>
      </w:pPr>
      <w:r>
        <w:rPr>
          <w:spacing w:val="-3"/>
          <w:sz w:val="21"/>
        </w:rPr>
        <w:t>自主生活能力完全丧失，无法独立完成六项基本日常生活活</w:t>
      </w:r>
    </w:p>
    <w:p>
      <w:pPr>
        <w:pStyle w:val="BodyText"/>
        <w:spacing w:before="4"/>
        <w:ind w:left="3678"/>
      </w:pPr>
      <w:r>
        <w:rPr>
          <w:spacing w:val="-3"/>
        </w:rPr>
        <w:t>动中的三项或三项以上。</w:t>
      </w:r>
    </w:p>
    <w:p>
      <w:pPr>
        <w:pStyle w:val="BodyText"/>
        <w:spacing w:before="4"/>
        <w:ind w:left="0"/>
        <w:rPr>
          <w:sz w:val="11"/>
        </w:rPr>
      </w:pPr>
    </w:p>
    <w:p>
      <w:pPr>
        <w:spacing w:after="0"/>
        <w:rPr>
          <w:sz w:val="11"/>
        </w:rPr>
        <w:sectPr>
          <w:pgSz w:w="11910" w:h="16840"/>
          <w:pgMar w:header="0" w:footer="878" w:top="1060" w:bottom="1060" w:left="1480" w:right="440"/>
        </w:sectPr>
      </w:pPr>
    </w:p>
    <w:p>
      <w:pPr>
        <w:pStyle w:val="ListParagraph"/>
        <w:numPr>
          <w:ilvl w:val="1"/>
          <w:numId w:val="27"/>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重大器官移植术或</w:t>
      </w:r>
    </w:p>
    <w:p>
      <w:pPr>
        <w:spacing w:line="329" w:lineRule="exact" w:before="0"/>
        <w:ind w:left="1071" w:right="0" w:firstLine="0"/>
        <w:jc w:val="left"/>
        <w:rPr>
          <w:rFonts w:ascii="微软雅黑" w:eastAsia="微软雅黑"/>
          <w:b/>
          <w:sz w:val="21"/>
        </w:rPr>
      </w:pPr>
      <w:r>
        <w:rPr>
          <w:rFonts w:ascii="微软雅黑" w:eastAsia="微软雅黑"/>
          <w:b/>
          <w:spacing w:val="-2"/>
          <w:sz w:val="21"/>
        </w:rPr>
        <w:t>造血干细胞移植术</w:t>
      </w:r>
    </w:p>
    <w:p>
      <w:pPr>
        <w:pStyle w:val="BodyText"/>
        <w:spacing w:line="242" w:lineRule="auto" w:before="100"/>
        <w:ind w:left="175" w:right="624"/>
      </w:pPr>
      <w:r>
        <w:rPr/>
        <w:br w:type="column"/>
      </w:r>
      <w:r>
        <w:rPr>
          <w:spacing w:val="-4"/>
        </w:rPr>
        <w:t>重大器官移植术，指因相应器官功能衰竭，已经实施了肾脏、肝脏、</w:t>
      </w:r>
      <w:r>
        <w:rPr>
          <w:spacing w:val="-2"/>
        </w:rPr>
        <w:t>心脏、肺脏或小肠的异体移植手术。</w:t>
      </w:r>
    </w:p>
    <w:p>
      <w:pPr>
        <w:pStyle w:val="BodyText"/>
        <w:spacing w:before="1"/>
        <w:ind w:left="175"/>
      </w:pPr>
      <w:r>
        <w:rPr>
          <w:spacing w:val="-3"/>
        </w:rPr>
        <w:t>造血干细胞移植术，指因造血功能损害或造血系统恶性肿瘤，已经</w:t>
      </w:r>
    </w:p>
    <w:p>
      <w:pPr>
        <w:spacing w:after="0"/>
        <w:sectPr>
          <w:type w:val="continuous"/>
          <w:pgSz w:w="11910" w:h="16840"/>
          <w:pgMar w:header="0" w:footer="878" w:top="160" w:bottom="280" w:left="1480" w:right="440"/>
          <w:cols w:num="2" w:equalWidth="0">
            <w:col w:w="2938" w:space="40"/>
            <w:col w:w="7012"/>
          </w:cols>
        </w:sectPr>
      </w:pPr>
    </w:p>
    <w:p>
      <w:pPr>
        <w:pStyle w:val="BodyText"/>
        <w:spacing w:line="244" w:lineRule="auto" w:before="55"/>
        <w:ind w:right="729"/>
      </w:pPr>
      <w:r>
        <w:rPr>
          <w:spacing w:val="-2"/>
        </w:rPr>
        <w:t>实施了造血干细胞（包括骨髓造血干细胞、外周血造血干细胞和脐</w:t>
      </w:r>
      <w:r>
        <w:rPr>
          <w:spacing w:val="-2"/>
        </w:rPr>
        <w:t>血造血干细胞）的移植手术。</w:t>
      </w:r>
    </w:p>
    <w:p>
      <w:pPr>
        <w:pStyle w:val="BodyText"/>
        <w:spacing w:before="11"/>
        <w:ind w:left="0"/>
        <w:rPr>
          <w:sz w:val="10"/>
        </w:rPr>
      </w:pPr>
    </w:p>
    <w:p>
      <w:pPr>
        <w:spacing w:after="0"/>
        <w:rPr>
          <w:sz w:val="10"/>
        </w:rPr>
        <w:sectPr>
          <w:pgSz w:w="11910" w:h="16840"/>
          <w:pgMar w:header="0" w:footer="878" w:top="1060" w:bottom="1060" w:left="1480" w:right="440"/>
        </w:sectPr>
      </w:pPr>
    </w:p>
    <w:p>
      <w:pPr>
        <w:pStyle w:val="ListParagraph"/>
        <w:numPr>
          <w:ilvl w:val="1"/>
          <w:numId w:val="27"/>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6"/>
          <w:sz w:val="21"/>
        </w:rPr>
        <w:t>冠状动脉搭桥术（</w:t>
      </w:r>
      <w:r>
        <w:rPr>
          <w:rFonts w:ascii="微软雅黑" w:eastAsia="微软雅黑"/>
          <w:b/>
          <w:spacing w:val="-10"/>
          <w:sz w:val="21"/>
        </w:rPr>
        <w:t>或</w:t>
      </w:r>
    </w:p>
    <w:p>
      <w:pPr>
        <w:spacing w:line="168" w:lineRule="auto" w:before="26"/>
        <w:ind w:left="1071" w:right="1" w:firstLine="0"/>
        <w:jc w:val="left"/>
        <w:rPr>
          <w:rFonts w:ascii="微软雅黑" w:eastAsia="微软雅黑"/>
          <w:b/>
          <w:sz w:val="21"/>
        </w:rPr>
      </w:pPr>
      <w:r>
        <w:rPr>
          <w:rFonts w:ascii="微软雅黑" w:eastAsia="微软雅黑"/>
          <w:b/>
          <w:spacing w:val="19"/>
          <w:sz w:val="21"/>
        </w:rPr>
        <w:t>称冠状动脉旁路移</w:t>
      </w:r>
      <w:r>
        <w:rPr>
          <w:rFonts w:ascii="微软雅黑" w:eastAsia="微软雅黑"/>
          <w:b/>
          <w:spacing w:val="-4"/>
          <w:sz w:val="21"/>
        </w:rPr>
        <w:t>植术）</w:t>
      </w:r>
    </w:p>
    <w:p>
      <w:pPr>
        <w:pStyle w:val="BodyText"/>
        <w:spacing w:line="244" w:lineRule="auto" w:before="100"/>
        <w:ind w:left="174" w:right="729"/>
      </w:pPr>
      <w:r>
        <w:rPr/>
        <w:br w:type="column"/>
      </w:r>
      <w:r>
        <w:rPr>
          <w:spacing w:val="-2"/>
        </w:rPr>
        <w:t>指为治疗严重的冠心病，已经实施了切开心包进行的冠状动脉血管</w:t>
      </w:r>
      <w:r>
        <w:rPr>
          <w:spacing w:val="-2"/>
        </w:rPr>
        <w:t>旁路移植的手术。</w:t>
      </w:r>
    </w:p>
    <w:p>
      <w:pPr>
        <w:spacing w:before="171"/>
        <w:ind w:left="174" w:right="0" w:firstLine="0"/>
        <w:jc w:val="left"/>
        <w:rPr>
          <w:rFonts w:ascii="微软雅黑" w:eastAsia="微软雅黑"/>
          <w:b/>
          <w:sz w:val="21"/>
        </w:rPr>
      </w:pPr>
      <w:r>
        <w:rPr>
          <w:rFonts w:ascii="微软雅黑" w:eastAsia="微软雅黑"/>
          <w:b/>
          <w:spacing w:val="-3"/>
          <w:sz w:val="21"/>
        </w:rPr>
        <w:t>所有未切开心包的冠状动脉介入治疗不在保障范围内。</w:t>
      </w:r>
    </w:p>
    <w:p>
      <w:pPr>
        <w:spacing w:after="0"/>
        <w:jc w:val="left"/>
        <w:rPr>
          <w:rFonts w:ascii="微软雅黑" w:eastAsia="微软雅黑"/>
          <w:sz w:val="21"/>
        </w:rPr>
        <w:sectPr>
          <w:type w:val="continuous"/>
          <w:pgSz w:w="11910" w:h="16840"/>
          <w:pgMar w:header="0" w:footer="878" w:top="160" w:bottom="280" w:left="1480" w:right="440"/>
          <w:cols w:num="2" w:equalWidth="0">
            <w:col w:w="2939" w:space="40"/>
            <w:col w:w="7011"/>
          </w:cols>
        </w:sectPr>
      </w:pPr>
    </w:p>
    <w:p>
      <w:pPr>
        <w:pStyle w:val="ListParagraph"/>
        <w:numPr>
          <w:ilvl w:val="1"/>
          <w:numId w:val="27"/>
        </w:numPr>
        <w:tabs>
          <w:tab w:pos="1071" w:val="left" w:leader="none"/>
          <w:tab w:pos="1072" w:val="left" w:leader="none"/>
          <w:tab w:pos="3152" w:val="left" w:leader="none"/>
        </w:tabs>
        <w:spacing w:line="363" w:lineRule="exact" w:before="127" w:after="0"/>
        <w:ind w:left="1071" w:right="0" w:hanging="850"/>
        <w:jc w:val="left"/>
        <w:rPr>
          <w:sz w:val="21"/>
        </w:rPr>
      </w:pPr>
      <w:r>
        <w:rPr>
          <w:rFonts w:ascii="微软雅黑" w:eastAsia="微软雅黑"/>
          <w:b/>
          <w:sz w:val="21"/>
        </w:rPr>
        <w:t>严重慢性肾衰</w:t>
      </w:r>
      <w:r>
        <w:rPr>
          <w:rFonts w:ascii="微软雅黑" w:eastAsia="微软雅黑"/>
          <w:b/>
          <w:spacing w:val="-10"/>
          <w:sz w:val="21"/>
        </w:rPr>
        <w:t>竭</w:t>
      </w:r>
      <w:r>
        <w:rPr>
          <w:rFonts w:ascii="微软雅黑" w:eastAsia="微软雅黑"/>
          <w:b/>
          <w:sz w:val="21"/>
        </w:rPr>
        <w:tab/>
      </w:r>
      <w:r>
        <w:rPr>
          <w:spacing w:val="-2"/>
          <w:sz w:val="21"/>
        </w:rPr>
        <w:t>指</w:t>
      </w:r>
      <w:r>
        <w:rPr>
          <w:spacing w:val="-2"/>
          <w:sz w:val="21"/>
        </w:rPr>
        <w:t>双</w:t>
      </w:r>
      <w:r>
        <w:rPr>
          <w:spacing w:val="-2"/>
          <w:sz w:val="21"/>
        </w:rPr>
        <w:t>肾功能慢性不可逆性衰竭</w:t>
      </w:r>
      <w:r>
        <w:rPr>
          <w:spacing w:val="-101"/>
          <w:sz w:val="21"/>
        </w:rPr>
        <w:t>，</w:t>
      </w:r>
      <w:r>
        <w:rPr>
          <w:spacing w:val="-2"/>
          <w:sz w:val="21"/>
        </w:rPr>
        <w:t>依据肾脏病预后质量倡</w:t>
      </w:r>
      <w:r>
        <w:rPr>
          <w:spacing w:val="-104"/>
          <w:sz w:val="21"/>
        </w:rPr>
        <w:t>议</w:t>
      </w:r>
      <w:r>
        <w:rPr>
          <w:spacing w:val="-2"/>
          <w:sz w:val="21"/>
        </w:rPr>
        <w:t>（</w:t>
      </w:r>
      <w:r>
        <w:rPr>
          <w:rFonts w:ascii="Times New Roman" w:eastAsia="Times New Roman"/>
          <w:spacing w:val="-2"/>
          <w:sz w:val="21"/>
        </w:rPr>
        <w:t>K/DOQI</w:t>
      </w:r>
      <w:r>
        <w:rPr>
          <w:spacing w:val="-2"/>
          <w:sz w:val="21"/>
        </w:rPr>
        <w:t>）</w:t>
      </w:r>
    </w:p>
    <w:p>
      <w:pPr>
        <w:pStyle w:val="BodyText"/>
        <w:spacing w:line="245" w:lineRule="exact"/>
      </w:pPr>
      <w:r>
        <w:rPr>
          <w:spacing w:val="-5"/>
        </w:rPr>
        <w:t>制定的指南，分期达到慢性肾脏病 </w:t>
      </w:r>
      <w:r>
        <w:rPr>
          <w:rFonts w:ascii="Times New Roman" w:eastAsia="Times New Roman"/>
          <w:spacing w:val="-2"/>
        </w:rPr>
        <w:t>5</w:t>
      </w:r>
      <w:r>
        <w:rPr>
          <w:rFonts w:ascii="Times New Roman" w:eastAsia="Times New Roman"/>
          <w:spacing w:val="12"/>
        </w:rPr>
        <w:t> </w:t>
      </w:r>
      <w:r>
        <w:rPr>
          <w:spacing w:val="-3"/>
        </w:rPr>
        <w:t>期，且经诊断后已经进行了至</w:t>
      </w:r>
    </w:p>
    <w:p>
      <w:pPr>
        <w:pStyle w:val="BodyText"/>
        <w:spacing w:line="242" w:lineRule="auto" w:before="4"/>
        <w:ind w:right="732"/>
      </w:pPr>
      <w:r>
        <w:rPr>
          <w:spacing w:val="-27"/>
        </w:rPr>
        <w:t>少 </w:t>
      </w:r>
      <w:r>
        <w:rPr>
          <w:rFonts w:ascii="Times New Roman" w:eastAsia="Times New Roman"/>
        </w:rPr>
        <w:t>90</w:t>
      </w:r>
      <w:r>
        <w:rPr>
          <w:rFonts w:ascii="Times New Roman" w:eastAsia="Times New Roman"/>
          <w:spacing w:val="-14"/>
        </w:rPr>
        <w:t> </w:t>
      </w:r>
      <w:r>
        <w:rPr>
          <w:spacing w:val="-10"/>
        </w:rPr>
        <w:t>天的规律性透析治疗。规律性透析是指每周进行血液透析或每</w:t>
      </w:r>
      <w:r>
        <w:rPr>
          <w:spacing w:val="-2"/>
        </w:rPr>
        <w:t>天进行腹膜透析。</w:t>
      </w:r>
    </w:p>
    <w:p>
      <w:pPr>
        <w:pStyle w:val="BodyText"/>
        <w:spacing w:before="8"/>
        <w:ind w:left="0"/>
        <w:rPr>
          <w:sz w:val="16"/>
        </w:rPr>
      </w:pPr>
    </w:p>
    <w:p>
      <w:pPr>
        <w:pStyle w:val="ListParagraph"/>
        <w:numPr>
          <w:ilvl w:val="1"/>
          <w:numId w:val="27"/>
        </w:numPr>
        <w:tabs>
          <w:tab w:pos="1071" w:val="left" w:leader="none"/>
          <w:tab w:pos="1072" w:val="left" w:leader="none"/>
          <w:tab w:pos="3152" w:val="left" w:leader="none"/>
        </w:tabs>
        <w:spacing w:line="206" w:lineRule="auto" w:before="0" w:after="0"/>
        <w:ind w:left="3153" w:right="729" w:hanging="2931"/>
        <w:jc w:val="left"/>
        <w:rPr>
          <w:sz w:val="21"/>
        </w:rPr>
      </w:pPr>
      <w:r>
        <w:rPr>
          <w:rFonts w:ascii="微软雅黑" w:eastAsia="微软雅黑"/>
          <w:b/>
          <w:spacing w:val="-2"/>
          <w:sz w:val="21"/>
        </w:rPr>
        <w:t>多</w:t>
      </w:r>
      <w:r>
        <w:rPr>
          <w:rFonts w:ascii="微软雅黑" w:eastAsia="微软雅黑"/>
          <w:b/>
          <w:spacing w:val="-2"/>
          <w:sz w:val="21"/>
        </w:rPr>
        <w:t>个</w:t>
      </w:r>
      <w:r>
        <w:rPr>
          <w:rFonts w:ascii="微软雅黑" w:eastAsia="微软雅黑"/>
          <w:b/>
          <w:spacing w:val="-2"/>
          <w:sz w:val="21"/>
        </w:rPr>
        <w:t>肢</w:t>
      </w:r>
      <w:r>
        <w:rPr>
          <w:rFonts w:ascii="微软雅黑" w:eastAsia="微软雅黑"/>
          <w:b/>
          <w:spacing w:val="-2"/>
          <w:sz w:val="21"/>
        </w:rPr>
        <w:t>体</w:t>
      </w:r>
      <w:r>
        <w:rPr>
          <w:rFonts w:ascii="微软雅黑" w:eastAsia="微软雅黑"/>
          <w:b/>
          <w:spacing w:val="-2"/>
          <w:sz w:val="21"/>
        </w:rPr>
        <w:t>缺</w:t>
      </w:r>
      <w:r>
        <w:rPr>
          <w:rFonts w:ascii="微软雅黑" w:eastAsia="微软雅黑"/>
          <w:b/>
          <w:spacing w:val="-2"/>
          <w:sz w:val="21"/>
        </w:rPr>
        <w:t>失</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两</w:t>
      </w:r>
      <w:r>
        <w:rPr>
          <w:spacing w:val="-2"/>
          <w:sz w:val="21"/>
        </w:rPr>
        <w:t>个</w:t>
      </w:r>
      <w:r>
        <w:rPr>
          <w:spacing w:val="-2"/>
          <w:sz w:val="21"/>
        </w:rPr>
        <w:t>或</w:t>
      </w:r>
      <w:r>
        <w:rPr>
          <w:spacing w:val="-2"/>
          <w:sz w:val="21"/>
        </w:rPr>
        <w:t>两</w:t>
      </w:r>
      <w:r>
        <w:rPr>
          <w:spacing w:val="-2"/>
          <w:sz w:val="21"/>
        </w:rPr>
        <w:t>个</w:t>
      </w:r>
      <w:r>
        <w:rPr>
          <w:spacing w:val="-2"/>
          <w:sz w:val="21"/>
        </w:rPr>
        <w:t>以上肢</w:t>
      </w:r>
      <w:r>
        <w:rPr>
          <w:spacing w:val="-2"/>
          <w:sz w:val="21"/>
        </w:rPr>
        <w:t>体</w:t>
      </w:r>
      <w:r>
        <w:rPr>
          <w:spacing w:val="-2"/>
          <w:sz w:val="21"/>
        </w:rPr>
        <w:t>自</w:t>
      </w:r>
      <w:r>
        <w:rPr>
          <w:spacing w:val="-2"/>
          <w:sz w:val="21"/>
        </w:rPr>
        <w:t>腕</w:t>
      </w:r>
      <w:r>
        <w:rPr>
          <w:spacing w:val="-2"/>
          <w:sz w:val="21"/>
        </w:rPr>
        <w:t>关</w:t>
      </w:r>
      <w:r>
        <w:rPr>
          <w:spacing w:val="-2"/>
          <w:sz w:val="21"/>
        </w:rPr>
        <w:t>节</w:t>
      </w:r>
      <w:r>
        <w:rPr>
          <w:spacing w:val="-2"/>
          <w:sz w:val="21"/>
        </w:rPr>
        <w:t>或</w:t>
      </w:r>
      <w:r>
        <w:rPr>
          <w:spacing w:val="-2"/>
          <w:sz w:val="21"/>
        </w:rPr>
        <w:t>踝</w:t>
      </w:r>
      <w:r>
        <w:rPr>
          <w:spacing w:val="-2"/>
          <w:sz w:val="21"/>
        </w:rPr>
        <w:t>关</w:t>
      </w:r>
      <w:r>
        <w:rPr>
          <w:spacing w:val="-2"/>
          <w:sz w:val="21"/>
        </w:rPr>
        <w:t>节近</w:t>
      </w:r>
      <w:r>
        <w:rPr>
          <w:spacing w:val="-2"/>
          <w:sz w:val="21"/>
        </w:rPr>
        <w:t>端</w:t>
      </w:r>
      <w:r>
        <w:rPr>
          <w:spacing w:val="-2"/>
          <w:sz w:val="21"/>
        </w:rPr>
        <w:t>（靠近躯干端）以上完</w:t>
      </w:r>
      <w:r>
        <w:rPr>
          <w:spacing w:val="-2"/>
          <w:sz w:val="21"/>
        </w:rPr>
        <w:t>全</w:t>
      </w:r>
      <w:r>
        <w:rPr>
          <w:spacing w:val="-2"/>
          <w:sz w:val="21"/>
        </w:rPr>
        <w:t>性</w:t>
      </w:r>
      <w:r>
        <w:rPr>
          <w:spacing w:val="-2"/>
          <w:sz w:val="21"/>
        </w:rPr>
        <w:t>断</w:t>
      </w:r>
      <w:r>
        <w:rPr>
          <w:spacing w:val="-2"/>
          <w:sz w:val="21"/>
        </w:rPr>
        <w:t>离</w:t>
      </w:r>
      <w:r>
        <w:rPr>
          <w:spacing w:val="-2"/>
          <w:sz w:val="21"/>
        </w:rPr>
        <w:t>。</w:t>
      </w:r>
    </w:p>
    <w:p>
      <w:pPr>
        <w:pStyle w:val="BodyText"/>
        <w:spacing w:before="10"/>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29" w:lineRule="exact" w:before="34" w:after="0"/>
        <w:ind w:left="1071" w:right="0" w:hanging="850"/>
        <w:jc w:val="left"/>
        <w:rPr>
          <w:rFonts w:ascii="微软雅黑" w:eastAsia="微软雅黑"/>
          <w:b/>
          <w:sz w:val="21"/>
        </w:rPr>
      </w:pPr>
      <w:r>
        <w:rPr>
          <w:rFonts w:ascii="微软雅黑" w:eastAsia="微软雅黑"/>
          <w:b/>
          <w:spacing w:val="20"/>
          <w:sz w:val="21"/>
        </w:rPr>
        <w:t>急性重症肝炎或亚</w:t>
      </w:r>
    </w:p>
    <w:p>
      <w:pPr>
        <w:spacing w:line="329" w:lineRule="exact" w:before="0"/>
        <w:ind w:left="1071" w:right="0" w:firstLine="0"/>
        <w:jc w:val="left"/>
        <w:rPr>
          <w:rFonts w:ascii="微软雅黑" w:eastAsia="微软雅黑"/>
          <w:b/>
          <w:sz w:val="21"/>
        </w:rPr>
      </w:pPr>
      <w:r>
        <w:rPr>
          <w:rFonts w:ascii="微软雅黑" w:eastAsia="微软雅黑"/>
          <w:b/>
          <w:spacing w:val="-2"/>
          <w:sz w:val="21"/>
        </w:rPr>
        <w:t>急性重症肝炎</w:t>
      </w:r>
    </w:p>
    <w:p>
      <w:pPr>
        <w:pStyle w:val="BodyText"/>
        <w:spacing w:line="242" w:lineRule="auto" w:before="101"/>
        <w:ind w:left="147" w:right="624"/>
      </w:pPr>
      <w:r>
        <w:rPr/>
        <w:br w:type="column"/>
      </w:r>
      <w:r>
        <w:rPr>
          <w:spacing w:val="-7"/>
        </w:rPr>
        <w:t>指因肝炎病毒感染引起肝脏组织弥漫性坏死，导致急性肝功能衰竭，</w:t>
      </w:r>
      <w:r>
        <w:rPr>
          <w:spacing w:val="-2"/>
        </w:rPr>
        <w:t>且经血清学或病毒学检查证实，并须满足下列全部条件：</w:t>
      </w:r>
    </w:p>
    <w:p>
      <w:pPr>
        <w:pStyle w:val="ListParagraph"/>
        <w:numPr>
          <w:ilvl w:val="0"/>
          <w:numId w:val="55"/>
        </w:numPr>
        <w:tabs>
          <w:tab w:pos="677" w:val="left" w:leader="none"/>
        </w:tabs>
        <w:spacing w:line="240" w:lineRule="auto" w:before="1" w:after="0"/>
        <w:ind w:left="676" w:right="0" w:hanging="530"/>
        <w:jc w:val="left"/>
        <w:rPr>
          <w:sz w:val="21"/>
        </w:rPr>
      </w:pPr>
      <w:r>
        <w:rPr>
          <w:spacing w:val="-3"/>
          <w:sz w:val="21"/>
        </w:rPr>
        <w:t>重度黄疸或黄疸迅速加重；</w:t>
      </w:r>
    </w:p>
    <w:p>
      <w:pPr>
        <w:pStyle w:val="ListParagraph"/>
        <w:numPr>
          <w:ilvl w:val="0"/>
          <w:numId w:val="55"/>
        </w:numPr>
        <w:tabs>
          <w:tab w:pos="677" w:val="left" w:leader="none"/>
        </w:tabs>
        <w:spacing w:line="240" w:lineRule="auto" w:before="2" w:after="0"/>
        <w:ind w:left="676" w:right="0" w:hanging="530"/>
        <w:jc w:val="left"/>
        <w:rPr>
          <w:sz w:val="21"/>
        </w:rPr>
      </w:pPr>
      <w:r>
        <w:rPr>
          <w:spacing w:val="-4"/>
          <w:sz w:val="21"/>
        </w:rPr>
        <w:t>肝性脑病；</w:t>
      </w:r>
    </w:p>
    <w:p>
      <w:pPr>
        <w:pStyle w:val="ListParagraph"/>
        <w:numPr>
          <w:ilvl w:val="0"/>
          <w:numId w:val="55"/>
        </w:numPr>
        <w:tabs>
          <w:tab w:pos="677" w:val="left" w:leader="none"/>
        </w:tabs>
        <w:spacing w:line="240" w:lineRule="auto" w:before="5" w:after="0"/>
        <w:ind w:left="676" w:right="0" w:hanging="530"/>
        <w:jc w:val="left"/>
        <w:rPr>
          <w:sz w:val="21"/>
        </w:rPr>
      </w:pPr>
      <w:r>
        <w:rPr>
          <w:rFonts w:ascii="Times New Roman" w:eastAsia="Times New Roman"/>
          <w:spacing w:val="-2"/>
          <w:sz w:val="21"/>
        </w:rPr>
        <w:t>B</w:t>
      </w:r>
      <w:r>
        <w:rPr>
          <w:spacing w:val="-3"/>
          <w:sz w:val="21"/>
        </w:rPr>
        <w:t>超或其他影像学检查显示肝脏体积急速萎缩；</w:t>
      </w:r>
    </w:p>
    <w:p>
      <w:pPr>
        <w:pStyle w:val="ListParagraph"/>
        <w:numPr>
          <w:ilvl w:val="0"/>
          <w:numId w:val="55"/>
        </w:numPr>
        <w:tabs>
          <w:tab w:pos="677" w:val="left" w:leader="none"/>
        </w:tabs>
        <w:spacing w:line="240" w:lineRule="auto" w:before="2" w:after="0"/>
        <w:ind w:left="676" w:right="0" w:hanging="530"/>
        <w:jc w:val="left"/>
        <w:rPr>
          <w:sz w:val="21"/>
        </w:rPr>
      </w:pPr>
      <w:r>
        <w:rPr>
          <w:spacing w:val="-3"/>
          <w:sz w:val="21"/>
        </w:rPr>
        <w:t>肝功能指标进行性恶化。</w:t>
      </w:r>
    </w:p>
    <w:p>
      <w:pPr>
        <w:spacing w:after="0" w:line="240" w:lineRule="auto"/>
        <w:jc w:val="left"/>
        <w:rPr>
          <w:sz w:val="21"/>
        </w:rPr>
        <w:sectPr>
          <w:type w:val="continuous"/>
          <w:pgSz w:w="11910" w:h="16840"/>
          <w:pgMar w:header="0" w:footer="878" w:top="160" w:bottom="280" w:left="1480" w:right="440"/>
          <w:cols w:num="2" w:equalWidth="0">
            <w:col w:w="2966" w:space="40"/>
            <w:col w:w="6984"/>
          </w:cols>
        </w:sectPr>
      </w:pPr>
    </w:p>
    <w:p>
      <w:pPr>
        <w:pStyle w:val="BodyText"/>
        <w:spacing w:before="4"/>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9"/>
          <w:sz w:val="21"/>
        </w:rPr>
        <w:t>严重非恶性颅内肿</w:t>
      </w:r>
    </w:p>
    <w:p>
      <w:pPr>
        <w:spacing w:line="330" w:lineRule="exact" w:before="0"/>
        <w:ind w:left="1071" w:right="0" w:firstLine="0"/>
        <w:jc w:val="left"/>
        <w:rPr>
          <w:rFonts w:ascii="微软雅黑" w:eastAsia="微软雅黑"/>
          <w:b/>
          <w:sz w:val="21"/>
        </w:rPr>
      </w:pPr>
      <w:r>
        <w:rPr>
          <w:rFonts w:ascii="微软雅黑" w:eastAsia="微软雅黑"/>
          <w:b/>
          <w:w w:val="100"/>
          <w:sz w:val="21"/>
        </w:rPr>
        <w:t>瘤</w:t>
      </w:r>
    </w:p>
    <w:p>
      <w:pPr>
        <w:pStyle w:val="BodyText"/>
        <w:spacing w:line="242" w:lineRule="auto" w:before="100"/>
        <w:ind w:left="173" w:right="729"/>
        <w:jc w:val="both"/>
      </w:pPr>
      <w:r>
        <w:rPr/>
        <w:br w:type="column"/>
      </w:r>
      <w:r>
        <w:rPr>
          <w:spacing w:val="-2"/>
        </w:rPr>
        <w:t>指起源于脑、脑神经、脑被膜的非恶性肿瘤，</w:t>
      </w:r>
      <w:r>
        <w:rPr>
          <w:rFonts w:ascii="Times New Roman" w:eastAsia="Times New Roman"/>
          <w:spacing w:val="-2"/>
        </w:rPr>
        <w:t>ICD-O-3</w:t>
      </w:r>
      <w:r>
        <w:rPr>
          <w:spacing w:val="-2"/>
        </w:rPr>
        <w:t>肿瘤形态学</w:t>
      </w:r>
      <w:r>
        <w:rPr>
          <w:spacing w:val="-4"/>
        </w:rPr>
        <w:t>编码属于</w:t>
      </w:r>
      <w:r>
        <w:rPr>
          <w:rFonts w:ascii="Times New Roman" w:eastAsia="Times New Roman"/>
          <w:spacing w:val="-4"/>
        </w:rPr>
        <w:t>0</w:t>
      </w:r>
      <w:r>
        <w:rPr>
          <w:spacing w:val="-4"/>
        </w:rPr>
        <w:t>（良性肿瘤</w:t>
      </w:r>
      <w:r>
        <w:rPr>
          <w:spacing w:val="-108"/>
        </w:rPr>
        <w:t>）</w:t>
      </w:r>
      <w:r>
        <w:rPr>
          <w:spacing w:val="-4"/>
        </w:rPr>
        <w:t>、</w:t>
      </w:r>
      <w:r>
        <w:rPr>
          <w:rFonts w:ascii="Times New Roman" w:eastAsia="Times New Roman"/>
          <w:spacing w:val="-4"/>
        </w:rPr>
        <w:t>1</w:t>
      </w:r>
      <w:r>
        <w:rPr>
          <w:spacing w:val="-4"/>
        </w:rPr>
        <w:t>（动态未定性肿瘤）范畴，并已经引起颅</w:t>
      </w:r>
      <w:r>
        <w:rPr>
          <w:spacing w:val="-2"/>
        </w:rPr>
        <w:t>内压升高或神经系统功能损害，出现视乳头水肿或视觉受损、听觉受损、面部或肢体瘫痪、癫痫等，须由头颅断层扫描</w:t>
      </w:r>
      <w:r>
        <w:rPr>
          <w:spacing w:val="25"/>
        </w:rPr>
        <w:t>（</w:t>
      </w:r>
      <w:r>
        <w:rPr>
          <w:rFonts w:ascii="Times New Roman" w:eastAsia="Times New Roman"/>
          <w:spacing w:val="22"/>
        </w:rPr>
        <w:t>C</w:t>
      </w:r>
      <w:r>
        <w:rPr>
          <w:rFonts w:ascii="Times New Roman" w:eastAsia="Times New Roman"/>
          <w:spacing w:val="27"/>
        </w:rPr>
        <w:t>T</w:t>
      </w:r>
      <w:r>
        <w:rPr>
          <w:spacing w:val="-82"/>
        </w:rPr>
        <w:t>）</w:t>
      </w:r>
      <w:r>
        <w:rPr>
          <w:spacing w:val="-2"/>
        </w:rPr>
        <w:t>、核磁</w:t>
      </w:r>
      <w:r>
        <w:rPr>
          <w:spacing w:val="-2"/>
        </w:rPr>
        <w:t>共振检查（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）等影像学检查证</w:t>
      </w:r>
      <w:r>
        <w:rPr>
          <w:spacing w:val="-2"/>
        </w:rPr>
        <w:t>实，且须满足下列至少一项条件：</w:t>
      </w:r>
    </w:p>
    <w:p>
      <w:pPr>
        <w:pStyle w:val="ListParagraph"/>
        <w:numPr>
          <w:ilvl w:val="0"/>
          <w:numId w:val="56"/>
        </w:numPr>
        <w:tabs>
          <w:tab w:pos="703" w:val="left" w:leader="none"/>
        </w:tabs>
        <w:spacing w:line="240" w:lineRule="auto" w:before="4" w:after="0"/>
        <w:ind w:left="702" w:right="0" w:hanging="530"/>
        <w:jc w:val="left"/>
        <w:rPr>
          <w:sz w:val="21"/>
        </w:rPr>
      </w:pPr>
      <w:r>
        <w:rPr>
          <w:spacing w:val="-3"/>
          <w:sz w:val="21"/>
        </w:rPr>
        <w:t>已经实施了开颅进行的颅内肿瘤完全或部分切除手术；</w:t>
      </w:r>
    </w:p>
    <w:p>
      <w:pPr>
        <w:pStyle w:val="ListParagraph"/>
        <w:numPr>
          <w:ilvl w:val="0"/>
          <w:numId w:val="56"/>
        </w:numPr>
        <w:tabs>
          <w:tab w:pos="703" w:val="left" w:leader="none"/>
        </w:tabs>
        <w:spacing w:line="242" w:lineRule="auto" w:before="4" w:after="0"/>
        <w:ind w:left="699" w:right="842" w:hanging="526"/>
        <w:jc w:val="left"/>
        <w:rPr>
          <w:sz w:val="21"/>
        </w:rPr>
      </w:pPr>
      <w:r>
        <w:rPr>
          <w:spacing w:val="-2"/>
          <w:sz w:val="21"/>
        </w:rPr>
        <w:t>已经实施了针对颅内肿瘤的放射治疗，如γ刀、质子重离子</w:t>
      </w:r>
      <w:r>
        <w:rPr>
          <w:spacing w:val="-4"/>
          <w:sz w:val="21"/>
        </w:rPr>
        <w:t>治疗等。</w:t>
      </w:r>
    </w:p>
    <w:p>
      <w:pPr>
        <w:spacing w:line="330" w:lineRule="exact" w:before="175"/>
        <w:ind w:left="173" w:right="0" w:firstLine="0"/>
        <w:jc w:val="left"/>
        <w:rPr>
          <w:rFonts w:ascii="微软雅黑" w:eastAsia="微软雅黑"/>
          <w:b/>
          <w:sz w:val="21"/>
        </w:rPr>
      </w:pPr>
      <w:r>
        <w:rPr>
          <w:rFonts w:ascii="微软雅黑" w:eastAsia="微软雅黑"/>
          <w:b/>
          <w:spacing w:val="-3"/>
          <w:sz w:val="21"/>
        </w:rPr>
        <w:t>下列疾病不在保障范围内：</w:t>
      </w:r>
    </w:p>
    <w:p>
      <w:pPr>
        <w:pStyle w:val="ListParagraph"/>
        <w:numPr>
          <w:ilvl w:val="0"/>
          <w:numId w:val="57"/>
        </w:numPr>
        <w:tabs>
          <w:tab w:pos="703" w:val="left" w:leader="none"/>
        </w:tabs>
        <w:spacing w:line="272" w:lineRule="exact" w:before="0" w:after="0"/>
        <w:ind w:left="702" w:right="0" w:hanging="530"/>
        <w:jc w:val="left"/>
        <w:rPr>
          <w:rFonts w:ascii="微软雅黑" w:eastAsia="微软雅黑"/>
          <w:b/>
          <w:sz w:val="21"/>
        </w:rPr>
      </w:pPr>
      <w:r>
        <w:rPr>
          <w:rFonts w:ascii="微软雅黑" w:eastAsia="微软雅黑"/>
          <w:b/>
          <w:spacing w:val="-2"/>
          <w:sz w:val="21"/>
        </w:rPr>
        <w:t>脑垂体瘤；</w:t>
      </w:r>
    </w:p>
    <w:p>
      <w:pPr>
        <w:pStyle w:val="ListParagraph"/>
        <w:numPr>
          <w:ilvl w:val="0"/>
          <w:numId w:val="57"/>
        </w:numPr>
        <w:tabs>
          <w:tab w:pos="703" w:val="left" w:leader="none"/>
        </w:tabs>
        <w:spacing w:line="272" w:lineRule="exact" w:before="0" w:after="0"/>
        <w:ind w:left="702" w:right="0" w:hanging="530"/>
        <w:jc w:val="left"/>
        <w:rPr>
          <w:rFonts w:ascii="微软雅黑" w:eastAsia="微软雅黑"/>
          <w:b/>
          <w:sz w:val="21"/>
        </w:rPr>
      </w:pPr>
      <w:r>
        <w:rPr>
          <w:rFonts w:ascii="微软雅黑" w:eastAsia="微软雅黑"/>
          <w:b/>
          <w:spacing w:val="-3"/>
          <w:sz w:val="21"/>
        </w:rPr>
        <w:t>脑囊肿；</w:t>
      </w:r>
    </w:p>
    <w:p>
      <w:pPr>
        <w:pStyle w:val="ListParagraph"/>
        <w:numPr>
          <w:ilvl w:val="0"/>
          <w:numId w:val="57"/>
        </w:numPr>
        <w:tabs>
          <w:tab w:pos="712" w:val="left" w:leader="none"/>
        </w:tabs>
        <w:spacing w:line="168" w:lineRule="auto" w:before="26" w:after="0"/>
        <w:ind w:left="701" w:right="737" w:hanging="528"/>
        <w:jc w:val="left"/>
        <w:rPr>
          <w:rFonts w:ascii="微软雅黑" w:eastAsia="微软雅黑"/>
          <w:b/>
          <w:sz w:val="21"/>
        </w:rPr>
      </w:pPr>
      <w:r>
        <w:rPr>
          <w:rFonts w:ascii="微软雅黑" w:eastAsia="微软雅黑"/>
          <w:b/>
          <w:spacing w:val="-2"/>
          <w:sz w:val="21"/>
        </w:rPr>
        <w:t>颅内血管性疾病（如脑动脉瘤、脑动静脉畸形、海绵状血管</w:t>
      </w:r>
      <w:r>
        <w:rPr>
          <w:rFonts w:ascii="微软雅黑" w:eastAsia="微软雅黑"/>
          <w:b/>
          <w:spacing w:val="-2"/>
          <w:sz w:val="21"/>
        </w:rPr>
        <w:t>瘤、毛细血管扩张症等</w:t>
      </w:r>
      <w:r>
        <w:rPr>
          <w:rFonts w:ascii="微软雅黑" w:eastAsia="微软雅黑"/>
          <w:b/>
          <w:spacing w:val="-106"/>
          <w:sz w:val="21"/>
        </w:rPr>
        <w:t>）。</w:t>
      </w:r>
    </w:p>
    <w:p>
      <w:pPr>
        <w:spacing w:after="0" w:line="168" w:lineRule="auto"/>
        <w:jc w:val="left"/>
        <w:rPr>
          <w:rFonts w:ascii="微软雅黑" w:eastAsia="微软雅黑"/>
          <w:sz w:val="21"/>
        </w:rPr>
        <w:sectPr>
          <w:type w:val="continuous"/>
          <w:pgSz w:w="11910" w:h="16840"/>
          <w:pgMar w:header="0" w:footer="878" w:top="160" w:bottom="280" w:left="1480" w:right="440"/>
          <w:cols w:num="2" w:equalWidth="0">
            <w:col w:w="2940" w:space="40"/>
            <w:col w:w="7010"/>
          </w:cols>
        </w:sectPr>
      </w:pPr>
    </w:p>
    <w:p>
      <w:pPr>
        <w:pStyle w:val="BodyText"/>
        <w:spacing w:before="16"/>
        <w:ind w:left="0"/>
        <w:rPr>
          <w:rFonts w:ascii="微软雅黑"/>
          <w:b/>
          <w:sz w:val="6"/>
        </w:rPr>
      </w:pPr>
    </w:p>
    <w:p>
      <w:pPr>
        <w:pStyle w:val="ListParagraph"/>
        <w:numPr>
          <w:ilvl w:val="1"/>
          <w:numId w:val="27"/>
        </w:numPr>
        <w:tabs>
          <w:tab w:pos="1071" w:val="left" w:leader="none"/>
          <w:tab w:pos="1072" w:val="left" w:leader="none"/>
          <w:tab w:pos="3152" w:val="left" w:leader="none"/>
        </w:tabs>
        <w:spacing w:line="364" w:lineRule="exact" w:before="33" w:after="0"/>
        <w:ind w:left="1071" w:right="0" w:hanging="850"/>
        <w:jc w:val="left"/>
        <w:rPr>
          <w:sz w:val="21"/>
        </w:rPr>
      </w:pPr>
      <w:r>
        <w:rPr>
          <w:rFonts w:ascii="微软雅黑" w:eastAsia="微软雅黑"/>
          <w:b/>
          <w:sz w:val="21"/>
        </w:rPr>
        <w:t>严重慢性肝衰</w:t>
      </w:r>
      <w:r>
        <w:rPr>
          <w:rFonts w:ascii="微软雅黑" w:eastAsia="微软雅黑"/>
          <w:b/>
          <w:spacing w:val="-10"/>
          <w:sz w:val="21"/>
        </w:rPr>
        <w:t>竭</w:t>
      </w:r>
      <w:r>
        <w:rPr>
          <w:rFonts w:ascii="微软雅黑" w:eastAsia="微软雅黑"/>
          <w:b/>
          <w:sz w:val="21"/>
        </w:rPr>
        <w:tab/>
      </w:r>
      <w:r>
        <w:rPr>
          <w:spacing w:val="-2"/>
          <w:sz w:val="21"/>
        </w:rPr>
        <w:t>指</w:t>
      </w:r>
      <w:r>
        <w:rPr>
          <w:spacing w:val="-2"/>
          <w:sz w:val="21"/>
        </w:rPr>
        <w:t>因</w:t>
      </w:r>
      <w:r>
        <w:rPr>
          <w:spacing w:val="-2"/>
          <w:sz w:val="21"/>
        </w:rPr>
        <w:t>慢性肝脏疾病导致的</w:t>
      </w:r>
      <w:r>
        <w:rPr>
          <w:spacing w:val="-2"/>
          <w:sz w:val="21"/>
        </w:rPr>
        <w:t>肝</w:t>
      </w:r>
      <w:r>
        <w:rPr>
          <w:spacing w:val="-2"/>
          <w:sz w:val="21"/>
        </w:rPr>
        <w:t>衰</w:t>
      </w:r>
      <w:r>
        <w:rPr>
          <w:spacing w:val="-2"/>
          <w:sz w:val="21"/>
        </w:rPr>
        <w:t>竭，且须满足下列全</w:t>
      </w:r>
      <w:r>
        <w:rPr>
          <w:spacing w:val="-2"/>
          <w:sz w:val="21"/>
        </w:rPr>
        <w:t>部</w:t>
      </w:r>
      <w:r>
        <w:rPr>
          <w:spacing w:val="-2"/>
          <w:sz w:val="21"/>
        </w:rPr>
        <w:t>条</w:t>
      </w:r>
      <w:r>
        <w:rPr>
          <w:spacing w:val="-2"/>
          <w:sz w:val="21"/>
        </w:rPr>
        <w:t>件</w:t>
      </w:r>
      <w:r>
        <w:rPr>
          <w:spacing w:val="-10"/>
          <w:sz w:val="21"/>
        </w:rPr>
        <w:t>：</w:t>
      </w:r>
    </w:p>
    <w:p>
      <w:pPr>
        <w:pStyle w:val="BodyText"/>
        <w:spacing w:line="246" w:lineRule="exact"/>
      </w:pPr>
      <w:r>
        <w:rPr>
          <w:spacing w:val="-2"/>
        </w:rPr>
        <w:t>（</w:t>
      </w:r>
      <w:r>
        <w:rPr>
          <w:rFonts w:ascii="Times New Roman" w:eastAsia="Times New Roman"/>
          <w:spacing w:val="-2"/>
        </w:rPr>
        <w:t>1</w:t>
      </w:r>
      <w:r>
        <w:rPr>
          <w:spacing w:val="-2"/>
        </w:rPr>
        <w:t>）</w:t>
      </w:r>
      <w:r>
        <w:rPr>
          <w:spacing w:val="-4"/>
        </w:rPr>
        <w:t>持续性黄疸；</w:t>
      </w:r>
    </w:p>
    <w:p>
      <w:pPr>
        <w:pStyle w:val="BodyText"/>
        <w:spacing w:before="2"/>
      </w:pPr>
      <w:r>
        <w:rPr>
          <w:spacing w:val="-2"/>
        </w:rPr>
        <w:t>（</w:t>
      </w:r>
      <w:r>
        <w:rPr>
          <w:rFonts w:ascii="Times New Roman" w:eastAsia="Times New Roman"/>
          <w:spacing w:val="-2"/>
        </w:rPr>
        <w:t>2</w:t>
      </w:r>
      <w:r>
        <w:rPr>
          <w:spacing w:val="-2"/>
        </w:rPr>
        <w:t>）</w:t>
      </w:r>
      <w:r>
        <w:rPr>
          <w:spacing w:val="-5"/>
        </w:rPr>
        <w:t>腹水；</w:t>
      </w:r>
    </w:p>
    <w:p>
      <w:pPr>
        <w:pStyle w:val="ListParagraph"/>
        <w:numPr>
          <w:ilvl w:val="0"/>
          <w:numId w:val="58"/>
        </w:numPr>
        <w:tabs>
          <w:tab w:pos="3682" w:val="left" w:leader="none"/>
        </w:tabs>
        <w:spacing w:line="240" w:lineRule="auto" w:before="5" w:after="0"/>
        <w:ind w:left="3682" w:right="0" w:hanging="529"/>
        <w:jc w:val="left"/>
        <w:rPr>
          <w:sz w:val="21"/>
        </w:rPr>
      </w:pPr>
      <w:r>
        <w:rPr>
          <w:spacing w:val="-4"/>
          <w:sz w:val="21"/>
        </w:rPr>
        <w:t>肝性脑病；</w:t>
      </w:r>
    </w:p>
    <w:p>
      <w:pPr>
        <w:pStyle w:val="ListParagraph"/>
        <w:numPr>
          <w:ilvl w:val="0"/>
          <w:numId w:val="58"/>
        </w:numPr>
        <w:tabs>
          <w:tab w:pos="3682" w:val="left" w:leader="none"/>
        </w:tabs>
        <w:spacing w:line="194" w:lineRule="auto" w:before="42" w:after="0"/>
        <w:ind w:left="3153" w:right="1682" w:firstLine="0"/>
        <w:jc w:val="left"/>
        <w:rPr>
          <w:rFonts w:ascii="微软雅黑" w:eastAsia="微软雅黑"/>
          <w:b/>
          <w:sz w:val="21"/>
        </w:rPr>
      </w:pPr>
      <w:r>
        <w:rPr>
          <w:spacing w:val="-2"/>
          <w:sz w:val="21"/>
        </w:rPr>
        <w:t>充血性脾肿大伴脾功能亢进或食管胃底静脉曲张。</w:t>
      </w:r>
      <w:r>
        <w:rPr>
          <w:rFonts w:ascii="微软雅黑" w:eastAsia="微软雅黑"/>
          <w:b/>
          <w:spacing w:val="-2"/>
          <w:sz w:val="21"/>
        </w:rPr>
        <w:t>因酗酒或药物滥用导致的肝衰竭不在保障范围内。</w:t>
      </w:r>
    </w:p>
    <w:p>
      <w:pPr>
        <w:pStyle w:val="BodyText"/>
        <w:spacing w:before="6"/>
        <w:ind w:left="0"/>
        <w:rPr>
          <w:rFonts w:ascii="微软雅黑"/>
          <w:b/>
          <w:sz w:val="6"/>
        </w:rPr>
      </w:pPr>
    </w:p>
    <w:p>
      <w:pPr>
        <w:spacing w:after="0"/>
        <w:rPr>
          <w:rFonts w:ascii="微软雅黑"/>
          <w:sz w:val="6"/>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严重脑炎后遗症或</w:t>
      </w:r>
    </w:p>
    <w:p>
      <w:pPr>
        <w:spacing w:line="329" w:lineRule="exact" w:before="0"/>
        <w:ind w:left="1071" w:right="0" w:firstLine="0"/>
        <w:jc w:val="left"/>
        <w:rPr>
          <w:rFonts w:ascii="微软雅黑" w:eastAsia="微软雅黑"/>
          <w:b/>
          <w:sz w:val="21"/>
        </w:rPr>
      </w:pPr>
      <w:r>
        <w:rPr>
          <w:rFonts w:ascii="微软雅黑" w:eastAsia="微软雅黑"/>
          <w:b/>
          <w:spacing w:val="-2"/>
          <w:sz w:val="21"/>
        </w:rPr>
        <w:t>严重脑膜炎后遗症</w:t>
      </w:r>
    </w:p>
    <w:p>
      <w:pPr>
        <w:pStyle w:val="BodyText"/>
        <w:spacing w:line="242" w:lineRule="auto" w:before="100"/>
        <w:ind w:left="173" w:right="729"/>
        <w:jc w:val="both"/>
      </w:pPr>
      <w:r>
        <w:rPr/>
        <w:br w:type="column"/>
      </w:r>
      <w:r>
        <w:rPr>
          <w:spacing w:val="-2"/>
        </w:rPr>
        <w:t>指因患脑炎或脑膜炎导致的神经系统永久性的功能障碍。神经系统</w:t>
      </w:r>
      <w:r>
        <w:rPr>
          <w:spacing w:val="-8"/>
        </w:rPr>
        <w:t>永久性的功能障碍，指经相关专科医生确诊疾病</w:t>
      </w:r>
      <w:r>
        <w:rPr>
          <w:rFonts w:ascii="Times New Roman" w:eastAsia="Times New Roman"/>
          <w:spacing w:val="-2"/>
        </w:rPr>
        <w:t>180</w:t>
      </w:r>
      <w:r>
        <w:rPr>
          <w:spacing w:val="-11"/>
        </w:rPr>
        <w:t>天后，仍遗留下</w:t>
      </w:r>
      <w:r>
        <w:rPr>
          <w:spacing w:val="-2"/>
        </w:rPr>
        <w:t>列至少一种障碍：</w:t>
      </w:r>
    </w:p>
    <w:p>
      <w:pPr>
        <w:pStyle w:val="ListParagraph"/>
        <w:numPr>
          <w:ilvl w:val="0"/>
          <w:numId w:val="59"/>
        </w:numPr>
        <w:tabs>
          <w:tab w:pos="703" w:val="left" w:leader="none"/>
        </w:tabs>
        <w:spacing w:line="240" w:lineRule="auto" w:before="0" w:after="0"/>
        <w:ind w:left="702" w:right="0" w:hanging="530"/>
        <w:jc w:val="left"/>
        <w:rPr>
          <w:sz w:val="21"/>
        </w:rPr>
      </w:pPr>
      <w:r>
        <w:rPr>
          <w:spacing w:val="-2"/>
          <w:sz w:val="21"/>
        </w:rPr>
        <w:t>一肢（含）以上肢体肌力</w:t>
      </w:r>
      <w:r>
        <w:rPr>
          <w:rFonts w:ascii="Times New Roman" w:eastAsia="Times New Roman"/>
          <w:spacing w:val="-2"/>
          <w:sz w:val="21"/>
        </w:rPr>
        <w:t>2</w:t>
      </w:r>
      <w:r>
        <w:rPr>
          <w:spacing w:val="-2"/>
          <w:sz w:val="21"/>
        </w:rPr>
        <w:t>级（含）</w:t>
      </w:r>
      <w:r>
        <w:rPr>
          <w:spacing w:val="-5"/>
          <w:sz w:val="21"/>
        </w:rPr>
        <w:t>以下；</w:t>
      </w:r>
    </w:p>
    <w:p>
      <w:pPr>
        <w:pStyle w:val="ListParagraph"/>
        <w:numPr>
          <w:ilvl w:val="0"/>
          <w:numId w:val="59"/>
        </w:numPr>
        <w:tabs>
          <w:tab w:pos="703" w:val="left" w:leader="none"/>
        </w:tabs>
        <w:spacing w:line="240" w:lineRule="auto" w:before="5" w:after="0"/>
        <w:ind w:left="702" w:right="0" w:hanging="530"/>
        <w:jc w:val="left"/>
        <w:rPr>
          <w:sz w:val="21"/>
        </w:rPr>
      </w:pPr>
      <w:r>
        <w:rPr>
          <w:spacing w:val="-3"/>
          <w:sz w:val="21"/>
        </w:rPr>
        <w:t>语言能力完全丧失，或严重咀嚼吞咽功能障碍；</w:t>
      </w:r>
    </w:p>
    <w:p>
      <w:pPr>
        <w:pStyle w:val="ListParagraph"/>
        <w:numPr>
          <w:ilvl w:val="0"/>
          <w:numId w:val="59"/>
        </w:numPr>
        <w:tabs>
          <w:tab w:pos="709" w:val="left" w:leader="none"/>
        </w:tabs>
        <w:spacing w:line="240" w:lineRule="auto" w:before="2" w:after="0"/>
        <w:ind w:left="708" w:right="0" w:hanging="536"/>
        <w:jc w:val="left"/>
        <w:rPr>
          <w:sz w:val="21"/>
        </w:rPr>
      </w:pPr>
      <w:r>
        <w:rPr>
          <w:sz w:val="21"/>
        </w:rPr>
        <w:t>由具有评估资格的专科医生根据临床痴呆评定量表</w:t>
      </w:r>
      <w:r>
        <w:rPr>
          <w:spacing w:val="-2"/>
          <w:sz w:val="21"/>
        </w:rPr>
        <w:t>（</w:t>
      </w:r>
      <w:r>
        <w:rPr>
          <w:rFonts w:ascii="Times New Roman" w:eastAsia="Times New Roman"/>
          <w:spacing w:val="-2"/>
          <w:sz w:val="21"/>
        </w:rPr>
        <w:t>CDR</w:t>
      </w:r>
      <w:r>
        <w:rPr>
          <w:spacing w:val="-2"/>
          <w:sz w:val="21"/>
        </w:rPr>
        <w:t>，</w:t>
      </w:r>
    </w:p>
    <w:p>
      <w:pPr>
        <w:pStyle w:val="BodyText"/>
        <w:spacing w:before="5"/>
        <w:ind w:left="699"/>
      </w:pPr>
      <w:r>
        <w:rPr>
          <w:rFonts w:ascii="Times New Roman" w:eastAsia="Times New Roman"/>
          <w:spacing w:val="-2"/>
        </w:rPr>
        <w:t>Clinical</w:t>
      </w:r>
      <w:r>
        <w:rPr>
          <w:rFonts w:ascii="Times New Roman" w:eastAsia="Times New Roman"/>
          <w:spacing w:val="10"/>
        </w:rPr>
        <w:t> </w:t>
      </w:r>
      <w:r>
        <w:rPr>
          <w:rFonts w:ascii="Times New Roman" w:eastAsia="Times New Roman"/>
          <w:spacing w:val="-2"/>
        </w:rPr>
        <w:t>Dementia</w:t>
      </w:r>
      <w:r>
        <w:rPr>
          <w:rFonts w:ascii="Times New Roman" w:eastAsia="Times New Roman"/>
          <w:spacing w:val="17"/>
        </w:rPr>
        <w:t> </w:t>
      </w:r>
      <w:r>
        <w:rPr>
          <w:rFonts w:ascii="Times New Roman" w:eastAsia="Times New Roman"/>
          <w:spacing w:val="-2"/>
        </w:rPr>
        <w:t>Rating</w:t>
      </w:r>
      <w:r>
        <w:rPr>
          <w:spacing w:val="-2"/>
        </w:rPr>
        <w:t>）评估结果为</w:t>
      </w:r>
      <w:r>
        <w:rPr>
          <w:rFonts w:ascii="Times New Roman" w:eastAsia="Times New Roman"/>
          <w:spacing w:val="-2"/>
        </w:rPr>
        <w:t>3</w:t>
      </w:r>
      <w:r>
        <w:rPr>
          <w:spacing w:val="-6"/>
        </w:rPr>
        <w:t>分；</w:t>
      </w:r>
    </w:p>
    <w:p>
      <w:pPr>
        <w:pStyle w:val="ListParagraph"/>
        <w:numPr>
          <w:ilvl w:val="0"/>
          <w:numId w:val="59"/>
        </w:numPr>
        <w:tabs>
          <w:tab w:pos="703" w:val="left" w:leader="none"/>
        </w:tabs>
        <w:spacing w:line="240" w:lineRule="auto" w:before="2" w:after="0"/>
        <w:ind w:left="702" w:right="0" w:hanging="530"/>
        <w:jc w:val="left"/>
        <w:rPr>
          <w:sz w:val="21"/>
        </w:rPr>
      </w:pPr>
      <w:r>
        <w:rPr>
          <w:spacing w:val="-3"/>
          <w:sz w:val="21"/>
        </w:rPr>
        <w:t>自主生活能力完全丧失，无法独立完成六项基本日常生活活</w:t>
      </w:r>
    </w:p>
    <w:p>
      <w:pPr>
        <w:spacing w:after="0" w:line="240" w:lineRule="auto"/>
        <w:jc w:val="left"/>
        <w:rPr>
          <w:sz w:val="21"/>
        </w:rPr>
        <w:sectPr>
          <w:type w:val="continuous"/>
          <w:pgSz w:w="11910" w:h="16840"/>
          <w:pgMar w:header="0" w:footer="878" w:top="160" w:bottom="280" w:left="1480" w:right="440"/>
          <w:cols w:num="2" w:equalWidth="0">
            <w:col w:w="2940" w:space="40"/>
            <w:col w:w="7010"/>
          </w:cols>
        </w:sectPr>
      </w:pPr>
    </w:p>
    <w:p>
      <w:pPr>
        <w:pStyle w:val="BodyText"/>
        <w:spacing w:before="55"/>
        <w:ind w:left="3678"/>
      </w:pPr>
      <w:r>
        <w:rPr>
          <w:spacing w:val="-3"/>
        </w:rPr>
        <w:t>动中的三项或三项以上。</w:t>
      </w:r>
    </w:p>
    <w:p>
      <w:pPr>
        <w:pStyle w:val="BodyText"/>
        <w:spacing w:before="1"/>
        <w:ind w:left="0"/>
        <w:rPr>
          <w:sz w:val="14"/>
        </w:rPr>
      </w:pPr>
    </w:p>
    <w:p>
      <w:pPr>
        <w:pStyle w:val="ListParagraph"/>
        <w:numPr>
          <w:ilvl w:val="1"/>
          <w:numId w:val="27"/>
        </w:numPr>
        <w:tabs>
          <w:tab w:pos="1071" w:val="left" w:leader="none"/>
          <w:tab w:pos="1072" w:val="left" w:leader="none"/>
          <w:tab w:pos="3152" w:val="left" w:leader="none"/>
        </w:tabs>
        <w:spacing w:line="363" w:lineRule="exact" w:before="0" w:after="0"/>
        <w:ind w:left="1071" w:right="0" w:hanging="850"/>
        <w:jc w:val="left"/>
        <w:rPr>
          <w:sz w:val="21"/>
        </w:rPr>
      </w:pPr>
      <w:r>
        <w:rPr>
          <w:rFonts w:ascii="微软雅黑" w:eastAsia="微软雅黑"/>
          <w:b/>
          <w:sz w:val="21"/>
        </w:rPr>
        <w:t>深度昏</w:t>
      </w:r>
      <w:r>
        <w:rPr>
          <w:rFonts w:ascii="微软雅黑" w:eastAsia="微软雅黑"/>
          <w:b/>
          <w:spacing w:val="-10"/>
          <w:sz w:val="21"/>
        </w:rPr>
        <w:t>迷</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意</w:t>
      </w:r>
      <w:r>
        <w:rPr>
          <w:spacing w:val="-2"/>
          <w:sz w:val="21"/>
        </w:rPr>
        <w:t>识</w:t>
      </w:r>
      <w:r>
        <w:rPr>
          <w:spacing w:val="-2"/>
          <w:sz w:val="21"/>
        </w:rPr>
        <w:t>丧</w:t>
      </w:r>
      <w:r>
        <w:rPr>
          <w:spacing w:val="-2"/>
          <w:sz w:val="21"/>
        </w:rPr>
        <w:t>失</w:t>
      </w:r>
      <w:r>
        <w:rPr>
          <w:spacing w:val="-2"/>
          <w:sz w:val="21"/>
        </w:rPr>
        <w:t>，对外界</w:t>
      </w:r>
      <w:r>
        <w:rPr>
          <w:spacing w:val="-2"/>
          <w:sz w:val="21"/>
        </w:rPr>
        <w:t>刺</w:t>
      </w:r>
      <w:r>
        <w:rPr>
          <w:spacing w:val="-2"/>
          <w:sz w:val="21"/>
        </w:rPr>
        <w:t>激</w:t>
      </w:r>
      <w:r>
        <w:rPr>
          <w:spacing w:val="-2"/>
          <w:sz w:val="21"/>
        </w:rPr>
        <w:t>和</w:t>
      </w:r>
      <w:r>
        <w:rPr>
          <w:spacing w:val="-2"/>
          <w:sz w:val="21"/>
        </w:rPr>
        <w:t>体</w:t>
      </w:r>
      <w:r>
        <w:rPr>
          <w:spacing w:val="-2"/>
          <w:sz w:val="21"/>
        </w:rPr>
        <w:t>内</w:t>
      </w:r>
      <w:r>
        <w:rPr>
          <w:spacing w:val="-2"/>
          <w:sz w:val="21"/>
        </w:rPr>
        <w:t>需</w:t>
      </w:r>
      <w:r>
        <w:rPr>
          <w:spacing w:val="-2"/>
          <w:sz w:val="21"/>
        </w:rPr>
        <w:t>求</w:t>
      </w:r>
      <w:r>
        <w:rPr>
          <w:spacing w:val="-2"/>
          <w:sz w:val="21"/>
        </w:rPr>
        <w:t>均</w:t>
      </w:r>
      <w:r>
        <w:rPr>
          <w:spacing w:val="-2"/>
          <w:sz w:val="21"/>
        </w:rPr>
        <w:t>无</w:t>
      </w:r>
      <w:r>
        <w:rPr>
          <w:spacing w:val="-10"/>
          <w:sz w:val="21"/>
        </w:rPr>
        <w:t>反</w:t>
      </w:r>
    </w:p>
    <w:p>
      <w:pPr>
        <w:pStyle w:val="BodyText"/>
        <w:spacing w:line="245" w:lineRule="exact"/>
      </w:pPr>
      <w:r>
        <w:rPr>
          <w:spacing w:val="-2"/>
        </w:rPr>
        <w:t>应，昏迷程度按照格拉斯哥昏迷分级（</w:t>
      </w:r>
      <w:r>
        <w:rPr>
          <w:rFonts w:ascii="Times New Roman" w:eastAsia="Times New Roman"/>
          <w:spacing w:val="-2"/>
        </w:rPr>
        <w:t>GCS</w:t>
      </w:r>
      <w:r>
        <w:rPr>
          <w:spacing w:val="-2"/>
        </w:rPr>
        <w:t>，</w:t>
      </w:r>
      <w:r>
        <w:rPr>
          <w:rFonts w:ascii="Times New Roman" w:eastAsia="Times New Roman"/>
          <w:spacing w:val="-2"/>
        </w:rPr>
        <w:t>Glasgow</w:t>
      </w:r>
      <w:r>
        <w:rPr>
          <w:rFonts w:ascii="Times New Roman" w:eastAsia="Times New Roman"/>
          <w:spacing w:val="5"/>
        </w:rPr>
        <w:t> </w:t>
      </w:r>
      <w:r>
        <w:rPr>
          <w:rFonts w:ascii="Times New Roman" w:eastAsia="Times New Roman"/>
          <w:spacing w:val="-2"/>
        </w:rPr>
        <w:t>Coma</w:t>
      </w:r>
      <w:r>
        <w:rPr>
          <w:rFonts w:ascii="Times New Roman" w:eastAsia="Times New Roman"/>
          <w:spacing w:val="10"/>
        </w:rPr>
        <w:t> </w:t>
      </w:r>
      <w:r>
        <w:rPr>
          <w:rFonts w:ascii="Times New Roman" w:eastAsia="Times New Roman"/>
          <w:spacing w:val="-2"/>
        </w:rPr>
        <w:t>Scale</w:t>
      </w:r>
      <w:r>
        <w:rPr>
          <w:spacing w:val="-2"/>
        </w:rPr>
        <w:t>）</w:t>
      </w:r>
    </w:p>
    <w:p>
      <w:pPr>
        <w:pStyle w:val="BodyText"/>
        <w:spacing w:before="5"/>
      </w:pPr>
      <w:r>
        <w:rPr>
          <w:spacing w:val="-2"/>
        </w:rPr>
        <w:t>结果为</w:t>
      </w:r>
      <w:r>
        <w:rPr>
          <w:rFonts w:ascii="Times New Roman" w:eastAsia="Times New Roman"/>
          <w:spacing w:val="-2"/>
        </w:rPr>
        <w:t>5</w:t>
      </w:r>
      <w:r>
        <w:rPr>
          <w:spacing w:val="-2"/>
        </w:rPr>
        <w:t>分或</w:t>
      </w:r>
      <w:r>
        <w:rPr>
          <w:rFonts w:ascii="Times New Roman" w:eastAsia="Times New Roman"/>
          <w:spacing w:val="-2"/>
        </w:rPr>
        <w:t>5</w:t>
      </w:r>
      <w:r>
        <w:rPr>
          <w:spacing w:val="-3"/>
        </w:rPr>
        <w:t>分以下，且已经持续使用呼吸机及其他生命维持系统</w:t>
      </w:r>
    </w:p>
    <w:p>
      <w:pPr>
        <w:pStyle w:val="BodyText"/>
        <w:spacing w:line="237" w:lineRule="exact" w:before="2"/>
      </w:pPr>
      <w:r>
        <w:rPr>
          <w:rFonts w:ascii="Times New Roman" w:eastAsia="Times New Roman"/>
          <w:spacing w:val="-2"/>
        </w:rPr>
        <w:t>96</w:t>
      </w:r>
      <w:r>
        <w:rPr>
          <w:spacing w:val="-4"/>
        </w:rPr>
        <w:t>小时以上。</w:t>
      </w:r>
    </w:p>
    <w:p>
      <w:pPr>
        <w:spacing w:line="355" w:lineRule="exact" w:before="0"/>
        <w:ind w:left="3153" w:right="0" w:firstLine="0"/>
        <w:jc w:val="left"/>
        <w:rPr>
          <w:rFonts w:ascii="微软雅黑" w:eastAsia="微软雅黑"/>
          <w:b/>
          <w:sz w:val="21"/>
        </w:rPr>
      </w:pPr>
      <w:r>
        <w:rPr>
          <w:rFonts w:ascii="微软雅黑" w:eastAsia="微软雅黑"/>
          <w:b/>
          <w:spacing w:val="-3"/>
          <w:sz w:val="21"/>
        </w:rPr>
        <w:t>因酗酒或药物滥用导致的深度昏迷不在保障范围内。</w:t>
      </w:r>
    </w:p>
    <w:p>
      <w:pPr>
        <w:pStyle w:val="ListParagraph"/>
        <w:numPr>
          <w:ilvl w:val="1"/>
          <w:numId w:val="27"/>
        </w:numPr>
        <w:tabs>
          <w:tab w:pos="1071" w:val="left" w:leader="none"/>
          <w:tab w:pos="1072" w:val="left" w:leader="none"/>
          <w:tab w:pos="3152" w:val="left" w:leader="none"/>
        </w:tabs>
        <w:spacing w:line="363" w:lineRule="exact" w:before="129" w:after="0"/>
        <w:ind w:left="1071" w:right="0" w:hanging="850"/>
        <w:jc w:val="left"/>
        <w:rPr>
          <w:sz w:val="21"/>
        </w:rPr>
      </w:pPr>
      <w:r>
        <w:rPr>
          <w:rFonts w:ascii="微软雅黑" w:eastAsia="微软雅黑"/>
          <w:b/>
          <w:sz w:val="21"/>
        </w:rPr>
        <w:t>双耳失</w:t>
      </w:r>
      <w:r>
        <w:rPr>
          <w:rFonts w:ascii="微软雅黑" w:eastAsia="微软雅黑"/>
          <w:b/>
          <w:spacing w:val="-10"/>
          <w:sz w:val="21"/>
        </w:rPr>
        <w:t>聪</w:t>
      </w:r>
      <w:r>
        <w:rPr>
          <w:rFonts w:ascii="微软雅黑" w:eastAsia="微软雅黑"/>
          <w:b/>
          <w:sz w:val="21"/>
        </w:rPr>
        <w:tab/>
      </w:r>
      <w:r>
        <w:rPr>
          <w:spacing w:val="-2"/>
          <w:sz w:val="21"/>
        </w:rPr>
        <w:t>指</w:t>
      </w:r>
      <w:r>
        <w:rPr>
          <w:spacing w:val="-2"/>
          <w:sz w:val="21"/>
        </w:rPr>
        <w:t>因</w:t>
      </w:r>
      <w:r>
        <w:rPr>
          <w:spacing w:val="-2"/>
          <w:sz w:val="21"/>
        </w:rPr>
        <w:t>疾病或意外伤害导致</w:t>
      </w:r>
      <w:r>
        <w:rPr>
          <w:spacing w:val="-2"/>
          <w:sz w:val="21"/>
        </w:rPr>
        <w:t>双</w:t>
      </w:r>
      <w:r>
        <w:rPr>
          <w:spacing w:val="-2"/>
          <w:sz w:val="21"/>
        </w:rPr>
        <w:t>耳</w:t>
      </w:r>
      <w:r>
        <w:rPr>
          <w:spacing w:val="-2"/>
          <w:sz w:val="21"/>
        </w:rPr>
        <w:t>听力永久不可逆性丧</w:t>
      </w:r>
      <w:r>
        <w:rPr>
          <w:spacing w:val="-2"/>
          <w:sz w:val="21"/>
        </w:rPr>
        <w:t>失</w:t>
      </w:r>
      <w:r>
        <w:rPr>
          <w:spacing w:val="-2"/>
          <w:sz w:val="21"/>
        </w:rPr>
        <w:t>，在</w:t>
      </w:r>
      <w:r>
        <w:rPr>
          <w:rFonts w:ascii="Times New Roman" w:eastAsia="Times New Roman"/>
          <w:spacing w:val="-2"/>
          <w:sz w:val="21"/>
        </w:rPr>
        <w:t>500</w:t>
      </w:r>
      <w:r>
        <w:rPr>
          <w:spacing w:val="-2"/>
          <w:sz w:val="21"/>
        </w:rPr>
        <w:t>赫兹</w:t>
      </w:r>
      <w:r>
        <w:rPr>
          <w:spacing w:val="-10"/>
          <w:sz w:val="21"/>
        </w:rPr>
        <w:t>、</w:t>
      </w:r>
    </w:p>
    <w:p>
      <w:pPr>
        <w:pStyle w:val="BodyText"/>
        <w:spacing w:line="245" w:lineRule="exact"/>
      </w:pPr>
      <w:r>
        <w:rPr>
          <w:rFonts w:ascii="Times New Roman" w:eastAsia="Times New Roman"/>
          <w:spacing w:val="-2"/>
        </w:rPr>
        <w:t>1000</w:t>
      </w:r>
      <w:r>
        <w:rPr>
          <w:spacing w:val="-2"/>
        </w:rPr>
        <w:t>赫兹和</w:t>
      </w:r>
      <w:r>
        <w:rPr>
          <w:rFonts w:ascii="Times New Roman" w:eastAsia="Times New Roman"/>
          <w:spacing w:val="-2"/>
        </w:rPr>
        <w:t>2000</w:t>
      </w:r>
      <w:r>
        <w:rPr>
          <w:spacing w:val="-2"/>
        </w:rPr>
        <w:t>赫兹语音频率下，平均听阈大于等于</w:t>
      </w:r>
      <w:r>
        <w:rPr>
          <w:rFonts w:ascii="Times New Roman" w:eastAsia="Times New Roman"/>
          <w:spacing w:val="-2"/>
        </w:rPr>
        <w:t>91</w:t>
      </w:r>
      <w:r>
        <w:rPr>
          <w:spacing w:val="-4"/>
        </w:rPr>
        <w:t>分贝，且经</w:t>
      </w:r>
    </w:p>
    <w:p>
      <w:pPr>
        <w:pStyle w:val="BodyText"/>
        <w:spacing w:before="4"/>
      </w:pPr>
      <w:r>
        <w:rPr>
          <w:spacing w:val="-3"/>
        </w:rPr>
        <w:t>纯音听力测试、声导抗检测或听觉诱发电位检测等证实。</w:t>
      </w:r>
    </w:p>
    <w:p>
      <w:pPr>
        <w:pStyle w:val="BodyText"/>
        <w:spacing w:before="4"/>
        <w:ind w:left="0"/>
        <w:rPr>
          <w:sz w:val="20"/>
        </w:rPr>
      </w:pPr>
    </w:p>
    <w:p>
      <w:pPr>
        <w:spacing w:line="168" w:lineRule="auto" w:before="1"/>
        <w:ind w:left="3153" w:right="725" w:firstLine="0"/>
        <w:jc w:val="both"/>
        <w:rPr>
          <w:rFonts w:ascii="微软雅黑" w:eastAsia="微软雅黑"/>
          <w:b/>
          <w:sz w:val="21"/>
        </w:rPr>
      </w:pPr>
      <w:r>
        <w:rPr>
          <w:rFonts w:ascii="微软雅黑" w:eastAsia="微软雅黑"/>
          <w:b/>
          <w:spacing w:val="-5"/>
          <w:w w:val="100"/>
          <w:sz w:val="21"/>
        </w:rPr>
        <w:t>特别声明：我们将在被保险人年龄在三周岁或以上时受理理赔，并</w:t>
      </w:r>
      <w:r>
        <w:rPr>
          <w:rFonts w:ascii="微软雅黑" w:eastAsia="微软雅黑"/>
          <w:b/>
          <w:spacing w:val="4"/>
          <w:w w:val="100"/>
          <w:sz w:val="21"/>
        </w:rPr>
        <w:t>且保险金申请人必须提供理赔受理当时的听力丧失诊断及检查证</w:t>
      </w:r>
      <w:r>
        <w:rPr>
          <w:rFonts w:ascii="微软雅黑" w:eastAsia="微软雅黑"/>
          <w:b/>
          <w:spacing w:val="-5"/>
          <w:w w:val="100"/>
          <w:sz w:val="21"/>
        </w:rPr>
        <w:t>据。若被保险人发病时不足三周岁，我们将延期到被保险人年满三</w:t>
      </w:r>
      <w:r>
        <w:rPr>
          <w:rFonts w:ascii="微软雅黑" w:eastAsia="微软雅黑"/>
          <w:b/>
          <w:spacing w:val="-1"/>
          <w:w w:val="100"/>
          <w:sz w:val="21"/>
        </w:rPr>
        <w:t>周岁后予以受理和评估。</w:t>
      </w:r>
    </w:p>
    <w:p>
      <w:pPr>
        <w:pStyle w:val="ListParagraph"/>
        <w:numPr>
          <w:ilvl w:val="1"/>
          <w:numId w:val="27"/>
        </w:numPr>
        <w:tabs>
          <w:tab w:pos="1071" w:val="left" w:leader="none"/>
          <w:tab w:pos="1072" w:val="left" w:leader="none"/>
          <w:tab w:pos="3152" w:val="left" w:leader="none"/>
        </w:tabs>
        <w:spacing w:line="364" w:lineRule="exact" w:before="163" w:after="0"/>
        <w:ind w:left="1071" w:right="0" w:hanging="850"/>
        <w:jc w:val="left"/>
        <w:rPr>
          <w:sz w:val="21"/>
        </w:rPr>
      </w:pPr>
      <w:r>
        <w:rPr>
          <w:rFonts w:ascii="微软雅黑" w:eastAsia="微软雅黑"/>
          <w:b/>
          <w:sz w:val="21"/>
        </w:rPr>
        <w:t>双目失</w:t>
      </w:r>
      <w:r>
        <w:rPr>
          <w:rFonts w:ascii="微软雅黑" w:eastAsia="微软雅黑"/>
          <w:b/>
          <w:spacing w:val="-10"/>
          <w:sz w:val="21"/>
        </w:rPr>
        <w:t>明</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双</w:t>
      </w:r>
      <w:r>
        <w:rPr>
          <w:spacing w:val="-2"/>
          <w:sz w:val="21"/>
        </w:rPr>
        <w:t>眼</w:t>
      </w:r>
      <w:r>
        <w:rPr>
          <w:spacing w:val="-2"/>
          <w:sz w:val="21"/>
        </w:rPr>
        <w:t>视</w:t>
      </w:r>
      <w:r>
        <w:rPr>
          <w:spacing w:val="-2"/>
          <w:sz w:val="21"/>
        </w:rPr>
        <w:t>力</w:t>
      </w:r>
      <w:r>
        <w:rPr>
          <w:spacing w:val="-2"/>
          <w:sz w:val="21"/>
        </w:rPr>
        <w:t>永</w:t>
      </w:r>
      <w:r>
        <w:rPr>
          <w:spacing w:val="-2"/>
          <w:sz w:val="21"/>
        </w:rPr>
        <w:t>久不可</w:t>
      </w:r>
      <w:r>
        <w:rPr>
          <w:spacing w:val="-2"/>
          <w:sz w:val="21"/>
        </w:rPr>
        <w:t>逆</w:t>
      </w:r>
      <w:r>
        <w:rPr>
          <w:spacing w:val="-2"/>
          <w:sz w:val="21"/>
        </w:rPr>
        <w:t>性</w:t>
      </w:r>
      <w:r>
        <w:rPr>
          <w:spacing w:val="-2"/>
          <w:sz w:val="21"/>
        </w:rPr>
        <w:t>丧</w:t>
      </w:r>
      <w:r>
        <w:rPr>
          <w:spacing w:val="-2"/>
          <w:sz w:val="21"/>
        </w:rPr>
        <w:t>失</w:t>
      </w:r>
      <w:r>
        <w:rPr>
          <w:spacing w:val="-2"/>
          <w:sz w:val="21"/>
        </w:rPr>
        <w:t>，双</w:t>
      </w:r>
      <w:r>
        <w:rPr>
          <w:spacing w:val="-2"/>
          <w:sz w:val="21"/>
        </w:rPr>
        <w:t>眼</w:t>
      </w:r>
      <w:r>
        <w:rPr>
          <w:spacing w:val="-2"/>
          <w:sz w:val="21"/>
        </w:rPr>
        <w:t>中</w:t>
      </w:r>
      <w:r>
        <w:rPr>
          <w:spacing w:val="-2"/>
          <w:sz w:val="21"/>
        </w:rPr>
        <w:t>较</w:t>
      </w:r>
      <w:r>
        <w:rPr>
          <w:spacing w:val="-10"/>
          <w:sz w:val="21"/>
        </w:rPr>
        <w:t>好</w:t>
      </w:r>
    </w:p>
    <w:p>
      <w:pPr>
        <w:pStyle w:val="BodyText"/>
        <w:spacing w:line="246" w:lineRule="exact"/>
      </w:pPr>
      <w:r>
        <w:rPr>
          <w:spacing w:val="-3"/>
        </w:rPr>
        <w:t>眼须满足下列至少一项条件：</w:t>
      </w:r>
    </w:p>
    <w:p>
      <w:pPr>
        <w:pStyle w:val="ListParagraph"/>
        <w:numPr>
          <w:ilvl w:val="0"/>
          <w:numId w:val="60"/>
        </w:numPr>
        <w:tabs>
          <w:tab w:pos="3682" w:val="left" w:leader="none"/>
        </w:tabs>
        <w:spacing w:line="240" w:lineRule="auto" w:before="2" w:after="0"/>
        <w:ind w:left="3682" w:right="0" w:hanging="529"/>
        <w:jc w:val="left"/>
        <w:rPr>
          <w:sz w:val="21"/>
        </w:rPr>
      </w:pPr>
      <w:r>
        <w:rPr>
          <w:spacing w:val="-4"/>
          <w:sz w:val="21"/>
        </w:rPr>
        <w:t>眼球缺失或摘除；</w:t>
      </w:r>
    </w:p>
    <w:p>
      <w:pPr>
        <w:pStyle w:val="ListParagraph"/>
        <w:numPr>
          <w:ilvl w:val="0"/>
          <w:numId w:val="60"/>
        </w:numPr>
        <w:tabs>
          <w:tab w:pos="3682" w:val="left" w:leader="none"/>
        </w:tabs>
        <w:spacing w:line="242" w:lineRule="auto" w:before="4" w:after="0"/>
        <w:ind w:left="3678" w:right="895" w:hanging="526"/>
        <w:jc w:val="left"/>
        <w:rPr>
          <w:sz w:val="21"/>
        </w:rPr>
      </w:pPr>
      <w:r>
        <w:rPr>
          <w:spacing w:val="-2"/>
          <w:sz w:val="21"/>
        </w:rPr>
        <w:t>矫正视力低于</w:t>
      </w:r>
      <w:r>
        <w:rPr>
          <w:rFonts w:ascii="Times New Roman" w:eastAsia="Times New Roman"/>
          <w:spacing w:val="-2"/>
          <w:sz w:val="21"/>
        </w:rPr>
        <w:t>0.02</w:t>
      </w:r>
      <w:r>
        <w:rPr>
          <w:spacing w:val="-2"/>
          <w:sz w:val="21"/>
        </w:rPr>
        <w:t>（采用国际标准视力表，如果使用其他视</w:t>
      </w:r>
      <w:r>
        <w:rPr>
          <w:spacing w:val="-2"/>
          <w:sz w:val="21"/>
        </w:rPr>
        <w:t>力表应进行换算</w:t>
      </w:r>
      <w:r>
        <w:rPr>
          <w:spacing w:val="-106"/>
          <w:sz w:val="21"/>
        </w:rPr>
        <w:t>）</w:t>
      </w:r>
      <w:r>
        <w:rPr>
          <w:sz w:val="21"/>
        </w:rPr>
        <w:t>；</w:t>
      </w:r>
    </w:p>
    <w:p>
      <w:pPr>
        <w:pStyle w:val="ListParagraph"/>
        <w:numPr>
          <w:ilvl w:val="0"/>
          <w:numId w:val="60"/>
        </w:numPr>
        <w:tabs>
          <w:tab w:pos="3682" w:val="left" w:leader="none"/>
        </w:tabs>
        <w:spacing w:line="240" w:lineRule="auto" w:before="2" w:after="0"/>
        <w:ind w:left="3682" w:right="0" w:hanging="529"/>
        <w:jc w:val="left"/>
        <w:rPr>
          <w:sz w:val="21"/>
        </w:rPr>
      </w:pPr>
      <w:r>
        <w:rPr>
          <w:spacing w:val="-2"/>
          <w:sz w:val="21"/>
        </w:rPr>
        <w:t>视野半径小于</w:t>
      </w:r>
      <w:r>
        <w:rPr>
          <w:rFonts w:ascii="Times New Roman" w:eastAsia="Times New Roman"/>
          <w:spacing w:val="-2"/>
          <w:sz w:val="21"/>
        </w:rPr>
        <w:t>5</w:t>
      </w:r>
      <w:r>
        <w:rPr>
          <w:spacing w:val="-6"/>
          <w:sz w:val="21"/>
        </w:rPr>
        <w:t>度。</w:t>
      </w:r>
    </w:p>
    <w:p>
      <w:pPr>
        <w:pStyle w:val="BodyText"/>
        <w:spacing w:before="4"/>
        <w:ind w:left="0"/>
        <w:rPr>
          <w:sz w:val="20"/>
        </w:rPr>
      </w:pPr>
    </w:p>
    <w:p>
      <w:pPr>
        <w:spacing w:line="168" w:lineRule="auto" w:before="0"/>
        <w:ind w:left="3153" w:right="725" w:firstLine="0"/>
        <w:jc w:val="both"/>
        <w:rPr>
          <w:rFonts w:ascii="微软雅黑" w:eastAsia="微软雅黑"/>
          <w:b/>
          <w:sz w:val="21"/>
        </w:rPr>
      </w:pPr>
      <w:r>
        <w:rPr>
          <w:rFonts w:ascii="微软雅黑" w:eastAsia="微软雅黑"/>
          <w:b/>
          <w:spacing w:val="-4"/>
          <w:w w:val="100"/>
          <w:sz w:val="21"/>
        </w:rPr>
        <w:t>特别声明：我们将在被保险人年龄在三周岁或以上时受理理赔，并</w:t>
      </w:r>
      <w:r>
        <w:rPr>
          <w:rFonts w:ascii="微软雅黑" w:eastAsia="微软雅黑"/>
          <w:b/>
          <w:spacing w:val="4"/>
          <w:w w:val="100"/>
          <w:sz w:val="21"/>
        </w:rPr>
        <w:t>且保险金申请人必须提供理赔受理当时的视力丧失诊断及检查证</w:t>
      </w:r>
      <w:r>
        <w:rPr>
          <w:rFonts w:ascii="微软雅黑" w:eastAsia="微软雅黑"/>
          <w:b/>
          <w:spacing w:val="-5"/>
          <w:w w:val="100"/>
          <w:sz w:val="21"/>
        </w:rPr>
        <w:t>据。若被保险人发病时不足三周岁，我们将延期到被保险人年满三周岁后予以受理和评估。</w:t>
      </w:r>
    </w:p>
    <w:p>
      <w:pPr>
        <w:pStyle w:val="ListParagraph"/>
        <w:numPr>
          <w:ilvl w:val="1"/>
          <w:numId w:val="27"/>
        </w:numPr>
        <w:tabs>
          <w:tab w:pos="1071" w:val="left" w:leader="none"/>
          <w:tab w:pos="1072" w:val="left" w:leader="none"/>
          <w:tab w:pos="3152" w:val="left" w:leader="none"/>
        </w:tabs>
        <w:spacing w:line="364" w:lineRule="exact" w:before="163" w:after="0"/>
        <w:ind w:left="1071" w:right="0" w:hanging="850"/>
        <w:jc w:val="left"/>
        <w:rPr>
          <w:sz w:val="21"/>
        </w:rPr>
      </w:pPr>
      <w:r>
        <w:rPr>
          <w:rFonts w:ascii="微软雅黑" w:eastAsia="微软雅黑"/>
          <w:b/>
          <w:sz w:val="21"/>
        </w:rPr>
        <w:t>瘫</w:t>
      </w:r>
      <w:r>
        <w:rPr>
          <w:rFonts w:ascii="微软雅黑" w:eastAsia="微软雅黑"/>
          <w:b/>
          <w:spacing w:val="-10"/>
          <w:sz w:val="21"/>
        </w:rPr>
        <w:t>痪</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两</w:t>
      </w:r>
      <w:r>
        <w:rPr>
          <w:spacing w:val="-2"/>
          <w:sz w:val="21"/>
        </w:rPr>
        <w:t>肢</w:t>
      </w:r>
      <w:r>
        <w:rPr>
          <w:spacing w:val="-2"/>
          <w:sz w:val="21"/>
        </w:rPr>
        <w:t>或</w:t>
      </w:r>
      <w:r>
        <w:rPr>
          <w:spacing w:val="-2"/>
          <w:sz w:val="21"/>
        </w:rPr>
        <w:t>两</w:t>
      </w:r>
      <w:r>
        <w:rPr>
          <w:spacing w:val="-2"/>
          <w:sz w:val="21"/>
        </w:rPr>
        <w:t>肢</w:t>
      </w:r>
      <w:r>
        <w:rPr>
          <w:spacing w:val="-2"/>
          <w:sz w:val="21"/>
        </w:rPr>
        <w:t>以上肢</w:t>
      </w:r>
      <w:r>
        <w:rPr>
          <w:spacing w:val="-2"/>
          <w:sz w:val="21"/>
        </w:rPr>
        <w:t>体</w:t>
      </w:r>
      <w:r>
        <w:rPr>
          <w:spacing w:val="-2"/>
          <w:sz w:val="21"/>
        </w:rPr>
        <w:t>随</w:t>
      </w:r>
      <w:r>
        <w:rPr>
          <w:spacing w:val="-2"/>
          <w:sz w:val="21"/>
        </w:rPr>
        <w:t>意</w:t>
      </w:r>
      <w:r>
        <w:rPr>
          <w:spacing w:val="-2"/>
          <w:sz w:val="21"/>
        </w:rPr>
        <w:t>运</w:t>
      </w:r>
      <w:r>
        <w:rPr>
          <w:spacing w:val="-2"/>
          <w:sz w:val="21"/>
        </w:rPr>
        <w:t>动</w:t>
      </w:r>
      <w:r>
        <w:rPr>
          <w:spacing w:val="-2"/>
          <w:sz w:val="21"/>
        </w:rPr>
        <w:t>功</w:t>
      </w:r>
      <w:r>
        <w:rPr>
          <w:spacing w:val="-2"/>
          <w:sz w:val="21"/>
        </w:rPr>
        <w:t>能</w:t>
      </w:r>
      <w:r>
        <w:rPr>
          <w:spacing w:val="-2"/>
          <w:sz w:val="21"/>
        </w:rPr>
        <w:t>永</w:t>
      </w:r>
      <w:r>
        <w:rPr>
          <w:spacing w:val="-2"/>
          <w:sz w:val="21"/>
        </w:rPr>
        <w:t>久</w:t>
      </w:r>
      <w:r>
        <w:rPr>
          <w:spacing w:val="-10"/>
          <w:sz w:val="21"/>
        </w:rPr>
        <w:t>完</w:t>
      </w:r>
    </w:p>
    <w:p>
      <w:pPr>
        <w:pStyle w:val="BodyText"/>
        <w:spacing w:line="246" w:lineRule="exact"/>
      </w:pPr>
      <w:r>
        <w:rPr>
          <w:spacing w:val="-13"/>
        </w:rPr>
        <w:t>全丧失。肢体随意运动功能永久完全丧失，指疾病确诊</w:t>
      </w:r>
      <w:r>
        <w:rPr>
          <w:rFonts w:ascii="Times New Roman" w:eastAsia="Times New Roman"/>
          <w:spacing w:val="-2"/>
        </w:rPr>
        <w:t>180</w:t>
      </w:r>
      <w:r>
        <w:rPr>
          <w:spacing w:val="-4"/>
        </w:rPr>
        <w:t>天后或意</w:t>
      </w:r>
    </w:p>
    <w:p>
      <w:pPr>
        <w:pStyle w:val="BodyText"/>
        <w:spacing w:line="244" w:lineRule="auto" w:before="2"/>
        <w:ind w:right="730"/>
      </w:pPr>
      <w:r>
        <w:rPr>
          <w:spacing w:val="-2"/>
        </w:rPr>
        <w:t>外伤害发生</w:t>
      </w:r>
      <w:r>
        <w:rPr>
          <w:rFonts w:ascii="Times New Roman" w:eastAsia="Times New Roman"/>
          <w:spacing w:val="-2"/>
        </w:rPr>
        <w:t>180</w:t>
      </w:r>
      <w:r>
        <w:rPr>
          <w:spacing w:val="-12"/>
        </w:rPr>
        <w:t>天后，每肢三大关节中的两大关节仍然完全僵硬，或</w:t>
      </w:r>
      <w:r>
        <w:rPr>
          <w:spacing w:val="-2"/>
        </w:rPr>
        <w:t>肢体肌力在</w:t>
      </w:r>
      <w:r>
        <w:rPr>
          <w:rFonts w:ascii="Times New Roman" w:eastAsia="Times New Roman"/>
          <w:spacing w:val="-2"/>
        </w:rPr>
        <w:t>2</w:t>
      </w:r>
      <w:r>
        <w:rPr>
          <w:spacing w:val="-2"/>
        </w:rPr>
        <w:t>级（含）以下。</w:t>
      </w:r>
    </w:p>
    <w:p>
      <w:pPr>
        <w:pStyle w:val="ListParagraph"/>
        <w:numPr>
          <w:ilvl w:val="1"/>
          <w:numId w:val="27"/>
        </w:numPr>
        <w:tabs>
          <w:tab w:pos="1071" w:val="left" w:leader="none"/>
          <w:tab w:pos="1072" w:val="left" w:leader="none"/>
          <w:tab w:pos="3152" w:val="left" w:leader="none"/>
        </w:tabs>
        <w:spacing w:line="363" w:lineRule="exact" w:before="171" w:after="0"/>
        <w:ind w:left="1071" w:right="0" w:hanging="850"/>
        <w:jc w:val="left"/>
        <w:rPr>
          <w:sz w:val="21"/>
        </w:rPr>
      </w:pPr>
      <w:r>
        <w:rPr>
          <w:rFonts w:ascii="微软雅黑" w:eastAsia="微软雅黑"/>
          <w:b/>
          <w:sz w:val="21"/>
        </w:rPr>
        <w:t>心脏瓣膜手</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为</w:t>
      </w:r>
      <w:r>
        <w:rPr>
          <w:spacing w:val="-2"/>
          <w:sz w:val="21"/>
        </w:rPr>
        <w:t>治</w:t>
      </w:r>
      <w:r>
        <w:rPr>
          <w:spacing w:val="-2"/>
          <w:sz w:val="21"/>
        </w:rPr>
        <w:t>疗</w:t>
      </w:r>
      <w:r>
        <w:rPr>
          <w:spacing w:val="-2"/>
          <w:sz w:val="21"/>
        </w:rPr>
        <w:t>心</w:t>
      </w:r>
      <w:r>
        <w:rPr>
          <w:spacing w:val="-2"/>
          <w:sz w:val="21"/>
        </w:rPr>
        <w:t>脏瓣膜</w:t>
      </w:r>
      <w:r>
        <w:rPr>
          <w:spacing w:val="-2"/>
          <w:sz w:val="21"/>
        </w:rPr>
        <w:t>疾</w:t>
      </w:r>
      <w:r>
        <w:rPr>
          <w:spacing w:val="-2"/>
          <w:sz w:val="21"/>
        </w:rPr>
        <w:t>病</w:t>
      </w:r>
      <w:r>
        <w:rPr>
          <w:spacing w:val="-2"/>
          <w:sz w:val="21"/>
        </w:rPr>
        <w:t>，</w:t>
      </w:r>
      <w:r>
        <w:rPr>
          <w:spacing w:val="-2"/>
          <w:sz w:val="21"/>
        </w:rPr>
        <w:t>已</w:t>
      </w:r>
      <w:r>
        <w:rPr>
          <w:spacing w:val="-2"/>
          <w:sz w:val="21"/>
        </w:rPr>
        <w:t>经</w:t>
      </w:r>
      <w:r>
        <w:rPr>
          <w:spacing w:val="-2"/>
          <w:sz w:val="21"/>
        </w:rPr>
        <w:t>实施了切开心脏进行</w:t>
      </w:r>
      <w:r>
        <w:rPr>
          <w:spacing w:val="-2"/>
          <w:sz w:val="21"/>
        </w:rPr>
        <w:t>的</w:t>
      </w:r>
      <w:r>
        <w:rPr>
          <w:spacing w:val="-2"/>
          <w:sz w:val="21"/>
        </w:rPr>
        <w:t>心</w:t>
      </w:r>
      <w:r>
        <w:rPr>
          <w:spacing w:val="-2"/>
          <w:sz w:val="21"/>
        </w:rPr>
        <w:t>脏</w:t>
      </w:r>
      <w:r>
        <w:rPr>
          <w:spacing w:val="-2"/>
          <w:sz w:val="21"/>
        </w:rPr>
        <w:t>瓣</w:t>
      </w:r>
      <w:r>
        <w:rPr>
          <w:spacing w:val="-2"/>
          <w:sz w:val="21"/>
        </w:rPr>
        <w:t>膜</w:t>
      </w:r>
      <w:r>
        <w:rPr>
          <w:spacing w:val="-2"/>
          <w:sz w:val="21"/>
        </w:rPr>
        <w:t>置</w:t>
      </w:r>
      <w:r>
        <w:rPr>
          <w:spacing w:val="-10"/>
          <w:sz w:val="21"/>
        </w:rPr>
        <w:t>换</w:t>
      </w:r>
    </w:p>
    <w:p>
      <w:pPr>
        <w:pStyle w:val="BodyText"/>
        <w:spacing w:line="213" w:lineRule="exact"/>
      </w:pPr>
      <w:r>
        <w:rPr>
          <w:spacing w:val="-4"/>
        </w:rPr>
        <w:t>或修复的手术。</w:t>
      </w:r>
    </w:p>
    <w:p>
      <w:pPr>
        <w:spacing w:line="356" w:lineRule="exact" w:before="0"/>
        <w:ind w:left="3153" w:right="0" w:firstLine="0"/>
        <w:jc w:val="left"/>
        <w:rPr>
          <w:rFonts w:ascii="微软雅黑" w:eastAsia="微软雅黑"/>
          <w:b/>
          <w:sz w:val="21"/>
        </w:rPr>
      </w:pPr>
      <w:r>
        <w:rPr>
          <w:rFonts w:ascii="微软雅黑" w:eastAsia="微软雅黑"/>
          <w:b/>
          <w:spacing w:val="-3"/>
          <w:sz w:val="21"/>
        </w:rPr>
        <w:t>所有未切开心脏的心脏瓣膜介入手术不在保障范围内。</w:t>
      </w:r>
    </w:p>
    <w:p>
      <w:pPr>
        <w:pStyle w:val="ListParagraph"/>
        <w:numPr>
          <w:ilvl w:val="1"/>
          <w:numId w:val="27"/>
        </w:numPr>
        <w:tabs>
          <w:tab w:pos="1071" w:val="left" w:leader="none"/>
          <w:tab w:pos="1072" w:val="left" w:leader="none"/>
          <w:tab w:pos="3152" w:val="left" w:leader="none"/>
        </w:tabs>
        <w:spacing w:line="363" w:lineRule="exact" w:before="126" w:after="0"/>
        <w:ind w:left="1071" w:right="0" w:hanging="850"/>
        <w:jc w:val="left"/>
        <w:rPr>
          <w:sz w:val="21"/>
        </w:rPr>
      </w:pPr>
      <w:r>
        <w:rPr>
          <w:rFonts w:ascii="微软雅黑" w:eastAsia="微软雅黑"/>
          <w:b/>
          <w:sz w:val="21"/>
        </w:rPr>
        <w:t>严重阿尔茨海默</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因</w:t>
      </w:r>
      <w:r>
        <w:rPr>
          <w:spacing w:val="-2"/>
          <w:sz w:val="21"/>
        </w:rPr>
        <w:t>大</w:t>
      </w:r>
      <w:r>
        <w:rPr>
          <w:spacing w:val="-2"/>
          <w:sz w:val="21"/>
        </w:rPr>
        <w:t>脑</w:t>
      </w:r>
      <w:r>
        <w:rPr>
          <w:spacing w:val="-2"/>
          <w:sz w:val="21"/>
        </w:rPr>
        <w:t>进</w:t>
      </w:r>
      <w:r>
        <w:rPr>
          <w:spacing w:val="-2"/>
          <w:sz w:val="21"/>
        </w:rPr>
        <w:t>行性、</w:t>
      </w:r>
      <w:r>
        <w:rPr>
          <w:spacing w:val="-2"/>
          <w:sz w:val="21"/>
        </w:rPr>
        <w:t>不</w:t>
      </w:r>
      <w:r>
        <w:rPr>
          <w:spacing w:val="-2"/>
          <w:sz w:val="21"/>
        </w:rPr>
        <w:t>可</w:t>
      </w:r>
      <w:r>
        <w:rPr>
          <w:spacing w:val="-2"/>
          <w:sz w:val="21"/>
        </w:rPr>
        <w:t>逆</w:t>
      </w:r>
      <w:r>
        <w:rPr>
          <w:spacing w:val="-2"/>
          <w:sz w:val="21"/>
        </w:rPr>
        <w:t>性</w:t>
      </w:r>
      <w:r>
        <w:rPr>
          <w:spacing w:val="-2"/>
          <w:sz w:val="21"/>
        </w:rPr>
        <w:t>改</w:t>
      </w:r>
      <w:r>
        <w:rPr>
          <w:spacing w:val="-2"/>
          <w:sz w:val="21"/>
        </w:rPr>
        <w:t>变</w:t>
      </w:r>
      <w:r>
        <w:rPr>
          <w:spacing w:val="-2"/>
          <w:sz w:val="21"/>
        </w:rPr>
        <w:t>导</w:t>
      </w:r>
      <w:r>
        <w:rPr>
          <w:spacing w:val="-2"/>
          <w:sz w:val="21"/>
        </w:rPr>
        <w:t>致</w:t>
      </w:r>
      <w:r>
        <w:rPr>
          <w:spacing w:val="-2"/>
          <w:sz w:val="21"/>
        </w:rPr>
        <w:t>智能严</w:t>
      </w:r>
      <w:r>
        <w:rPr>
          <w:spacing w:val="-2"/>
          <w:sz w:val="21"/>
        </w:rPr>
        <w:t>重</w:t>
      </w:r>
      <w:r>
        <w:rPr>
          <w:spacing w:val="-2"/>
          <w:sz w:val="21"/>
        </w:rPr>
        <w:t>衰</w:t>
      </w:r>
      <w:r>
        <w:rPr>
          <w:spacing w:val="-2"/>
          <w:sz w:val="21"/>
        </w:rPr>
        <w:t>退</w:t>
      </w:r>
      <w:r>
        <w:rPr>
          <w:spacing w:val="-2"/>
          <w:sz w:val="21"/>
        </w:rPr>
        <w:t>或</w:t>
      </w:r>
      <w:r>
        <w:rPr>
          <w:spacing w:val="-2"/>
          <w:sz w:val="21"/>
        </w:rPr>
        <w:t>丧</w:t>
      </w:r>
      <w:r>
        <w:rPr>
          <w:spacing w:val="-2"/>
          <w:sz w:val="21"/>
        </w:rPr>
        <w:t>失，</w:t>
      </w:r>
      <w:r>
        <w:rPr>
          <w:spacing w:val="-2"/>
          <w:sz w:val="21"/>
        </w:rPr>
        <w:t>临</w:t>
      </w:r>
      <w:r>
        <w:rPr>
          <w:spacing w:val="-2"/>
          <w:sz w:val="21"/>
        </w:rPr>
        <w:t>床</w:t>
      </w:r>
      <w:r>
        <w:rPr>
          <w:spacing w:val="-10"/>
          <w:sz w:val="21"/>
        </w:rPr>
        <w:t>表</w:t>
      </w:r>
    </w:p>
    <w:p>
      <w:pPr>
        <w:pStyle w:val="BodyText"/>
        <w:spacing w:line="245" w:lineRule="exact"/>
      </w:pPr>
      <w:r>
        <w:rPr>
          <w:spacing w:val="-3"/>
        </w:rPr>
        <w:t>现为严重的认知功能障碍、精神行为异常和社交能力减退等，其日</w:t>
      </w:r>
    </w:p>
    <w:p>
      <w:pPr>
        <w:pStyle w:val="BodyText"/>
        <w:spacing w:line="242" w:lineRule="auto" w:before="5"/>
        <w:ind w:right="626"/>
      </w:pPr>
      <w:r>
        <w:rPr>
          <w:spacing w:val="-2"/>
        </w:rPr>
        <w:t>常生活必须持续受到他人监护。须由头颅断层扫描</w:t>
      </w:r>
      <w:r>
        <w:rPr>
          <w:spacing w:val="28"/>
        </w:rPr>
        <w:t>（</w:t>
      </w:r>
      <w:r>
        <w:rPr>
          <w:rFonts w:ascii="Times New Roman" w:eastAsia="Times New Roman"/>
          <w:spacing w:val="21"/>
        </w:rPr>
        <w:t>C</w:t>
      </w:r>
      <w:r>
        <w:rPr>
          <w:rFonts w:ascii="Times New Roman" w:eastAsia="Times New Roman"/>
          <w:spacing w:val="23"/>
        </w:rPr>
        <w:t>T</w:t>
      </w:r>
      <w:r>
        <w:rPr>
          <w:spacing w:val="-81"/>
        </w:rPr>
        <w:t>）</w:t>
      </w:r>
      <w:r>
        <w:rPr>
          <w:spacing w:val="-2"/>
        </w:rPr>
        <w:t>、核磁共</w:t>
      </w:r>
      <w:r>
        <w:rPr>
          <w:spacing w:val="-2"/>
        </w:rPr>
        <w:t>振检查（</w:t>
      </w:r>
      <w:r>
        <w:rPr>
          <w:rFonts w:ascii="Times New Roman" w:eastAsia="Times New Roman"/>
          <w:spacing w:val="-2"/>
        </w:rPr>
        <w:t>MRI</w:t>
      </w:r>
      <w:r>
        <w:rPr>
          <w:spacing w:val="-2"/>
        </w:rPr>
        <w:t>）或正电子发射断层扫描（</w:t>
      </w:r>
      <w:r>
        <w:rPr>
          <w:rFonts w:ascii="Times New Roman" w:eastAsia="Times New Roman"/>
          <w:spacing w:val="-2"/>
        </w:rPr>
        <w:t>PET</w:t>
      </w:r>
      <w:r>
        <w:rPr>
          <w:spacing w:val="-2"/>
        </w:rPr>
        <w:t>）等影像学检查证实，</w:t>
      </w:r>
      <w:r>
        <w:rPr>
          <w:spacing w:val="-2"/>
        </w:rPr>
        <w:t>并经相关专科医生确诊，且须满足下列至少一项条件：</w:t>
      </w:r>
    </w:p>
    <w:p>
      <w:pPr>
        <w:pStyle w:val="ListParagraph"/>
        <w:numPr>
          <w:ilvl w:val="0"/>
          <w:numId w:val="61"/>
        </w:numPr>
        <w:tabs>
          <w:tab w:pos="3689" w:val="left" w:leader="none"/>
        </w:tabs>
        <w:spacing w:line="240" w:lineRule="auto" w:before="1" w:after="0"/>
        <w:ind w:left="3688" w:right="0" w:hanging="536"/>
        <w:jc w:val="left"/>
        <w:rPr>
          <w:sz w:val="21"/>
        </w:rPr>
      </w:pPr>
      <w:r>
        <w:rPr>
          <w:sz w:val="21"/>
        </w:rPr>
        <w:t>由具有评估资格的专科医生根据临床痴呆评定量表</w:t>
      </w:r>
      <w:r>
        <w:rPr>
          <w:spacing w:val="-2"/>
          <w:sz w:val="21"/>
        </w:rPr>
        <w:t>（</w:t>
      </w:r>
      <w:r>
        <w:rPr>
          <w:rFonts w:ascii="Times New Roman" w:eastAsia="Times New Roman"/>
          <w:spacing w:val="-2"/>
          <w:sz w:val="21"/>
        </w:rPr>
        <w:t>CDR</w:t>
      </w:r>
      <w:r>
        <w:rPr>
          <w:spacing w:val="-2"/>
          <w:sz w:val="21"/>
        </w:rPr>
        <w:t>，</w:t>
      </w:r>
    </w:p>
    <w:p>
      <w:pPr>
        <w:pStyle w:val="BodyText"/>
        <w:spacing w:before="4"/>
        <w:ind w:left="3678"/>
      </w:pPr>
      <w:r>
        <w:rPr>
          <w:rFonts w:ascii="Times New Roman" w:eastAsia="Times New Roman"/>
          <w:spacing w:val="-2"/>
        </w:rPr>
        <w:t>Clinical</w:t>
      </w:r>
      <w:r>
        <w:rPr>
          <w:rFonts w:ascii="Times New Roman" w:eastAsia="Times New Roman"/>
          <w:spacing w:val="10"/>
        </w:rPr>
        <w:t> </w:t>
      </w:r>
      <w:r>
        <w:rPr>
          <w:rFonts w:ascii="Times New Roman" w:eastAsia="Times New Roman"/>
          <w:spacing w:val="-2"/>
        </w:rPr>
        <w:t>Dementia</w:t>
      </w:r>
      <w:r>
        <w:rPr>
          <w:rFonts w:ascii="Times New Roman" w:eastAsia="Times New Roman"/>
          <w:spacing w:val="17"/>
        </w:rPr>
        <w:t> </w:t>
      </w:r>
      <w:r>
        <w:rPr>
          <w:rFonts w:ascii="Times New Roman" w:eastAsia="Times New Roman"/>
          <w:spacing w:val="-2"/>
        </w:rPr>
        <w:t>Rating</w:t>
      </w:r>
      <w:r>
        <w:rPr>
          <w:spacing w:val="-2"/>
        </w:rPr>
        <w:t>）评估结果为</w:t>
      </w:r>
      <w:r>
        <w:rPr>
          <w:rFonts w:ascii="Times New Roman" w:eastAsia="Times New Roman"/>
          <w:spacing w:val="-2"/>
        </w:rPr>
        <w:t>3</w:t>
      </w:r>
      <w:r>
        <w:rPr>
          <w:spacing w:val="-6"/>
        </w:rPr>
        <w:t>分；</w:t>
      </w:r>
    </w:p>
    <w:p>
      <w:pPr>
        <w:pStyle w:val="ListParagraph"/>
        <w:numPr>
          <w:ilvl w:val="0"/>
          <w:numId w:val="61"/>
        </w:numPr>
        <w:tabs>
          <w:tab w:pos="3682" w:val="left" w:leader="none"/>
        </w:tabs>
        <w:spacing w:line="244" w:lineRule="auto" w:before="3" w:after="0"/>
        <w:ind w:left="3625" w:right="842" w:hanging="473"/>
        <w:jc w:val="left"/>
        <w:rPr>
          <w:sz w:val="21"/>
        </w:rPr>
      </w:pPr>
      <w:r>
        <w:rPr>
          <w:spacing w:val="-2"/>
          <w:sz w:val="21"/>
        </w:rPr>
        <w:t>自主生活能力完全丧失，无法独立完成六项基本日常生活活</w:t>
      </w:r>
      <w:r>
        <w:rPr>
          <w:spacing w:val="-2"/>
          <w:sz w:val="21"/>
        </w:rPr>
        <w:t>动中的三项或三项以上。</w:t>
      </w:r>
    </w:p>
    <w:p>
      <w:pPr>
        <w:spacing w:line="316" w:lineRule="exact" w:before="0"/>
        <w:ind w:left="3153" w:right="0" w:firstLine="0"/>
        <w:jc w:val="left"/>
        <w:rPr>
          <w:rFonts w:ascii="微软雅黑" w:eastAsia="微软雅黑"/>
          <w:b/>
          <w:sz w:val="21"/>
        </w:rPr>
      </w:pPr>
      <w:r>
        <w:rPr>
          <w:rFonts w:ascii="微软雅黑" w:eastAsia="微软雅黑"/>
          <w:b/>
          <w:spacing w:val="-3"/>
          <w:sz w:val="21"/>
        </w:rPr>
        <w:t>阿尔茨海默病之外的其他类型痴呆不在保障范围内。</w:t>
      </w:r>
    </w:p>
    <w:p>
      <w:pPr>
        <w:pStyle w:val="ListParagraph"/>
        <w:numPr>
          <w:ilvl w:val="1"/>
          <w:numId w:val="27"/>
        </w:numPr>
        <w:tabs>
          <w:tab w:pos="1071" w:val="left" w:leader="none"/>
          <w:tab w:pos="1072" w:val="left" w:leader="none"/>
          <w:tab w:pos="3152" w:val="left" w:leader="none"/>
        </w:tabs>
        <w:spacing w:line="364" w:lineRule="exact" w:before="126" w:after="0"/>
        <w:ind w:left="1071" w:right="0" w:hanging="850"/>
        <w:jc w:val="left"/>
        <w:rPr>
          <w:sz w:val="21"/>
        </w:rPr>
      </w:pPr>
      <w:r>
        <w:rPr>
          <w:rFonts w:ascii="微软雅黑" w:eastAsia="微软雅黑"/>
          <w:b/>
          <w:sz w:val="21"/>
        </w:rPr>
        <w:t>严重脑损</w:t>
      </w:r>
      <w:r>
        <w:rPr>
          <w:rFonts w:ascii="微软雅黑" w:eastAsia="微软雅黑"/>
          <w:b/>
          <w:spacing w:val="-10"/>
          <w:sz w:val="21"/>
        </w:rPr>
        <w:t>伤</w:t>
      </w:r>
      <w:r>
        <w:rPr>
          <w:rFonts w:ascii="微软雅黑" w:eastAsia="微软雅黑"/>
          <w:b/>
          <w:sz w:val="21"/>
        </w:rPr>
        <w:tab/>
      </w:r>
      <w:r>
        <w:rPr>
          <w:spacing w:val="-2"/>
          <w:sz w:val="21"/>
        </w:rPr>
        <w:t>指</w:t>
      </w:r>
      <w:r>
        <w:rPr>
          <w:spacing w:val="-2"/>
          <w:sz w:val="21"/>
        </w:rPr>
        <w:t>因</w:t>
      </w:r>
      <w:r>
        <w:rPr>
          <w:spacing w:val="-2"/>
          <w:sz w:val="21"/>
        </w:rPr>
        <w:t>头</w:t>
      </w:r>
      <w:r>
        <w:rPr>
          <w:spacing w:val="-2"/>
          <w:sz w:val="21"/>
        </w:rPr>
        <w:t>部</w:t>
      </w:r>
      <w:r>
        <w:rPr>
          <w:spacing w:val="-2"/>
          <w:sz w:val="21"/>
        </w:rPr>
        <w:t>遭</w:t>
      </w:r>
      <w:r>
        <w:rPr>
          <w:spacing w:val="-2"/>
          <w:sz w:val="21"/>
        </w:rPr>
        <w:t>受机械</w:t>
      </w:r>
      <w:r>
        <w:rPr>
          <w:spacing w:val="-2"/>
          <w:sz w:val="21"/>
        </w:rPr>
        <w:t>性</w:t>
      </w:r>
      <w:r>
        <w:rPr>
          <w:spacing w:val="-2"/>
          <w:sz w:val="21"/>
        </w:rPr>
        <w:t>外</w:t>
      </w:r>
      <w:r>
        <w:rPr>
          <w:spacing w:val="-2"/>
          <w:sz w:val="21"/>
        </w:rPr>
        <w:t>力，</w:t>
      </w:r>
      <w:r>
        <w:rPr>
          <w:spacing w:val="-2"/>
          <w:sz w:val="21"/>
        </w:rPr>
        <w:t>引</w:t>
      </w:r>
      <w:r>
        <w:rPr>
          <w:spacing w:val="-2"/>
          <w:sz w:val="21"/>
        </w:rPr>
        <w:t>起</w:t>
      </w:r>
      <w:r>
        <w:rPr>
          <w:spacing w:val="-2"/>
          <w:sz w:val="21"/>
        </w:rPr>
        <w:t>脑</w:t>
      </w:r>
      <w:r>
        <w:rPr>
          <w:spacing w:val="-2"/>
          <w:sz w:val="21"/>
        </w:rPr>
        <w:t>重</w:t>
      </w:r>
      <w:r>
        <w:rPr>
          <w:spacing w:val="-2"/>
          <w:sz w:val="21"/>
        </w:rPr>
        <w:t>要部位</w:t>
      </w:r>
      <w:r>
        <w:rPr>
          <w:spacing w:val="-2"/>
          <w:sz w:val="21"/>
        </w:rPr>
        <w:t>损</w:t>
      </w:r>
      <w:r>
        <w:rPr>
          <w:spacing w:val="-2"/>
          <w:sz w:val="21"/>
        </w:rPr>
        <w:t>伤</w:t>
      </w:r>
      <w:r>
        <w:rPr>
          <w:spacing w:val="-2"/>
          <w:sz w:val="21"/>
        </w:rPr>
        <w:t>，</w:t>
      </w:r>
      <w:r>
        <w:rPr>
          <w:spacing w:val="-2"/>
          <w:sz w:val="21"/>
        </w:rPr>
        <w:t>导</w:t>
      </w:r>
      <w:r>
        <w:rPr>
          <w:spacing w:val="-2"/>
          <w:sz w:val="21"/>
        </w:rPr>
        <w:t>致</w:t>
      </w:r>
      <w:r>
        <w:rPr>
          <w:spacing w:val="-2"/>
          <w:sz w:val="21"/>
        </w:rPr>
        <w:t>神</w:t>
      </w:r>
      <w:r>
        <w:rPr>
          <w:spacing w:val="-2"/>
          <w:sz w:val="21"/>
        </w:rPr>
        <w:t>经</w:t>
      </w:r>
      <w:r>
        <w:rPr>
          <w:spacing w:val="-2"/>
          <w:sz w:val="21"/>
        </w:rPr>
        <w:t>系</w:t>
      </w:r>
      <w:r>
        <w:rPr>
          <w:spacing w:val="-2"/>
          <w:sz w:val="21"/>
        </w:rPr>
        <w:t>统</w:t>
      </w:r>
      <w:r>
        <w:rPr>
          <w:spacing w:val="-10"/>
          <w:sz w:val="21"/>
        </w:rPr>
        <w:t>永</w:t>
      </w:r>
    </w:p>
    <w:p>
      <w:pPr>
        <w:pStyle w:val="BodyText"/>
        <w:spacing w:line="246" w:lineRule="exact"/>
      </w:pPr>
      <w:r>
        <w:rPr>
          <w:spacing w:val="-8"/>
        </w:rPr>
        <w:t>久性的功能障碍。须由头颅断层扫描</w:t>
      </w:r>
      <w:r>
        <w:rPr>
          <w:spacing w:val="16"/>
        </w:rPr>
        <w:t>（</w:t>
      </w:r>
      <w:r>
        <w:rPr>
          <w:rFonts w:ascii="Times New Roman" w:eastAsia="Times New Roman"/>
          <w:spacing w:val="19"/>
        </w:rPr>
        <w:t>CT</w:t>
      </w:r>
      <w:r>
        <w:rPr>
          <w:spacing w:val="-89"/>
        </w:rPr>
        <w:t>）</w:t>
      </w:r>
      <w:r>
        <w:rPr>
          <w:spacing w:val="-8"/>
        </w:rPr>
        <w:t>、核磁共振检查（</w:t>
      </w:r>
      <w:r>
        <w:rPr>
          <w:rFonts w:ascii="Times New Roman" w:eastAsia="Times New Roman"/>
          <w:spacing w:val="-8"/>
        </w:rPr>
        <w:t>MRI</w:t>
      </w:r>
      <w:r>
        <w:rPr>
          <w:spacing w:val="-8"/>
        </w:rPr>
        <w:t>）</w:t>
      </w:r>
    </w:p>
    <w:p>
      <w:pPr>
        <w:pStyle w:val="BodyText"/>
        <w:spacing w:line="244" w:lineRule="auto" w:before="2"/>
        <w:ind w:right="734"/>
      </w:pPr>
      <w:r>
        <w:rPr>
          <w:spacing w:val="-2"/>
        </w:rPr>
        <w:t>或正电子发射断层扫描（</w:t>
      </w:r>
      <w:r>
        <w:rPr>
          <w:rFonts w:ascii="Times New Roman" w:eastAsia="Times New Roman"/>
          <w:spacing w:val="-2"/>
        </w:rPr>
        <w:t>PET</w:t>
      </w:r>
      <w:r>
        <w:rPr>
          <w:spacing w:val="-2"/>
        </w:rPr>
        <w:t>）等影像学检查证实。神经系统永久</w:t>
      </w:r>
      <w:r>
        <w:rPr>
          <w:spacing w:val="-2"/>
        </w:rPr>
        <w:t>性的功能障碍，指脑损伤</w:t>
      </w:r>
      <w:r>
        <w:rPr>
          <w:rFonts w:ascii="Times New Roman" w:eastAsia="Times New Roman"/>
          <w:spacing w:val="-2"/>
        </w:rPr>
        <w:t>180</w:t>
      </w:r>
      <w:r>
        <w:rPr>
          <w:spacing w:val="-2"/>
        </w:rPr>
        <w:t>天后，仍遗留下列至少一种障碍：</w:t>
      </w:r>
    </w:p>
    <w:p>
      <w:pPr>
        <w:pStyle w:val="ListParagraph"/>
        <w:numPr>
          <w:ilvl w:val="0"/>
          <w:numId w:val="62"/>
        </w:numPr>
        <w:tabs>
          <w:tab w:pos="3682" w:val="left" w:leader="none"/>
        </w:tabs>
        <w:spacing w:line="265" w:lineRule="exact" w:before="0" w:after="0"/>
        <w:ind w:left="3682" w:right="0" w:hanging="529"/>
        <w:jc w:val="left"/>
        <w:rPr>
          <w:sz w:val="21"/>
        </w:rPr>
      </w:pPr>
      <w:r>
        <w:rPr>
          <w:spacing w:val="-2"/>
          <w:sz w:val="21"/>
        </w:rPr>
        <w:t>一肢（含）以上肢体肌力</w:t>
      </w:r>
      <w:r>
        <w:rPr>
          <w:rFonts w:ascii="Times New Roman" w:eastAsia="Times New Roman"/>
          <w:spacing w:val="-2"/>
          <w:sz w:val="21"/>
        </w:rPr>
        <w:t>2</w:t>
      </w:r>
      <w:r>
        <w:rPr>
          <w:spacing w:val="-2"/>
          <w:sz w:val="21"/>
        </w:rPr>
        <w:t>级（含）</w:t>
      </w:r>
      <w:r>
        <w:rPr>
          <w:spacing w:val="-5"/>
          <w:sz w:val="21"/>
        </w:rPr>
        <w:t>以下；</w:t>
      </w:r>
    </w:p>
    <w:p>
      <w:pPr>
        <w:spacing w:after="0" w:line="265" w:lineRule="exact"/>
        <w:jc w:val="left"/>
        <w:rPr>
          <w:sz w:val="21"/>
        </w:rPr>
        <w:sectPr>
          <w:pgSz w:w="11910" w:h="16840"/>
          <w:pgMar w:header="0" w:footer="878" w:top="1060" w:bottom="1060" w:left="1480" w:right="440"/>
        </w:sectPr>
      </w:pPr>
    </w:p>
    <w:p>
      <w:pPr>
        <w:pStyle w:val="ListParagraph"/>
        <w:numPr>
          <w:ilvl w:val="0"/>
          <w:numId w:val="62"/>
        </w:numPr>
        <w:tabs>
          <w:tab w:pos="3682" w:val="left" w:leader="none"/>
        </w:tabs>
        <w:spacing w:line="240" w:lineRule="auto" w:before="55" w:after="0"/>
        <w:ind w:left="3682" w:right="0" w:hanging="529"/>
        <w:jc w:val="left"/>
        <w:rPr>
          <w:sz w:val="21"/>
        </w:rPr>
      </w:pPr>
      <w:r>
        <w:rPr>
          <w:spacing w:val="-3"/>
          <w:sz w:val="21"/>
        </w:rPr>
        <w:t>语言能力完全丧失，或严重咀嚼吞咽功能障碍；</w:t>
      </w:r>
    </w:p>
    <w:p>
      <w:pPr>
        <w:pStyle w:val="ListParagraph"/>
        <w:numPr>
          <w:ilvl w:val="0"/>
          <w:numId w:val="62"/>
        </w:numPr>
        <w:tabs>
          <w:tab w:pos="3682" w:val="left" w:leader="none"/>
        </w:tabs>
        <w:spacing w:line="242" w:lineRule="auto" w:before="5" w:after="0"/>
        <w:ind w:left="3678" w:right="842" w:hanging="526"/>
        <w:jc w:val="left"/>
        <w:rPr>
          <w:sz w:val="21"/>
        </w:rPr>
      </w:pPr>
      <w:r>
        <w:rPr>
          <w:spacing w:val="-2"/>
          <w:sz w:val="21"/>
        </w:rPr>
        <w:t>自主生活能力完全丧失，无法独立完成六项基本日常生活活</w:t>
      </w:r>
      <w:r>
        <w:rPr>
          <w:spacing w:val="-2"/>
          <w:sz w:val="21"/>
        </w:rPr>
        <w:t>动中的三项或三项以上。</w:t>
      </w:r>
    </w:p>
    <w:p>
      <w:pPr>
        <w:pStyle w:val="BodyText"/>
        <w:spacing w:before="11"/>
        <w:ind w:left="0"/>
        <w:rPr>
          <w:sz w:val="13"/>
        </w:rPr>
      </w:pPr>
    </w:p>
    <w:p>
      <w:pPr>
        <w:spacing w:after="0"/>
        <w:rPr>
          <w:sz w:val="13"/>
        </w:rPr>
        <w:sectPr>
          <w:pgSz w:w="11910" w:h="16840"/>
          <w:pgMar w:header="0" w:footer="878" w:top="1060" w:bottom="1060" w:left="1480" w:right="440"/>
        </w:sectPr>
      </w:pPr>
    </w:p>
    <w:p>
      <w:pPr>
        <w:pStyle w:val="ListParagraph"/>
        <w:numPr>
          <w:ilvl w:val="1"/>
          <w:numId w:val="27"/>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9"/>
          <w:sz w:val="21"/>
        </w:rPr>
        <w:t>严重原发性帕金森</w:t>
      </w:r>
    </w:p>
    <w:p>
      <w:pPr>
        <w:spacing w:line="329" w:lineRule="exact" w:before="0"/>
        <w:ind w:left="1071" w:right="0" w:firstLine="0"/>
        <w:jc w:val="left"/>
        <w:rPr>
          <w:rFonts w:ascii="微软雅黑" w:eastAsia="微软雅黑"/>
          <w:b/>
          <w:sz w:val="21"/>
        </w:rPr>
      </w:pPr>
      <w:r>
        <w:rPr>
          <w:rFonts w:ascii="微软雅黑" w:eastAsia="微软雅黑"/>
          <w:b/>
          <w:w w:val="100"/>
          <w:sz w:val="21"/>
        </w:rPr>
        <w:t>病</w:t>
      </w:r>
    </w:p>
    <w:p>
      <w:pPr>
        <w:pStyle w:val="BodyText"/>
        <w:spacing w:line="242" w:lineRule="auto" w:before="100"/>
        <w:ind w:left="147" w:right="626"/>
        <w:jc w:val="both"/>
      </w:pPr>
      <w:r>
        <w:rPr/>
        <w:br w:type="column"/>
      </w:r>
      <w:r>
        <w:rPr>
          <w:spacing w:val="-2"/>
        </w:rPr>
        <w:t>是一种中枢神经系统的退行性疾病，临床表现为运动迟缓、静止性</w:t>
      </w:r>
      <w:r>
        <w:rPr>
          <w:spacing w:val="-2"/>
        </w:rPr>
        <w:t>震颤或肌强直等，经相关专科医生确诊，且须满足自主生活能力完</w:t>
      </w:r>
      <w:r>
        <w:rPr>
          <w:spacing w:val="-13"/>
        </w:rPr>
        <w:t>全丧失，无法独立完成六项基本日常生活活动中的三项或三项以上。</w:t>
      </w:r>
    </w:p>
    <w:p>
      <w:pPr>
        <w:spacing w:line="321" w:lineRule="exact" w:before="0"/>
        <w:ind w:left="147" w:right="0" w:firstLine="0"/>
        <w:jc w:val="left"/>
        <w:rPr>
          <w:rFonts w:ascii="微软雅黑" w:eastAsia="微软雅黑"/>
          <w:b/>
          <w:sz w:val="21"/>
        </w:rPr>
      </w:pPr>
      <w:r>
        <w:rPr>
          <w:rFonts w:ascii="微软雅黑" w:eastAsia="微软雅黑"/>
          <w:b/>
          <w:spacing w:val="-3"/>
          <w:sz w:val="21"/>
        </w:rPr>
        <w:t>继发性帕金森综合征、帕金森叠加综合征不在保障范围内。</w:t>
      </w:r>
    </w:p>
    <w:p>
      <w:pPr>
        <w:spacing w:after="0" w:line="321" w:lineRule="exact"/>
        <w:jc w:val="left"/>
        <w:rPr>
          <w:rFonts w:ascii="微软雅黑" w:eastAsia="微软雅黑"/>
          <w:sz w:val="21"/>
        </w:rPr>
        <w:sectPr>
          <w:type w:val="continuous"/>
          <w:pgSz w:w="11910" w:h="16840"/>
          <w:pgMar w:header="0" w:footer="878" w:top="160" w:bottom="280" w:left="1480" w:right="440"/>
          <w:cols w:num="2" w:equalWidth="0">
            <w:col w:w="2966" w:space="40"/>
            <w:col w:w="6984"/>
          </w:cols>
        </w:sectPr>
      </w:pPr>
    </w:p>
    <w:p>
      <w:pPr>
        <w:pStyle w:val="ListParagraph"/>
        <w:numPr>
          <w:ilvl w:val="1"/>
          <w:numId w:val="27"/>
        </w:numPr>
        <w:tabs>
          <w:tab w:pos="1071" w:val="left" w:leader="none"/>
          <w:tab w:pos="1072" w:val="left" w:leader="none"/>
          <w:tab w:pos="3152" w:val="left" w:leader="none"/>
        </w:tabs>
        <w:spacing w:line="364" w:lineRule="exact" w:before="126" w:after="0"/>
        <w:ind w:left="1071" w:right="0" w:hanging="850"/>
        <w:jc w:val="left"/>
        <w:rPr>
          <w:sz w:val="21"/>
        </w:rPr>
      </w:pPr>
      <w:r>
        <w:rPr>
          <w:rFonts w:ascii="微软雅黑" w:hAnsi="微软雅黑" w:eastAsia="微软雅黑"/>
          <w:b/>
          <w:sz w:val="21"/>
        </w:rPr>
        <w:t>严重Ⅲ度烧</w:t>
      </w:r>
      <w:r>
        <w:rPr>
          <w:rFonts w:ascii="微软雅黑" w:hAnsi="微软雅黑" w:eastAsia="微软雅黑"/>
          <w:b/>
          <w:spacing w:val="-10"/>
          <w:sz w:val="21"/>
        </w:rPr>
        <w:t>伤</w:t>
      </w:r>
      <w:r>
        <w:rPr>
          <w:rFonts w:ascii="微软雅黑" w:hAnsi="微软雅黑" w:eastAsia="微软雅黑"/>
          <w:b/>
          <w:sz w:val="21"/>
        </w:rPr>
        <w:tab/>
      </w:r>
      <w:r>
        <w:rPr>
          <w:sz w:val="21"/>
        </w:rPr>
        <w:t>指烧伤</w:t>
      </w:r>
      <w:r>
        <w:rPr>
          <w:sz w:val="21"/>
        </w:rPr>
        <w:t>程度为Ⅲ度，且Ⅲ度烧伤</w:t>
      </w:r>
      <w:r>
        <w:rPr>
          <w:sz w:val="21"/>
        </w:rPr>
        <w:t>的面积达到全身</w:t>
      </w:r>
      <w:r>
        <w:rPr>
          <w:sz w:val="21"/>
        </w:rPr>
        <w:t>体表面积的</w:t>
      </w:r>
      <w:r>
        <w:rPr>
          <w:rFonts w:ascii="Times New Roman" w:hAnsi="Times New Roman" w:eastAsia="Times New Roman"/>
          <w:sz w:val="21"/>
        </w:rPr>
        <w:t>20%</w:t>
      </w:r>
      <w:r>
        <w:rPr>
          <w:spacing w:val="-10"/>
          <w:sz w:val="21"/>
        </w:rPr>
        <w:t>或</w:t>
      </w:r>
    </w:p>
    <w:p>
      <w:pPr>
        <w:pStyle w:val="BodyText"/>
        <w:spacing w:line="246" w:lineRule="exact"/>
      </w:pPr>
      <w:r>
        <w:rPr>
          <w:rFonts w:ascii="Times New Roman" w:eastAsia="Times New Roman"/>
          <w:spacing w:val="-2"/>
        </w:rPr>
        <w:t>20%</w:t>
      </w:r>
      <w:r>
        <w:rPr>
          <w:spacing w:val="-3"/>
        </w:rPr>
        <w:t>以上。体表面积根据《中国新九分法》计算。</w:t>
      </w:r>
    </w:p>
    <w:p>
      <w:pPr>
        <w:pStyle w:val="BodyText"/>
        <w:spacing w:before="4"/>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严重特发性肺动脉</w:t>
      </w:r>
    </w:p>
    <w:p>
      <w:pPr>
        <w:spacing w:line="329" w:lineRule="exact" w:before="0"/>
        <w:ind w:left="1071" w:right="0" w:firstLine="0"/>
        <w:jc w:val="left"/>
        <w:rPr>
          <w:rFonts w:ascii="微软雅黑" w:eastAsia="微软雅黑"/>
          <w:b/>
          <w:sz w:val="21"/>
        </w:rPr>
      </w:pPr>
      <w:r>
        <w:rPr>
          <w:rFonts w:ascii="微软雅黑" w:eastAsia="微软雅黑"/>
          <w:b/>
          <w:spacing w:val="-5"/>
          <w:sz w:val="21"/>
        </w:rPr>
        <w:t>高压</w:t>
      </w:r>
    </w:p>
    <w:p>
      <w:pPr>
        <w:pStyle w:val="BodyText"/>
        <w:spacing w:line="242" w:lineRule="auto" w:before="100"/>
        <w:ind w:left="174" w:right="729"/>
        <w:jc w:val="both"/>
      </w:pPr>
      <w:r>
        <w:rPr/>
        <w:br w:type="column"/>
      </w:r>
      <w:r>
        <w:rPr>
          <w:spacing w:val="-2"/>
        </w:rPr>
        <w:t>指不明原因的肺动脉压力持续性增高，进行性发展而导致的慢性疾</w:t>
      </w:r>
      <w:r>
        <w:rPr>
          <w:spacing w:val="-2"/>
        </w:rPr>
        <w:t>病，已经造成永久不可逆性的体力活动能力受限，达到美国纽约心</w:t>
      </w:r>
      <w:r>
        <w:rPr>
          <w:spacing w:val="-2"/>
        </w:rPr>
        <w:t>脏病学会（</w:t>
      </w:r>
      <w:r>
        <w:rPr>
          <w:rFonts w:ascii="Times New Roman" w:eastAsia="Times New Roman"/>
          <w:spacing w:val="-2"/>
        </w:rPr>
        <w:t>New</w:t>
      </w:r>
      <w:r>
        <w:rPr>
          <w:rFonts w:ascii="Times New Roman" w:eastAsia="Times New Roman"/>
          <w:spacing w:val="-12"/>
        </w:rPr>
        <w:t> </w:t>
      </w:r>
      <w:r>
        <w:rPr>
          <w:rFonts w:ascii="Times New Roman" w:eastAsia="Times New Roman"/>
          <w:spacing w:val="-2"/>
        </w:rPr>
        <w:t>York</w:t>
      </w:r>
      <w:r>
        <w:rPr>
          <w:rFonts w:ascii="Times New Roman" w:eastAsia="Times New Roman"/>
          <w:spacing w:val="-11"/>
        </w:rPr>
        <w:t> </w:t>
      </w:r>
      <w:r>
        <w:rPr>
          <w:rFonts w:ascii="Times New Roman" w:eastAsia="Times New Roman"/>
          <w:spacing w:val="-2"/>
        </w:rPr>
        <w:t>Heart</w:t>
      </w:r>
      <w:r>
        <w:rPr>
          <w:rFonts w:ascii="Times New Roman" w:eastAsia="Times New Roman"/>
          <w:spacing w:val="-11"/>
        </w:rPr>
        <w:t> </w:t>
      </w:r>
      <w:r>
        <w:rPr>
          <w:rFonts w:ascii="Times New Roman" w:eastAsia="Times New Roman"/>
          <w:spacing w:val="-2"/>
        </w:rPr>
        <w:t>Association</w:t>
      </w:r>
      <w:r>
        <w:rPr>
          <w:spacing w:val="-2"/>
        </w:rPr>
        <w:t>，</w:t>
      </w:r>
      <w:r>
        <w:rPr>
          <w:rFonts w:ascii="Times New Roman" w:eastAsia="Times New Roman"/>
          <w:spacing w:val="-2"/>
        </w:rPr>
        <w:t>NYHA</w:t>
      </w:r>
      <w:r>
        <w:rPr>
          <w:spacing w:val="-2"/>
        </w:rPr>
        <w:t>）心功能状态分级</w:t>
      </w:r>
      <w:r>
        <w:rPr>
          <w:rFonts w:ascii="Times New Roman" w:eastAsia="Times New Roman"/>
          <w:spacing w:val="-2"/>
        </w:rPr>
        <w:t>IV</w:t>
      </w:r>
      <w:r>
        <w:rPr>
          <w:spacing w:val="-2"/>
        </w:rPr>
        <w:t>级，且静息状态下肺动脉平均压在</w:t>
      </w:r>
      <w:r>
        <w:rPr>
          <w:rFonts w:ascii="Times New Roman" w:eastAsia="Times New Roman"/>
          <w:spacing w:val="-2"/>
        </w:rPr>
        <w:t>36mmHg</w:t>
      </w:r>
      <w:r>
        <w:rPr>
          <w:spacing w:val="-2"/>
        </w:rPr>
        <w:t>（含）以上。</w:t>
      </w:r>
    </w:p>
    <w:p>
      <w:pPr>
        <w:spacing w:after="0" w:line="242" w:lineRule="auto"/>
        <w:jc w:val="both"/>
        <w:sectPr>
          <w:type w:val="continuous"/>
          <w:pgSz w:w="11910" w:h="16840"/>
          <w:pgMar w:header="0" w:footer="878" w:top="160" w:bottom="280" w:left="1480" w:right="440"/>
          <w:cols w:num="2" w:equalWidth="0">
            <w:col w:w="2939" w:space="40"/>
            <w:col w:w="7011"/>
          </w:cols>
        </w:sectPr>
      </w:pPr>
    </w:p>
    <w:p>
      <w:pPr>
        <w:pStyle w:val="BodyText"/>
        <w:spacing w:before="5"/>
        <w:ind w:left="0"/>
        <w:rPr>
          <w:sz w:val="11"/>
        </w:rPr>
      </w:pPr>
    </w:p>
    <w:p>
      <w:pPr>
        <w:pStyle w:val="ListParagraph"/>
        <w:numPr>
          <w:ilvl w:val="1"/>
          <w:numId w:val="27"/>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严重运动神经元</w:t>
      </w:r>
      <w:r>
        <w:rPr>
          <w:rFonts w:ascii="微软雅黑" w:eastAsia="微软雅黑"/>
          <w:b/>
          <w:spacing w:val="-10"/>
          <w:sz w:val="21"/>
        </w:rPr>
        <w:t>病</w:t>
      </w:r>
      <w:r>
        <w:rPr>
          <w:rFonts w:ascii="微软雅黑" w:eastAsia="微软雅黑"/>
          <w:b/>
          <w:sz w:val="21"/>
        </w:rPr>
        <w:tab/>
      </w:r>
      <w:r>
        <w:rPr>
          <w:spacing w:val="-2"/>
          <w:sz w:val="21"/>
        </w:rPr>
        <w:t>是</w:t>
      </w:r>
      <w:r>
        <w:rPr>
          <w:spacing w:val="-2"/>
          <w:sz w:val="21"/>
        </w:rPr>
        <w:t>一</w:t>
      </w:r>
      <w:r>
        <w:rPr>
          <w:spacing w:val="-2"/>
          <w:sz w:val="21"/>
        </w:rPr>
        <w:t>组</w:t>
      </w:r>
      <w:r>
        <w:rPr>
          <w:spacing w:val="-2"/>
          <w:sz w:val="21"/>
        </w:rPr>
        <w:t>中</w:t>
      </w:r>
      <w:r>
        <w:rPr>
          <w:spacing w:val="-2"/>
          <w:sz w:val="21"/>
        </w:rPr>
        <w:t>枢</w:t>
      </w:r>
      <w:r>
        <w:rPr>
          <w:spacing w:val="-2"/>
          <w:sz w:val="21"/>
        </w:rPr>
        <w:t>神经系</w:t>
      </w:r>
      <w:r>
        <w:rPr>
          <w:spacing w:val="-2"/>
          <w:sz w:val="21"/>
        </w:rPr>
        <w:t>统</w:t>
      </w:r>
      <w:r>
        <w:rPr>
          <w:spacing w:val="-2"/>
          <w:sz w:val="21"/>
        </w:rPr>
        <w:t>运</w:t>
      </w:r>
      <w:r>
        <w:rPr>
          <w:spacing w:val="-2"/>
          <w:sz w:val="21"/>
        </w:rPr>
        <w:t>动</w:t>
      </w:r>
      <w:r>
        <w:rPr>
          <w:spacing w:val="-2"/>
          <w:sz w:val="21"/>
        </w:rPr>
        <w:t>神</w:t>
      </w:r>
      <w:r>
        <w:rPr>
          <w:spacing w:val="-2"/>
          <w:sz w:val="21"/>
        </w:rPr>
        <w:t>经</w:t>
      </w:r>
      <w:r>
        <w:rPr>
          <w:spacing w:val="-2"/>
          <w:sz w:val="21"/>
        </w:rPr>
        <w:t>元</w:t>
      </w:r>
      <w:r>
        <w:rPr>
          <w:spacing w:val="-2"/>
          <w:sz w:val="21"/>
        </w:rPr>
        <w:t>的</w:t>
      </w:r>
      <w:r>
        <w:rPr>
          <w:spacing w:val="-2"/>
          <w:sz w:val="21"/>
        </w:rPr>
        <w:t>进</w:t>
      </w:r>
      <w:r>
        <w:rPr>
          <w:spacing w:val="-2"/>
          <w:sz w:val="21"/>
        </w:rPr>
        <w:t>行性变性疾病，</w:t>
      </w:r>
      <w:r>
        <w:rPr>
          <w:spacing w:val="-2"/>
          <w:sz w:val="21"/>
        </w:rPr>
        <w:t>包</w:t>
      </w:r>
      <w:r>
        <w:rPr>
          <w:spacing w:val="-2"/>
          <w:sz w:val="21"/>
        </w:rPr>
        <w:t>括</w:t>
      </w:r>
      <w:r>
        <w:rPr>
          <w:spacing w:val="-2"/>
          <w:sz w:val="21"/>
        </w:rPr>
        <w:t>进</w:t>
      </w:r>
      <w:r>
        <w:rPr>
          <w:spacing w:val="-2"/>
          <w:sz w:val="21"/>
        </w:rPr>
        <w:t>行</w:t>
      </w:r>
      <w:r>
        <w:rPr>
          <w:spacing w:val="-2"/>
          <w:sz w:val="21"/>
        </w:rPr>
        <w:t>性</w:t>
      </w:r>
      <w:r>
        <w:rPr>
          <w:spacing w:val="-10"/>
          <w:sz w:val="21"/>
        </w:rPr>
        <w:t>脊</w:t>
      </w:r>
    </w:p>
    <w:p>
      <w:pPr>
        <w:pStyle w:val="BodyText"/>
        <w:spacing w:line="245" w:lineRule="exact"/>
      </w:pPr>
      <w:r>
        <w:rPr>
          <w:spacing w:val="-3"/>
        </w:rPr>
        <w:t>肌萎缩症、进行性延髓麻痹症、原发性侧索硬化症、肌萎缩性侧索</w:t>
      </w:r>
    </w:p>
    <w:p>
      <w:pPr>
        <w:pStyle w:val="BodyText"/>
        <w:spacing w:before="2"/>
      </w:pPr>
      <w:r>
        <w:rPr>
          <w:spacing w:val="-3"/>
        </w:rPr>
        <w:t>硬化症，经相关专科医生确诊，且须满足下列至少一项条件：</w:t>
      </w:r>
    </w:p>
    <w:p>
      <w:pPr>
        <w:pStyle w:val="ListParagraph"/>
        <w:numPr>
          <w:ilvl w:val="0"/>
          <w:numId w:val="63"/>
        </w:numPr>
        <w:tabs>
          <w:tab w:pos="3682" w:val="left" w:leader="none"/>
        </w:tabs>
        <w:spacing w:line="240" w:lineRule="auto" w:before="4" w:after="0"/>
        <w:ind w:left="3682" w:right="0" w:hanging="529"/>
        <w:jc w:val="left"/>
        <w:rPr>
          <w:sz w:val="21"/>
        </w:rPr>
      </w:pPr>
      <w:r>
        <w:rPr>
          <w:spacing w:val="-3"/>
          <w:sz w:val="21"/>
        </w:rPr>
        <w:t>严重咀嚼吞咽功能障碍；</w:t>
      </w:r>
    </w:p>
    <w:p>
      <w:pPr>
        <w:pStyle w:val="ListParagraph"/>
        <w:numPr>
          <w:ilvl w:val="0"/>
          <w:numId w:val="63"/>
        </w:numPr>
        <w:tabs>
          <w:tab w:pos="3682" w:val="left" w:leader="none"/>
        </w:tabs>
        <w:spacing w:line="240" w:lineRule="auto" w:before="2" w:after="0"/>
        <w:ind w:left="3682" w:right="0" w:hanging="529"/>
        <w:jc w:val="left"/>
        <w:rPr>
          <w:sz w:val="21"/>
        </w:rPr>
      </w:pPr>
      <w:r>
        <w:rPr>
          <w:spacing w:val="-2"/>
          <w:sz w:val="21"/>
        </w:rPr>
        <w:t>呼吸肌麻痹导致严重呼吸困难，且已经持续使用呼吸机</w:t>
      </w:r>
      <w:r>
        <w:rPr>
          <w:rFonts w:ascii="Times New Roman" w:eastAsia="Times New Roman"/>
          <w:spacing w:val="-2"/>
          <w:sz w:val="21"/>
        </w:rPr>
        <w:t>7</w:t>
      </w:r>
      <w:r>
        <w:rPr>
          <w:spacing w:val="-10"/>
          <w:sz w:val="21"/>
        </w:rPr>
        <w:t>天</w:t>
      </w:r>
    </w:p>
    <w:p>
      <w:pPr>
        <w:pStyle w:val="BodyText"/>
        <w:spacing w:before="5"/>
        <w:ind w:left="3678"/>
      </w:pPr>
      <w:r>
        <w:rPr>
          <w:spacing w:val="-2"/>
        </w:rPr>
        <w:t>（含）</w:t>
      </w:r>
      <w:r>
        <w:rPr>
          <w:spacing w:val="-5"/>
        </w:rPr>
        <w:t>以上；</w:t>
      </w:r>
    </w:p>
    <w:p>
      <w:pPr>
        <w:pStyle w:val="ListParagraph"/>
        <w:numPr>
          <w:ilvl w:val="0"/>
          <w:numId w:val="63"/>
        </w:numPr>
        <w:tabs>
          <w:tab w:pos="3682" w:val="left" w:leader="none"/>
        </w:tabs>
        <w:spacing w:line="244" w:lineRule="auto" w:before="2" w:after="0"/>
        <w:ind w:left="3678" w:right="842" w:hanging="526"/>
        <w:jc w:val="left"/>
        <w:rPr>
          <w:sz w:val="21"/>
        </w:rPr>
      </w:pPr>
      <w:r>
        <w:rPr>
          <w:spacing w:val="-2"/>
          <w:sz w:val="21"/>
        </w:rPr>
        <w:t>自主生活能力完全丧失，无法独立完成六项基本日常生活活</w:t>
      </w:r>
      <w:r>
        <w:rPr>
          <w:spacing w:val="-2"/>
          <w:sz w:val="21"/>
        </w:rPr>
        <w:t>动中的三项或三项以上。</w:t>
      </w:r>
    </w:p>
    <w:p>
      <w:pPr>
        <w:pStyle w:val="ListParagraph"/>
        <w:numPr>
          <w:ilvl w:val="1"/>
          <w:numId w:val="27"/>
        </w:numPr>
        <w:tabs>
          <w:tab w:pos="1071" w:val="left" w:leader="none"/>
          <w:tab w:pos="1072" w:val="left" w:leader="none"/>
          <w:tab w:pos="3152" w:val="left" w:leader="none"/>
        </w:tabs>
        <w:spacing w:line="363" w:lineRule="exact" w:before="171" w:after="0"/>
        <w:ind w:left="1071" w:right="0" w:hanging="850"/>
        <w:jc w:val="left"/>
        <w:rPr>
          <w:rFonts w:ascii="Times New Roman" w:eastAsia="Times New Roman"/>
          <w:sz w:val="21"/>
        </w:rPr>
      </w:pPr>
      <w:r>
        <w:rPr>
          <w:rFonts w:ascii="微软雅黑" w:eastAsia="微软雅黑"/>
          <w:b/>
          <w:sz w:val="21"/>
        </w:rPr>
        <w:t>语言能力丧</w:t>
      </w:r>
      <w:r>
        <w:rPr>
          <w:rFonts w:ascii="微软雅黑" w:eastAsia="微软雅黑"/>
          <w:b/>
          <w:spacing w:val="-10"/>
          <w:sz w:val="21"/>
        </w:rPr>
        <w:t>失</w:t>
      </w:r>
      <w:r>
        <w:rPr>
          <w:rFonts w:ascii="微软雅黑" w:eastAsia="微软雅黑"/>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意外伤</w:t>
      </w:r>
      <w:r>
        <w:rPr>
          <w:spacing w:val="-2"/>
          <w:sz w:val="21"/>
        </w:rPr>
        <w:t>害</w:t>
      </w:r>
      <w:r>
        <w:rPr>
          <w:spacing w:val="-2"/>
          <w:sz w:val="21"/>
        </w:rPr>
        <w:t>导</w:t>
      </w:r>
      <w:r>
        <w:rPr>
          <w:spacing w:val="-2"/>
          <w:sz w:val="21"/>
        </w:rPr>
        <w:t>致</w:t>
      </w:r>
      <w:r>
        <w:rPr>
          <w:spacing w:val="-2"/>
          <w:sz w:val="21"/>
        </w:rPr>
        <w:t>语</w:t>
      </w:r>
      <w:r>
        <w:rPr>
          <w:spacing w:val="-2"/>
          <w:sz w:val="21"/>
        </w:rPr>
        <w:t>言</w:t>
      </w:r>
      <w:r>
        <w:rPr>
          <w:spacing w:val="-2"/>
          <w:sz w:val="21"/>
        </w:rPr>
        <w:t>能</w:t>
      </w:r>
      <w:r>
        <w:rPr>
          <w:spacing w:val="-2"/>
          <w:sz w:val="21"/>
        </w:rPr>
        <w:t>力</w:t>
      </w:r>
      <w:r>
        <w:rPr>
          <w:spacing w:val="-2"/>
          <w:sz w:val="21"/>
        </w:rPr>
        <w:t>完</w:t>
      </w:r>
      <w:r>
        <w:rPr>
          <w:spacing w:val="-2"/>
          <w:sz w:val="21"/>
        </w:rPr>
        <w:t>全丧失，</w:t>
      </w:r>
      <w:r>
        <w:rPr>
          <w:spacing w:val="-2"/>
          <w:sz w:val="21"/>
        </w:rPr>
        <w:t>经</w:t>
      </w:r>
      <w:r>
        <w:rPr>
          <w:spacing w:val="-2"/>
          <w:sz w:val="21"/>
        </w:rPr>
        <w:t>过</w:t>
      </w:r>
      <w:r>
        <w:rPr>
          <w:spacing w:val="-2"/>
          <w:sz w:val="21"/>
        </w:rPr>
        <w:t>积</w:t>
      </w:r>
      <w:r>
        <w:rPr>
          <w:spacing w:val="-2"/>
          <w:sz w:val="21"/>
        </w:rPr>
        <w:t>极</w:t>
      </w:r>
      <w:r>
        <w:rPr>
          <w:spacing w:val="-2"/>
          <w:sz w:val="21"/>
        </w:rPr>
        <w:t>治</w:t>
      </w:r>
      <w:r>
        <w:rPr>
          <w:spacing w:val="-2"/>
          <w:sz w:val="21"/>
        </w:rPr>
        <w:t>疗</w:t>
      </w:r>
      <w:r>
        <w:rPr>
          <w:spacing w:val="-2"/>
          <w:sz w:val="21"/>
        </w:rPr>
        <w:t>至</w:t>
      </w:r>
      <w:r>
        <w:rPr>
          <w:spacing w:val="-2"/>
          <w:sz w:val="21"/>
        </w:rPr>
        <w:t>少</w:t>
      </w:r>
      <w:r>
        <w:rPr>
          <w:rFonts w:ascii="Times New Roman" w:eastAsia="Times New Roman"/>
          <w:spacing w:val="-5"/>
          <w:sz w:val="21"/>
        </w:rPr>
        <w:t>12</w:t>
      </w:r>
    </w:p>
    <w:p>
      <w:pPr>
        <w:pStyle w:val="BodyText"/>
        <w:spacing w:line="245" w:lineRule="exact"/>
      </w:pPr>
      <w:r>
        <w:rPr>
          <w:spacing w:val="-27"/>
        </w:rPr>
        <w:t>个月</w:t>
      </w:r>
      <w:r>
        <w:rPr>
          <w:spacing w:val="-2"/>
        </w:rPr>
        <w:t>（声带完全切除不受此时间限制</w:t>
      </w:r>
      <w:r>
        <w:rPr>
          <w:spacing w:val="-79"/>
        </w:rPr>
        <w:t>）</w:t>
      </w:r>
      <w:r>
        <w:rPr>
          <w:spacing w:val="-11"/>
        </w:rPr>
        <w:t>，仍无法通过现有医疗手段恢</w:t>
      </w:r>
    </w:p>
    <w:p>
      <w:pPr>
        <w:pStyle w:val="BodyText"/>
        <w:spacing w:before="5"/>
      </w:pPr>
      <w:r>
        <w:rPr>
          <w:spacing w:val="-5"/>
        </w:rPr>
        <w:t>复。</w:t>
      </w:r>
    </w:p>
    <w:p>
      <w:pPr>
        <w:spacing w:line="329" w:lineRule="exact" w:before="178"/>
        <w:ind w:left="3153" w:right="0" w:firstLine="0"/>
        <w:jc w:val="left"/>
        <w:rPr>
          <w:rFonts w:ascii="微软雅黑" w:eastAsia="微软雅黑"/>
          <w:b/>
          <w:sz w:val="21"/>
        </w:rPr>
      </w:pPr>
      <w:r>
        <w:rPr>
          <w:rFonts w:ascii="微软雅黑" w:eastAsia="微软雅黑"/>
          <w:b/>
          <w:spacing w:val="-3"/>
          <w:sz w:val="21"/>
        </w:rPr>
        <w:t>精神心理因素所致的语言能力丧失不在保障范围内。</w:t>
      </w:r>
    </w:p>
    <w:p>
      <w:pPr>
        <w:spacing w:line="168" w:lineRule="auto" w:before="25"/>
        <w:ind w:left="3153" w:right="725" w:firstLine="0"/>
        <w:jc w:val="both"/>
        <w:rPr>
          <w:rFonts w:ascii="微软雅黑" w:eastAsia="微软雅黑"/>
          <w:b/>
          <w:sz w:val="21"/>
        </w:rPr>
      </w:pPr>
      <w:r>
        <w:rPr>
          <w:rFonts w:ascii="微软雅黑" w:eastAsia="微软雅黑"/>
          <w:b/>
          <w:spacing w:val="-4"/>
          <w:w w:val="100"/>
          <w:sz w:val="21"/>
        </w:rPr>
        <w:t>特别声明：我们将在被保险人年龄在三周岁或以上时受理理赔，并</w:t>
      </w:r>
      <w:r>
        <w:rPr>
          <w:rFonts w:ascii="微软雅黑" w:eastAsia="微软雅黑"/>
          <w:b/>
          <w:spacing w:val="4"/>
          <w:w w:val="100"/>
          <w:sz w:val="21"/>
        </w:rPr>
        <w:t>且保险金申请人必须提供理赔受理当时的语言能力丧失诊断及检</w:t>
      </w:r>
      <w:r>
        <w:rPr>
          <w:rFonts w:ascii="微软雅黑" w:eastAsia="微软雅黑"/>
          <w:b/>
          <w:spacing w:val="-5"/>
          <w:w w:val="100"/>
          <w:sz w:val="21"/>
        </w:rPr>
        <w:t>查证据。若被保险人发病时不足三周岁，我们将延期到被保险人年</w:t>
      </w:r>
      <w:r>
        <w:rPr>
          <w:rFonts w:ascii="微软雅黑" w:eastAsia="微软雅黑"/>
          <w:b/>
          <w:spacing w:val="-2"/>
          <w:w w:val="100"/>
          <w:sz w:val="21"/>
        </w:rPr>
        <w:t>满三周岁后予以受理和评估。</w:t>
      </w:r>
    </w:p>
    <w:p>
      <w:pPr>
        <w:pStyle w:val="BodyText"/>
        <w:spacing w:before="3"/>
        <w:ind w:left="0"/>
        <w:rPr>
          <w:rFonts w:ascii="微软雅黑"/>
          <w:b/>
          <w:sz w:val="7"/>
        </w:rPr>
      </w:pPr>
    </w:p>
    <w:p>
      <w:pPr>
        <w:spacing w:after="0"/>
        <w:rPr>
          <w:rFonts w:ascii="微软雅黑"/>
          <w:sz w:val="7"/>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重型再生障碍性贫</w:t>
      </w:r>
    </w:p>
    <w:p>
      <w:pPr>
        <w:spacing w:line="329" w:lineRule="exact" w:before="0"/>
        <w:ind w:left="1071" w:right="0" w:firstLine="0"/>
        <w:jc w:val="left"/>
        <w:rPr>
          <w:rFonts w:ascii="微软雅黑" w:eastAsia="微软雅黑"/>
          <w:b/>
          <w:sz w:val="21"/>
        </w:rPr>
      </w:pPr>
      <w:r>
        <w:rPr>
          <w:rFonts w:ascii="微软雅黑" w:eastAsia="微软雅黑"/>
          <w:b/>
          <w:w w:val="100"/>
          <w:sz w:val="21"/>
        </w:rPr>
        <w:t>血</w:t>
      </w:r>
    </w:p>
    <w:p>
      <w:pPr>
        <w:pStyle w:val="BodyText"/>
        <w:spacing w:line="242" w:lineRule="auto" w:before="100"/>
        <w:ind w:left="175" w:right="729"/>
      </w:pPr>
      <w:r>
        <w:rPr/>
        <w:br w:type="column"/>
      </w:r>
      <w:r>
        <w:rPr>
          <w:spacing w:val="-2"/>
        </w:rPr>
        <w:t>指因骨髓造血功能慢性持续性衰竭导致的贫血、中性粒细胞减少及</w:t>
      </w:r>
      <w:r>
        <w:rPr>
          <w:spacing w:val="-2"/>
        </w:rPr>
        <w:t>血小板减少，且须满足下列全部条件：</w:t>
      </w:r>
    </w:p>
    <w:p>
      <w:pPr>
        <w:pStyle w:val="ListParagraph"/>
        <w:numPr>
          <w:ilvl w:val="0"/>
          <w:numId w:val="64"/>
        </w:numPr>
        <w:tabs>
          <w:tab w:pos="705" w:val="left" w:leader="none"/>
        </w:tabs>
        <w:spacing w:line="242" w:lineRule="auto" w:before="1" w:after="0"/>
        <w:ind w:left="701" w:right="732" w:hanging="526"/>
        <w:jc w:val="left"/>
        <w:rPr>
          <w:sz w:val="21"/>
        </w:rPr>
      </w:pPr>
      <w:r>
        <w:rPr>
          <w:spacing w:val="-2"/>
          <w:sz w:val="21"/>
        </w:rPr>
        <w:t>骨髓穿刺检查或骨髓活检结果支持诊断：骨髓细胞增生程度</w:t>
      </w:r>
      <w:r>
        <w:rPr>
          <w:rFonts w:ascii="Times New Roman" w:hAnsi="Times New Roman" w:eastAsia="Times New Roman"/>
          <w:spacing w:val="-2"/>
          <w:sz w:val="21"/>
        </w:rPr>
        <w:t>&lt;</w:t>
      </w:r>
      <w:r>
        <w:rPr>
          <w:spacing w:val="-2"/>
          <w:sz w:val="21"/>
        </w:rPr>
        <w:t>正常的</w:t>
      </w:r>
      <w:r>
        <w:rPr>
          <w:rFonts w:ascii="Times New Roman" w:hAnsi="Times New Roman" w:eastAsia="Times New Roman"/>
          <w:spacing w:val="-2"/>
          <w:sz w:val="21"/>
        </w:rPr>
        <w:t>25%</w:t>
      </w:r>
      <w:r>
        <w:rPr>
          <w:spacing w:val="-2"/>
          <w:sz w:val="21"/>
        </w:rPr>
        <w:t>；如≥正常的</w:t>
      </w:r>
      <w:r>
        <w:rPr>
          <w:rFonts w:ascii="Times New Roman" w:hAnsi="Times New Roman" w:eastAsia="Times New Roman"/>
          <w:spacing w:val="-2"/>
          <w:sz w:val="21"/>
        </w:rPr>
        <w:t>25%</w:t>
      </w:r>
      <w:r>
        <w:rPr>
          <w:spacing w:val="-2"/>
          <w:sz w:val="21"/>
        </w:rPr>
        <w:t>但</w:t>
      </w:r>
      <w:r>
        <w:rPr>
          <w:rFonts w:ascii="Times New Roman" w:hAnsi="Times New Roman" w:eastAsia="Times New Roman"/>
          <w:spacing w:val="-2"/>
          <w:sz w:val="21"/>
        </w:rPr>
        <w:t>&lt;50%</w:t>
      </w:r>
      <w:r>
        <w:rPr>
          <w:spacing w:val="-2"/>
          <w:sz w:val="21"/>
        </w:rPr>
        <w:t>，则残存的造血细胞应</w:t>
      </w:r>
    </w:p>
    <w:p>
      <w:pPr>
        <w:pStyle w:val="BodyText"/>
        <w:spacing w:before="1"/>
        <w:ind w:left="701"/>
      </w:pPr>
      <w:r>
        <w:rPr>
          <w:rFonts w:ascii="Times New Roman" w:eastAsia="Times New Roman"/>
          <w:spacing w:val="-2"/>
        </w:rPr>
        <w:t>&lt;30%</w:t>
      </w:r>
      <w:r>
        <w:rPr>
          <w:spacing w:val="-2"/>
        </w:rPr>
        <w:t>；</w:t>
      </w:r>
    </w:p>
    <w:p>
      <w:pPr>
        <w:pStyle w:val="ListParagraph"/>
        <w:numPr>
          <w:ilvl w:val="0"/>
          <w:numId w:val="64"/>
        </w:numPr>
        <w:tabs>
          <w:tab w:pos="705" w:val="left" w:leader="none"/>
        </w:tabs>
        <w:spacing w:line="240" w:lineRule="auto" w:before="3" w:after="0"/>
        <w:ind w:left="704" w:right="0" w:hanging="530"/>
        <w:jc w:val="left"/>
        <w:rPr>
          <w:sz w:val="21"/>
        </w:rPr>
      </w:pPr>
      <w:r>
        <w:rPr>
          <w:spacing w:val="-3"/>
          <w:sz w:val="21"/>
        </w:rPr>
        <w:t>外周血象须具备以下三项条件中的两项：</w:t>
      </w:r>
    </w:p>
    <w:p>
      <w:pPr>
        <w:pStyle w:val="BodyText"/>
        <w:spacing w:before="4"/>
        <w:ind w:left="701"/>
      </w:pPr>
      <w:r>
        <w:rPr>
          <w:spacing w:val="-2"/>
        </w:rPr>
        <w:t>①中性粒细胞绝对值</w:t>
      </w:r>
      <w:r>
        <w:rPr>
          <w:rFonts w:ascii="Times New Roman" w:hAnsi="Times New Roman" w:eastAsia="Times New Roman"/>
          <w:spacing w:val="-2"/>
        </w:rPr>
        <w:t>&lt;0.5</w:t>
      </w:r>
      <w:r>
        <w:rPr>
          <w:spacing w:val="-2"/>
        </w:rPr>
        <w:t>×</w:t>
      </w:r>
      <w:r>
        <w:rPr>
          <w:rFonts w:ascii="Times New Roman" w:hAnsi="Times New Roman" w:eastAsia="Times New Roman"/>
          <w:spacing w:val="-2"/>
        </w:rPr>
        <w:t>10</w:t>
      </w:r>
      <w:r>
        <w:rPr>
          <w:rFonts w:ascii="Times New Roman" w:hAnsi="Times New Roman" w:eastAsia="Times New Roman"/>
          <w:spacing w:val="-2"/>
          <w:position w:val="7"/>
          <w:sz w:val="14"/>
        </w:rPr>
        <w:t>9</w:t>
      </w:r>
      <w:r>
        <w:rPr>
          <w:rFonts w:ascii="Times New Roman" w:hAnsi="Times New Roman" w:eastAsia="Times New Roman"/>
          <w:spacing w:val="-2"/>
        </w:rPr>
        <w:t>/L</w:t>
      </w:r>
      <w:r>
        <w:rPr>
          <w:spacing w:val="-2"/>
        </w:rPr>
        <w:t>；</w:t>
      </w:r>
    </w:p>
    <w:p>
      <w:pPr>
        <w:pStyle w:val="BodyText"/>
        <w:spacing w:before="2"/>
        <w:ind w:left="701"/>
      </w:pPr>
      <w:r>
        <w:rPr>
          <w:spacing w:val="-2"/>
        </w:rPr>
        <w:t>②网织红细胞计数</w:t>
      </w:r>
      <w:r>
        <w:rPr>
          <w:rFonts w:ascii="Times New Roman" w:hAnsi="Times New Roman" w:eastAsia="Times New Roman"/>
          <w:spacing w:val="-2"/>
        </w:rPr>
        <w:t>&lt;20</w:t>
      </w:r>
      <w:r>
        <w:rPr>
          <w:spacing w:val="-2"/>
        </w:rPr>
        <w:t>×</w:t>
      </w:r>
      <w:r>
        <w:rPr>
          <w:rFonts w:ascii="Times New Roman" w:hAnsi="Times New Roman" w:eastAsia="Times New Roman"/>
          <w:spacing w:val="-2"/>
        </w:rPr>
        <w:t>10</w:t>
      </w:r>
      <w:r>
        <w:rPr>
          <w:rFonts w:ascii="Times New Roman" w:hAnsi="Times New Roman" w:eastAsia="Times New Roman"/>
          <w:spacing w:val="-2"/>
          <w:position w:val="7"/>
          <w:sz w:val="14"/>
        </w:rPr>
        <w:t>9</w:t>
      </w:r>
      <w:r>
        <w:rPr>
          <w:rFonts w:ascii="Times New Roman" w:hAnsi="Times New Roman" w:eastAsia="Times New Roman"/>
          <w:spacing w:val="-2"/>
        </w:rPr>
        <w:t>/L</w:t>
      </w:r>
      <w:r>
        <w:rPr>
          <w:spacing w:val="-2"/>
        </w:rPr>
        <w:t>；</w:t>
      </w:r>
    </w:p>
    <w:p>
      <w:pPr>
        <w:pStyle w:val="BodyText"/>
        <w:spacing w:before="5"/>
        <w:ind w:left="701"/>
      </w:pPr>
      <w:r>
        <w:rPr>
          <w:w w:val="95"/>
        </w:rPr>
        <w:t>③</w:t>
      </w:r>
      <w:r>
        <w:rPr>
          <w:w w:val="95"/>
        </w:rPr>
        <w:t>血</w:t>
      </w:r>
      <w:r>
        <w:rPr>
          <w:w w:val="95"/>
        </w:rPr>
        <w:t>小板绝对值</w:t>
      </w:r>
      <w:r>
        <w:rPr>
          <w:rFonts w:ascii="Times New Roman" w:hAnsi="Times New Roman" w:eastAsia="Times New Roman"/>
          <w:w w:val="95"/>
        </w:rPr>
        <w:t>&lt;20</w:t>
      </w:r>
      <w:r>
        <w:rPr>
          <w:w w:val="95"/>
        </w:rPr>
        <w:t>×</w:t>
      </w:r>
      <w:r>
        <w:rPr>
          <w:rFonts w:ascii="Times New Roman" w:hAnsi="Times New Roman" w:eastAsia="Times New Roman"/>
          <w:w w:val="95"/>
        </w:rPr>
        <w:t>10</w:t>
      </w:r>
      <w:r>
        <w:rPr>
          <w:rFonts w:ascii="Times New Roman" w:hAnsi="Times New Roman" w:eastAsia="Times New Roman"/>
          <w:w w:val="95"/>
          <w:vertAlign w:val="superscript"/>
        </w:rPr>
        <w:t>9</w:t>
      </w:r>
      <w:r>
        <w:rPr>
          <w:rFonts w:ascii="Times New Roman" w:hAnsi="Times New Roman" w:eastAsia="Times New Roman"/>
          <w:w w:val="95"/>
          <w:vertAlign w:val="baseline"/>
        </w:rPr>
        <w:t>/L</w:t>
      </w:r>
      <w:r>
        <w:rPr>
          <w:spacing w:val="-10"/>
          <w:w w:val="95"/>
          <w:vertAlign w:val="baseline"/>
        </w:rPr>
        <w:t>。</w:t>
      </w:r>
    </w:p>
    <w:p>
      <w:pPr>
        <w:spacing w:after="0"/>
        <w:sectPr>
          <w:type w:val="continuous"/>
          <w:pgSz w:w="11910" w:h="16840"/>
          <w:pgMar w:header="0" w:footer="878" w:top="160" w:bottom="280" w:left="1480" w:right="440"/>
          <w:cols w:num="2" w:equalWidth="0">
            <w:col w:w="2938" w:space="40"/>
            <w:col w:w="7012"/>
          </w:cols>
        </w:sectPr>
      </w:pPr>
    </w:p>
    <w:p>
      <w:pPr>
        <w:pStyle w:val="BodyText"/>
        <w:spacing w:before="4"/>
        <w:ind w:left="0"/>
        <w:rPr>
          <w:sz w:val="11"/>
        </w:rPr>
      </w:pPr>
    </w:p>
    <w:p>
      <w:pPr>
        <w:pStyle w:val="ListParagraph"/>
        <w:numPr>
          <w:ilvl w:val="1"/>
          <w:numId w:val="27"/>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主动脉手</w:t>
      </w:r>
      <w:r>
        <w:rPr>
          <w:rFonts w:ascii="微软雅黑" w:eastAsia="微软雅黑"/>
          <w:b/>
          <w:spacing w:val="-10"/>
          <w:sz w:val="21"/>
        </w:rPr>
        <w:t>术</w:t>
      </w:r>
      <w:r>
        <w:rPr>
          <w:rFonts w:ascii="微软雅黑" w:eastAsia="微软雅黑"/>
          <w:b/>
          <w:sz w:val="21"/>
        </w:rPr>
        <w:tab/>
      </w:r>
      <w:r>
        <w:rPr>
          <w:spacing w:val="-4"/>
          <w:sz w:val="21"/>
        </w:rPr>
        <w:t>指</w:t>
      </w:r>
      <w:r>
        <w:rPr>
          <w:spacing w:val="-4"/>
          <w:sz w:val="21"/>
        </w:rPr>
        <w:t>为</w:t>
      </w:r>
      <w:r>
        <w:rPr>
          <w:spacing w:val="-4"/>
          <w:sz w:val="21"/>
        </w:rPr>
        <w:t>治疗主动脉疾病或主</w:t>
      </w:r>
      <w:r>
        <w:rPr>
          <w:spacing w:val="-4"/>
          <w:sz w:val="21"/>
        </w:rPr>
        <w:t>动</w:t>
      </w:r>
      <w:r>
        <w:rPr>
          <w:spacing w:val="-4"/>
          <w:sz w:val="21"/>
        </w:rPr>
        <w:t>脉</w:t>
      </w:r>
      <w:r>
        <w:rPr>
          <w:spacing w:val="-4"/>
          <w:sz w:val="21"/>
        </w:rPr>
        <w:t>创伤</w:t>
      </w:r>
      <w:r>
        <w:rPr>
          <w:spacing w:val="-53"/>
          <w:sz w:val="21"/>
        </w:rPr>
        <w:t>，</w:t>
      </w:r>
      <w:r>
        <w:rPr>
          <w:spacing w:val="-4"/>
          <w:sz w:val="21"/>
        </w:rPr>
        <w:t>已经实施了开胸（含胸腔</w:t>
      </w:r>
      <w:r>
        <w:rPr>
          <w:spacing w:val="-4"/>
          <w:sz w:val="21"/>
        </w:rPr>
        <w:t>镜</w:t>
      </w:r>
      <w:r>
        <w:rPr>
          <w:spacing w:val="-4"/>
          <w:sz w:val="21"/>
        </w:rPr>
        <w:t>下</w:t>
      </w:r>
      <w:r>
        <w:rPr>
          <w:spacing w:val="-10"/>
          <w:sz w:val="21"/>
        </w:rPr>
        <w:t>）</w:t>
      </w:r>
    </w:p>
    <w:p>
      <w:pPr>
        <w:pStyle w:val="BodyText"/>
        <w:spacing w:line="245" w:lineRule="exact"/>
      </w:pPr>
      <w:r>
        <w:rPr>
          <w:spacing w:val="-2"/>
        </w:rPr>
        <w:t>或开腹（含腹腔镜下）</w:t>
      </w:r>
      <w:r>
        <w:rPr>
          <w:spacing w:val="-3"/>
        </w:rPr>
        <w:t>进行的切除、置换、修补病损主动脉血管、</w:t>
      </w:r>
    </w:p>
    <w:p>
      <w:pPr>
        <w:pStyle w:val="BodyText"/>
        <w:spacing w:line="242" w:lineRule="auto" w:before="4"/>
        <w:ind w:right="729"/>
        <w:jc w:val="both"/>
      </w:pPr>
      <w:r>
        <w:rPr>
          <w:spacing w:val="-2"/>
        </w:rPr>
        <w:t>主动脉创伤后修复的手术。主动脉指升主动脉、主动脉弓和降主动</w:t>
      </w:r>
      <w:r>
        <w:rPr>
          <w:spacing w:val="-4"/>
        </w:rPr>
        <w:t>脉（含胸主动脉和腹主动脉</w:t>
      </w:r>
      <w:r>
        <w:rPr>
          <w:spacing w:val="-70"/>
        </w:rPr>
        <w:t>）</w:t>
      </w:r>
      <w:r>
        <w:rPr>
          <w:spacing w:val="-13"/>
        </w:rPr>
        <w:t>，不包括升主动脉、主动脉弓和降主动</w:t>
      </w:r>
      <w:r>
        <w:rPr>
          <w:spacing w:val="-2"/>
        </w:rPr>
        <w:t>脉的分支血管。</w:t>
      </w:r>
    </w:p>
    <w:p>
      <w:pPr>
        <w:spacing w:line="321" w:lineRule="exact" w:before="0"/>
        <w:ind w:left="3153" w:right="0" w:firstLine="0"/>
        <w:jc w:val="left"/>
        <w:rPr>
          <w:rFonts w:ascii="微软雅黑" w:eastAsia="微软雅黑"/>
          <w:b/>
          <w:sz w:val="21"/>
        </w:rPr>
      </w:pPr>
      <w:r>
        <w:rPr>
          <w:rFonts w:ascii="微软雅黑" w:eastAsia="微软雅黑"/>
          <w:b/>
          <w:spacing w:val="-3"/>
          <w:sz w:val="21"/>
        </w:rPr>
        <w:t>所有未实施开胸或开腹的动脉内介入治疗不在保障范围内。</w:t>
      </w:r>
    </w:p>
    <w:p>
      <w:pPr>
        <w:pStyle w:val="ListParagraph"/>
        <w:numPr>
          <w:ilvl w:val="1"/>
          <w:numId w:val="27"/>
        </w:numPr>
        <w:tabs>
          <w:tab w:pos="1071" w:val="left" w:leader="none"/>
          <w:tab w:pos="1072" w:val="left" w:leader="none"/>
          <w:tab w:pos="3152" w:val="left" w:leader="none"/>
        </w:tabs>
        <w:spacing w:line="240" w:lineRule="auto" w:before="127" w:after="0"/>
        <w:ind w:left="1071" w:right="0" w:hanging="850"/>
        <w:jc w:val="left"/>
        <w:rPr>
          <w:sz w:val="21"/>
        </w:rPr>
      </w:pPr>
      <w:r>
        <w:rPr>
          <w:rFonts w:ascii="微软雅黑" w:eastAsia="微软雅黑"/>
          <w:b/>
          <w:sz w:val="21"/>
        </w:rPr>
        <w:t>严重慢性呼吸衰</w:t>
      </w:r>
      <w:r>
        <w:rPr>
          <w:rFonts w:ascii="微软雅黑" w:eastAsia="微软雅黑"/>
          <w:b/>
          <w:spacing w:val="-10"/>
          <w:sz w:val="21"/>
        </w:rPr>
        <w:t>竭</w:t>
      </w:r>
      <w:r>
        <w:rPr>
          <w:rFonts w:ascii="微软雅黑" w:eastAsia="微软雅黑"/>
          <w:b/>
          <w:sz w:val="21"/>
        </w:rPr>
        <w:tab/>
      </w:r>
      <w:r>
        <w:rPr>
          <w:spacing w:val="-2"/>
          <w:sz w:val="21"/>
        </w:rPr>
        <w:t>指</w:t>
      </w:r>
      <w:r>
        <w:rPr>
          <w:spacing w:val="-2"/>
          <w:sz w:val="21"/>
        </w:rPr>
        <w:t>因</w:t>
      </w:r>
      <w:r>
        <w:rPr>
          <w:spacing w:val="-2"/>
          <w:sz w:val="21"/>
        </w:rPr>
        <w:t>慢</w:t>
      </w:r>
      <w:r>
        <w:rPr>
          <w:spacing w:val="-2"/>
          <w:sz w:val="21"/>
        </w:rPr>
        <w:t>性</w:t>
      </w:r>
      <w:r>
        <w:rPr>
          <w:spacing w:val="-2"/>
          <w:sz w:val="21"/>
        </w:rPr>
        <w:t>呼</w:t>
      </w:r>
      <w:r>
        <w:rPr>
          <w:spacing w:val="-2"/>
          <w:sz w:val="21"/>
        </w:rPr>
        <w:t>吸系统</w:t>
      </w:r>
      <w:r>
        <w:rPr>
          <w:spacing w:val="-2"/>
          <w:sz w:val="21"/>
        </w:rPr>
        <w:t>疾</w:t>
      </w:r>
      <w:r>
        <w:rPr>
          <w:spacing w:val="-2"/>
          <w:sz w:val="21"/>
        </w:rPr>
        <w:t>病</w:t>
      </w:r>
      <w:r>
        <w:rPr>
          <w:spacing w:val="-2"/>
          <w:sz w:val="21"/>
        </w:rPr>
        <w:t>导</w:t>
      </w:r>
      <w:r>
        <w:rPr>
          <w:spacing w:val="-2"/>
          <w:sz w:val="21"/>
        </w:rPr>
        <w:t>致</w:t>
      </w:r>
      <w:r>
        <w:rPr>
          <w:spacing w:val="-2"/>
          <w:sz w:val="21"/>
        </w:rPr>
        <w:t>永</w:t>
      </w:r>
      <w:r>
        <w:rPr>
          <w:spacing w:val="-2"/>
          <w:sz w:val="21"/>
        </w:rPr>
        <w:t>久</w:t>
      </w:r>
      <w:r>
        <w:rPr>
          <w:spacing w:val="-2"/>
          <w:sz w:val="21"/>
        </w:rPr>
        <w:t>不</w:t>
      </w:r>
      <w:r>
        <w:rPr>
          <w:spacing w:val="-2"/>
          <w:sz w:val="21"/>
        </w:rPr>
        <w:t>可</w:t>
      </w:r>
      <w:r>
        <w:rPr>
          <w:spacing w:val="-2"/>
          <w:sz w:val="21"/>
        </w:rPr>
        <w:t>逆性的</w:t>
      </w:r>
      <w:r>
        <w:rPr>
          <w:spacing w:val="-2"/>
          <w:sz w:val="21"/>
        </w:rPr>
        <w:t>呼</w:t>
      </w:r>
      <w:r>
        <w:rPr>
          <w:spacing w:val="-2"/>
          <w:sz w:val="21"/>
        </w:rPr>
        <w:t>吸</w:t>
      </w:r>
      <w:r>
        <w:rPr>
          <w:spacing w:val="-2"/>
          <w:sz w:val="21"/>
        </w:rPr>
        <w:t>衰</w:t>
      </w:r>
      <w:r>
        <w:rPr>
          <w:spacing w:val="-2"/>
          <w:sz w:val="21"/>
        </w:rPr>
        <w:t>竭</w:t>
      </w:r>
      <w:r>
        <w:rPr>
          <w:spacing w:val="-2"/>
          <w:sz w:val="21"/>
        </w:rPr>
        <w:t>，经</w:t>
      </w:r>
      <w:r>
        <w:rPr>
          <w:spacing w:val="-2"/>
          <w:sz w:val="21"/>
        </w:rPr>
        <w:t>过</w:t>
      </w:r>
      <w:r>
        <w:rPr>
          <w:spacing w:val="-2"/>
          <w:sz w:val="21"/>
        </w:rPr>
        <w:t>积</w:t>
      </w:r>
      <w:r>
        <w:rPr>
          <w:spacing w:val="-2"/>
          <w:sz w:val="21"/>
        </w:rPr>
        <w:t>极</w:t>
      </w:r>
      <w:r>
        <w:rPr>
          <w:spacing w:val="-10"/>
          <w:sz w:val="21"/>
        </w:rPr>
        <w:t>治</w:t>
      </w:r>
    </w:p>
    <w:p>
      <w:pPr>
        <w:spacing w:after="0" w:line="240" w:lineRule="auto"/>
        <w:jc w:val="left"/>
        <w:rPr>
          <w:sz w:val="21"/>
        </w:rPr>
        <w:sectPr>
          <w:type w:val="continuous"/>
          <w:pgSz w:w="11910" w:h="16840"/>
          <w:pgMar w:header="0" w:footer="878" w:top="160" w:bottom="280" w:left="1480" w:right="440"/>
        </w:sectPr>
      </w:pPr>
    </w:p>
    <w:p>
      <w:pPr>
        <w:pStyle w:val="BodyText"/>
        <w:spacing w:before="55"/>
      </w:pPr>
      <w:r>
        <w:rPr>
          <w:spacing w:val="-2"/>
        </w:rPr>
        <w:t>疗</w:t>
      </w:r>
      <w:r>
        <w:rPr>
          <w:rFonts w:ascii="Times New Roman" w:eastAsia="Times New Roman"/>
          <w:spacing w:val="-2"/>
        </w:rPr>
        <w:t>180</w:t>
      </w:r>
      <w:r>
        <w:rPr>
          <w:spacing w:val="-3"/>
        </w:rPr>
        <w:t>天后满足以下所有条件：</w:t>
      </w:r>
    </w:p>
    <w:p>
      <w:pPr>
        <w:pStyle w:val="ListParagraph"/>
        <w:numPr>
          <w:ilvl w:val="0"/>
          <w:numId w:val="65"/>
        </w:numPr>
        <w:tabs>
          <w:tab w:pos="3682" w:val="left" w:leader="none"/>
        </w:tabs>
        <w:spacing w:line="240" w:lineRule="auto" w:before="5" w:after="0"/>
        <w:ind w:left="3682" w:right="0" w:hanging="529"/>
        <w:jc w:val="left"/>
        <w:rPr>
          <w:sz w:val="21"/>
        </w:rPr>
      </w:pPr>
      <w:r>
        <w:rPr>
          <w:spacing w:val="-3"/>
          <w:sz w:val="21"/>
        </w:rPr>
        <w:t>静息时出现呼吸困难；</w:t>
      </w:r>
    </w:p>
    <w:p>
      <w:pPr>
        <w:pStyle w:val="ListParagraph"/>
        <w:numPr>
          <w:ilvl w:val="0"/>
          <w:numId w:val="65"/>
        </w:numPr>
        <w:tabs>
          <w:tab w:pos="3682" w:val="left" w:leader="none"/>
        </w:tabs>
        <w:spacing w:line="240" w:lineRule="auto" w:before="2" w:after="0"/>
        <w:ind w:left="3682" w:right="0" w:hanging="529"/>
        <w:jc w:val="left"/>
        <w:rPr>
          <w:rFonts w:ascii="Times New Roman" w:eastAsia="Times New Roman"/>
          <w:sz w:val="21"/>
        </w:rPr>
      </w:pPr>
      <w:r>
        <w:rPr>
          <w:w w:val="95"/>
          <w:position w:val="2"/>
          <w:sz w:val="21"/>
        </w:rPr>
        <w:t>肺功能第一秒用力呼</w:t>
      </w:r>
      <w:r>
        <w:rPr>
          <w:w w:val="95"/>
          <w:position w:val="2"/>
          <w:sz w:val="21"/>
        </w:rPr>
        <w:t>气</w:t>
      </w:r>
      <w:r>
        <w:rPr>
          <w:w w:val="95"/>
          <w:position w:val="2"/>
          <w:sz w:val="21"/>
        </w:rPr>
        <w:t>容</w:t>
      </w:r>
      <w:r>
        <w:rPr>
          <w:w w:val="95"/>
          <w:position w:val="2"/>
          <w:sz w:val="21"/>
        </w:rPr>
        <w:t>积（</w:t>
      </w:r>
      <w:r>
        <w:rPr>
          <w:rFonts w:ascii="Times New Roman" w:eastAsia="Times New Roman"/>
          <w:w w:val="95"/>
          <w:position w:val="2"/>
          <w:sz w:val="21"/>
        </w:rPr>
        <w:t>FEV</w:t>
      </w:r>
      <w:r>
        <w:rPr>
          <w:rFonts w:ascii="Times New Roman" w:eastAsia="Times New Roman"/>
          <w:w w:val="95"/>
          <w:sz w:val="14"/>
        </w:rPr>
        <w:t>1</w:t>
      </w:r>
      <w:r>
        <w:rPr>
          <w:w w:val="95"/>
          <w:position w:val="2"/>
          <w:sz w:val="21"/>
        </w:rPr>
        <w:t>）占预计值</w:t>
      </w:r>
      <w:r>
        <w:rPr>
          <w:w w:val="95"/>
          <w:position w:val="2"/>
          <w:sz w:val="21"/>
        </w:rPr>
        <w:t>的</w:t>
      </w:r>
      <w:r>
        <w:rPr>
          <w:w w:val="95"/>
          <w:position w:val="2"/>
          <w:sz w:val="21"/>
        </w:rPr>
        <w:t>百</w:t>
      </w:r>
      <w:r>
        <w:rPr>
          <w:w w:val="95"/>
          <w:position w:val="2"/>
          <w:sz w:val="21"/>
        </w:rPr>
        <w:t>分比</w:t>
      </w:r>
      <w:r>
        <w:rPr>
          <w:rFonts w:ascii="Times New Roman" w:eastAsia="Times New Roman"/>
          <w:spacing w:val="-4"/>
          <w:w w:val="95"/>
          <w:position w:val="2"/>
          <w:sz w:val="21"/>
        </w:rPr>
        <w:t>&lt;30%</w:t>
      </w:r>
    </w:p>
    <w:p>
      <w:pPr>
        <w:pStyle w:val="ListParagraph"/>
        <w:numPr>
          <w:ilvl w:val="0"/>
          <w:numId w:val="65"/>
        </w:numPr>
        <w:tabs>
          <w:tab w:pos="3682" w:val="left" w:leader="none"/>
        </w:tabs>
        <w:spacing w:line="240" w:lineRule="auto" w:before="4" w:after="0"/>
        <w:ind w:left="3682" w:right="0" w:hanging="529"/>
        <w:jc w:val="left"/>
        <w:rPr>
          <w:sz w:val="21"/>
        </w:rPr>
      </w:pPr>
      <w:r>
        <w:rPr>
          <w:spacing w:val="-2"/>
          <w:position w:val="2"/>
          <w:sz w:val="21"/>
        </w:rPr>
        <w:t>在静息状态、呼吸空气条件下，动脉血氧分压（</w:t>
      </w:r>
      <w:r>
        <w:rPr>
          <w:rFonts w:ascii="Times New Roman" w:eastAsia="Times New Roman"/>
          <w:spacing w:val="-2"/>
          <w:position w:val="2"/>
          <w:sz w:val="21"/>
        </w:rPr>
        <w:t>PaO</w:t>
      </w:r>
      <w:r>
        <w:rPr>
          <w:rFonts w:ascii="Times New Roman" w:eastAsia="Times New Roman"/>
          <w:spacing w:val="-2"/>
          <w:sz w:val="14"/>
        </w:rPr>
        <w:t>2</w:t>
      </w:r>
      <w:r>
        <w:rPr>
          <w:spacing w:val="-2"/>
          <w:position w:val="2"/>
          <w:sz w:val="21"/>
        </w:rPr>
        <w:t>）</w:t>
      </w:r>
    </w:p>
    <w:p>
      <w:pPr>
        <w:pStyle w:val="BodyText"/>
        <w:spacing w:before="3"/>
        <w:ind w:left="821" w:right="2325"/>
        <w:jc w:val="center"/>
      </w:pPr>
      <w:r>
        <w:rPr>
          <w:rFonts w:ascii="Times New Roman" w:eastAsia="Times New Roman"/>
          <w:spacing w:val="-2"/>
        </w:rPr>
        <w:t>&lt;50mmHg</w:t>
      </w:r>
      <w:r>
        <w:rPr>
          <w:spacing w:val="-10"/>
        </w:rPr>
        <w:t>。</w:t>
      </w:r>
    </w:p>
    <w:p>
      <w:pPr>
        <w:pStyle w:val="ListParagraph"/>
        <w:numPr>
          <w:ilvl w:val="1"/>
          <w:numId w:val="27"/>
        </w:numPr>
        <w:tabs>
          <w:tab w:pos="1071" w:val="left" w:leader="none"/>
          <w:tab w:pos="1072" w:val="left" w:leader="none"/>
          <w:tab w:pos="3152" w:val="left" w:leader="none"/>
        </w:tabs>
        <w:spacing w:line="364" w:lineRule="exact" w:before="177" w:after="0"/>
        <w:ind w:left="1071" w:right="0" w:hanging="850"/>
        <w:jc w:val="left"/>
        <w:rPr>
          <w:sz w:val="21"/>
        </w:rPr>
      </w:pPr>
      <w:r>
        <w:rPr>
          <w:rFonts w:ascii="微软雅黑" w:eastAsia="微软雅黑"/>
          <w:b/>
          <w:sz w:val="21"/>
        </w:rPr>
        <w:t>严重克罗恩</w:t>
      </w:r>
      <w:r>
        <w:rPr>
          <w:rFonts w:ascii="微软雅黑" w:eastAsia="微软雅黑"/>
          <w:b/>
          <w:spacing w:val="-10"/>
          <w:sz w:val="21"/>
        </w:rPr>
        <w:t>病</w:t>
      </w:r>
      <w:r>
        <w:rPr>
          <w:rFonts w:ascii="微软雅黑" w:eastAsia="微软雅黑"/>
          <w:b/>
          <w:sz w:val="21"/>
        </w:rPr>
        <w:tab/>
      </w:r>
      <w:r>
        <w:rPr>
          <w:spacing w:val="-6"/>
          <w:sz w:val="21"/>
        </w:rPr>
        <w:t>指</w:t>
      </w:r>
      <w:r>
        <w:rPr>
          <w:spacing w:val="-6"/>
          <w:sz w:val="21"/>
        </w:rPr>
        <w:t>一</w:t>
      </w:r>
      <w:r>
        <w:rPr>
          <w:spacing w:val="-6"/>
          <w:sz w:val="21"/>
        </w:rPr>
        <w:t>种慢性肉芽肿性肠炎，具有特征性的克罗恩病（</w:t>
      </w:r>
      <w:r>
        <w:rPr>
          <w:rFonts w:ascii="Times New Roman" w:eastAsia="Times New Roman"/>
          <w:spacing w:val="-6"/>
          <w:sz w:val="21"/>
        </w:rPr>
        <w:t>Crohn</w:t>
      </w:r>
      <w:r>
        <w:rPr>
          <w:spacing w:val="-6"/>
          <w:sz w:val="21"/>
        </w:rPr>
        <w:t>病）病</w:t>
      </w:r>
      <w:r>
        <w:rPr>
          <w:spacing w:val="-10"/>
          <w:sz w:val="21"/>
        </w:rPr>
        <w:t>理</w:t>
      </w:r>
    </w:p>
    <w:p>
      <w:pPr>
        <w:pStyle w:val="BodyText"/>
        <w:spacing w:line="246" w:lineRule="exact"/>
      </w:pPr>
      <w:r>
        <w:rPr>
          <w:spacing w:val="-3"/>
        </w:rPr>
        <w:t>组织学变化，须根据组织病理学特点诊断，且已经造成瘘管形成并</w:t>
      </w:r>
    </w:p>
    <w:p>
      <w:pPr>
        <w:pStyle w:val="BodyText"/>
        <w:spacing w:before="3"/>
      </w:pPr>
      <w:r>
        <w:rPr>
          <w:spacing w:val="-3"/>
        </w:rPr>
        <w:t>伴有肠梗阻或肠穿孔。</w:t>
      </w:r>
    </w:p>
    <w:p>
      <w:pPr>
        <w:pStyle w:val="ListParagraph"/>
        <w:numPr>
          <w:ilvl w:val="1"/>
          <w:numId w:val="27"/>
        </w:numPr>
        <w:tabs>
          <w:tab w:pos="1071" w:val="left" w:leader="none"/>
          <w:tab w:pos="1072" w:val="left" w:leader="none"/>
          <w:tab w:pos="3152" w:val="left" w:leader="none"/>
        </w:tabs>
        <w:spacing w:line="363" w:lineRule="exact" w:before="179" w:after="0"/>
        <w:ind w:left="1071" w:right="0" w:hanging="850"/>
        <w:jc w:val="left"/>
        <w:rPr>
          <w:sz w:val="21"/>
        </w:rPr>
      </w:pPr>
      <w:r>
        <w:rPr>
          <w:rFonts w:ascii="微软雅黑" w:eastAsia="微软雅黑"/>
          <w:b/>
          <w:sz w:val="21"/>
        </w:rPr>
        <w:t>严重溃疡性结肠</w:t>
      </w:r>
      <w:r>
        <w:rPr>
          <w:rFonts w:ascii="微软雅黑" w:eastAsia="微软雅黑"/>
          <w:b/>
          <w:spacing w:val="-10"/>
          <w:sz w:val="21"/>
        </w:rPr>
        <w:t>炎</w:t>
      </w:r>
      <w:r>
        <w:rPr>
          <w:rFonts w:ascii="微软雅黑" w:eastAsia="微软雅黑"/>
          <w:b/>
          <w:sz w:val="21"/>
        </w:rPr>
        <w:tab/>
      </w:r>
      <w:r>
        <w:rPr>
          <w:spacing w:val="-2"/>
          <w:sz w:val="21"/>
        </w:rPr>
        <w:t>指</w:t>
      </w:r>
      <w:r>
        <w:rPr>
          <w:spacing w:val="-2"/>
          <w:sz w:val="21"/>
        </w:rPr>
        <w:t>伴</w:t>
      </w:r>
      <w:r>
        <w:rPr>
          <w:spacing w:val="-2"/>
          <w:sz w:val="21"/>
        </w:rPr>
        <w:t>有</w:t>
      </w:r>
      <w:r>
        <w:rPr>
          <w:spacing w:val="-2"/>
          <w:sz w:val="21"/>
        </w:rPr>
        <w:t>致</w:t>
      </w:r>
      <w:r>
        <w:rPr>
          <w:spacing w:val="-2"/>
          <w:sz w:val="21"/>
        </w:rPr>
        <w:t>命</w:t>
      </w:r>
      <w:r>
        <w:rPr>
          <w:spacing w:val="-2"/>
          <w:sz w:val="21"/>
        </w:rPr>
        <w:t>性电解</w:t>
      </w:r>
      <w:r>
        <w:rPr>
          <w:spacing w:val="-2"/>
          <w:sz w:val="21"/>
        </w:rPr>
        <w:t>质</w:t>
      </w:r>
      <w:r>
        <w:rPr>
          <w:spacing w:val="-2"/>
          <w:sz w:val="21"/>
        </w:rPr>
        <w:t>紊</w:t>
      </w:r>
      <w:r>
        <w:rPr>
          <w:spacing w:val="-2"/>
          <w:sz w:val="21"/>
        </w:rPr>
        <w:t>乱</w:t>
      </w:r>
      <w:r>
        <w:rPr>
          <w:spacing w:val="-2"/>
          <w:sz w:val="21"/>
        </w:rPr>
        <w:t>的</w:t>
      </w:r>
      <w:r>
        <w:rPr>
          <w:spacing w:val="-2"/>
          <w:sz w:val="21"/>
        </w:rPr>
        <w:t>急</w:t>
      </w:r>
      <w:r>
        <w:rPr>
          <w:spacing w:val="-2"/>
          <w:sz w:val="21"/>
        </w:rPr>
        <w:t>性</w:t>
      </w:r>
      <w:r>
        <w:rPr>
          <w:spacing w:val="-2"/>
          <w:sz w:val="21"/>
        </w:rPr>
        <w:t>暴</w:t>
      </w:r>
      <w:r>
        <w:rPr>
          <w:spacing w:val="-2"/>
          <w:sz w:val="21"/>
        </w:rPr>
        <w:t>发</w:t>
      </w:r>
      <w:r>
        <w:rPr>
          <w:spacing w:val="-2"/>
          <w:sz w:val="21"/>
        </w:rPr>
        <w:t>性溃疡</w:t>
      </w:r>
      <w:r>
        <w:rPr>
          <w:spacing w:val="-2"/>
          <w:sz w:val="21"/>
        </w:rPr>
        <w:t>性</w:t>
      </w:r>
      <w:r>
        <w:rPr>
          <w:spacing w:val="-2"/>
          <w:sz w:val="21"/>
        </w:rPr>
        <w:t>结</w:t>
      </w:r>
      <w:r>
        <w:rPr>
          <w:spacing w:val="-2"/>
          <w:sz w:val="21"/>
        </w:rPr>
        <w:t>肠</w:t>
      </w:r>
      <w:r>
        <w:rPr>
          <w:spacing w:val="-2"/>
          <w:sz w:val="21"/>
        </w:rPr>
        <w:t>炎</w:t>
      </w:r>
      <w:r>
        <w:rPr>
          <w:spacing w:val="-2"/>
          <w:sz w:val="21"/>
        </w:rPr>
        <w:t>，病</w:t>
      </w:r>
      <w:r>
        <w:rPr>
          <w:spacing w:val="-2"/>
          <w:sz w:val="21"/>
        </w:rPr>
        <w:t>变</w:t>
      </w:r>
      <w:r>
        <w:rPr>
          <w:spacing w:val="-2"/>
          <w:sz w:val="21"/>
        </w:rPr>
        <w:t>已</w:t>
      </w:r>
      <w:r>
        <w:rPr>
          <w:spacing w:val="-2"/>
          <w:sz w:val="21"/>
        </w:rPr>
        <w:t>经</w:t>
      </w:r>
      <w:r>
        <w:rPr>
          <w:spacing w:val="-10"/>
          <w:sz w:val="21"/>
        </w:rPr>
        <w:t>累</w:t>
      </w:r>
    </w:p>
    <w:p>
      <w:pPr>
        <w:pStyle w:val="BodyText"/>
        <w:spacing w:line="245" w:lineRule="exact"/>
      </w:pPr>
      <w:r>
        <w:rPr>
          <w:spacing w:val="-3"/>
        </w:rPr>
        <w:t>及全结肠，表现为严重的血便和系统性症状体征，须根据组织病理</w:t>
      </w:r>
    </w:p>
    <w:p>
      <w:pPr>
        <w:pStyle w:val="BodyText"/>
        <w:spacing w:before="2"/>
      </w:pPr>
      <w:r>
        <w:rPr>
          <w:spacing w:val="-3"/>
        </w:rPr>
        <w:t>学特点诊断，且已经实施了结肠切除或回肠造瘘术。</w:t>
      </w:r>
    </w:p>
    <w:p>
      <w:pPr>
        <w:pStyle w:val="BodyText"/>
        <w:spacing w:before="1"/>
        <w:ind w:left="0"/>
        <w:rPr>
          <w:sz w:val="14"/>
        </w:rPr>
      </w:pPr>
    </w:p>
    <w:p>
      <w:pPr>
        <w:pStyle w:val="ListParagraph"/>
        <w:numPr>
          <w:ilvl w:val="1"/>
          <w:numId w:val="27"/>
        </w:numPr>
        <w:tabs>
          <w:tab w:pos="1071" w:val="left" w:leader="none"/>
          <w:tab w:pos="1072" w:val="left" w:leader="none"/>
          <w:tab w:pos="3152" w:val="left" w:leader="none"/>
        </w:tabs>
        <w:spacing w:line="363" w:lineRule="exact" w:before="0" w:after="0"/>
        <w:ind w:left="1071" w:right="0" w:hanging="850"/>
        <w:jc w:val="left"/>
        <w:rPr>
          <w:sz w:val="21"/>
        </w:rPr>
      </w:pPr>
      <w:r>
        <w:rPr>
          <w:rFonts w:ascii="微软雅黑" w:eastAsia="微软雅黑"/>
          <w:b/>
          <w:sz w:val="21"/>
        </w:rPr>
        <w:t>严重心肌</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因心肌</w:t>
      </w:r>
      <w:r>
        <w:rPr>
          <w:spacing w:val="-2"/>
          <w:sz w:val="21"/>
        </w:rPr>
        <w:t>病</w:t>
      </w:r>
      <w:r>
        <w:rPr>
          <w:spacing w:val="-2"/>
          <w:sz w:val="21"/>
        </w:rPr>
        <w:t>导</w:t>
      </w:r>
      <w:r>
        <w:rPr>
          <w:spacing w:val="-2"/>
          <w:sz w:val="21"/>
        </w:rPr>
        <w:t>致</w:t>
      </w:r>
      <w:r>
        <w:rPr>
          <w:spacing w:val="-2"/>
          <w:sz w:val="21"/>
        </w:rPr>
        <w:t>慢</w:t>
      </w:r>
      <w:r>
        <w:rPr>
          <w:spacing w:val="-2"/>
          <w:sz w:val="21"/>
        </w:rPr>
        <w:t>性</w:t>
      </w:r>
      <w:r>
        <w:rPr>
          <w:spacing w:val="-2"/>
          <w:sz w:val="21"/>
        </w:rPr>
        <w:t>心</w:t>
      </w:r>
      <w:r>
        <w:rPr>
          <w:spacing w:val="-2"/>
          <w:sz w:val="21"/>
        </w:rPr>
        <w:t>功</w:t>
      </w:r>
      <w:r>
        <w:rPr>
          <w:spacing w:val="-2"/>
          <w:sz w:val="21"/>
        </w:rPr>
        <w:t>能</w:t>
      </w:r>
      <w:r>
        <w:rPr>
          <w:spacing w:val="-2"/>
          <w:sz w:val="21"/>
        </w:rPr>
        <w:t>损害造</w:t>
      </w:r>
      <w:r>
        <w:rPr>
          <w:spacing w:val="-2"/>
          <w:sz w:val="21"/>
        </w:rPr>
        <w:t>成</w:t>
      </w:r>
      <w:r>
        <w:rPr>
          <w:spacing w:val="-2"/>
          <w:sz w:val="21"/>
        </w:rPr>
        <w:t>永</w:t>
      </w:r>
      <w:r>
        <w:rPr>
          <w:spacing w:val="-2"/>
          <w:sz w:val="21"/>
        </w:rPr>
        <w:t>久</w:t>
      </w:r>
      <w:r>
        <w:rPr>
          <w:spacing w:val="-2"/>
          <w:sz w:val="21"/>
        </w:rPr>
        <w:t>不</w:t>
      </w:r>
      <w:r>
        <w:rPr>
          <w:spacing w:val="-2"/>
          <w:sz w:val="21"/>
        </w:rPr>
        <w:t>可</w:t>
      </w:r>
      <w:r>
        <w:rPr>
          <w:spacing w:val="-2"/>
          <w:sz w:val="21"/>
        </w:rPr>
        <w:t>逆</w:t>
      </w:r>
      <w:r>
        <w:rPr>
          <w:spacing w:val="-2"/>
          <w:sz w:val="21"/>
        </w:rPr>
        <w:t>性</w:t>
      </w:r>
      <w:r>
        <w:rPr>
          <w:spacing w:val="-2"/>
          <w:sz w:val="21"/>
        </w:rPr>
        <w:t>的</w:t>
      </w:r>
      <w:r>
        <w:rPr>
          <w:spacing w:val="-2"/>
          <w:sz w:val="21"/>
        </w:rPr>
        <w:t>体</w:t>
      </w:r>
      <w:r>
        <w:rPr>
          <w:spacing w:val="-10"/>
          <w:sz w:val="21"/>
        </w:rPr>
        <w:t>力</w:t>
      </w:r>
    </w:p>
    <w:p>
      <w:pPr>
        <w:pStyle w:val="BodyText"/>
        <w:spacing w:line="245" w:lineRule="exact"/>
      </w:pPr>
      <w:r>
        <w:rPr>
          <w:spacing w:val="-2"/>
        </w:rPr>
        <w:t>活动能力受限，达到美国纽约心脏病学会心功能状态分级</w:t>
      </w:r>
      <w:r>
        <w:rPr>
          <w:rFonts w:ascii="Times New Roman" w:eastAsia="Times New Roman"/>
          <w:spacing w:val="-2"/>
        </w:rPr>
        <w:t>IV</w:t>
      </w:r>
      <w:r>
        <w:rPr>
          <w:spacing w:val="-6"/>
        </w:rPr>
        <w:t>级。</w:t>
      </w:r>
    </w:p>
    <w:p>
      <w:pPr>
        <w:pStyle w:val="BodyText"/>
        <w:spacing w:line="237" w:lineRule="exact" w:before="5"/>
      </w:pPr>
      <w:r>
        <w:rPr>
          <w:spacing w:val="-3"/>
        </w:rPr>
        <w:t>心肌病必须经医院的超声心动图检查来确认。</w:t>
      </w:r>
    </w:p>
    <w:p>
      <w:pPr>
        <w:spacing w:line="355" w:lineRule="exact" w:before="0"/>
        <w:ind w:left="3153" w:right="0" w:firstLine="0"/>
        <w:jc w:val="left"/>
        <w:rPr>
          <w:rFonts w:ascii="微软雅黑" w:eastAsia="微软雅黑"/>
          <w:b/>
          <w:sz w:val="21"/>
        </w:rPr>
      </w:pPr>
      <w:r>
        <w:rPr>
          <w:rFonts w:ascii="微软雅黑" w:eastAsia="微软雅黑"/>
          <w:b/>
          <w:spacing w:val="-3"/>
          <w:sz w:val="21"/>
        </w:rPr>
        <w:t>因酗酒或药物滥用导致的心肌病不在保障范围内。</w:t>
      </w:r>
    </w:p>
    <w:p>
      <w:pPr>
        <w:pStyle w:val="ListParagraph"/>
        <w:numPr>
          <w:ilvl w:val="1"/>
          <w:numId w:val="27"/>
        </w:numPr>
        <w:tabs>
          <w:tab w:pos="1071" w:val="left" w:leader="none"/>
          <w:tab w:pos="1072" w:val="left" w:leader="none"/>
          <w:tab w:pos="3152" w:val="left" w:leader="none"/>
        </w:tabs>
        <w:spacing w:line="364" w:lineRule="exact" w:before="127" w:after="0"/>
        <w:ind w:left="1071" w:right="0" w:hanging="850"/>
        <w:jc w:val="left"/>
        <w:rPr>
          <w:sz w:val="21"/>
        </w:rPr>
      </w:pPr>
      <w:r>
        <w:rPr>
          <w:rFonts w:ascii="微软雅黑" w:eastAsia="微软雅黑"/>
          <w:b/>
          <w:sz w:val="21"/>
        </w:rPr>
        <w:t>严重多发性硬化</w:t>
      </w:r>
      <w:r>
        <w:rPr>
          <w:rFonts w:ascii="微软雅黑" w:eastAsia="微软雅黑"/>
          <w:b/>
          <w:spacing w:val="-10"/>
          <w:sz w:val="21"/>
        </w:rPr>
        <w:t>症</w:t>
      </w:r>
      <w:r>
        <w:rPr>
          <w:rFonts w:ascii="微软雅黑" w:eastAsia="微软雅黑"/>
          <w:b/>
          <w:sz w:val="21"/>
        </w:rPr>
        <w:tab/>
      </w:r>
      <w:r>
        <w:rPr>
          <w:spacing w:val="-2"/>
          <w:sz w:val="21"/>
        </w:rPr>
        <w:t>多</w:t>
      </w:r>
      <w:r>
        <w:rPr>
          <w:spacing w:val="-2"/>
          <w:sz w:val="21"/>
        </w:rPr>
        <w:t>发</w:t>
      </w:r>
      <w:r>
        <w:rPr>
          <w:spacing w:val="-2"/>
          <w:sz w:val="21"/>
        </w:rPr>
        <w:t>性</w:t>
      </w:r>
      <w:r>
        <w:rPr>
          <w:spacing w:val="-2"/>
          <w:sz w:val="21"/>
        </w:rPr>
        <w:t>硬</w:t>
      </w:r>
      <w:r>
        <w:rPr>
          <w:spacing w:val="-2"/>
          <w:sz w:val="21"/>
        </w:rPr>
        <w:t>化</w:t>
      </w:r>
      <w:r>
        <w:rPr>
          <w:spacing w:val="-2"/>
          <w:sz w:val="21"/>
        </w:rPr>
        <w:t>为中枢</w:t>
      </w:r>
      <w:r>
        <w:rPr>
          <w:spacing w:val="-2"/>
          <w:sz w:val="21"/>
        </w:rPr>
        <w:t>神</w:t>
      </w:r>
      <w:r>
        <w:rPr>
          <w:spacing w:val="-2"/>
          <w:sz w:val="21"/>
        </w:rPr>
        <w:t>经</w:t>
      </w:r>
      <w:r>
        <w:rPr>
          <w:spacing w:val="-2"/>
          <w:sz w:val="21"/>
        </w:rPr>
        <w:t>系</w:t>
      </w:r>
      <w:r>
        <w:rPr>
          <w:spacing w:val="-2"/>
          <w:sz w:val="21"/>
        </w:rPr>
        <w:t>统</w:t>
      </w:r>
      <w:r>
        <w:rPr>
          <w:spacing w:val="-2"/>
          <w:sz w:val="21"/>
        </w:rPr>
        <w:t>白</w:t>
      </w:r>
      <w:r>
        <w:rPr>
          <w:spacing w:val="-2"/>
          <w:sz w:val="21"/>
        </w:rPr>
        <w:t>质</w:t>
      </w:r>
      <w:r>
        <w:rPr>
          <w:spacing w:val="-2"/>
          <w:sz w:val="21"/>
        </w:rPr>
        <w:t>多</w:t>
      </w:r>
      <w:r>
        <w:rPr>
          <w:spacing w:val="-2"/>
          <w:sz w:val="21"/>
        </w:rPr>
        <w:t>灶</w:t>
      </w:r>
      <w:r>
        <w:rPr>
          <w:spacing w:val="-2"/>
          <w:sz w:val="21"/>
        </w:rPr>
        <w:t>性脱髓</w:t>
      </w:r>
      <w:r>
        <w:rPr>
          <w:spacing w:val="-2"/>
          <w:sz w:val="21"/>
        </w:rPr>
        <w:t>鞘</w:t>
      </w:r>
      <w:r>
        <w:rPr>
          <w:spacing w:val="-2"/>
          <w:sz w:val="21"/>
        </w:rPr>
        <w:t>病</w:t>
      </w:r>
      <w:r>
        <w:rPr>
          <w:spacing w:val="-2"/>
          <w:sz w:val="21"/>
        </w:rPr>
        <w:t>变</w:t>
      </w:r>
      <w:r>
        <w:rPr>
          <w:spacing w:val="-2"/>
          <w:sz w:val="21"/>
        </w:rPr>
        <w:t>。</w:t>
      </w:r>
      <w:r>
        <w:rPr>
          <w:spacing w:val="-2"/>
          <w:sz w:val="21"/>
        </w:rPr>
        <w:t>多</w:t>
      </w:r>
      <w:r>
        <w:rPr>
          <w:spacing w:val="-2"/>
          <w:sz w:val="21"/>
        </w:rPr>
        <w:t>发</w:t>
      </w:r>
      <w:r>
        <w:rPr>
          <w:spacing w:val="-2"/>
          <w:sz w:val="21"/>
        </w:rPr>
        <w:t>性</w:t>
      </w:r>
      <w:r>
        <w:rPr>
          <w:spacing w:val="-2"/>
          <w:sz w:val="21"/>
        </w:rPr>
        <w:t>硬</w:t>
      </w:r>
      <w:r>
        <w:rPr>
          <w:spacing w:val="-2"/>
          <w:sz w:val="21"/>
        </w:rPr>
        <w:t>化</w:t>
      </w:r>
      <w:r>
        <w:rPr>
          <w:spacing w:val="-10"/>
          <w:sz w:val="21"/>
        </w:rPr>
        <w:t>须</w:t>
      </w:r>
    </w:p>
    <w:p>
      <w:pPr>
        <w:pStyle w:val="BodyText"/>
        <w:spacing w:line="246" w:lineRule="exact"/>
      </w:pPr>
      <w:r>
        <w:rPr>
          <w:spacing w:val="-2"/>
        </w:rPr>
        <w:t>由核磁共振（</w:t>
      </w:r>
      <w:r>
        <w:rPr>
          <w:rFonts w:ascii="Times New Roman" w:eastAsia="Times New Roman"/>
          <w:spacing w:val="-2"/>
        </w:rPr>
        <w:t>MRI</w:t>
      </w:r>
      <w:r>
        <w:rPr>
          <w:spacing w:val="-2"/>
        </w:rPr>
        <w:t>）</w:t>
      </w:r>
      <w:r>
        <w:rPr>
          <w:spacing w:val="-3"/>
        </w:rPr>
        <w:t>等影像学检查证实，并且被保险人已永久不可</w:t>
      </w:r>
    </w:p>
    <w:p>
      <w:pPr>
        <w:pStyle w:val="BodyText"/>
        <w:spacing w:before="2"/>
      </w:pPr>
      <w:r>
        <w:rPr>
          <w:spacing w:val="-3"/>
        </w:rPr>
        <w:t>逆地无法独立完成下列任何一项基本日常生活活动：</w:t>
      </w:r>
    </w:p>
    <w:p>
      <w:pPr>
        <w:pStyle w:val="ListParagraph"/>
        <w:numPr>
          <w:ilvl w:val="0"/>
          <w:numId w:val="66"/>
        </w:numPr>
        <w:tabs>
          <w:tab w:pos="3682" w:val="left" w:leader="none"/>
        </w:tabs>
        <w:spacing w:line="240" w:lineRule="auto" w:before="4" w:after="0"/>
        <w:ind w:left="3682" w:right="0" w:hanging="529"/>
        <w:jc w:val="left"/>
        <w:rPr>
          <w:sz w:val="21"/>
        </w:rPr>
      </w:pPr>
      <w:r>
        <w:rPr>
          <w:spacing w:val="-3"/>
          <w:sz w:val="21"/>
        </w:rPr>
        <w:t>移动：自己从一个房间到另一个房间；</w:t>
      </w:r>
    </w:p>
    <w:p>
      <w:pPr>
        <w:pStyle w:val="ListParagraph"/>
        <w:numPr>
          <w:ilvl w:val="0"/>
          <w:numId w:val="66"/>
        </w:numPr>
        <w:tabs>
          <w:tab w:pos="3682" w:val="left" w:leader="none"/>
        </w:tabs>
        <w:spacing w:line="240" w:lineRule="auto" w:before="2" w:after="0"/>
        <w:ind w:left="3682" w:right="0" w:hanging="529"/>
        <w:jc w:val="left"/>
        <w:rPr>
          <w:sz w:val="21"/>
        </w:rPr>
      </w:pPr>
      <w:r>
        <w:rPr>
          <w:spacing w:val="-3"/>
          <w:sz w:val="21"/>
        </w:rPr>
        <w:t>进食：自己从已准备好的碗或碟中取食物放入口中。</w:t>
      </w:r>
    </w:p>
    <w:p>
      <w:pPr>
        <w:pStyle w:val="BodyText"/>
        <w:spacing w:before="4"/>
        <w:ind w:left="0"/>
        <w:rPr>
          <w:sz w:val="11"/>
        </w:rPr>
      </w:pPr>
    </w:p>
    <w:p>
      <w:pPr>
        <w:spacing w:after="0"/>
        <w:rPr>
          <w:sz w:val="11"/>
        </w:rPr>
        <w:sectPr>
          <w:pgSz w:w="11910" w:h="16840"/>
          <w:pgMar w:header="0" w:footer="878" w:top="1060" w:bottom="1060" w:left="1480" w:right="440"/>
        </w:sectPr>
      </w:pPr>
    </w:p>
    <w:p>
      <w:pPr>
        <w:pStyle w:val="ListParagraph"/>
        <w:numPr>
          <w:ilvl w:val="1"/>
          <w:numId w:val="27"/>
        </w:numPr>
        <w:tabs>
          <w:tab w:pos="849" w:val="left" w:leader="none"/>
          <w:tab w:pos="850" w:val="left" w:leader="none"/>
        </w:tabs>
        <w:spacing w:line="330" w:lineRule="exact" w:before="33" w:after="0"/>
        <w:ind w:left="849" w:right="0" w:hanging="850"/>
        <w:jc w:val="right"/>
        <w:rPr>
          <w:rFonts w:ascii="微软雅黑" w:eastAsia="微软雅黑"/>
          <w:b/>
          <w:sz w:val="21"/>
        </w:rPr>
      </w:pPr>
      <w:r>
        <w:rPr>
          <w:rFonts w:ascii="微软雅黑" w:eastAsia="微软雅黑"/>
          <w:b/>
          <w:spacing w:val="18"/>
          <w:sz w:val="21"/>
        </w:rPr>
        <w:t>因职业关系导致的</w:t>
      </w:r>
    </w:p>
    <w:p>
      <w:pPr>
        <w:spacing w:line="272" w:lineRule="exact" w:before="0"/>
        <w:ind w:left="0" w:right="0" w:firstLine="0"/>
        <w:jc w:val="right"/>
        <w:rPr>
          <w:rFonts w:ascii="微软雅黑" w:eastAsia="微软雅黑"/>
          <w:b/>
          <w:sz w:val="21"/>
        </w:rPr>
      </w:pPr>
      <w:r>
        <w:rPr>
          <w:rFonts w:ascii="微软雅黑" w:eastAsia="微软雅黑"/>
          <w:b/>
          <w:spacing w:val="18"/>
          <w:sz w:val="21"/>
        </w:rPr>
        <w:t>人类免疫缺陷病毒</w:t>
      </w:r>
    </w:p>
    <w:p>
      <w:pPr>
        <w:spacing w:line="329" w:lineRule="exact" w:before="0"/>
        <w:ind w:left="1071" w:right="0" w:firstLine="0"/>
        <w:jc w:val="left"/>
        <w:rPr>
          <w:rFonts w:ascii="微软雅黑" w:eastAsia="微软雅黑"/>
          <w:b/>
          <w:sz w:val="21"/>
        </w:rPr>
      </w:pPr>
      <w:r>
        <w:rPr>
          <w:rFonts w:ascii="微软雅黑" w:eastAsia="微软雅黑"/>
          <w:b/>
          <w:spacing w:val="-2"/>
          <w:sz w:val="21"/>
        </w:rPr>
        <w:t>（</w:t>
      </w:r>
      <w:r>
        <w:rPr>
          <w:rFonts w:ascii="Times New Roman" w:eastAsia="Times New Roman"/>
          <w:b/>
          <w:spacing w:val="-2"/>
          <w:sz w:val="21"/>
        </w:rPr>
        <w:t>HIV</w:t>
      </w:r>
      <w:r>
        <w:rPr>
          <w:rFonts w:ascii="微软雅黑" w:eastAsia="微软雅黑"/>
          <w:b/>
          <w:spacing w:val="-2"/>
          <w:sz w:val="21"/>
        </w:rPr>
        <w:t>）</w:t>
      </w:r>
      <w:r>
        <w:rPr>
          <w:rFonts w:ascii="微软雅黑" w:eastAsia="微软雅黑"/>
          <w:b/>
          <w:spacing w:val="-6"/>
          <w:sz w:val="21"/>
        </w:rPr>
        <w:t>感染</w:t>
      </w:r>
    </w:p>
    <w:p>
      <w:pPr>
        <w:pStyle w:val="BodyText"/>
        <w:spacing w:line="244" w:lineRule="auto" w:before="100"/>
        <w:ind w:left="175" w:right="729"/>
      </w:pPr>
      <w:r>
        <w:rPr/>
        <w:br w:type="column"/>
      </w:r>
      <w:r>
        <w:rPr>
          <w:spacing w:val="-2"/>
        </w:rPr>
        <w:t>被保险人在其常规职业工作过程中遭遇外伤，或者职业需要处理血</w:t>
      </w:r>
      <w:r>
        <w:rPr>
          <w:spacing w:val="-2"/>
        </w:rPr>
        <w:t>液或者其他体液时感染上人类免疫缺陷病毒</w:t>
      </w:r>
      <w:r>
        <w:rPr>
          <w:spacing w:val="17"/>
        </w:rPr>
        <w:t>（</w:t>
      </w:r>
      <w:r>
        <w:rPr>
          <w:rFonts w:ascii="Times New Roman" w:eastAsia="Times New Roman"/>
          <w:spacing w:val="20"/>
        </w:rPr>
        <w:t>H</w:t>
      </w:r>
      <w:r>
        <w:rPr>
          <w:rFonts w:ascii="Times New Roman" w:eastAsia="Times New Roman"/>
          <w:spacing w:val="16"/>
        </w:rPr>
        <w:t>I</w:t>
      </w:r>
      <w:r>
        <w:rPr>
          <w:rFonts w:ascii="Times New Roman" w:eastAsia="Times New Roman"/>
          <w:spacing w:val="21"/>
        </w:rPr>
        <w:t>V</w:t>
      </w:r>
      <w:r>
        <w:rPr>
          <w:spacing w:val="-88"/>
        </w:rPr>
        <w:t>）</w:t>
      </w:r>
      <w:r>
        <w:rPr>
          <w:spacing w:val="-108"/>
        </w:rPr>
        <w:t>。</w:t>
      </w:r>
    </w:p>
    <w:p>
      <w:pPr>
        <w:pStyle w:val="BodyText"/>
        <w:spacing w:line="265" w:lineRule="exact"/>
        <w:ind w:left="175"/>
      </w:pPr>
      <w:r>
        <w:rPr>
          <w:spacing w:val="-3"/>
        </w:rPr>
        <w:t>必须满足下列全部条件：</w:t>
      </w:r>
    </w:p>
    <w:p>
      <w:pPr>
        <w:pStyle w:val="ListParagraph"/>
        <w:numPr>
          <w:ilvl w:val="0"/>
          <w:numId w:val="67"/>
        </w:numPr>
        <w:tabs>
          <w:tab w:pos="705" w:val="left" w:leader="none"/>
        </w:tabs>
        <w:spacing w:line="242" w:lineRule="auto" w:before="4" w:after="0"/>
        <w:ind w:left="701" w:right="842" w:hanging="526"/>
        <w:jc w:val="left"/>
        <w:rPr>
          <w:sz w:val="21"/>
        </w:rPr>
      </w:pPr>
      <w:r>
        <w:rPr>
          <w:spacing w:val="-2"/>
          <w:sz w:val="21"/>
        </w:rPr>
        <w:t>感染必须是在被保险人正在从事其职业工作中发生，该职业</w:t>
      </w:r>
      <w:r>
        <w:rPr>
          <w:spacing w:val="-2"/>
          <w:sz w:val="21"/>
        </w:rPr>
        <w:t>必须属于以下列表内的职业；</w:t>
      </w:r>
    </w:p>
    <w:p>
      <w:pPr>
        <w:pStyle w:val="ListParagraph"/>
        <w:numPr>
          <w:ilvl w:val="0"/>
          <w:numId w:val="67"/>
        </w:numPr>
        <w:tabs>
          <w:tab w:pos="705" w:val="left" w:leader="none"/>
        </w:tabs>
        <w:spacing w:line="268" w:lineRule="exact" w:before="0" w:after="0"/>
        <w:ind w:left="704" w:right="0" w:hanging="530"/>
        <w:jc w:val="left"/>
        <w:rPr>
          <w:sz w:val="21"/>
        </w:rPr>
      </w:pPr>
      <w:r>
        <w:rPr>
          <w:spacing w:val="-2"/>
          <w:sz w:val="21"/>
        </w:rPr>
        <w:t>血清转化必须出现在事故发生后的</w:t>
      </w:r>
      <w:r>
        <w:rPr>
          <w:rFonts w:ascii="Times New Roman" w:eastAsia="Times New Roman"/>
          <w:spacing w:val="-2"/>
          <w:sz w:val="21"/>
        </w:rPr>
        <w:t>6</w:t>
      </w:r>
      <w:r>
        <w:rPr>
          <w:spacing w:val="-4"/>
          <w:sz w:val="21"/>
        </w:rPr>
        <w:t>个月以内；</w:t>
      </w:r>
    </w:p>
    <w:p>
      <w:pPr>
        <w:pStyle w:val="ListParagraph"/>
        <w:numPr>
          <w:ilvl w:val="0"/>
          <w:numId w:val="67"/>
        </w:numPr>
        <w:tabs>
          <w:tab w:pos="705" w:val="left" w:leader="none"/>
        </w:tabs>
        <w:spacing w:line="242" w:lineRule="auto" w:before="5" w:after="0"/>
        <w:ind w:left="701" w:right="732" w:hanging="526"/>
        <w:jc w:val="both"/>
        <w:rPr>
          <w:sz w:val="21"/>
        </w:rPr>
      </w:pPr>
      <w:r>
        <w:rPr>
          <w:spacing w:val="-2"/>
          <w:sz w:val="21"/>
        </w:rPr>
        <w:t>必须提供被保险人在所报事故发生后的</w:t>
      </w:r>
      <w:r>
        <w:rPr>
          <w:rFonts w:ascii="Times New Roman" w:eastAsia="Times New Roman"/>
          <w:spacing w:val="-2"/>
          <w:sz w:val="21"/>
        </w:rPr>
        <w:t>5</w:t>
      </w:r>
      <w:r>
        <w:rPr>
          <w:spacing w:val="-2"/>
          <w:sz w:val="21"/>
        </w:rPr>
        <w:t>天以内进行的检查报</w:t>
      </w:r>
      <w:r>
        <w:rPr>
          <w:spacing w:val="-11"/>
          <w:sz w:val="21"/>
        </w:rPr>
        <w:t>告，该报告必须显示被保险人血液</w:t>
      </w:r>
      <w:r>
        <w:rPr>
          <w:rFonts w:ascii="Times New Roman" w:eastAsia="Times New Roman"/>
          <w:spacing w:val="-2"/>
          <w:sz w:val="21"/>
        </w:rPr>
        <w:t>HIV</w:t>
      </w:r>
      <w:r>
        <w:rPr>
          <w:spacing w:val="-2"/>
          <w:sz w:val="21"/>
        </w:rPr>
        <w:t>病毒阴性和</w:t>
      </w:r>
      <w:r>
        <w:rPr>
          <w:rFonts w:ascii="Times New Roman" w:eastAsia="Times New Roman"/>
          <w:spacing w:val="-2"/>
          <w:sz w:val="21"/>
        </w:rPr>
        <w:t>/</w:t>
      </w:r>
      <w:r>
        <w:rPr>
          <w:spacing w:val="-2"/>
          <w:sz w:val="21"/>
        </w:rPr>
        <w:t>或</w:t>
      </w:r>
      <w:r>
        <w:rPr>
          <w:rFonts w:ascii="Times New Roman" w:eastAsia="Times New Roman"/>
          <w:spacing w:val="-2"/>
          <w:sz w:val="21"/>
        </w:rPr>
        <w:t>HIV</w:t>
      </w:r>
      <w:r>
        <w:rPr>
          <w:spacing w:val="-2"/>
          <w:sz w:val="21"/>
        </w:rPr>
        <w:t>抗体</w:t>
      </w:r>
      <w:r>
        <w:rPr>
          <w:spacing w:val="-4"/>
          <w:sz w:val="21"/>
        </w:rPr>
        <w:t>阴性；</w:t>
      </w:r>
    </w:p>
    <w:p>
      <w:pPr>
        <w:pStyle w:val="ListParagraph"/>
        <w:numPr>
          <w:ilvl w:val="0"/>
          <w:numId w:val="67"/>
        </w:numPr>
        <w:tabs>
          <w:tab w:pos="705" w:val="left" w:leader="none"/>
        </w:tabs>
        <w:spacing w:line="244" w:lineRule="auto" w:before="1" w:after="0"/>
        <w:ind w:left="701" w:right="888" w:hanging="526"/>
        <w:jc w:val="left"/>
        <w:rPr>
          <w:sz w:val="21"/>
        </w:rPr>
      </w:pPr>
      <w:r>
        <w:rPr>
          <w:spacing w:val="-2"/>
          <w:sz w:val="21"/>
        </w:rPr>
        <w:t>必须在事故发生后的</w:t>
      </w:r>
      <w:r>
        <w:rPr>
          <w:rFonts w:ascii="Times New Roman" w:eastAsia="Times New Roman"/>
          <w:spacing w:val="-2"/>
          <w:sz w:val="21"/>
        </w:rPr>
        <w:t>12</w:t>
      </w:r>
      <w:r>
        <w:rPr>
          <w:spacing w:val="-2"/>
          <w:sz w:val="21"/>
        </w:rPr>
        <w:t>个月内证实被保险人体内存在</w:t>
      </w:r>
      <w:r>
        <w:rPr>
          <w:rFonts w:ascii="Times New Roman" w:eastAsia="Times New Roman"/>
          <w:spacing w:val="-2"/>
          <w:sz w:val="21"/>
        </w:rPr>
        <w:t>HIV</w:t>
      </w:r>
      <w:r>
        <w:rPr>
          <w:spacing w:val="-2"/>
          <w:sz w:val="21"/>
        </w:rPr>
        <w:t>病</w:t>
      </w:r>
      <w:r>
        <w:rPr>
          <w:spacing w:val="-2"/>
          <w:sz w:val="21"/>
        </w:rPr>
        <w:t>毒或者</w:t>
      </w:r>
      <w:r>
        <w:rPr>
          <w:rFonts w:ascii="Times New Roman" w:eastAsia="Times New Roman"/>
          <w:spacing w:val="-2"/>
          <w:sz w:val="21"/>
        </w:rPr>
        <w:t>HIV</w:t>
      </w:r>
      <w:r>
        <w:rPr>
          <w:spacing w:val="-2"/>
          <w:sz w:val="21"/>
        </w:rPr>
        <w:t>抗体。</w:t>
      </w:r>
    </w:p>
    <w:p>
      <w:pPr>
        <w:pStyle w:val="BodyText"/>
        <w:spacing w:line="265" w:lineRule="exact"/>
        <w:ind w:left="175"/>
        <w:rPr>
          <w:rFonts w:ascii="Times New Roman" w:eastAsia="Times New Roman"/>
        </w:rPr>
      </w:pPr>
      <w:r>
        <w:rPr>
          <w:spacing w:val="-2"/>
        </w:rPr>
        <w:t>职业限制如下所示</w:t>
      </w:r>
      <w:r>
        <w:rPr>
          <w:rFonts w:ascii="Times New Roman" w:eastAsia="Times New Roman"/>
          <w:spacing w:val="-10"/>
        </w:rPr>
        <w:t>:</w:t>
      </w:r>
    </w:p>
    <w:p>
      <w:pPr>
        <w:spacing w:after="0" w:line="265" w:lineRule="exact"/>
        <w:rPr>
          <w:rFonts w:ascii="Times New Roman" w:eastAsia="Times New Roman"/>
        </w:rPr>
        <w:sectPr>
          <w:type w:val="continuous"/>
          <w:pgSz w:w="11910" w:h="16840"/>
          <w:pgMar w:header="0" w:footer="878" w:top="160" w:bottom="280" w:left="1480" w:right="440"/>
          <w:cols w:num="2" w:equalWidth="0">
            <w:col w:w="2938" w:space="40"/>
            <w:col w:w="7012"/>
          </w:cols>
        </w:sectPr>
      </w:pPr>
    </w:p>
    <w:tbl>
      <w:tblPr>
        <w:tblW w:w="0" w:type="auto"/>
        <w:jc w:val="left"/>
        <w:tblInd w:w="3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36"/>
        <w:gridCol w:w="2552"/>
      </w:tblGrid>
      <w:tr>
        <w:trPr>
          <w:trHeight w:val="359" w:hRule="atLeast"/>
        </w:trPr>
        <w:tc>
          <w:tcPr>
            <w:tcW w:w="3536" w:type="dxa"/>
          </w:tcPr>
          <w:p>
            <w:pPr>
              <w:pStyle w:val="TableParagraph"/>
              <w:spacing w:line="250" w:lineRule="exact" w:before="90"/>
              <w:ind w:left="491"/>
              <w:rPr>
                <w:sz w:val="21"/>
              </w:rPr>
            </w:pPr>
            <w:r>
              <w:rPr>
                <w:spacing w:val="-4"/>
                <w:sz w:val="21"/>
              </w:rPr>
              <w:t>医师和牙科医师</w:t>
            </w:r>
          </w:p>
        </w:tc>
        <w:tc>
          <w:tcPr>
            <w:tcW w:w="2552" w:type="dxa"/>
          </w:tcPr>
          <w:p>
            <w:pPr>
              <w:pStyle w:val="TableParagraph"/>
              <w:spacing w:line="250" w:lineRule="exact" w:before="90"/>
              <w:ind w:left="493"/>
              <w:rPr>
                <w:sz w:val="21"/>
              </w:rPr>
            </w:pPr>
            <w:r>
              <w:rPr>
                <w:spacing w:val="-5"/>
                <w:sz w:val="21"/>
              </w:rPr>
              <w:t>护士</w:t>
            </w:r>
          </w:p>
        </w:tc>
      </w:tr>
      <w:tr>
        <w:trPr>
          <w:trHeight w:val="359" w:hRule="atLeast"/>
        </w:trPr>
        <w:tc>
          <w:tcPr>
            <w:tcW w:w="3536" w:type="dxa"/>
          </w:tcPr>
          <w:p>
            <w:pPr>
              <w:pStyle w:val="TableParagraph"/>
              <w:spacing w:line="250" w:lineRule="exact" w:before="89"/>
              <w:ind w:left="491"/>
              <w:rPr>
                <w:sz w:val="21"/>
              </w:rPr>
            </w:pPr>
            <w:r>
              <w:rPr>
                <w:spacing w:val="-4"/>
                <w:sz w:val="21"/>
              </w:rPr>
              <w:t>实验室工作人员</w:t>
            </w:r>
          </w:p>
        </w:tc>
        <w:tc>
          <w:tcPr>
            <w:tcW w:w="2552" w:type="dxa"/>
          </w:tcPr>
          <w:p>
            <w:pPr>
              <w:pStyle w:val="TableParagraph"/>
              <w:spacing w:line="250" w:lineRule="exact" w:before="89"/>
              <w:ind w:left="493"/>
              <w:rPr>
                <w:sz w:val="21"/>
              </w:rPr>
            </w:pPr>
            <w:r>
              <w:rPr>
                <w:spacing w:val="-4"/>
                <w:sz w:val="21"/>
              </w:rPr>
              <w:t>医院护工</w:t>
            </w:r>
          </w:p>
        </w:tc>
      </w:tr>
      <w:tr>
        <w:trPr>
          <w:trHeight w:val="359" w:hRule="atLeast"/>
        </w:trPr>
        <w:tc>
          <w:tcPr>
            <w:tcW w:w="3536" w:type="dxa"/>
          </w:tcPr>
          <w:p>
            <w:pPr>
              <w:pStyle w:val="TableParagraph"/>
              <w:spacing w:line="250" w:lineRule="exact" w:before="89"/>
              <w:ind w:left="491"/>
              <w:rPr>
                <w:sz w:val="21"/>
              </w:rPr>
            </w:pPr>
            <w:r>
              <w:rPr>
                <w:spacing w:val="-3"/>
                <w:sz w:val="21"/>
              </w:rPr>
              <w:t>医师助理和牙医助理</w:t>
            </w:r>
          </w:p>
        </w:tc>
        <w:tc>
          <w:tcPr>
            <w:tcW w:w="2552" w:type="dxa"/>
          </w:tcPr>
          <w:p>
            <w:pPr>
              <w:pStyle w:val="TableParagraph"/>
              <w:spacing w:line="250" w:lineRule="exact" w:before="89"/>
              <w:ind w:left="493"/>
              <w:rPr>
                <w:sz w:val="21"/>
              </w:rPr>
            </w:pPr>
            <w:r>
              <w:rPr>
                <w:spacing w:val="-4"/>
                <w:sz w:val="21"/>
              </w:rPr>
              <w:t>救护车工作人员</w:t>
            </w:r>
          </w:p>
        </w:tc>
      </w:tr>
      <w:tr>
        <w:trPr>
          <w:trHeight w:val="362" w:hRule="atLeast"/>
        </w:trPr>
        <w:tc>
          <w:tcPr>
            <w:tcW w:w="3536" w:type="dxa"/>
          </w:tcPr>
          <w:p>
            <w:pPr>
              <w:pStyle w:val="TableParagraph"/>
              <w:spacing w:line="252" w:lineRule="exact" w:before="90"/>
              <w:ind w:left="491"/>
              <w:rPr>
                <w:sz w:val="21"/>
              </w:rPr>
            </w:pPr>
            <w:r>
              <w:rPr>
                <w:spacing w:val="-4"/>
                <w:sz w:val="21"/>
              </w:rPr>
              <w:t>助产士</w:t>
            </w:r>
          </w:p>
        </w:tc>
        <w:tc>
          <w:tcPr>
            <w:tcW w:w="2552" w:type="dxa"/>
          </w:tcPr>
          <w:p>
            <w:pPr>
              <w:pStyle w:val="TableParagraph"/>
              <w:spacing w:line="252" w:lineRule="exact" w:before="90"/>
              <w:ind w:left="493"/>
              <w:rPr>
                <w:sz w:val="21"/>
              </w:rPr>
            </w:pPr>
            <w:r>
              <w:rPr>
                <w:spacing w:val="-5"/>
                <w:sz w:val="21"/>
              </w:rPr>
              <w:t>警察</w:t>
            </w:r>
          </w:p>
        </w:tc>
      </w:tr>
    </w:tbl>
    <w:p>
      <w:pPr>
        <w:pStyle w:val="BodyText"/>
        <w:spacing w:before="8"/>
        <w:ind w:left="0"/>
        <w:rPr>
          <w:rFonts w:ascii="Times New Roman"/>
          <w:sz w:val="12"/>
        </w:rPr>
      </w:pPr>
    </w:p>
    <w:p>
      <w:pPr>
        <w:pStyle w:val="ListParagraph"/>
        <w:numPr>
          <w:ilvl w:val="1"/>
          <w:numId w:val="27"/>
        </w:numPr>
        <w:tabs>
          <w:tab w:pos="1071" w:val="left" w:leader="none"/>
          <w:tab w:pos="1072" w:val="left" w:leader="none"/>
          <w:tab w:pos="3152" w:val="left" w:leader="none"/>
        </w:tabs>
        <w:spacing w:line="364" w:lineRule="exact" w:before="33" w:after="0"/>
        <w:ind w:left="1071" w:right="0" w:hanging="850"/>
        <w:jc w:val="left"/>
        <w:rPr>
          <w:sz w:val="21"/>
        </w:rPr>
      </w:pPr>
      <w:r>
        <w:rPr>
          <w:rFonts w:ascii="微软雅黑" w:eastAsia="微软雅黑"/>
          <w:b/>
          <w:sz w:val="21"/>
        </w:rPr>
        <w:t>重症肌无</w:t>
      </w:r>
      <w:r>
        <w:rPr>
          <w:rFonts w:ascii="微软雅黑" w:eastAsia="微软雅黑"/>
          <w:b/>
          <w:spacing w:val="-10"/>
          <w:sz w:val="21"/>
        </w:rPr>
        <w:t>力</w:t>
      </w:r>
      <w:r>
        <w:rPr>
          <w:rFonts w:ascii="微软雅黑" w:eastAsia="微软雅黑"/>
          <w:b/>
          <w:sz w:val="21"/>
        </w:rPr>
        <w:tab/>
      </w:r>
      <w:r>
        <w:rPr>
          <w:spacing w:val="-2"/>
          <w:sz w:val="21"/>
        </w:rPr>
        <w:t>重</w:t>
      </w:r>
      <w:r>
        <w:rPr>
          <w:spacing w:val="-2"/>
          <w:sz w:val="21"/>
        </w:rPr>
        <w:t>症</w:t>
      </w:r>
      <w:r>
        <w:rPr>
          <w:spacing w:val="-2"/>
          <w:sz w:val="21"/>
        </w:rPr>
        <w:t>肌</w:t>
      </w:r>
      <w:r>
        <w:rPr>
          <w:spacing w:val="-2"/>
          <w:sz w:val="21"/>
        </w:rPr>
        <w:t>无</w:t>
      </w:r>
      <w:r>
        <w:rPr>
          <w:spacing w:val="-2"/>
          <w:sz w:val="21"/>
        </w:rPr>
        <w:t>力</w:t>
      </w:r>
      <w:r>
        <w:rPr>
          <w:spacing w:val="-2"/>
          <w:sz w:val="21"/>
        </w:rPr>
        <w:t>是一种</w:t>
      </w:r>
      <w:r>
        <w:rPr>
          <w:spacing w:val="-2"/>
          <w:sz w:val="21"/>
        </w:rPr>
        <w:t>神</w:t>
      </w:r>
      <w:r>
        <w:rPr>
          <w:spacing w:val="-2"/>
          <w:sz w:val="21"/>
        </w:rPr>
        <w:t>经</w:t>
      </w:r>
      <w:r>
        <w:rPr>
          <w:spacing w:val="-2"/>
          <w:sz w:val="21"/>
        </w:rPr>
        <w:t>肌</w:t>
      </w:r>
      <w:r>
        <w:rPr>
          <w:spacing w:val="-2"/>
          <w:sz w:val="21"/>
        </w:rPr>
        <w:t>肉</w:t>
      </w:r>
      <w:r>
        <w:rPr>
          <w:spacing w:val="-2"/>
          <w:sz w:val="21"/>
        </w:rPr>
        <w:t>接</w:t>
      </w:r>
      <w:r>
        <w:rPr>
          <w:spacing w:val="-2"/>
          <w:sz w:val="21"/>
        </w:rPr>
        <w:t>头</w:t>
      </w:r>
      <w:r>
        <w:rPr>
          <w:spacing w:val="-2"/>
          <w:sz w:val="21"/>
        </w:rPr>
        <w:t>传</w:t>
      </w:r>
      <w:r>
        <w:rPr>
          <w:spacing w:val="-2"/>
          <w:sz w:val="21"/>
        </w:rPr>
        <w:t>递</w:t>
      </w:r>
      <w:r>
        <w:rPr>
          <w:spacing w:val="-2"/>
          <w:sz w:val="21"/>
        </w:rPr>
        <w:t>障碍所</w:t>
      </w:r>
      <w:r>
        <w:rPr>
          <w:spacing w:val="-2"/>
          <w:sz w:val="21"/>
        </w:rPr>
        <w:t>致</w:t>
      </w:r>
      <w:r>
        <w:rPr>
          <w:spacing w:val="-2"/>
          <w:sz w:val="21"/>
        </w:rPr>
        <w:t>的</w:t>
      </w:r>
      <w:r>
        <w:rPr>
          <w:spacing w:val="-2"/>
          <w:sz w:val="21"/>
        </w:rPr>
        <w:t>疾</w:t>
      </w:r>
      <w:r>
        <w:rPr>
          <w:spacing w:val="-2"/>
          <w:sz w:val="21"/>
        </w:rPr>
        <w:t>病</w:t>
      </w:r>
      <w:r>
        <w:rPr>
          <w:spacing w:val="-2"/>
          <w:sz w:val="21"/>
        </w:rPr>
        <w:t>，表</w:t>
      </w:r>
      <w:r>
        <w:rPr>
          <w:spacing w:val="-2"/>
          <w:sz w:val="21"/>
        </w:rPr>
        <w:t>现</w:t>
      </w:r>
      <w:r>
        <w:rPr>
          <w:spacing w:val="-2"/>
          <w:sz w:val="21"/>
        </w:rPr>
        <w:t>为</w:t>
      </w:r>
      <w:r>
        <w:rPr>
          <w:spacing w:val="-2"/>
          <w:sz w:val="21"/>
        </w:rPr>
        <w:t>局</w:t>
      </w:r>
      <w:r>
        <w:rPr>
          <w:spacing w:val="-10"/>
          <w:sz w:val="21"/>
        </w:rPr>
        <w:t>部</w:t>
      </w:r>
    </w:p>
    <w:p>
      <w:pPr>
        <w:pStyle w:val="BodyText"/>
        <w:spacing w:line="246" w:lineRule="exact"/>
      </w:pPr>
      <w:r>
        <w:rPr>
          <w:spacing w:val="-2"/>
        </w:rPr>
        <w:t>或全身骨骼肌（特别是眼外肌）</w:t>
      </w:r>
      <w:r>
        <w:rPr>
          <w:spacing w:val="-3"/>
        </w:rPr>
        <w:t>极易疲劳。疾病可以累及呼吸肌、</w:t>
      </w:r>
    </w:p>
    <w:p>
      <w:pPr>
        <w:pStyle w:val="BodyText"/>
        <w:spacing w:before="2"/>
      </w:pPr>
      <w:r>
        <w:rPr>
          <w:spacing w:val="-3"/>
        </w:rPr>
        <w:t>上肢或下肢的近端肌群或全身肌肉。必须满足下列全部条件：</w:t>
      </w:r>
    </w:p>
    <w:p>
      <w:pPr>
        <w:pStyle w:val="ListParagraph"/>
        <w:numPr>
          <w:ilvl w:val="0"/>
          <w:numId w:val="68"/>
        </w:numPr>
        <w:tabs>
          <w:tab w:pos="3682" w:val="left" w:leader="none"/>
        </w:tabs>
        <w:spacing w:line="240" w:lineRule="auto" w:before="4" w:after="0"/>
        <w:ind w:left="3682" w:right="0" w:hanging="529"/>
        <w:jc w:val="left"/>
        <w:rPr>
          <w:sz w:val="21"/>
        </w:rPr>
      </w:pPr>
      <w:r>
        <w:rPr>
          <w:spacing w:val="-3"/>
          <w:sz w:val="21"/>
        </w:rPr>
        <w:t>经药物治疗和胸腺切除治疗一年以上仍无法控制病情；</w:t>
      </w:r>
    </w:p>
    <w:p>
      <w:pPr>
        <w:pStyle w:val="ListParagraph"/>
        <w:numPr>
          <w:ilvl w:val="0"/>
          <w:numId w:val="68"/>
        </w:numPr>
        <w:tabs>
          <w:tab w:pos="3682" w:val="left" w:leader="none"/>
        </w:tabs>
        <w:spacing w:line="244" w:lineRule="auto" w:before="2" w:after="0"/>
        <w:ind w:left="3678" w:right="842" w:hanging="526"/>
        <w:jc w:val="left"/>
        <w:rPr>
          <w:sz w:val="21"/>
        </w:rPr>
      </w:pPr>
      <w:r>
        <w:rPr>
          <w:spacing w:val="-2"/>
          <w:sz w:val="21"/>
        </w:rPr>
        <w:t>自主生活能力完全丧失，无法独立完成六项基本日常生活活</w:t>
      </w:r>
      <w:r>
        <w:rPr>
          <w:spacing w:val="-2"/>
          <w:sz w:val="21"/>
        </w:rPr>
        <w:t>动中的三项或三项以上。</w:t>
      </w:r>
    </w:p>
    <w:p>
      <w:pPr>
        <w:pStyle w:val="BodyText"/>
        <w:spacing w:before="10"/>
        <w:ind w:left="0"/>
        <w:rPr>
          <w:sz w:val="10"/>
        </w:rPr>
      </w:pPr>
    </w:p>
    <w:p>
      <w:pPr>
        <w:spacing w:after="0"/>
        <w:rPr>
          <w:sz w:val="10"/>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严重类风湿性关节</w:t>
      </w:r>
    </w:p>
    <w:p>
      <w:pPr>
        <w:spacing w:line="329" w:lineRule="exact" w:before="0"/>
        <w:ind w:left="1071" w:right="0" w:firstLine="0"/>
        <w:jc w:val="left"/>
        <w:rPr>
          <w:rFonts w:ascii="微软雅黑" w:eastAsia="微软雅黑"/>
          <w:b/>
          <w:sz w:val="21"/>
        </w:rPr>
      </w:pPr>
      <w:r>
        <w:rPr>
          <w:rFonts w:ascii="微软雅黑" w:eastAsia="微软雅黑"/>
          <w:b/>
          <w:w w:val="100"/>
          <w:sz w:val="21"/>
        </w:rPr>
        <w:t>炎</w:t>
      </w:r>
    </w:p>
    <w:p>
      <w:pPr>
        <w:pStyle w:val="BodyText"/>
        <w:spacing w:line="242" w:lineRule="auto" w:before="100"/>
        <w:ind w:left="175" w:right="729"/>
        <w:jc w:val="both"/>
      </w:pPr>
      <w:r>
        <w:rPr/>
        <w:br w:type="column"/>
      </w:r>
      <w:r>
        <w:rPr>
          <w:spacing w:val="-2"/>
        </w:rPr>
        <w:t>类风湿性关节炎为广泛分布的慢性进行性多关节病变，表现为关节</w:t>
      </w:r>
      <w:r>
        <w:rPr>
          <w:spacing w:val="-2"/>
        </w:rPr>
        <w:t>严重变形，侵犯至少三个主要关节或关节组，如：双手（多手指）</w:t>
      </w:r>
      <w:r>
        <w:rPr>
          <w:spacing w:val="-2"/>
        </w:rPr>
        <w:t>关节、双足（多足趾）</w:t>
      </w:r>
      <w:r>
        <w:rPr>
          <w:spacing w:val="-3"/>
        </w:rPr>
        <w:t>关节、双腕关节、双膝关节和双髋关节。类</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BodyText"/>
        <w:spacing w:line="242" w:lineRule="auto" w:before="55"/>
        <w:ind w:right="729"/>
        <w:jc w:val="both"/>
      </w:pPr>
      <w:r>
        <w:rPr>
          <w:spacing w:val="-2"/>
        </w:rPr>
        <w:t>风湿性关节炎必须明确诊断并且已经达到类风湿性关节炎功能分类 </w:t>
      </w:r>
      <w:r>
        <w:rPr>
          <w:rFonts w:ascii="Times New Roman" w:eastAsia="Times New Roman"/>
          <w:spacing w:val="-2"/>
        </w:rPr>
        <w:t>IV</w:t>
      </w:r>
      <w:r>
        <w:rPr>
          <w:spacing w:val="-2"/>
        </w:rPr>
        <w:t>级的永久不可逆性关节功能障碍（生活不能自理，且丧失工作能</w:t>
      </w:r>
      <w:r>
        <w:rPr>
          <w:spacing w:val="-2"/>
        </w:rPr>
        <w:t>力）并且满足下列全部条件：</w:t>
      </w:r>
    </w:p>
    <w:p>
      <w:pPr>
        <w:pStyle w:val="BodyText"/>
        <w:spacing w:before="4"/>
      </w:pPr>
      <w:r>
        <w:rPr>
          <w:spacing w:val="-2"/>
        </w:rPr>
        <w:t>（</w:t>
      </w:r>
      <w:r>
        <w:rPr>
          <w:rFonts w:ascii="Times New Roman" w:eastAsia="Times New Roman"/>
          <w:spacing w:val="-2"/>
        </w:rPr>
        <w:t>1</w:t>
      </w:r>
      <w:r>
        <w:rPr>
          <w:spacing w:val="-2"/>
        </w:rPr>
        <w:t>）</w:t>
      </w:r>
      <w:r>
        <w:rPr>
          <w:spacing w:val="-5"/>
        </w:rPr>
        <w:t>晨僵；</w:t>
      </w:r>
    </w:p>
    <w:p>
      <w:pPr>
        <w:pStyle w:val="ListParagraph"/>
        <w:numPr>
          <w:ilvl w:val="0"/>
          <w:numId w:val="69"/>
        </w:numPr>
        <w:tabs>
          <w:tab w:pos="3682" w:val="left" w:leader="none"/>
        </w:tabs>
        <w:spacing w:line="240" w:lineRule="auto" w:before="2" w:after="0"/>
        <w:ind w:left="3682" w:right="0" w:hanging="529"/>
        <w:jc w:val="left"/>
        <w:rPr>
          <w:sz w:val="21"/>
        </w:rPr>
      </w:pPr>
      <w:r>
        <w:rPr>
          <w:spacing w:val="-4"/>
          <w:sz w:val="21"/>
        </w:rPr>
        <w:t>对称性关节炎；</w:t>
      </w:r>
    </w:p>
    <w:p>
      <w:pPr>
        <w:pStyle w:val="ListParagraph"/>
        <w:numPr>
          <w:ilvl w:val="0"/>
          <w:numId w:val="69"/>
        </w:numPr>
        <w:tabs>
          <w:tab w:pos="3682" w:val="left" w:leader="none"/>
        </w:tabs>
        <w:spacing w:line="240" w:lineRule="auto" w:before="5" w:after="0"/>
        <w:ind w:left="3682" w:right="0" w:hanging="529"/>
        <w:jc w:val="left"/>
        <w:rPr>
          <w:sz w:val="21"/>
        </w:rPr>
      </w:pPr>
      <w:r>
        <w:rPr>
          <w:spacing w:val="-3"/>
          <w:sz w:val="21"/>
        </w:rPr>
        <w:t>类风湿性皮下结节；</w:t>
      </w:r>
    </w:p>
    <w:p>
      <w:pPr>
        <w:pStyle w:val="ListParagraph"/>
        <w:numPr>
          <w:ilvl w:val="0"/>
          <w:numId w:val="69"/>
        </w:numPr>
        <w:tabs>
          <w:tab w:pos="3682" w:val="left" w:leader="none"/>
        </w:tabs>
        <w:spacing w:line="240" w:lineRule="auto" w:before="2" w:after="0"/>
        <w:ind w:left="3682" w:right="0" w:hanging="529"/>
        <w:jc w:val="left"/>
        <w:rPr>
          <w:sz w:val="21"/>
        </w:rPr>
      </w:pPr>
      <w:r>
        <w:rPr>
          <w:spacing w:val="-3"/>
          <w:sz w:val="21"/>
        </w:rPr>
        <w:t>类风湿因子滴度升高；</w:t>
      </w:r>
    </w:p>
    <w:p>
      <w:pPr>
        <w:pStyle w:val="ListParagraph"/>
        <w:numPr>
          <w:ilvl w:val="0"/>
          <w:numId w:val="69"/>
        </w:numPr>
        <w:tabs>
          <w:tab w:pos="3682" w:val="left" w:leader="none"/>
        </w:tabs>
        <w:spacing w:line="240" w:lineRule="auto" w:before="4" w:after="0"/>
        <w:ind w:left="3682" w:right="0" w:hanging="529"/>
        <w:jc w:val="left"/>
        <w:rPr>
          <w:sz w:val="21"/>
        </w:rPr>
      </w:pPr>
      <w:r>
        <w:rPr>
          <w:rFonts w:ascii="Times New Roman" w:eastAsia="Times New Roman"/>
          <w:spacing w:val="-2"/>
          <w:sz w:val="21"/>
        </w:rPr>
        <w:t>X</w:t>
      </w:r>
      <w:r>
        <w:rPr>
          <w:spacing w:val="-2"/>
          <w:sz w:val="21"/>
        </w:rPr>
        <w:t>线显示严重的关节（软骨和骨）</w:t>
      </w:r>
      <w:r>
        <w:rPr>
          <w:spacing w:val="-4"/>
          <w:sz w:val="21"/>
        </w:rPr>
        <w:t>破坏和关节畸形。</w:t>
      </w:r>
    </w:p>
    <w:p>
      <w:pPr>
        <w:pStyle w:val="ListParagraph"/>
        <w:numPr>
          <w:ilvl w:val="1"/>
          <w:numId w:val="27"/>
        </w:numPr>
        <w:tabs>
          <w:tab w:pos="1071" w:val="left" w:leader="none"/>
          <w:tab w:pos="1072" w:val="left" w:leader="none"/>
          <w:tab w:pos="3152" w:val="left" w:leader="none"/>
        </w:tabs>
        <w:spacing w:line="329" w:lineRule="exact" w:before="178" w:after="0"/>
        <w:ind w:left="1071" w:right="0" w:hanging="850"/>
        <w:jc w:val="left"/>
        <w:rPr>
          <w:sz w:val="21"/>
        </w:rPr>
      </w:pPr>
      <w:r>
        <w:rPr>
          <w:rFonts w:ascii="微软雅黑" w:eastAsia="微软雅黑"/>
          <w:b/>
          <w:sz w:val="21"/>
        </w:rPr>
        <w:t>脊髓灰质</w:t>
      </w:r>
      <w:r>
        <w:rPr>
          <w:rFonts w:ascii="微软雅黑" w:eastAsia="微软雅黑"/>
          <w:b/>
          <w:spacing w:val="-10"/>
          <w:sz w:val="21"/>
        </w:rPr>
        <w:t>炎</w:t>
      </w:r>
      <w:r>
        <w:rPr>
          <w:rFonts w:ascii="微软雅黑" w:eastAsia="微软雅黑"/>
          <w:b/>
          <w:sz w:val="21"/>
        </w:rPr>
        <w:tab/>
      </w:r>
      <w:r>
        <w:rPr>
          <w:spacing w:val="-2"/>
          <w:sz w:val="21"/>
        </w:rPr>
        <w:t>脊</w:t>
      </w:r>
      <w:r>
        <w:rPr>
          <w:spacing w:val="-2"/>
          <w:sz w:val="21"/>
        </w:rPr>
        <w:t>髓</w:t>
      </w:r>
      <w:r>
        <w:rPr>
          <w:spacing w:val="-2"/>
          <w:sz w:val="21"/>
        </w:rPr>
        <w:t>灰</w:t>
      </w:r>
      <w:r>
        <w:rPr>
          <w:spacing w:val="-2"/>
          <w:sz w:val="21"/>
        </w:rPr>
        <w:t>质</w:t>
      </w:r>
      <w:r>
        <w:rPr>
          <w:spacing w:val="-2"/>
          <w:sz w:val="21"/>
        </w:rPr>
        <w:t>炎</w:t>
      </w:r>
      <w:r>
        <w:rPr>
          <w:spacing w:val="-2"/>
          <w:sz w:val="21"/>
        </w:rPr>
        <w:t>是由于</w:t>
      </w:r>
      <w:r>
        <w:rPr>
          <w:spacing w:val="-2"/>
          <w:sz w:val="21"/>
        </w:rPr>
        <w:t>脊</w:t>
      </w:r>
      <w:r>
        <w:rPr>
          <w:spacing w:val="-2"/>
          <w:sz w:val="21"/>
        </w:rPr>
        <w:t>髓</w:t>
      </w:r>
      <w:r>
        <w:rPr>
          <w:spacing w:val="-2"/>
          <w:sz w:val="21"/>
        </w:rPr>
        <w:t>灰</w:t>
      </w:r>
      <w:r>
        <w:rPr>
          <w:spacing w:val="-2"/>
          <w:sz w:val="21"/>
        </w:rPr>
        <w:t>质</w:t>
      </w:r>
      <w:r>
        <w:rPr>
          <w:spacing w:val="-2"/>
          <w:sz w:val="21"/>
        </w:rPr>
        <w:t>炎</w:t>
      </w:r>
      <w:r>
        <w:rPr>
          <w:spacing w:val="-2"/>
          <w:sz w:val="21"/>
        </w:rPr>
        <w:t>病</w:t>
      </w:r>
      <w:r>
        <w:rPr>
          <w:spacing w:val="-2"/>
          <w:sz w:val="21"/>
        </w:rPr>
        <w:t>毒</w:t>
      </w:r>
      <w:r>
        <w:rPr>
          <w:spacing w:val="-2"/>
          <w:sz w:val="21"/>
        </w:rPr>
        <w:t>感</w:t>
      </w:r>
      <w:r>
        <w:rPr>
          <w:spacing w:val="-2"/>
          <w:sz w:val="21"/>
        </w:rPr>
        <w:t>染所致</w:t>
      </w:r>
      <w:r>
        <w:rPr>
          <w:spacing w:val="-2"/>
          <w:sz w:val="21"/>
        </w:rPr>
        <w:t>的</w:t>
      </w:r>
      <w:r>
        <w:rPr>
          <w:spacing w:val="-2"/>
          <w:sz w:val="21"/>
        </w:rPr>
        <w:t>瘫</w:t>
      </w:r>
      <w:r>
        <w:rPr>
          <w:spacing w:val="-2"/>
          <w:sz w:val="21"/>
        </w:rPr>
        <w:t>痪</w:t>
      </w:r>
      <w:r>
        <w:rPr>
          <w:spacing w:val="-2"/>
          <w:sz w:val="21"/>
        </w:rPr>
        <w:t>性</w:t>
      </w:r>
      <w:r>
        <w:rPr>
          <w:spacing w:val="-2"/>
          <w:sz w:val="21"/>
        </w:rPr>
        <w:t>疾</w:t>
      </w:r>
      <w:r>
        <w:rPr>
          <w:spacing w:val="-2"/>
          <w:sz w:val="21"/>
        </w:rPr>
        <w:t>病，</w:t>
      </w:r>
      <w:r>
        <w:rPr>
          <w:spacing w:val="-2"/>
          <w:sz w:val="21"/>
        </w:rPr>
        <w:t>临</w:t>
      </w:r>
      <w:r>
        <w:rPr>
          <w:spacing w:val="-2"/>
          <w:sz w:val="21"/>
        </w:rPr>
        <w:t>床</w:t>
      </w:r>
      <w:r>
        <w:rPr>
          <w:spacing w:val="-10"/>
          <w:sz w:val="21"/>
        </w:rPr>
        <w:t>表</w:t>
      </w:r>
    </w:p>
    <w:p>
      <w:pPr>
        <w:spacing w:line="168" w:lineRule="auto" w:before="25"/>
        <w:ind w:left="3153" w:right="725" w:firstLine="0"/>
        <w:jc w:val="both"/>
        <w:rPr>
          <w:sz w:val="21"/>
        </w:rPr>
      </w:pPr>
      <w:r>
        <w:rPr>
          <w:spacing w:val="-3"/>
          <w:w w:val="100"/>
          <w:sz w:val="21"/>
        </w:rPr>
        <w:t>现为运动功能损害或呼吸无力。脊髓灰质炎必须明确诊断。</w:t>
      </w:r>
      <w:r>
        <w:rPr>
          <w:rFonts w:ascii="微软雅黑" w:eastAsia="微软雅黑"/>
          <w:b/>
          <w:w w:val="100"/>
          <w:sz w:val="21"/>
        </w:rPr>
        <w:t>本合同</w:t>
      </w:r>
      <w:r>
        <w:rPr>
          <w:rFonts w:ascii="微软雅黑" w:eastAsia="微软雅黑"/>
          <w:b/>
          <w:spacing w:val="3"/>
          <w:w w:val="100"/>
          <w:sz w:val="21"/>
        </w:rPr>
        <w:t>仅对脊髓灰质炎造成的神经系统功能损害导致被保险人一肢或一</w:t>
      </w:r>
      <w:r>
        <w:rPr>
          <w:rFonts w:ascii="微软雅黑" w:eastAsia="微软雅黑"/>
          <w:b/>
          <w:spacing w:val="-3"/>
          <w:w w:val="100"/>
          <w:sz w:val="21"/>
        </w:rPr>
        <w:t>肢以上肢体机能永久完全丧失的情况予以理赔。</w:t>
      </w:r>
      <w:r>
        <w:rPr>
          <w:spacing w:val="-3"/>
          <w:w w:val="100"/>
          <w:sz w:val="21"/>
        </w:rPr>
        <w:t>肢体机能永久完全</w:t>
      </w:r>
    </w:p>
    <w:p>
      <w:pPr>
        <w:pStyle w:val="BodyText"/>
        <w:spacing w:line="242" w:lineRule="auto"/>
        <w:ind w:right="730"/>
      </w:pPr>
      <w:r>
        <w:rPr>
          <w:spacing w:val="-10"/>
        </w:rPr>
        <w:t>丧失，指疾病确诊</w:t>
      </w:r>
      <w:r>
        <w:rPr>
          <w:rFonts w:ascii="Times New Roman" w:eastAsia="Times New Roman"/>
          <w:spacing w:val="-2"/>
        </w:rPr>
        <w:t>180</w:t>
      </w:r>
      <w:r>
        <w:rPr>
          <w:spacing w:val="-10"/>
        </w:rPr>
        <w:t>天后，每肢三大关节中的两大关节仍然完全僵</w:t>
      </w:r>
      <w:r>
        <w:rPr>
          <w:spacing w:val="-2"/>
        </w:rPr>
        <w:t>硬，或不能随意识活动。</w:t>
      </w:r>
    </w:p>
    <w:p>
      <w:pPr>
        <w:pStyle w:val="BodyText"/>
        <w:spacing w:before="3"/>
        <w:ind w:left="0"/>
        <w:rPr>
          <w:sz w:val="10"/>
        </w:rPr>
      </w:pPr>
    </w:p>
    <w:p>
      <w:pPr>
        <w:spacing w:after="0"/>
        <w:rPr>
          <w:sz w:val="10"/>
        </w:rPr>
        <w:sectPr>
          <w:pgSz w:w="11910" w:h="16840"/>
          <w:pgMar w:header="0" w:footer="878" w:top="1060" w:bottom="1060" w:left="1480" w:right="440"/>
        </w:sectPr>
      </w:pPr>
    </w:p>
    <w:p>
      <w:pPr>
        <w:pStyle w:val="ListParagraph"/>
        <w:numPr>
          <w:ilvl w:val="1"/>
          <w:numId w:val="27"/>
        </w:numPr>
        <w:tabs>
          <w:tab w:pos="849" w:val="left" w:leader="none"/>
          <w:tab w:pos="850" w:val="left" w:leader="none"/>
        </w:tabs>
        <w:spacing w:line="330" w:lineRule="exact" w:before="33" w:after="0"/>
        <w:ind w:left="849" w:right="1" w:hanging="850"/>
        <w:jc w:val="right"/>
        <w:rPr>
          <w:rFonts w:ascii="微软雅黑" w:eastAsia="微软雅黑"/>
          <w:b/>
          <w:sz w:val="21"/>
        </w:rPr>
      </w:pPr>
      <w:r>
        <w:rPr>
          <w:rFonts w:ascii="微软雅黑" w:eastAsia="微软雅黑"/>
          <w:b/>
          <w:spacing w:val="18"/>
          <w:sz w:val="21"/>
        </w:rPr>
        <w:t>经输血导致的人类</w:t>
      </w:r>
    </w:p>
    <w:p>
      <w:pPr>
        <w:spacing w:line="272" w:lineRule="exact" w:before="0"/>
        <w:ind w:left="0" w:right="0" w:firstLine="0"/>
        <w:jc w:val="right"/>
        <w:rPr>
          <w:rFonts w:ascii="微软雅黑" w:eastAsia="微软雅黑"/>
          <w:b/>
          <w:sz w:val="21"/>
        </w:rPr>
      </w:pPr>
      <w:r>
        <w:rPr>
          <w:rFonts w:ascii="微软雅黑" w:eastAsia="微软雅黑"/>
          <w:b/>
          <w:spacing w:val="22"/>
          <w:sz w:val="21"/>
        </w:rPr>
        <w:t>免 疫 缺 陷 病 毒</w:t>
      </w:r>
    </w:p>
    <w:p>
      <w:pPr>
        <w:spacing w:line="329" w:lineRule="exact" w:before="0"/>
        <w:ind w:left="1071" w:right="0" w:firstLine="0"/>
        <w:jc w:val="left"/>
        <w:rPr>
          <w:rFonts w:ascii="微软雅黑" w:eastAsia="微软雅黑"/>
          <w:b/>
          <w:sz w:val="21"/>
        </w:rPr>
      </w:pPr>
      <w:r>
        <w:rPr>
          <w:rFonts w:ascii="微软雅黑" w:eastAsia="微软雅黑"/>
          <w:b/>
          <w:spacing w:val="-2"/>
          <w:sz w:val="21"/>
        </w:rPr>
        <w:t>（</w:t>
      </w:r>
      <w:r>
        <w:rPr>
          <w:rFonts w:ascii="Times New Roman" w:eastAsia="Times New Roman"/>
          <w:b/>
          <w:spacing w:val="-2"/>
          <w:sz w:val="21"/>
        </w:rPr>
        <w:t>HIV</w:t>
      </w:r>
      <w:r>
        <w:rPr>
          <w:rFonts w:ascii="微软雅黑" w:eastAsia="微软雅黑"/>
          <w:b/>
          <w:spacing w:val="-2"/>
          <w:sz w:val="21"/>
        </w:rPr>
        <w:t>）</w:t>
      </w:r>
      <w:r>
        <w:rPr>
          <w:rFonts w:ascii="微软雅黑" w:eastAsia="微软雅黑"/>
          <w:b/>
          <w:spacing w:val="-6"/>
          <w:sz w:val="21"/>
        </w:rPr>
        <w:t>感染</w:t>
      </w:r>
    </w:p>
    <w:p>
      <w:pPr>
        <w:pStyle w:val="BodyText"/>
        <w:spacing w:before="100"/>
        <w:ind w:left="174"/>
      </w:pPr>
      <w:r>
        <w:rPr/>
        <w:br w:type="column"/>
      </w:r>
      <w:r>
        <w:rPr>
          <w:spacing w:val="-4"/>
        </w:rPr>
        <w:t>被保险人感染上人类免疫缺陷病毒（</w:t>
      </w:r>
      <w:r>
        <w:rPr>
          <w:rFonts w:ascii="Times New Roman" w:eastAsia="Times New Roman"/>
          <w:spacing w:val="-4"/>
        </w:rPr>
        <w:t>HIV</w:t>
      </w:r>
      <w:r>
        <w:rPr>
          <w:spacing w:val="-4"/>
        </w:rPr>
        <w:t>）</w:t>
      </w:r>
      <w:r>
        <w:rPr>
          <w:spacing w:val="-5"/>
        </w:rPr>
        <w:t>并且满足下列全部条件：</w:t>
      </w:r>
    </w:p>
    <w:p>
      <w:pPr>
        <w:pStyle w:val="ListParagraph"/>
        <w:numPr>
          <w:ilvl w:val="0"/>
          <w:numId w:val="70"/>
        </w:numPr>
        <w:tabs>
          <w:tab w:pos="704" w:val="left" w:leader="none"/>
        </w:tabs>
        <w:spacing w:line="240" w:lineRule="auto" w:before="5" w:after="0"/>
        <w:ind w:left="703" w:right="0" w:hanging="530"/>
        <w:jc w:val="left"/>
        <w:rPr>
          <w:sz w:val="21"/>
        </w:rPr>
      </w:pPr>
      <w:r>
        <w:rPr>
          <w:spacing w:val="-2"/>
          <w:sz w:val="21"/>
        </w:rPr>
        <w:t>在保障起始日或复效日之后，被保险人因输血而感染</w:t>
      </w:r>
      <w:r>
        <w:rPr>
          <w:rFonts w:ascii="Times New Roman" w:eastAsia="Times New Roman"/>
          <w:spacing w:val="-4"/>
          <w:sz w:val="21"/>
        </w:rPr>
        <w:t>HIV</w:t>
      </w:r>
      <w:r>
        <w:rPr>
          <w:spacing w:val="-4"/>
          <w:sz w:val="21"/>
        </w:rPr>
        <w:t>；</w:t>
      </w:r>
    </w:p>
    <w:p>
      <w:pPr>
        <w:pStyle w:val="ListParagraph"/>
        <w:numPr>
          <w:ilvl w:val="0"/>
          <w:numId w:val="70"/>
        </w:numPr>
        <w:tabs>
          <w:tab w:pos="704" w:val="left" w:leader="none"/>
        </w:tabs>
        <w:spacing w:line="244" w:lineRule="auto" w:before="2" w:after="0"/>
        <w:ind w:left="699" w:right="633" w:hanging="526"/>
        <w:jc w:val="left"/>
        <w:rPr>
          <w:sz w:val="21"/>
        </w:rPr>
      </w:pPr>
      <w:r>
        <w:rPr>
          <w:spacing w:val="-2"/>
          <w:sz w:val="21"/>
        </w:rPr>
        <w:t>提供输血治疗的输血中心或医院出具该项输血感染属医疗责</w:t>
      </w:r>
      <w:r>
        <w:rPr>
          <w:sz w:val="21"/>
        </w:rPr>
        <w:t> </w:t>
      </w:r>
      <w:r>
        <w:rPr>
          <w:spacing w:val="-2"/>
          <w:sz w:val="21"/>
        </w:rPr>
        <w:t>任事故的报告，或者法院终审裁定为医疗责任并且不准上诉；</w:t>
      </w:r>
    </w:p>
    <w:p>
      <w:pPr>
        <w:pStyle w:val="ListParagraph"/>
        <w:numPr>
          <w:ilvl w:val="0"/>
          <w:numId w:val="70"/>
        </w:numPr>
        <w:tabs>
          <w:tab w:pos="704" w:val="left" w:leader="none"/>
        </w:tabs>
        <w:spacing w:line="234" w:lineRule="exact" w:before="0" w:after="0"/>
        <w:ind w:left="703" w:right="0" w:hanging="530"/>
        <w:jc w:val="left"/>
        <w:rPr>
          <w:sz w:val="21"/>
        </w:rPr>
      </w:pPr>
      <w:r>
        <w:rPr>
          <w:spacing w:val="-3"/>
          <w:sz w:val="21"/>
        </w:rPr>
        <w:t>受感染的被保险人不是血友病患者。</w:t>
      </w:r>
    </w:p>
    <w:p>
      <w:pPr>
        <w:spacing w:line="168" w:lineRule="auto" w:before="52"/>
        <w:ind w:left="174" w:right="626" w:firstLine="0"/>
        <w:jc w:val="left"/>
        <w:rPr>
          <w:rFonts w:ascii="微软雅黑" w:eastAsia="微软雅黑"/>
          <w:b/>
          <w:sz w:val="21"/>
        </w:rPr>
      </w:pPr>
      <w:r>
        <w:rPr>
          <w:rFonts w:ascii="微软雅黑" w:eastAsia="微软雅黑"/>
          <w:b/>
          <w:spacing w:val="-15"/>
          <w:sz w:val="21"/>
        </w:rPr>
        <w:t>在任何治愈艾滋病</w:t>
      </w:r>
      <w:r>
        <w:rPr>
          <w:rFonts w:ascii="微软雅黑" w:eastAsia="微软雅黑"/>
          <w:b/>
          <w:spacing w:val="-4"/>
          <w:sz w:val="21"/>
        </w:rPr>
        <w:t>（</w:t>
      </w:r>
      <w:r>
        <w:rPr>
          <w:rFonts w:ascii="Times New Roman" w:eastAsia="Times New Roman"/>
          <w:b/>
          <w:spacing w:val="-4"/>
          <w:sz w:val="21"/>
        </w:rPr>
        <w:t>AIDS</w:t>
      </w:r>
      <w:r>
        <w:rPr>
          <w:rFonts w:ascii="微软雅黑" w:eastAsia="微软雅黑"/>
          <w:b/>
          <w:spacing w:val="-4"/>
          <w:sz w:val="21"/>
        </w:rPr>
        <w:t>）或阻止</w:t>
      </w:r>
      <w:r>
        <w:rPr>
          <w:rFonts w:ascii="Times New Roman" w:eastAsia="Times New Roman"/>
          <w:b/>
          <w:spacing w:val="-4"/>
          <w:sz w:val="21"/>
        </w:rPr>
        <w:t>HIV</w:t>
      </w:r>
      <w:r>
        <w:rPr>
          <w:rFonts w:ascii="微软雅黑" w:eastAsia="微软雅黑"/>
          <w:b/>
          <w:spacing w:val="-4"/>
          <w:sz w:val="21"/>
        </w:rPr>
        <w:t>病毒作用的疗法被发现以后，</w:t>
      </w:r>
      <w:r>
        <w:rPr>
          <w:rFonts w:ascii="微软雅黑" w:eastAsia="微软雅黑"/>
          <w:b/>
          <w:spacing w:val="-2"/>
          <w:sz w:val="21"/>
        </w:rPr>
        <w:t>或能防止</w:t>
      </w:r>
      <w:r>
        <w:rPr>
          <w:rFonts w:ascii="Times New Roman" w:eastAsia="Times New Roman"/>
          <w:b/>
          <w:spacing w:val="-2"/>
          <w:sz w:val="21"/>
        </w:rPr>
        <w:t>AIDS</w:t>
      </w:r>
      <w:r>
        <w:rPr>
          <w:rFonts w:ascii="微软雅黑" w:eastAsia="微软雅黑"/>
          <w:b/>
          <w:spacing w:val="-9"/>
          <w:sz w:val="21"/>
        </w:rPr>
        <w:t>发生的医疗方法被研究出来以后，本合同将不再予以</w:t>
      </w:r>
      <w:r>
        <w:rPr>
          <w:rFonts w:ascii="微软雅黑" w:eastAsia="微软雅黑"/>
          <w:b/>
          <w:spacing w:val="-4"/>
          <w:sz w:val="21"/>
        </w:rPr>
        <w:t>赔付。</w:t>
      </w:r>
    </w:p>
    <w:p>
      <w:pPr>
        <w:spacing w:line="168" w:lineRule="auto" w:before="3"/>
        <w:ind w:left="174" w:right="727" w:firstLine="0"/>
        <w:jc w:val="both"/>
        <w:rPr>
          <w:rFonts w:ascii="微软雅黑" w:eastAsia="微软雅黑"/>
          <w:b/>
          <w:sz w:val="21"/>
        </w:rPr>
      </w:pPr>
      <w:r>
        <w:rPr>
          <w:rFonts w:ascii="微软雅黑" w:eastAsia="微软雅黑"/>
          <w:b/>
          <w:spacing w:val="-2"/>
          <w:sz w:val="21"/>
        </w:rPr>
        <w:t>任何因其他传播方式（包括：性传播或静脉注射毒品）导致的</w:t>
      </w:r>
      <w:r>
        <w:rPr>
          <w:rFonts w:ascii="Times New Roman" w:eastAsia="Times New Roman"/>
          <w:b/>
          <w:spacing w:val="-2"/>
          <w:sz w:val="21"/>
        </w:rPr>
        <w:t>HIV</w:t>
      </w:r>
      <w:r>
        <w:rPr>
          <w:rFonts w:ascii="微软雅黑" w:eastAsia="微软雅黑"/>
          <w:b/>
          <w:spacing w:val="-2"/>
          <w:sz w:val="21"/>
        </w:rPr>
        <w:t>感染不在本合同保障范围内。保险公司必须拥有获得使用被保险人</w:t>
      </w:r>
      <w:r>
        <w:rPr>
          <w:rFonts w:ascii="微软雅黑" w:eastAsia="微软雅黑"/>
          <w:b/>
          <w:spacing w:val="-2"/>
          <w:sz w:val="21"/>
        </w:rPr>
        <w:t>的所有血液样本的权利和能够对这些样本进行独立检验的权利。</w:t>
      </w:r>
    </w:p>
    <w:p>
      <w:pPr>
        <w:spacing w:after="0" w:line="168" w:lineRule="auto"/>
        <w:jc w:val="both"/>
        <w:rPr>
          <w:rFonts w:ascii="微软雅黑" w:eastAsia="微软雅黑"/>
          <w:sz w:val="21"/>
        </w:rPr>
        <w:sectPr>
          <w:type w:val="continuous"/>
          <w:pgSz w:w="11910" w:h="16840"/>
          <w:pgMar w:header="0" w:footer="878" w:top="160" w:bottom="280" w:left="1480" w:right="440"/>
          <w:cols w:num="2" w:equalWidth="0">
            <w:col w:w="2939" w:space="40"/>
            <w:col w:w="7011"/>
          </w:cols>
        </w:sectPr>
      </w:pPr>
    </w:p>
    <w:p>
      <w:pPr>
        <w:pStyle w:val="BodyText"/>
        <w:ind w:left="0"/>
        <w:rPr>
          <w:rFonts w:ascii="微软雅黑"/>
          <w:b/>
          <w:sz w:val="7"/>
        </w:rPr>
      </w:pPr>
    </w:p>
    <w:p>
      <w:pPr>
        <w:pStyle w:val="ListParagraph"/>
        <w:numPr>
          <w:ilvl w:val="1"/>
          <w:numId w:val="27"/>
        </w:numPr>
        <w:tabs>
          <w:tab w:pos="1071" w:val="left" w:leader="none"/>
          <w:tab w:pos="1072" w:val="left" w:leader="none"/>
          <w:tab w:pos="3152" w:val="left" w:leader="none"/>
        </w:tabs>
        <w:spacing w:line="364" w:lineRule="exact" w:before="33" w:after="0"/>
        <w:ind w:left="1071" w:right="0" w:hanging="850"/>
        <w:jc w:val="left"/>
        <w:rPr>
          <w:sz w:val="21"/>
        </w:rPr>
      </w:pPr>
      <w:r>
        <w:rPr>
          <w:rFonts w:ascii="微软雅黑" w:eastAsia="微软雅黑"/>
          <w:b/>
          <w:sz w:val="21"/>
        </w:rPr>
        <w:t>肌营养不良</w:t>
      </w:r>
      <w:r>
        <w:rPr>
          <w:rFonts w:ascii="微软雅黑" w:eastAsia="微软雅黑"/>
          <w:b/>
          <w:spacing w:val="-10"/>
          <w:sz w:val="21"/>
        </w:rPr>
        <w:t>症</w:t>
      </w:r>
      <w:r>
        <w:rPr>
          <w:rFonts w:ascii="微软雅黑" w:eastAsia="微软雅黑"/>
          <w:b/>
          <w:sz w:val="21"/>
        </w:rPr>
        <w:tab/>
      </w:r>
      <w:r>
        <w:rPr>
          <w:spacing w:val="-2"/>
          <w:sz w:val="21"/>
        </w:rPr>
        <w:t>肌</w:t>
      </w:r>
      <w:r>
        <w:rPr>
          <w:spacing w:val="-2"/>
          <w:sz w:val="21"/>
        </w:rPr>
        <w:t>营</w:t>
      </w:r>
      <w:r>
        <w:rPr>
          <w:spacing w:val="-2"/>
          <w:sz w:val="21"/>
        </w:rPr>
        <w:t>养</w:t>
      </w:r>
      <w:r>
        <w:rPr>
          <w:spacing w:val="-2"/>
          <w:sz w:val="21"/>
        </w:rPr>
        <w:t>不</w:t>
      </w:r>
      <w:r>
        <w:rPr>
          <w:spacing w:val="-2"/>
          <w:sz w:val="21"/>
        </w:rPr>
        <w:t>良</w:t>
      </w:r>
      <w:r>
        <w:rPr>
          <w:spacing w:val="-2"/>
          <w:sz w:val="21"/>
        </w:rPr>
        <w:t>症是一</w:t>
      </w:r>
      <w:r>
        <w:rPr>
          <w:spacing w:val="-2"/>
          <w:sz w:val="21"/>
        </w:rPr>
        <w:t>组</w:t>
      </w:r>
      <w:r>
        <w:rPr>
          <w:spacing w:val="-2"/>
          <w:sz w:val="21"/>
        </w:rPr>
        <w:t>遗</w:t>
      </w:r>
      <w:r>
        <w:rPr>
          <w:spacing w:val="-2"/>
          <w:sz w:val="21"/>
        </w:rPr>
        <w:t>传</w:t>
      </w:r>
      <w:r>
        <w:rPr>
          <w:spacing w:val="-2"/>
          <w:sz w:val="21"/>
        </w:rPr>
        <w:t>性</w:t>
      </w:r>
      <w:r>
        <w:rPr>
          <w:spacing w:val="-2"/>
          <w:sz w:val="21"/>
        </w:rPr>
        <w:t>肌</w:t>
      </w:r>
      <w:r>
        <w:rPr>
          <w:spacing w:val="-2"/>
          <w:sz w:val="21"/>
        </w:rPr>
        <w:t>肉</w:t>
      </w:r>
      <w:r>
        <w:rPr>
          <w:spacing w:val="-2"/>
          <w:sz w:val="21"/>
        </w:rPr>
        <w:t>变</w:t>
      </w:r>
      <w:r>
        <w:rPr>
          <w:spacing w:val="-2"/>
          <w:sz w:val="21"/>
        </w:rPr>
        <w:t>性</w:t>
      </w:r>
      <w:r>
        <w:rPr>
          <w:spacing w:val="-2"/>
          <w:sz w:val="21"/>
        </w:rPr>
        <w:t>性病变，</w:t>
      </w:r>
      <w:r>
        <w:rPr>
          <w:spacing w:val="-2"/>
          <w:sz w:val="21"/>
        </w:rPr>
        <w:t>临</w:t>
      </w:r>
      <w:r>
        <w:rPr>
          <w:spacing w:val="-2"/>
          <w:sz w:val="21"/>
        </w:rPr>
        <w:t>床</w:t>
      </w:r>
      <w:r>
        <w:rPr>
          <w:spacing w:val="-2"/>
          <w:sz w:val="21"/>
        </w:rPr>
        <w:t>特</w:t>
      </w:r>
      <w:r>
        <w:rPr>
          <w:spacing w:val="-2"/>
          <w:sz w:val="21"/>
        </w:rPr>
        <w:t>征</w:t>
      </w:r>
      <w:r>
        <w:rPr>
          <w:spacing w:val="-2"/>
          <w:sz w:val="21"/>
        </w:rPr>
        <w:t>为</w:t>
      </w:r>
      <w:r>
        <w:rPr>
          <w:spacing w:val="-2"/>
          <w:sz w:val="21"/>
        </w:rPr>
        <w:t>与</w:t>
      </w:r>
      <w:r>
        <w:rPr>
          <w:spacing w:val="-2"/>
          <w:sz w:val="21"/>
        </w:rPr>
        <w:t>神</w:t>
      </w:r>
      <w:r>
        <w:rPr>
          <w:spacing w:val="-2"/>
          <w:sz w:val="21"/>
        </w:rPr>
        <w:t>经</w:t>
      </w:r>
      <w:r>
        <w:rPr>
          <w:spacing w:val="-10"/>
          <w:sz w:val="21"/>
        </w:rPr>
        <w:t>系</w:t>
      </w:r>
    </w:p>
    <w:p>
      <w:pPr>
        <w:pStyle w:val="BodyText"/>
        <w:spacing w:line="246" w:lineRule="exact"/>
      </w:pPr>
      <w:r>
        <w:rPr>
          <w:spacing w:val="-3"/>
        </w:rPr>
        <w:t>统无关的肌肉无力和肌肉萎缩。须满足自主生活能力完全丧失，无</w:t>
      </w:r>
    </w:p>
    <w:p>
      <w:pPr>
        <w:pStyle w:val="BodyText"/>
        <w:spacing w:before="3"/>
      </w:pPr>
      <w:r>
        <w:rPr>
          <w:spacing w:val="-3"/>
        </w:rPr>
        <w:t>法独立完成六项基本日常生活活动中的三项或三项以上。</w:t>
      </w:r>
    </w:p>
    <w:p>
      <w:pPr>
        <w:pStyle w:val="BodyText"/>
        <w:spacing w:before="3"/>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多处臂丛神经根性</w:t>
      </w:r>
    </w:p>
    <w:p>
      <w:pPr>
        <w:spacing w:line="330" w:lineRule="exact" w:before="0"/>
        <w:ind w:left="1071" w:right="0" w:firstLine="0"/>
        <w:jc w:val="left"/>
        <w:rPr>
          <w:rFonts w:ascii="微软雅黑" w:eastAsia="微软雅黑"/>
          <w:b/>
          <w:sz w:val="21"/>
        </w:rPr>
      </w:pPr>
      <w:r>
        <w:rPr>
          <w:rFonts w:ascii="微软雅黑" w:eastAsia="微软雅黑"/>
          <w:b/>
          <w:spacing w:val="-5"/>
          <w:sz w:val="21"/>
        </w:rPr>
        <w:t>撕脱</w:t>
      </w:r>
    </w:p>
    <w:p>
      <w:pPr>
        <w:pStyle w:val="BodyText"/>
        <w:spacing w:line="242" w:lineRule="auto" w:before="100"/>
        <w:ind w:left="175" w:right="729"/>
        <w:jc w:val="both"/>
      </w:pPr>
      <w:r>
        <w:rPr/>
        <w:br w:type="column"/>
      </w:r>
      <w:r>
        <w:rPr>
          <w:spacing w:val="-2"/>
        </w:rPr>
        <w:t>由于疾病或意外导致至少两根臂丛神经根性撕脱，所造成的手臂感</w:t>
      </w:r>
      <w:r>
        <w:rPr>
          <w:spacing w:val="-2"/>
        </w:rPr>
        <w:t>觉功能与运动功能完全永久性丧失。该病须由医院专科医生明确诊</w:t>
      </w:r>
      <w:r>
        <w:rPr>
          <w:spacing w:val="-2"/>
        </w:rPr>
        <w:t>断，并且有电生理检查结果证实。</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BodyText"/>
        <w:spacing w:before="2"/>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27"/>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严重弥漫性系统性</w:t>
      </w:r>
    </w:p>
    <w:p>
      <w:pPr>
        <w:spacing w:line="330" w:lineRule="exact" w:before="0"/>
        <w:ind w:left="1071" w:right="0" w:firstLine="0"/>
        <w:jc w:val="left"/>
        <w:rPr>
          <w:rFonts w:ascii="微软雅黑" w:eastAsia="微软雅黑"/>
          <w:b/>
          <w:sz w:val="21"/>
        </w:rPr>
      </w:pPr>
      <w:r>
        <w:rPr>
          <w:rFonts w:ascii="微软雅黑" w:eastAsia="微软雅黑"/>
          <w:b/>
          <w:spacing w:val="-4"/>
          <w:sz w:val="21"/>
        </w:rPr>
        <w:t>硬皮病</w:t>
      </w:r>
    </w:p>
    <w:p>
      <w:pPr>
        <w:pStyle w:val="BodyText"/>
        <w:spacing w:line="242" w:lineRule="auto" w:before="100"/>
        <w:ind w:left="175" w:right="729"/>
        <w:jc w:val="both"/>
      </w:pPr>
      <w:r>
        <w:rPr/>
        <w:br w:type="column"/>
      </w:r>
      <w:r>
        <w:rPr>
          <w:spacing w:val="2"/>
          <w:w w:val="100"/>
        </w:rPr>
        <w:t>一种系统性胶原血管病引起进行性的皮肤</w:t>
      </w:r>
      <w:r>
        <w:rPr>
          <w:rFonts w:ascii="Times New Roman" w:eastAsia="Times New Roman"/>
          <w:spacing w:val="3"/>
          <w:w w:val="100"/>
        </w:rPr>
        <w:t>/</w:t>
      </w:r>
      <w:r>
        <w:rPr>
          <w:spacing w:val="2"/>
          <w:w w:val="100"/>
        </w:rPr>
        <w:t>血管和内脏器官的弥漫</w:t>
      </w:r>
      <w:r>
        <w:rPr>
          <w:spacing w:val="-3"/>
          <w:w w:val="100"/>
        </w:rPr>
        <w:t>性纤维化。诊断必须明确并由活检和血清学证据支持并且疾病已经影响到心脏、肺或肾脏等内脏器官并且达到下列标准之一：</w:t>
      </w:r>
    </w:p>
    <w:p>
      <w:pPr>
        <w:pStyle w:val="ListParagraph"/>
        <w:numPr>
          <w:ilvl w:val="0"/>
          <w:numId w:val="71"/>
        </w:numPr>
        <w:tabs>
          <w:tab w:pos="705" w:val="left" w:leader="none"/>
        </w:tabs>
        <w:spacing w:line="240" w:lineRule="auto" w:before="4" w:after="0"/>
        <w:ind w:left="704" w:right="0" w:hanging="530"/>
        <w:jc w:val="left"/>
        <w:rPr>
          <w:sz w:val="21"/>
        </w:rPr>
      </w:pPr>
      <w:r>
        <w:rPr>
          <w:spacing w:val="-3"/>
          <w:sz w:val="21"/>
        </w:rPr>
        <w:t>肺纤维化，已经出现肺动脉高压、肺心病；</w:t>
      </w:r>
    </w:p>
    <w:p>
      <w:pPr>
        <w:pStyle w:val="ListParagraph"/>
        <w:numPr>
          <w:ilvl w:val="0"/>
          <w:numId w:val="71"/>
        </w:numPr>
        <w:tabs>
          <w:tab w:pos="705" w:val="left" w:leader="none"/>
        </w:tabs>
        <w:spacing w:line="244" w:lineRule="auto" w:before="2" w:after="0"/>
        <w:ind w:left="701" w:right="842" w:hanging="526"/>
        <w:jc w:val="left"/>
        <w:rPr>
          <w:sz w:val="21"/>
        </w:rPr>
      </w:pPr>
      <w:r>
        <w:rPr>
          <w:spacing w:val="-2"/>
          <w:sz w:val="21"/>
        </w:rPr>
        <w:t>心脏损害，心脏功能衰竭程度达到美国纽约心脏病学会心功</w:t>
      </w:r>
      <w:r>
        <w:rPr>
          <w:spacing w:val="-2"/>
          <w:sz w:val="21"/>
        </w:rPr>
        <w:t>能状态分级</w:t>
      </w:r>
      <w:r>
        <w:rPr>
          <w:rFonts w:ascii="Times New Roman" w:eastAsia="Times New Roman"/>
          <w:spacing w:val="-2"/>
          <w:sz w:val="21"/>
        </w:rPr>
        <w:t>IV</w:t>
      </w:r>
      <w:r>
        <w:rPr>
          <w:spacing w:val="-2"/>
          <w:sz w:val="21"/>
        </w:rPr>
        <w:t>级；</w:t>
      </w:r>
    </w:p>
    <w:p>
      <w:pPr>
        <w:pStyle w:val="ListParagraph"/>
        <w:numPr>
          <w:ilvl w:val="0"/>
          <w:numId w:val="71"/>
        </w:numPr>
        <w:tabs>
          <w:tab w:pos="705" w:val="left" w:leader="none"/>
        </w:tabs>
        <w:spacing w:line="194" w:lineRule="auto" w:before="35" w:after="0"/>
        <w:ind w:left="175" w:right="3153" w:firstLine="0"/>
        <w:jc w:val="left"/>
        <w:rPr>
          <w:rFonts w:ascii="微软雅黑" w:eastAsia="微软雅黑"/>
          <w:b/>
          <w:sz w:val="21"/>
        </w:rPr>
      </w:pPr>
      <w:r>
        <w:rPr>
          <w:spacing w:val="-2"/>
          <w:sz w:val="21"/>
        </w:rPr>
        <w:t>肾脏损害，已经出现肾功能衰竭。</w:t>
      </w:r>
      <w:r>
        <w:rPr>
          <w:rFonts w:ascii="微软雅黑" w:eastAsia="微软雅黑"/>
          <w:b/>
          <w:spacing w:val="-2"/>
          <w:sz w:val="21"/>
        </w:rPr>
        <w:t>下列疾病除外：</w:t>
      </w:r>
    </w:p>
    <w:p>
      <w:pPr>
        <w:pStyle w:val="ListParagraph"/>
        <w:numPr>
          <w:ilvl w:val="0"/>
          <w:numId w:val="72"/>
        </w:numPr>
        <w:tabs>
          <w:tab w:pos="705" w:val="left" w:leader="none"/>
        </w:tabs>
        <w:spacing w:line="237" w:lineRule="exact" w:before="0" w:after="0"/>
        <w:ind w:left="704" w:right="0" w:hanging="530"/>
        <w:jc w:val="left"/>
        <w:rPr>
          <w:rFonts w:ascii="微软雅黑" w:eastAsia="微软雅黑"/>
          <w:b/>
          <w:sz w:val="21"/>
        </w:rPr>
      </w:pPr>
      <w:r>
        <w:rPr>
          <w:rFonts w:ascii="微软雅黑" w:eastAsia="微软雅黑"/>
          <w:b/>
          <w:spacing w:val="-2"/>
          <w:sz w:val="21"/>
        </w:rPr>
        <w:t>局限硬皮病；</w:t>
      </w:r>
    </w:p>
    <w:p>
      <w:pPr>
        <w:pStyle w:val="ListParagraph"/>
        <w:numPr>
          <w:ilvl w:val="0"/>
          <w:numId w:val="72"/>
        </w:numPr>
        <w:tabs>
          <w:tab w:pos="705" w:val="left" w:leader="none"/>
        </w:tabs>
        <w:spacing w:line="272" w:lineRule="exact" w:before="0" w:after="0"/>
        <w:ind w:left="704" w:right="0" w:hanging="530"/>
        <w:jc w:val="left"/>
        <w:rPr>
          <w:rFonts w:ascii="微软雅黑" w:eastAsia="微软雅黑"/>
          <w:b/>
          <w:sz w:val="21"/>
        </w:rPr>
      </w:pPr>
      <w:r>
        <w:rPr>
          <w:rFonts w:ascii="微软雅黑" w:eastAsia="微软雅黑"/>
          <w:b/>
          <w:spacing w:val="-4"/>
          <w:sz w:val="21"/>
        </w:rPr>
        <w:t>嗜酸细胞筋膜炎；</w:t>
      </w:r>
    </w:p>
    <w:p>
      <w:pPr>
        <w:pStyle w:val="ListParagraph"/>
        <w:numPr>
          <w:ilvl w:val="0"/>
          <w:numId w:val="72"/>
        </w:numPr>
        <w:tabs>
          <w:tab w:pos="705" w:val="left" w:leader="none"/>
        </w:tabs>
        <w:spacing w:line="329" w:lineRule="exact" w:before="0" w:after="0"/>
        <w:ind w:left="704" w:right="0" w:hanging="530"/>
        <w:jc w:val="left"/>
        <w:rPr>
          <w:rFonts w:ascii="微软雅黑" w:eastAsia="微软雅黑"/>
          <w:b/>
          <w:sz w:val="21"/>
        </w:rPr>
      </w:pPr>
      <w:r>
        <w:rPr>
          <w:rFonts w:ascii="Times New Roman" w:eastAsia="Times New Roman"/>
          <w:b/>
          <w:spacing w:val="-2"/>
          <w:sz w:val="21"/>
        </w:rPr>
        <w:t>CREST</w:t>
      </w:r>
      <w:r>
        <w:rPr>
          <w:rFonts w:ascii="微软雅黑" w:eastAsia="微软雅黑"/>
          <w:b/>
          <w:spacing w:val="-4"/>
          <w:sz w:val="21"/>
        </w:rPr>
        <w:t>综合征。</w:t>
      </w:r>
    </w:p>
    <w:p>
      <w:pPr>
        <w:spacing w:after="0" w:line="329" w:lineRule="exact"/>
        <w:jc w:val="left"/>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ListParagraph"/>
        <w:numPr>
          <w:ilvl w:val="1"/>
          <w:numId w:val="27"/>
        </w:numPr>
        <w:tabs>
          <w:tab w:pos="849" w:val="left" w:leader="none"/>
          <w:tab w:pos="850" w:val="left" w:leader="none"/>
          <w:tab w:pos="2930" w:val="left" w:leader="none"/>
        </w:tabs>
        <w:spacing w:line="364" w:lineRule="exact" w:before="127" w:after="0"/>
        <w:ind w:left="849" w:right="729" w:hanging="850"/>
        <w:jc w:val="right"/>
        <w:rPr>
          <w:sz w:val="21"/>
        </w:rPr>
      </w:pPr>
      <w:r>
        <w:rPr>
          <w:rFonts w:ascii="微软雅黑" w:eastAsia="微软雅黑"/>
          <w:b/>
          <w:sz w:val="21"/>
        </w:rPr>
        <w:t>严重冠心</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经</w:t>
      </w:r>
      <w:r>
        <w:rPr>
          <w:spacing w:val="-2"/>
          <w:sz w:val="21"/>
        </w:rPr>
        <w:t>根</w:t>
      </w:r>
      <w:r>
        <w:rPr>
          <w:spacing w:val="-2"/>
          <w:sz w:val="21"/>
        </w:rPr>
        <w:t>据</w:t>
      </w:r>
      <w:r>
        <w:rPr>
          <w:spacing w:val="-2"/>
          <w:sz w:val="21"/>
        </w:rPr>
        <w:t>冠</w:t>
      </w:r>
      <w:r>
        <w:rPr>
          <w:spacing w:val="-2"/>
          <w:sz w:val="21"/>
        </w:rPr>
        <w:t>状动脉</w:t>
      </w:r>
      <w:r>
        <w:rPr>
          <w:spacing w:val="-2"/>
          <w:sz w:val="21"/>
        </w:rPr>
        <w:t>造</w:t>
      </w:r>
      <w:r>
        <w:rPr>
          <w:spacing w:val="-2"/>
          <w:sz w:val="21"/>
        </w:rPr>
        <w:t>影</w:t>
      </w:r>
      <w:r>
        <w:rPr>
          <w:spacing w:val="-2"/>
          <w:sz w:val="21"/>
        </w:rPr>
        <w:t>检</w:t>
      </w:r>
      <w:r>
        <w:rPr>
          <w:spacing w:val="-2"/>
          <w:sz w:val="21"/>
        </w:rPr>
        <w:t>查</w:t>
      </w:r>
      <w:r>
        <w:rPr>
          <w:spacing w:val="-2"/>
          <w:sz w:val="21"/>
        </w:rPr>
        <w:t>结</w:t>
      </w:r>
      <w:r>
        <w:rPr>
          <w:spacing w:val="-2"/>
          <w:sz w:val="21"/>
        </w:rPr>
        <w:t>果</w:t>
      </w:r>
      <w:r>
        <w:rPr>
          <w:spacing w:val="-2"/>
          <w:sz w:val="21"/>
        </w:rPr>
        <w:t>明</w:t>
      </w:r>
      <w:r>
        <w:rPr>
          <w:spacing w:val="-2"/>
          <w:sz w:val="21"/>
        </w:rPr>
        <w:t>确</w:t>
      </w:r>
      <w:r>
        <w:rPr>
          <w:spacing w:val="-2"/>
          <w:sz w:val="21"/>
        </w:rPr>
        <w:t>诊断为</w:t>
      </w:r>
      <w:r>
        <w:rPr>
          <w:spacing w:val="-2"/>
          <w:sz w:val="21"/>
        </w:rPr>
        <w:t>三</w:t>
      </w:r>
      <w:r>
        <w:rPr>
          <w:spacing w:val="-2"/>
          <w:sz w:val="21"/>
        </w:rPr>
        <w:t>支</w:t>
      </w:r>
      <w:r>
        <w:rPr>
          <w:spacing w:val="-2"/>
          <w:sz w:val="21"/>
        </w:rPr>
        <w:t>主</w:t>
      </w:r>
      <w:r>
        <w:rPr>
          <w:spacing w:val="-2"/>
          <w:sz w:val="21"/>
        </w:rPr>
        <w:t>要</w:t>
      </w:r>
      <w:r>
        <w:rPr>
          <w:spacing w:val="-2"/>
          <w:sz w:val="21"/>
        </w:rPr>
        <w:t>血</w:t>
      </w:r>
      <w:r>
        <w:rPr>
          <w:spacing w:val="-2"/>
          <w:sz w:val="21"/>
        </w:rPr>
        <w:t>管</w:t>
      </w:r>
      <w:r>
        <w:rPr>
          <w:spacing w:val="-2"/>
          <w:sz w:val="21"/>
        </w:rPr>
        <w:t>严</w:t>
      </w:r>
      <w:r>
        <w:rPr>
          <w:spacing w:val="-2"/>
          <w:sz w:val="21"/>
        </w:rPr>
        <w:t>重</w:t>
      </w:r>
      <w:r>
        <w:rPr>
          <w:spacing w:val="-2"/>
          <w:sz w:val="21"/>
        </w:rPr>
        <w:t>狭</w:t>
      </w:r>
      <w:r>
        <w:rPr>
          <w:spacing w:val="-10"/>
          <w:sz w:val="21"/>
        </w:rPr>
        <w:t>窄</w:t>
      </w:r>
    </w:p>
    <w:p>
      <w:pPr>
        <w:pStyle w:val="BodyText"/>
        <w:spacing w:line="246" w:lineRule="exact"/>
        <w:ind w:left="0" w:right="732"/>
        <w:jc w:val="right"/>
      </w:pPr>
      <w:r>
        <w:rPr/>
        <w:t>性病变（至少一支血管管腔直径减少</w:t>
      </w:r>
      <w:r>
        <w:rPr>
          <w:rFonts w:ascii="Times New Roman" w:eastAsia="Times New Roman"/>
        </w:rPr>
        <w:t>75%</w:t>
      </w:r>
      <w:r>
        <w:rPr>
          <w:spacing w:val="-1"/>
        </w:rPr>
        <w:t>以上和其他两支血管管腔</w:t>
      </w:r>
    </w:p>
    <w:p>
      <w:pPr>
        <w:spacing w:line="180" w:lineRule="auto" w:before="55"/>
        <w:ind w:left="3153" w:right="730" w:firstLine="0"/>
        <w:jc w:val="both"/>
        <w:rPr>
          <w:sz w:val="21"/>
        </w:rPr>
      </w:pPr>
      <w:r>
        <w:rPr>
          <w:spacing w:val="-2"/>
          <w:sz w:val="21"/>
        </w:rPr>
        <w:t>直径减少</w:t>
      </w:r>
      <w:r>
        <w:rPr>
          <w:rFonts w:ascii="Times New Roman" w:eastAsia="Times New Roman"/>
          <w:spacing w:val="-2"/>
          <w:sz w:val="21"/>
        </w:rPr>
        <w:t>60%</w:t>
      </w:r>
      <w:r>
        <w:rPr>
          <w:spacing w:val="-2"/>
          <w:sz w:val="21"/>
        </w:rPr>
        <w:t>以上</w:t>
      </w:r>
      <w:r>
        <w:rPr>
          <w:spacing w:val="-108"/>
          <w:sz w:val="21"/>
        </w:rPr>
        <w:t>）</w:t>
      </w:r>
      <w:r>
        <w:rPr>
          <w:spacing w:val="-2"/>
          <w:sz w:val="21"/>
        </w:rPr>
        <w:t>。冠状动脉的主要血管指左冠状动脉主干、前降</w:t>
      </w:r>
      <w:r>
        <w:rPr>
          <w:spacing w:val="-2"/>
          <w:sz w:val="21"/>
        </w:rPr>
        <w:t>支、左旋支及右冠状动脉。</w:t>
      </w:r>
      <w:r>
        <w:rPr>
          <w:rFonts w:ascii="微软雅黑" w:eastAsia="微软雅黑"/>
          <w:b/>
          <w:spacing w:val="-2"/>
          <w:sz w:val="21"/>
        </w:rPr>
        <w:t>前降支、左旋支及右冠状动脉的分支血</w:t>
      </w:r>
      <w:r>
        <w:rPr>
          <w:rFonts w:ascii="微软雅黑" w:eastAsia="微软雅黑"/>
          <w:b/>
          <w:spacing w:val="-2"/>
          <w:sz w:val="21"/>
        </w:rPr>
        <w:t>管的狭窄不作为本保障的衡量指标</w:t>
      </w:r>
      <w:r>
        <w:rPr>
          <w:spacing w:val="-2"/>
          <w:sz w:val="21"/>
        </w:rPr>
        <w:t>。</w:t>
      </w:r>
    </w:p>
    <w:p>
      <w:pPr>
        <w:spacing w:after="0" w:line="180" w:lineRule="auto"/>
        <w:jc w:val="both"/>
        <w:rPr>
          <w:sz w:val="21"/>
        </w:rPr>
        <w:sectPr>
          <w:type w:val="continuous"/>
          <w:pgSz w:w="11910" w:h="16840"/>
          <w:pgMar w:header="0" w:footer="878" w:top="160" w:bottom="280" w:left="1480" w:right="440"/>
        </w:sect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2"/>
        <w:gridCol w:w="2160"/>
        <w:gridCol w:w="6263"/>
      </w:tblGrid>
      <w:tr>
        <w:trPr>
          <w:trHeight w:val="270" w:hRule="atLeast"/>
        </w:trPr>
        <w:tc>
          <w:tcPr>
            <w:tcW w:w="712" w:type="dxa"/>
          </w:tcPr>
          <w:p>
            <w:pPr>
              <w:pStyle w:val="TableParagraph"/>
              <w:spacing w:line="229" w:lineRule="exact"/>
              <w:ind w:left="50"/>
              <w:rPr>
                <w:rFonts w:ascii="Times New Roman"/>
                <w:sz w:val="21"/>
              </w:rPr>
            </w:pPr>
            <w:r>
              <w:rPr>
                <w:rFonts w:ascii="Times New Roman"/>
                <w:spacing w:val="-2"/>
                <w:sz w:val="21"/>
              </w:rPr>
              <w:t>12.40</w:t>
            </w:r>
          </w:p>
        </w:tc>
        <w:tc>
          <w:tcPr>
            <w:tcW w:w="2160" w:type="dxa"/>
          </w:tcPr>
          <w:p>
            <w:pPr>
              <w:pStyle w:val="TableParagraph"/>
              <w:spacing w:line="251" w:lineRule="exact"/>
              <w:ind w:left="187"/>
              <w:rPr>
                <w:rFonts w:ascii="微软雅黑" w:eastAsia="微软雅黑"/>
                <w:b/>
                <w:sz w:val="21"/>
              </w:rPr>
            </w:pPr>
            <w:r>
              <w:rPr>
                <w:rFonts w:ascii="微软雅黑" w:eastAsia="微软雅黑"/>
                <w:b/>
                <w:spacing w:val="18"/>
                <w:sz w:val="21"/>
              </w:rPr>
              <w:t>严重慢性复发性胰</w:t>
            </w:r>
          </w:p>
        </w:tc>
        <w:tc>
          <w:tcPr>
            <w:tcW w:w="6263" w:type="dxa"/>
          </w:tcPr>
          <w:p>
            <w:pPr>
              <w:pStyle w:val="TableParagraph"/>
              <w:spacing w:line="251" w:lineRule="exact"/>
              <w:ind w:left="108"/>
              <w:rPr>
                <w:sz w:val="21"/>
              </w:rPr>
            </w:pPr>
            <w:r>
              <w:rPr>
                <w:spacing w:val="-3"/>
                <w:sz w:val="21"/>
              </w:rPr>
              <w:t>指慢性反复发作的胰腺炎症导致胰腺的广泛纤维化、坏死、弥漫性</w:t>
            </w:r>
          </w:p>
        </w:tc>
      </w:tr>
      <w:tr>
        <w:trPr>
          <w:trHeight w:val="272" w:hRule="atLeast"/>
        </w:trPr>
        <w:tc>
          <w:tcPr>
            <w:tcW w:w="712" w:type="dxa"/>
          </w:tcPr>
          <w:p>
            <w:pPr>
              <w:pStyle w:val="TableParagraph"/>
              <w:rPr>
                <w:rFonts w:ascii="Times New Roman"/>
                <w:sz w:val="20"/>
              </w:rPr>
            </w:pPr>
          </w:p>
        </w:tc>
        <w:tc>
          <w:tcPr>
            <w:tcW w:w="2160" w:type="dxa"/>
          </w:tcPr>
          <w:p>
            <w:pPr>
              <w:pStyle w:val="TableParagraph"/>
              <w:spacing w:line="253" w:lineRule="exact"/>
              <w:ind w:left="187"/>
              <w:rPr>
                <w:rFonts w:ascii="微软雅黑" w:eastAsia="微软雅黑"/>
                <w:b/>
                <w:sz w:val="21"/>
              </w:rPr>
            </w:pPr>
            <w:r>
              <w:rPr>
                <w:rFonts w:ascii="微软雅黑" w:eastAsia="微软雅黑"/>
                <w:b/>
                <w:spacing w:val="-5"/>
                <w:sz w:val="21"/>
              </w:rPr>
              <w:t>腺炎</w:t>
            </w:r>
          </w:p>
        </w:tc>
        <w:tc>
          <w:tcPr>
            <w:tcW w:w="6263" w:type="dxa"/>
          </w:tcPr>
          <w:p>
            <w:pPr>
              <w:pStyle w:val="TableParagraph"/>
              <w:spacing w:line="253" w:lineRule="exact"/>
              <w:ind w:left="108"/>
              <w:rPr>
                <w:sz w:val="21"/>
              </w:rPr>
            </w:pPr>
            <w:r>
              <w:rPr>
                <w:spacing w:val="-3"/>
                <w:sz w:val="21"/>
              </w:rPr>
              <w:t>钙化及假性囊肿形成，造成胰腺功能障碍出现严重糖尿病和营养不</w:t>
            </w:r>
          </w:p>
        </w:tc>
      </w:tr>
      <w:tr>
        <w:trPr>
          <w:trHeight w:val="269"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63" w:type="dxa"/>
          </w:tcPr>
          <w:p>
            <w:pPr>
              <w:pStyle w:val="TableParagraph"/>
              <w:spacing w:line="249" w:lineRule="exact"/>
              <w:ind w:left="108"/>
              <w:rPr>
                <w:sz w:val="21"/>
              </w:rPr>
            </w:pPr>
            <w:r>
              <w:rPr>
                <w:spacing w:val="-3"/>
                <w:sz w:val="21"/>
              </w:rPr>
              <w:t>良。必须满足以下所有条件：</w:t>
            </w:r>
          </w:p>
        </w:tc>
      </w:tr>
      <w:tr>
        <w:trPr>
          <w:trHeight w:val="516"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before="2"/>
              <w:ind w:left="108"/>
              <w:rPr>
                <w:sz w:val="21"/>
              </w:rPr>
            </w:pPr>
            <w:r>
              <w:rPr>
                <w:spacing w:val="-4"/>
                <w:sz w:val="21"/>
              </w:rPr>
              <w:t>（</w:t>
            </w:r>
            <w:r>
              <w:rPr>
                <w:rFonts w:ascii="Times New Roman" w:eastAsia="Times New Roman"/>
                <w:spacing w:val="-4"/>
                <w:sz w:val="21"/>
              </w:rPr>
              <w:t>1</w:t>
            </w:r>
            <w:r>
              <w:rPr>
                <w:spacing w:val="-4"/>
                <w:sz w:val="21"/>
              </w:rPr>
              <w:t>）</w:t>
            </w:r>
            <w:r>
              <w:rPr>
                <w:rFonts w:ascii="Times New Roman" w:eastAsia="Times New Roman"/>
                <w:spacing w:val="-4"/>
                <w:sz w:val="21"/>
              </w:rPr>
              <w:t>CT</w:t>
            </w:r>
            <w:r>
              <w:rPr>
                <w:spacing w:val="-4"/>
                <w:sz w:val="21"/>
              </w:rPr>
              <w:t>显示胰腺广泛钙化或逆行胰胆管造影（</w:t>
            </w:r>
            <w:r>
              <w:rPr>
                <w:rFonts w:ascii="Times New Roman" w:eastAsia="Times New Roman"/>
                <w:spacing w:val="-4"/>
                <w:sz w:val="21"/>
              </w:rPr>
              <w:t>ERCP</w:t>
            </w:r>
            <w:r>
              <w:rPr>
                <w:spacing w:val="-4"/>
                <w:sz w:val="21"/>
              </w:rPr>
              <w:t>）</w:t>
            </w:r>
            <w:r>
              <w:rPr>
                <w:spacing w:val="-6"/>
                <w:sz w:val="21"/>
              </w:rPr>
              <w:t>显示胰管扭</w:t>
            </w:r>
          </w:p>
          <w:p>
            <w:pPr>
              <w:pStyle w:val="TableParagraph"/>
              <w:spacing w:line="224" w:lineRule="exact" w:before="2"/>
              <w:ind w:left="634"/>
              <w:rPr>
                <w:sz w:val="21"/>
              </w:rPr>
            </w:pPr>
            <w:r>
              <w:rPr>
                <w:spacing w:val="-4"/>
                <w:sz w:val="21"/>
              </w:rPr>
              <w:t>曲、扩张和狭窄；</w:t>
            </w:r>
          </w:p>
        </w:tc>
      </w:tr>
      <w:tr>
        <w:trPr>
          <w:trHeight w:val="681"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194" w:lineRule="auto" w:before="69"/>
              <w:ind w:left="108" w:right="1320"/>
              <w:rPr>
                <w:rFonts w:ascii="微软雅黑" w:eastAsia="微软雅黑"/>
                <w:b/>
                <w:sz w:val="21"/>
              </w:rPr>
            </w:pPr>
            <w:r>
              <w:rPr>
                <w:spacing w:val="-2"/>
                <w:sz w:val="21"/>
              </w:rPr>
              <w:t>（</w:t>
            </w:r>
            <w:r>
              <w:rPr>
                <w:rFonts w:ascii="Times New Roman" w:eastAsia="Times New Roman"/>
                <w:spacing w:val="-2"/>
                <w:sz w:val="21"/>
              </w:rPr>
              <w:t>2</w:t>
            </w:r>
            <w:r>
              <w:rPr>
                <w:spacing w:val="-2"/>
                <w:sz w:val="21"/>
              </w:rPr>
              <w:t>）接受胰岛素替代治疗和酶替代治疗</w:t>
            </w:r>
            <w:r>
              <w:rPr>
                <w:rFonts w:ascii="Times New Roman" w:eastAsia="Times New Roman"/>
                <w:spacing w:val="-2"/>
                <w:sz w:val="21"/>
              </w:rPr>
              <w:t>180</w:t>
            </w:r>
            <w:r>
              <w:rPr>
                <w:spacing w:val="-2"/>
                <w:sz w:val="21"/>
              </w:rPr>
              <w:t>天以上。</w:t>
            </w:r>
            <w:r>
              <w:rPr>
                <w:rFonts w:ascii="微软雅黑" w:eastAsia="微软雅黑"/>
                <w:b/>
                <w:spacing w:val="-2"/>
                <w:sz w:val="21"/>
              </w:rPr>
              <w:t>酒精导致的慢性复发性胰腺炎不在本保障范围内。</w:t>
            </w:r>
          </w:p>
        </w:tc>
      </w:tr>
      <w:tr>
        <w:trPr>
          <w:trHeight w:val="415" w:hRule="atLeast"/>
        </w:trPr>
        <w:tc>
          <w:tcPr>
            <w:tcW w:w="712" w:type="dxa"/>
          </w:tcPr>
          <w:p>
            <w:pPr>
              <w:pStyle w:val="TableParagraph"/>
              <w:spacing w:before="125"/>
              <w:ind w:left="50"/>
              <w:rPr>
                <w:rFonts w:ascii="Times New Roman"/>
                <w:sz w:val="21"/>
              </w:rPr>
            </w:pPr>
            <w:r>
              <w:rPr>
                <w:rFonts w:ascii="Times New Roman"/>
                <w:spacing w:val="-2"/>
                <w:sz w:val="21"/>
              </w:rPr>
              <w:t>12.41</w:t>
            </w:r>
          </w:p>
        </w:tc>
        <w:tc>
          <w:tcPr>
            <w:tcW w:w="2160" w:type="dxa"/>
          </w:tcPr>
          <w:p>
            <w:pPr>
              <w:pStyle w:val="TableParagraph"/>
              <w:spacing w:line="330" w:lineRule="exact" w:before="65"/>
              <w:ind w:left="187"/>
              <w:rPr>
                <w:rFonts w:ascii="微软雅黑" w:eastAsia="微软雅黑"/>
                <w:b/>
                <w:sz w:val="21"/>
              </w:rPr>
            </w:pPr>
            <w:r>
              <w:rPr>
                <w:rFonts w:ascii="微软雅黑" w:eastAsia="微软雅黑"/>
                <w:b/>
                <w:spacing w:val="-2"/>
                <w:sz w:val="21"/>
              </w:rPr>
              <w:t>植物人状态</w:t>
            </w:r>
          </w:p>
        </w:tc>
        <w:tc>
          <w:tcPr>
            <w:tcW w:w="6263" w:type="dxa"/>
          </w:tcPr>
          <w:p>
            <w:pPr>
              <w:pStyle w:val="TableParagraph"/>
              <w:spacing w:line="263" w:lineRule="exact" w:before="132"/>
              <w:ind w:left="108"/>
              <w:rPr>
                <w:sz w:val="21"/>
              </w:rPr>
            </w:pPr>
            <w:r>
              <w:rPr>
                <w:sz w:val="21"/>
              </w:rPr>
              <w:t>植物人状态系指由于严重颅脑外伤造成大脑和</w:t>
            </w:r>
            <w:r>
              <w:rPr>
                <w:rFonts w:ascii="Times New Roman" w:eastAsia="Times New Roman"/>
                <w:sz w:val="21"/>
              </w:rPr>
              <w:t>/</w:t>
            </w:r>
            <w:r>
              <w:rPr>
                <w:spacing w:val="-2"/>
                <w:sz w:val="21"/>
              </w:rPr>
              <w:t>或脑干严重损害导</w:t>
            </w:r>
          </w:p>
        </w:tc>
      </w:tr>
      <w:tr>
        <w:trPr>
          <w:trHeight w:val="264"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63" w:type="dxa"/>
          </w:tcPr>
          <w:p>
            <w:pPr>
              <w:pStyle w:val="TableParagraph"/>
              <w:spacing w:line="244" w:lineRule="exact"/>
              <w:ind w:left="108"/>
              <w:rPr>
                <w:sz w:val="21"/>
              </w:rPr>
            </w:pPr>
            <w:r>
              <w:rPr>
                <w:spacing w:val="-1"/>
                <w:sz w:val="21"/>
              </w:rPr>
              <w:t>致完全永久性的对自身和环境的意识丧失和中枢神经系统功能丧</w:t>
            </w:r>
          </w:p>
        </w:tc>
      </w:tr>
      <w:tr>
        <w:trPr>
          <w:trHeight w:val="269"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63" w:type="dxa"/>
          </w:tcPr>
          <w:p>
            <w:pPr>
              <w:pStyle w:val="TableParagraph"/>
              <w:spacing w:line="249" w:lineRule="exact"/>
              <w:ind w:left="108"/>
              <w:rPr>
                <w:sz w:val="21"/>
              </w:rPr>
            </w:pPr>
            <w:r>
              <w:rPr>
                <w:spacing w:val="-3"/>
                <w:sz w:val="21"/>
              </w:rPr>
              <w:t>失，仅残存植物神经功能的疾病状态。诊断必须明确并且具有严重</w:t>
            </w:r>
          </w:p>
        </w:tc>
      </w:tr>
      <w:tr>
        <w:trPr>
          <w:trHeight w:val="653"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168" w:lineRule="auto" w:before="18"/>
              <w:ind w:left="108" w:right="50"/>
              <w:rPr>
                <w:rFonts w:ascii="微软雅黑" w:eastAsia="微软雅黑"/>
                <w:b/>
                <w:sz w:val="21"/>
              </w:rPr>
            </w:pPr>
            <w:r>
              <w:rPr>
                <w:spacing w:val="-2"/>
                <w:sz w:val="21"/>
              </w:rPr>
              <w:t>颅脑外伤和脑损害的证据。</w:t>
            </w:r>
            <w:r>
              <w:rPr>
                <w:rFonts w:ascii="微软雅黑" w:eastAsia="微软雅黑"/>
                <w:b/>
                <w:spacing w:val="-2"/>
                <w:sz w:val="21"/>
              </w:rPr>
              <w:t>植物人状态必须持续</w:t>
            </w:r>
            <w:r>
              <w:rPr>
                <w:rFonts w:ascii="Times New Roman" w:eastAsia="Times New Roman"/>
                <w:b/>
                <w:spacing w:val="-2"/>
                <w:sz w:val="21"/>
              </w:rPr>
              <w:t>30</w:t>
            </w:r>
            <w:r>
              <w:rPr>
                <w:rFonts w:ascii="微软雅黑" w:eastAsia="微软雅黑"/>
                <w:b/>
                <w:spacing w:val="-2"/>
                <w:sz w:val="21"/>
              </w:rPr>
              <w:t>天以上方可申请</w:t>
            </w:r>
            <w:r>
              <w:rPr>
                <w:rFonts w:ascii="微软雅黑" w:eastAsia="微软雅黑"/>
                <w:b/>
                <w:spacing w:val="-4"/>
                <w:sz w:val="21"/>
              </w:rPr>
              <w:t>理赔。</w:t>
            </w:r>
          </w:p>
        </w:tc>
      </w:tr>
      <w:tr>
        <w:trPr>
          <w:trHeight w:val="407" w:hRule="atLeast"/>
        </w:trPr>
        <w:tc>
          <w:tcPr>
            <w:tcW w:w="712" w:type="dxa"/>
          </w:tcPr>
          <w:p>
            <w:pPr>
              <w:pStyle w:val="TableParagraph"/>
              <w:spacing w:before="125"/>
              <w:ind w:left="50"/>
              <w:rPr>
                <w:rFonts w:ascii="Times New Roman"/>
                <w:sz w:val="21"/>
              </w:rPr>
            </w:pPr>
            <w:r>
              <w:rPr>
                <w:rFonts w:ascii="Times New Roman"/>
                <w:spacing w:val="-2"/>
                <w:sz w:val="21"/>
              </w:rPr>
              <w:t>12.42</w:t>
            </w:r>
          </w:p>
        </w:tc>
        <w:tc>
          <w:tcPr>
            <w:tcW w:w="2160" w:type="dxa"/>
          </w:tcPr>
          <w:p>
            <w:pPr>
              <w:pStyle w:val="TableParagraph"/>
              <w:spacing w:line="322" w:lineRule="exact" w:before="65"/>
              <w:ind w:left="187"/>
              <w:rPr>
                <w:rFonts w:ascii="微软雅黑" w:eastAsia="微软雅黑"/>
                <w:b/>
                <w:sz w:val="21"/>
              </w:rPr>
            </w:pPr>
            <w:r>
              <w:rPr>
                <w:rFonts w:ascii="微软雅黑" w:eastAsia="微软雅黑"/>
                <w:b/>
                <w:spacing w:val="18"/>
                <w:sz w:val="21"/>
              </w:rPr>
              <w:t>重症急性坏死性筋</w:t>
            </w:r>
          </w:p>
        </w:tc>
        <w:tc>
          <w:tcPr>
            <w:tcW w:w="6263" w:type="dxa"/>
          </w:tcPr>
          <w:p>
            <w:pPr>
              <w:pStyle w:val="TableParagraph"/>
              <w:spacing w:line="255" w:lineRule="exact" w:before="132"/>
              <w:ind w:left="108"/>
              <w:rPr>
                <w:sz w:val="21"/>
              </w:rPr>
            </w:pPr>
            <w:r>
              <w:rPr>
                <w:spacing w:val="-3"/>
                <w:sz w:val="21"/>
              </w:rPr>
              <w:t>是一种由细菌侵入皮下组织和筋膜引起的急性坏死性软组织感染，</w:t>
            </w:r>
          </w:p>
        </w:tc>
      </w:tr>
      <w:tr>
        <w:trPr>
          <w:trHeight w:val="272" w:hRule="atLeast"/>
        </w:trPr>
        <w:tc>
          <w:tcPr>
            <w:tcW w:w="712" w:type="dxa"/>
          </w:tcPr>
          <w:p>
            <w:pPr>
              <w:pStyle w:val="TableParagraph"/>
              <w:rPr>
                <w:rFonts w:ascii="Times New Roman"/>
                <w:sz w:val="20"/>
              </w:rPr>
            </w:pPr>
          </w:p>
        </w:tc>
        <w:tc>
          <w:tcPr>
            <w:tcW w:w="2160" w:type="dxa"/>
          </w:tcPr>
          <w:p>
            <w:pPr>
              <w:pStyle w:val="TableParagraph"/>
              <w:spacing w:line="253" w:lineRule="exact"/>
              <w:ind w:left="187"/>
              <w:rPr>
                <w:rFonts w:ascii="微软雅黑" w:eastAsia="微软雅黑"/>
                <w:b/>
                <w:sz w:val="21"/>
              </w:rPr>
            </w:pPr>
            <w:r>
              <w:rPr>
                <w:rFonts w:ascii="微软雅黑" w:eastAsia="微软雅黑"/>
                <w:b/>
                <w:spacing w:val="-5"/>
                <w:sz w:val="21"/>
              </w:rPr>
              <w:t>膜炎</w:t>
            </w:r>
          </w:p>
        </w:tc>
        <w:tc>
          <w:tcPr>
            <w:tcW w:w="6263" w:type="dxa"/>
          </w:tcPr>
          <w:p>
            <w:pPr>
              <w:pStyle w:val="TableParagraph"/>
              <w:spacing w:line="253" w:lineRule="exact"/>
              <w:ind w:left="108"/>
              <w:rPr>
                <w:sz w:val="21"/>
              </w:rPr>
            </w:pPr>
            <w:r>
              <w:rPr>
                <w:spacing w:val="-3"/>
                <w:sz w:val="21"/>
              </w:rPr>
              <w:t>可伴有毒血症、败血症、中毒性休克、弥漫性血管内凝血及多器官</w:t>
            </w:r>
          </w:p>
        </w:tc>
      </w:tr>
      <w:tr>
        <w:trPr>
          <w:trHeight w:val="269"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63" w:type="dxa"/>
          </w:tcPr>
          <w:p>
            <w:pPr>
              <w:pStyle w:val="TableParagraph"/>
              <w:spacing w:line="249" w:lineRule="exact"/>
              <w:ind w:left="108"/>
              <w:rPr>
                <w:sz w:val="21"/>
              </w:rPr>
            </w:pPr>
            <w:r>
              <w:rPr>
                <w:spacing w:val="-3"/>
                <w:sz w:val="21"/>
              </w:rPr>
              <w:t>衰竭。必须满足以下所有条件：</w:t>
            </w:r>
          </w:p>
        </w:tc>
      </w:tr>
      <w:tr>
        <w:trPr>
          <w:trHeight w:val="935"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numPr>
                <w:ilvl w:val="0"/>
                <w:numId w:val="73"/>
              </w:numPr>
              <w:tabs>
                <w:tab w:pos="638" w:val="left" w:leader="none"/>
              </w:tabs>
              <w:spacing w:line="240" w:lineRule="auto" w:before="2" w:after="0"/>
              <w:ind w:left="637" w:right="0" w:hanging="530"/>
              <w:jc w:val="left"/>
              <w:rPr>
                <w:sz w:val="21"/>
              </w:rPr>
            </w:pPr>
            <w:r>
              <w:rPr>
                <w:spacing w:val="-3"/>
                <w:sz w:val="21"/>
              </w:rPr>
              <w:t>细菌培养和临床表现符合坏死性筋膜炎诊断标准；</w:t>
            </w:r>
          </w:p>
          <w:p>
            <w:pPr>
              <w:pStyle w:val="TableParagraph"/>
              <w:numPr>
                <w:ilvl w:val="0"/>
                <w:numId w:val="73"/>
              </w:numPr>
              <w:tabs>
                <w:tab w:pos="638" w:val="left" w:leader="none"/>
              </w:tabs>
              <w:spacing w:line="240" w:lineRule="auto" w:before="2" w:after="0"/>
              <w:ind w:left="637" w:right="0" w:hanging="530"/>
              <w:jc w:val="left"/>
              <w:rPr>
                <w:sz w:val="21"/>
              </w:rPr>
            </w:pPr>
            <w:r>
              <w:rPr>
                <w:spacing w:val="-3"/>
                <w:sz w:val="21"/>
              </w:rPr>
              <w:t>病情迅速恶化，有脓毒血症表现；</w:t>
            </w:r>
          </w:p>
          <w:p>
            <w:pPr>
              <w:pStyle w:val="TableParagraph"/>
              <w:numPr>
                <w:ilvl w:val="0"/>
                <w:numId w:val="73"/>
              </w:numPr>
              <w:tabs>
                <w:tab w:pos="638" w:val="left" w:leader="none"/>
              </w:tabs>
              <w:spacing w:line="240" w:lineRule="auto" w:before="4" w:after="0"/>
              <w:ind w:left="637" w:right="0" w:hanging="530"/>
              <w:jc w:val="left"/>
              <w:rPr>
                <w:sz w:val="21"/>
              </w:rPr>
            </w:pPr>
            <w:r>
              <w:rPr>
                <w:spacing w:val="-2"/>
                <w:sz w:val="21"/>
              </w:rPr>
              <w:t>受感染肢体被截肢（自腕关节或踝关节近端</w:t>
            </w:r>
            <w:r>
              <w:rPr>
                <w:spacing w:val="-108"/>
                <w:sz w:val="21"/>
              </w:rPr>
              <w:t>）</w:t>
            </w:r>
            <w:r>
              <w:rPr>
                <w:spacing w:val="-10"/>
                <w:sz w:val="21"/>
              </w:rPr>
              <w:t>。</w:t>
            </w:r>
          </w:p>
        </w:tc>
      </w:tr>
      <w:tr>
        <w:trPr>
          <w:trHeight w:val="398" w:hRule="atLeast"/>
        </w:trPr>
        <w:tc>
          <w:tcPr>
            <w:tcW w:w="712" w:type="dxa"/>
          </w:tcPr>
          <w:p>
            <w:pPr>
              <w:pStyle w:val="TableParagraph"/>
              <w:spacing w:before="117"/>
              <w:ind w:left="50"/>
              <w:rPr>
                <w:rFonts w:ascii="Times New Roman"/>
                <w:sz w:val="21"/>
              </w:rPr>
            </w:pPr>
            <w:r>
              <w:rPr>
                <w:rFonts w:ascii="Times New Roman"/>
                <w:spacing w:val="-2"/>
                <w:sz w:val="21"/>
              </w:rPr>
              <w:t>12.43</w:t>
            </w:r>
          </w:p>
        </w:tc>
        <w:tc>
          <w:tcPr>
            <w:tcW w:w="2160" w:type="dxa"/>
          </w:tcPr>
          <w:p>
            <w:pPr>
              <w:pStyle w:val="TableParagraph"/>
              <w:spacing w:line="321" w:lineRule="exact" w:before="57"/>
              <w:ind w:left="187"/>
              <w:rPr>
                <w:rFonts w:ascii="微软雅黑" w:eastAsia="微软雅黑"/>
                <w:b/>
                <w:sz w:val="21"/>
              </w:rPr>
            </w:pPr>
            <w:r>
              <w:rPr>
                <w:rFonts w:ascii="微软雅黑" w:eastAsia="微软雅黑"/>
                <w:b/>
                <w:spacing w:val="-2"/>
                <w:sz w:val="21"/>
              </w:rPr>
              <w:t>嗜铬细胞瘤</w:t>
            </w:r>
          </w:p>
        </w:tc>
        <w:tc>
          <w:tcPr>
            <w:tcW w:w="6263" w:type="dxa"/>
          </w:tcPr>
          <w:p>
            <w:pPr>
              <w:pStyle w:val="TableParagraph"/>
              <w:spacing w:line="254" w:lineRule="exact" w:before="124"/>
              <w:ind w:left="108"/>
              <w:rPr>
                <w:sz w:val="21"/>
              </w:rPr>
            </w:pPr>
            <w:r>
              <w:rPr>
                <w:spacing w:val="-3"/>
                <w:sz w:val="21"/>
              </w:rPr>
              <w:t>指发生在肾上腺或肾上腺外嗜铬组织的以分泌过多的儿茶酚胺为表</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252" w:lineRule="exact"/>
              <w:ind w:left="108"/>
              <w:rPr>
                <w:sz w:val="21"/>
              </w:rPr>
            </w:pPr>
            <w:r>
              <w:rPr>
                <w:spacing w:val="-3"/>
                <w:sz w:val="21"/>
              </w:rPr>
              <w:t>现的神经内分泌肿瘤。嗜铬细胞瘤必须由内分泌专科医生诊断，并</w:t>
            </w:r>
          </w:p>
        </w:tc>
      </w:tr>
      <w:tr>
        <w:trPr>
          <w:trHeight w:val="269"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63" w:type="dxa"/>
          </w:tcPr>
          <w:p>
            <w:pPr>
              <w:pStyle w:val="TableParagraph"/>
              <w:spacing w:line="249" w:lineRule="exact"/>
              <w:ind w:left="108"/>
              <w:rPr>
                <w:sz w:val="21"/>
              </w:rPr>
            </w:pPr>
            <w:r>
              <w:rPr>
                <w:spacing w:val="-3"/>
                <w:sz w:val="21"/>
              </w:rPr>
              <w:t>且满足以下所有条件：</w:t>
            </w:r>
          </w:p>
        </w:tc>
      </w:tr>
      <w:tr>
        <w:trPr>
          <w:trHeight w:val="663"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numPr>
                <w:ilvl w:val="0"/>
                <w:numId w:val="74"/>
              </w:numPr>
              <w:tabs>
                <w:tab w:pos="638" w:val="left" w:leader="none"/>
              </w:tabs>
              <w:spacing w:line="240" w:lineRule="auto" w:before="0" w:after="0"/>
              <w:ind w:left="637" w:right="0" w:hanging="530"/>
              <w:jc w:val="left"/>
              <w:rPr>
                <w:sz w:val="21"/>
              </w:rPr>
            </w:pPr>
            <w:r>
              <w:rPr>
                <w:spacing w:val="-3"/>
                <w:sz w:val="21"/>
              </w:rPr>
              <w:t>临床有高血压症候群表现；</w:t>
            </w:r>
          </w:p>
          <w:p>
            <w:pPr>
              <w:pStyle w:val="TableParagraph"/>
              <w:numPr>
                <w:ilvl w:val="0"/>
                <w:numId w:val="74"/>
              </w:numPr>
              <w:tabs>
                <w:tab w:pos="638" w:val="left" w:leader="none"/>
              </w:tabs>
              <w:spacing w:line="240" w:lineRule="auto" w:before="5" w:after="0"/>
              <w:ind w:left="637" w:right="0" w:hanging="530"/>
              <w:jc w:val="left"/>
              <w:rPr>
                <w:sz w:val="21"/>
              </w:rPr>
            </w:pPr>
            <w:r>
              <w:rPr>
                <w:spacing w:val="-3"/>
                <w:sz w:val="21"/>
              </w:rPr>
              <w:t>已经实施了嗜铬细胞瘤切除手术。</w:t>
            </w:r>
          </w:p>
        </w:tc>
      </w:tr>
      <w:tr>
        <w:trPr>
          <w:trHeight w:val="395" w:hRule="atLeast"/>
        </w:trPr>
        <w:tc>
          <w:tcPr>
            <w:tcW w:w="712" w:type="dxa"/>
          </w:tcPr>
          <w:p>
            <w:pPr>
              <w:pStyle w:val="TableParagraph"/>
              <w:spacing w:before="117"/>
              <w:ind w:left="50"/>
              <w:rPr>
                <w:rFonts w:ascii="Times New Roman"/>
                <w:sz w:val="21"/>
              </w:rPr>
            </w:pPr>
            <w:r>
              <w:rPr>
                <w:rFonts w:ascii="Times New Roman"/>
                <w:spacing w:val="-2"/>
                <w:sz w:val="21"/>
              </w:rPr>
              <w:t>12.44</w:t>
            </w:r>
          </w:p>
        </w:tc>
        <w:tc>
          <w:tcPr>
            <w:tcW w:w="2160" w:type="dxa"/>
          </w:tcPr>
          <w:p>
            <w:pPr>
              <w:pStyle w:val="TableParagraph"/>
              <w:spacing w:line="318" w:lineRule="exact" w:before="57"/>
              <w:ind w:left="187"/>
              <w:rPr>
                <w:rFonts w:ascii="微软雅黑" w:eastAsia="微软雅黑"/>
                <w:b/>
                <w:sz w:val="21"/>
              </w:rPr>
            </w:pPr>
            <w:r>
              <w:rPr>
                <w:rFonts w:ascii="微软雅黑" w:eastAsia="微软雅黑"/>
                <w:b/>
                <w:spacing w:val="-4"/>
                <w:sz w:val="21"/>
              </w:rPr>
              <w:t>象皮病</w:t>
            </w:r>
          </w:p>
        </w:tc>
        <w:tc>
          <w:tcPr>
            <w:tcW w:w="6263" w:type="dxa"/>
          </w:tcPr>
          <w:p>
            <w:pPr>
              <w:pStyle w:val="TableParagraph"/>
              <w:spacing w:line="251" w:lineRule="exact" w:before="124"/>
              <w:ind w:left="108"/>
              <w:rPr>
                <w:sz w:val="21"/>
              </w:rPr>
            </w:pPr>
            <w:r>
              <w:rPr>
                <w:spacing w:val="-3"/>
                <w:sz w:val="21"/>
              </w:rPr>
              <w:t>指因丝虫感染导致淋巴阻塞性出现严重淋巴水肿，达到国际淋巴学</w:t>
            </w:r>
          </w:p>
        </w:tc>
      </w:tr>
      <w:tr>
        <w:trPr>
          <w:trHeight w:val="283"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263" w:lineRule="exact"/>
              <w:ind w:left="108"/>
              <w:rPr>
                <w:rFonts w:ascii="Times New Roman" w:eastAsia="Times New Roman"/>
                <w:sz w:val="21"/>
              </w:rPr>
            </w:pPr>
            <w:r>
              <w:rPr>
                <w:spacing w:val="-2"/>
                <w:sz w:val="21"/>
              </w:rPr>
              <w:t>会淋巴肿分期第</w:t>
            </w:r>
            <w:r>
              <w:rPr>
                <w:rFonts w:ascii="Times New Roman" w:eastAsia="Times New Roman"/>
                <w:spacing w:val="-2"/>
                <w:sz w:val="21"/>
              </w:rPr>
              <w:t>III</w:t>
            </w:r>
            <w:r>
              <w:rPr>
                <w:spacing w:val="-16"/>
                <w:sz w:val="21"/>
              </w:rPr>
              <w:t>期，临床表现为肢体象皮肿，患肢较健肢增粗</w:t>
            </w:r>
            <w:r>
              <w:rPr>
                <w:rFonts w:ascii="Times New Roman" w:eastAsia="Times New Roman"/>
                <w:spacing w:val="-5"/>
                <w:sz w:val="21"/>
              </w:rPr>
              <w:t>30%</w:t>
            </w:r>
          </w:p>
        </w:tc>
      </w:tr>
      <w:tr>
        <w:trPr>
          <w:trHeight w:val="371"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260" w:lineRule="exact"/>
              <w:ind w:left="108"/>
              <w:rPr>
                <w:sz w:val="21"/>
              </w:rPr>
            </w:pPr>
            <w:r>
              <w:rPr>
                <w:spacing w:val="-3"/>
                <w:sz w:val="21"/>
              </w:rPr>
              <w:t>以上，日常生活不能自理。</w:t>
            </w:r>
          </w:p>
        </w:tc>
      </w:tr>
      <w:tr>
        <w:trPr>
          <w:trHeight w:val="406" w:hRule="atLeast"/>
        </w:trPr>
        <w:tc>
          <w:tcPr>
            <w:tcW w:w="712" w:type="dxa"/>
          </w:tcPr>
          <w:p>
            <w:pPr>
              <w:pStyle w:val="TableParagraph"/>
              <w:spacing w:before="125"/>
              <w:ind w:left="50"/>
              <w:rPr>
                <w:rFonts w:ascii="Times New Roman"/>
                <w:sz w:val="21"/>
              </w:rPr>
            </w:pPr>
            <w:r>
              <w:rPr>
                <w:rFonts w:ascii="Times New Roman"/>
                <w:spacing w:val="-2"/>
                <w:sz w:val="21"/>
              </w:rPr>
              <w:t>12.45</w:t>
            </w:r>
          </w:p>
        </w:tc>
        <w:tc>
          <w:tcPr>
            <w:tcW w:w="2160" w:type="dxa"/>
          </w:tcPr>
          <w:p>
            <w:pPr>
              <w:pStyle w:val="TableParagraph"/>
              <w:spacing w:line="321" w:lineRule="exact" w:before="65"/>
              <w:ind w:left="187"/>
              <w:rPr>
                <w:rFonts w:ascii="微软雅黑" w:eastAsia="微软雅黑"/>
                <w:b/>
                <w:sz w:val="21"/>
              </w:rPr>
            </w:pPr>
            <w:r>
              <w:rPr>
                <w:rFonts w:ascii="微软雅黑" w:eastAsia="微软雅黑"/>
                <w:b/>
                <w:spacing w:val="-3"/>
                <w:sz w:val="21"/>
              </w:rPr>
              <w:t>胰腺移植</w:t>
            </w:r>
          </w:p>
        </w:tc>
        <w:tc>
          <w:tcPr>
            <w:tcW w:w="6263" w:type="dxa"/>
          </w:tcPr>
          <w:p>
            <w:pPr>
              <w:pStyle w:val="TableParagraph"/>
              <w:spacing w:line="254" w:lineRule="exact" w:before="133"/>
              <w:ind w:left="108"/>
              <w:rPr>
                <w:sz w:val="21"/>
              </w:rPr>
            </w:pPr>
            <w:r>
              <w:rPr>
                <w:spacing w:val="-3"/>
                <w:sz w:val="21"/>
              </w:rPr>
              <w:t>指因胰腺功能衰竭，已经实施了在全身麻醉下进行的胰腺的异体器</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252" w:lineRule="exact"/>
              <w:ind w:left="108"/>
              <w:rPr>
                <w:sz w:val="21"/>
              </w:rPr>
            </w:pPr>
            <w:r>
              <w:rPr>
                <w:spacing w:val="-4"/>
                <w:sz w:val="21"/>
              </w:rPr>
              <w:t>官移植手术。</w:t>
            </w:r>
          </w:p>
        </w:tc>
      </w:tr>
      <w:tr>
        <w:trPr>
          <w:trHeight w:val="379"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63" w:type="dxa"/>
          </w:tcPr>
          <w:p>
            <w:pPr>
              <w:pStyle w:val="TableParagraph"/>
              <w:spacing w:line="318" w:lineRule="exact"/>
              <w:ind w:left="108"/>
              <w:rPr>
                <w:rFonts w:ascii="微软雅黑" w:eastAsia="微软雅黑"/>
                <w:b/>
                <w:sz w:val="21"/>
              </w:rPr>
            </w:pPr>
            <w:r>
              <w:rPr>
                <w:rFonts w:ascii="微软雅黑" w:eastAsia="微软雅黑"/>
                <w:b/>
                <w:spacing w:val="-3"/>
                <w:sz w:val="21"/>
              </w:rPr>
              <w:t>单纯胰岛移植、部分胰腺组织或细胞的移植不在本保障范围内。</w:t>
            </w:r>
          </w:p>
        </w:tc>
      </w:tr>
      <w:tr>
        <w:trPr>
          <w:trHeight w:val="406" w:hRule="atLeast"/>
        </w:trPr>
        <w:tc>
          <w:tcPr>
            <w:tcW w:w="712" w:type="dxa"/>
          </w:tcPr>
          <w:p>
            <w:pPr>
              <w:pStyle w:val="TableParagraph"/>
              <w:spacing w:before="125"/>
              <w:ind w:left="50"/>
              <w:rPr>
                <w:rFonts w:ascii="Times New Roman"/>
                <w:sz w:val="21"/>
              </w:rPr>
            </w:pPr>
            <w:r>
              <w:rPr>
                <w:rFonts w:ascii="Times New Roman"/>
                <w:spacing w:val="-2"/>
                <w:sz w:val="21"/>
              </w:rPr>
              <w:t>12.46</w:t>
            </w:r>
          </w:p>
        </w:tc>
        <w:tc>
          <w:tcPr>
            <w:tcW w:w="2160" w:type="dxa"/>
          </w:tcPr>
          <w:p>
            <w:pPr>
              <w:pStyle w:val="TableParagraph"/>
              <w:spacing w:line="321" w:lineRule="exact" w:before="65"/>
              <w:ind w:left="187"/>
              <w:rPr>
                <w:rFonts w:ascii="微软雅黑" w:eastAsia="微软雅黑"/>
                <w:b/>
                <w:sz w:val="21"/>
              </w:rPr>
            </w:pPr>
            <w:r>
              <w:rPr>
                <w:rFonts w:ascii="微软雅黑" w:eastAsia="微软雅黑"/>
                <w:b/>
                <w:spacing w:val="18"/>
                <w:sz w:val="21"/>
              </w:rPr>
              <w:t>慢性肾上腺皮质功</w:t>
            </w:r>
          </w:p>
        </w:tc>
        <w:tc>
          <w:tcPr>
            <w:tcW w:w="6263" w:type="dxa"/>
          </w:tcPr>
          <w:p>
            <w:pPr>
              <w:pStyle w:val="TableParagraph"/>
              <w:spacing w:line="254" w:lineRule="exact" w:before="132"/>
              <w:ind w:left="108"/>
              <w:rPr>
                <w:sz w:val="21"/>
              </w:rPr>
            </w:pPr>
            <w:r>
              <w:rPr>
                <w:spacing w:val="-2"/>
                <w:sz w:val="21"/>
              </w:rPr>
              <w:t>指自身免疫性肾上腺炎（既往称：特发性肾上腺皮质萎缩）</w:t>
            </w:r>
            <w:r>
              <w:rPr>
                <w:spacing w:val="-5"/>
                <w:sz w:val="21"/>
              </w:rPr>
              <w:t>导致肾</w:t>
            </w:r>
          </w:p>
        </w:tc>
      </w:tr>
      <w:tr>
        <w:trPr>
          <w:trHeight w:val="269" w:hRule="atLeast"/>
        </w:trPr>
        <w:tc>
          <w:tcPr>
            <w:tcW w:w="712" w:type="dxa"/>
          </w:tcPr>
          <w:p>
            <w:pPr>
              <w:pStyle w:val="TableParagraph"/>
              <w:rPr>
                <w:rFonts w:ascii="Times New Roman"/>
                <w:sz w:val="18"/>
              </w:rPr>
            </w:pPr>
          </w:p>
        </w:tc>
        <w:tc>
          <w:tcPr>
            <w:tcW w:w="2160" w:type="dxa"/>
          </w:tcPr>
          <w:p>
            <w:pPr>
              <w:pStyle w:val="TableParagraph"/>
              <w:spacing w:line="249" w:lineRule="exact"/>
              <w:ind w:left="187"/>
              <w:rPr>
                <w:rFonts w:ascii="微软雅黑" w:eastAsia="微软雅黑"/>
                <w:b/>
                <w:sz w:val="21"/>
              </w:rPr>
            </w:pPr>
            <w:r>
              <w:rPr>
                <w:rFonts w:ascii="微软雅黑" w:eastAsia="微软雅黑"/>
                <w:b/>
                <w:spacing w:val="-4"/>
                <w:sz w:val="21"/>
              </w:rPr>
              <w:t>能衰竭</w:t>
            </w:r>
          </w:p>
        </w:tc>
        <w:tc>
          <w:tcPr>
            <w:tcW w:w="6263" w:type="dxa"/>
          </w:tcPr>
          <w:p>
            <w:pPr>
              <w:pStyle w:val="TableParagraph"/>
              <w:spacing w:line="249" w:lineRule="exact"/>
              <w:ind w:left="108"/>
              <w:rPr>
                <w:sz w:val="21"/>
              </w:rPr>
            </w:pPr>
            <w:r>
              <w:rPr>
                <w:spacing w:val="-3"/>
                <w:sz w:val="21"/>
              </w:rPr>
              <w:t>上腺萎缩和慢性肾上腺皮质功能减退。必须满足所有以下条件：</w:t>
            </w:r>
          </w:p>
        </w:tc>
      </w:tr>
      <w:tr>
        <w:trPr>
          <w:trHeight w:val="261"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63" w:type="dxa"/>
          </w:tcPr>
          <w:p>
            <w:pPr>
              <w:pStyle w:val="TableParagraph"/>
              <w:spacing w:line="240" w:lineRule="exact" w:before="2"/>
              <w:ind w:left="108"/>
              <w:rPr>
                <w:sz w:val="21"/>
              </w:rPr>
            </w:pPr>
            <w:r>
              <w:rPr>
                <w:spacing w:val="-2"/>
                <w:sz w:val="21"/>
              </w:rPr>
              <w:t>（</w:t>
            </w:r>
            <w:r>
              <w:rPr>
                <w:rFonts w:ascii="Times New Roman" w:eastAsia="Times New Roman"/>
                <w:spacing w:val="-2"/>
                <w:sz w:val="21"/>
              </w:rPr>
              <w:t>1</w:t>
            </w:r>
            <w:r>
              <w:rPr>
                <w:spacing w:val="-2"/>
                <w:sz w:val="21"/>
              </w:rPr>
              <w:t>）</w:t>
            </w:r>
            <w:r>
              <w:rPr>
                <w:spacing w:val="-3"/>
                <w:sz w:val="21"/>
              </w:rPr>
              <w:t>明确诊断，符合所有以下诊断标准：</w:t>
            </w:r>
          </w:p>
        </w:tc>
      </w:tr>
    </w:tbl>
    <w:p>
      <w:pPr>
        <w:pStyle w:val="BodyText"/>
        <w:spacing w:line="242" w:lineRule="auto" w:before="25"/>
        <w:ind w:left="3678" w:right="729"/>
      </w:pPr>
      <w:r>
        <w:rPr>
          <w:spacing w:val="-2"/>
        </w:rPr>
        <w:t>血浆促肾上腺皮质激素（</w:t>
      </w:r>
      <w:r>
        <w:rPr>
          <w:rFonts w:ascii="Times New Roman" w:eastAsia="Times New Roman"/>
          <w:spacing w:val="-2"/>
        </w:rPr>
        <w:t>ACTH</w:t>
      </w:r>
      <w:r>
        <w:rPr>
          <w:spacing w:val="-2"/>
        </w:rPr>
        <w:t>）水平测定，</w:t>
      </w:r>
      <w:r>
        <w:rPr>
          <w:rFonts w:ascii="Times New Roman" w:eastAsia="Times New Roman"/>
          <w:spacing w:val="-2"/>
        </w:rPr>
        <w:t>&gt;100pg/ml</w:t>
      </w:r>
      <w:r>
        <w:rPr>
          <w:spacing w:val="-2"/>
        </w:rPr>
        <w:t>；</w:t>
      </w:r>
      <w:r>
        <w:rPr>
          <w:spacing w:val="80"/>
          <w:w w:val="150"/>
        </w:rPr>
        <w:t> </w:t>
      </w:r>
      <w:r>
        <w:rPr>
          <w:spacing w:val="-2"/>
        </w:rPr>
        <w:t>血浆肾素活性、血管紧张素</w:t>
      </w:r>
      <w:r>
        <w:rPr>
          <w:rFonts w:ascii="Times New Roman" w:eastAsia="Times New Roman"/>
          <w:spacing w:val="-2"/>
        </w:rPr>
        <w:t>II</w:t>
      </w:r>
      <w:r>
        <w:rPr>
          <w:spacing w:val="-2"/>
        </w:rPr>
        <w:t>和醛固酮测定，显示为原发性肾</w:t>
      </w:r>
      <w:r>
        <w:rPr>
          <w:spacing w:val="-2"/>
        </w:rPr>
        <w:t>上腺皮质功能减退症；</w:t>
      </w:r>
    </w:p>
    <w:p>
      <w:pPr>
        <w:pStyle w:val="BodyText"/>
        <w:spacing w:line="242" w:lineRule="auto" w:before="3"/>
        <w:ind w:left="3678" w:right="732"/>
      </w:pPr>
      <w:r>
        <w:rPr>
          <w:spacing w:val="-2"/>
        </w:rPr>
        <w:t>促肾上腺皮质激素（</w:t>
      </w:r>
      <w:r>
        <w:rPr>
          <w:rFonts w:ascii="Times New Roman" w:eastAsia="Times New Roman"/>
          <w:spacing w:val="-2"/>
        </w:rPr>
        <w:t>ACTH</w:t>
      </w:r>
      <w:r>
        <w:rPr>
          <w:spacing w:val="-2"/>
        </w:rPr>
        <w:t>）刺激试验显示为原发性肾上腺皮</w:t>
      </w:r>
      <w:r>
        <w:rPr>
          <w:spacing w:val="-2"/>
        </w:rPr>
        <w:t>质功能减退症；</w:t>
      </w:r>
    </w:p>
    <w:p>
      <w:pPr>
        <w:pStyle w:val="BodyText"/>
        <w:spacing w:line="237" w:lineRule="exact" w:before="1"/>
      </w:pPr>
      <w:r>
        <w:rPr>
          <w:spacing w:val="-2"/>
        </w:rPr>
        <w:t>（</w:t>
      </w:r>
      <w:r>
        <w:rPr>
          <w:rFonts w:ascii="Times New Roman" w:eastAsia="Times New Roman"/>
          <w:spacing w:val="-2"/>
        </w:rPr>
        <w:t>2</w:t>
      </w:r>
      <w:r>
        <w:rPr>
          <w:spacing w:val="-2"/>
        </w:rPr>
        <w:t>）已经采用皮质类固醇替代治疗</w:t>
      </w:r>
      <w:r>
        <w:rPr>
          <w:rFonts w:ascii="Times New Roman" w:eastAsia="Times New Roman"/>
          <w:spacing w:val="-2"/>
        </w:rPr>
        <w:t>180</w:t>
      </w:r>
      <w:r>
        <w:rPr>
          <w:spacing w:val="-4"/>
        </w:rPr>
        <w:t>天以上。</w:t>
      </w:r>
    </w:p>
    <w:p>
      <w:pPr>
        <w:spacing w:line="170" w:lineRule="auto" w:before="48"/>
        <w:ind w:left="3153" w:right="734" w:firstLine="0"/>
        <w:jc w:val="left"/>
        <w:rPr>
          <w:rFonts w:ascii="微软雅黑" w:eastAsia="微软雅黑"/>
          <w:b/>
          <w:sz w:val="21"/>
        </w:rPr>
      </w:pPr>
      <w:r>
        <w:rPr>
          <w:rFonts w:ascii="微软雅黑" w:eastAsia="微软雅黑"/>
          <w:b/>
          <w:spacing w:val="-2"/>
          <w:sz w:val="21"/>
        </w:rPr>
        <w:t>肾上腺结核、</w:t>
      </w:r>
      <w:r>
        <w:rPr>
          <w:rFonts w:ascii="Times New Roman" w:eastAsia="Times New Roman"/>
          <w:b/>
          <w:spacing w:val="-2"/>
          <w:sz w:val="21"/>
        </w:rPr>
        <w:t>HIV</w:t>
      </w:r>
      <w:r>
        <w:rPr>
          <w:rFonts w:ascii="微软雅黑" w:eastAsia="微软雅黑"/>
          <w:b/>
          <w:spacing w:val="-2"/>
          <w:sz w:val="21"/>
        </w:rPr>
        <w:t>感染或艾滋病、感染、肿瘤所致的原发性肾上腺</w:t>
      </w:r>
      <w:r>
        <w:rPr>
          <w:rFonts w:ascii="微软雅黑" w:eastAsia="微软雅黑"/>
          <w:b/>
          <w:spacing w:val="-2"/>
          <w:sz w:val="21"/>
        </w:rPr>
        <w:t>皮质功能减退和继发性肾上腺皮质功能减退不在本保障范围内。</w:t>
      </w:r>
    </w:p>
    <w:p>
      <w:pPr>
        <w:pStyle w:val="ListParagraph"/>
        <w:numPr>
          <w:ilvl w:val="1"/>
          <w:numId w:val="75"/>
        </w:numPr>
        <w:tabs>
          <w:tab w:pos="1071" w:val="left" w:leader="none"/>
          <w:tab w:pos="1072" w:val="left" w:leader="none"/>
          <w:tab w:pos="3152" w:val="left" w:leader="none"/>
        </w:tabs>
        <w:spacing w:line="363" w:lineRule="exact" w:before="157" w:after="0"/>
        <w:ind w:left="1071" w:right="0" w:hanging="850"/>
        <w:jc w:val="left"/>
        <w:rPr>
          <w:sz w:val="21"/>
        </w:rPr>
      </w:pPr>
      <w:r>
        <w:rPr>
          <w:rFonts w:ascii="微软雅黑" w:eastAsia="微软雅黑"/>
          <w:b/>
          <w:sz w:val="21"/>
        </w:rPr>
        <w:t>严重心肌</w:t>
      </w:r>
      <w:r>
        <w:rPr>
          <w:rFonts w:ascii="微软雅黑" w:eastAsia="微软雅黑"/>
          <w:b/>
          <w:spacing w:val="-10"/>
          <w:sz w:val="21"/>
        </w:rPr>
        <w:t>炎</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因严重</w:t>
      </w:r>
      <w:r>
        <w:rPr>
          <w:spacing w:val="-2"/>
          <w:sz w:val="21"/>
        </w:rPr>
        <w:t>心</w:t>
      </w:r>
      <w:r>
        <w:rPr>
          <w:spacing w:val="-2"/>
          <w:sz w:val="21"/>
        </w:rPr>
        <w:t>肌</w:t>
      </w:r>
      <w:r>
        <w:rPr>
          <w:spacing w:val="-2"/>
          <w:sz w:val="21"/>
        </w:rPr>
        <w:t>炎</w:t>
      </w:r>
      <w:r>
        <w:rPr>
          <w:spacing w:val="-2"/>
          <w:sz w:val="21"/>
        </w:rPr>
        <w:t>性</w:t>
      </w:r>
      <w:r>
        <w:rPr>
          <w:spacing w:val="-2"/>
          <w:sz w:val="21"/>
        </w:rPr>
        <w:t>病</w:t>
      </w:r>
      <w:r>
        <w:rPr>
          <w:spacing w:val="-2"/>
          <w:sz w:val="21"/>
        </w:rPr>
        <w:t>变</w:t>
      </w:r>
      <w:r>
        <w:rPr>
          <w:spacing w:val="-2"/>
          <w:sz w:val="21"/>
        </w:rPr>
        <w:t>导</w:t>
      </w:r>
      <w:r>
        <w:rPr>
          <w:spacing w:val="-2"/>
          <w:sz w:val="21"/>
        </w:rPr>
        <w:t>致</w:t>
      </w:r>
      <w:r>
        <w:rPr>
          <w:spacing w:val="-2"/>
          <w:sz w:val="21"/>
        </w:rPr>
        <w:t>心功能</w:t>
      </w:r>
      <w:r>
        <w:rPr>
          <w:spacing w:val="-2"/>
          <w:sz w:val="21"/>
        </w:rPr>
        <w:t>损</w:t>
      </w:r>
      <w:r>
        <w:rPr>
          <w:spacing w:val="-2"/>
          <w:sz w:val="21"/>
        </w:rPr>
        <w:t>害</w:t>
      </w:r>
      <w:r>
        <w:rPr>
          <w:spacing w:val="-2"/>
          <w:sz w:val="21"/>
        </w:rPr>
        <w:t>造</w:t>
      </w:r>
      <w:r>
        <w:rPr>
          <w:spacing w:val="-2"/>
          <w:sz w:val="21"/>
        </w:rPr>
        <w:t>成</w:t>
      </w:r>
      <w:r>
        <w:rPr>
          <w:spacing w:val="-2"/>
          <w:sz w:val="21"/>
        </w:rPr>
        <w:t>持</w:t>
      </w:r>
      <w:r>
        <w:rPr>
          <w:spacing w:val="-2"/>
          <w:sz w:val="21"/>
        </w:rPr>
        <w:t>续</w:t>
      </w:r>
      <w:r>
        <w:rPr>
          <w:spacing w:val="-2"/>
          <w:sz w:val="21"/>
        </w:rPr>
        <w:t>的</w:t>
      </w:r>
      <w:r>
        <w:rPr>
          <w:spacing w:val="-2"/>
          <w:sz w:val="21"/>
        </w:rPr>
        <w:t>永</w:t>
      </w:r>
      <w:r>
        <w:rPr>
          <w:spacing w:val="-2"/>
          <w:sz w:val="21"/>
        </w:rPr>
        <w:t>久</w:t>
      </w:r>
      <w:r>
        <w:rPr>
          <w:spacing w:val="-10"/>
          <w:sz w:val="21"/>
        </w:rPr>
        <w:t>不</w:t>
      </w:r>
    </w:p>
    <w:p>
      <w:pPr>
        <w:pStyle w:val="BodyText"/>
        <w:spacing w:line="245" w:lineRule="exact"/>
      </w:pPr>
      <w:r>
        <w:rPr>
          <w:spacing w:val="-3"/>
        </w:rPr>
        <w:t>可逆性的心功能衰竭。必须满足所有以下条件：</w:t>
      </w:r>
    </w:p>
    <w:p>
      <w:pPr>
        <w:pStyle w:val="ListParagraph"/>
        <w:numPr>
          <w:ilvl w:val="0"/>
          <w:numId w:val="76"/>
        </w:numPr>
        <w:tabs>
          <w:tab w:pos="3689" w:val="left" w:leader="none"/>
        </w:tabs>
        <w:spacing w:line="242" w:lineRule="auto" w:before="5" w:after="0"/>
        <w:ind w:left="3678" w:right="738" w:hanging="526"/>
        <w:jc w:val="left"/>
        <w:rPr>
          <w:sz w:val="21"/>
        </w:rPr>
      </w:pPr>
      <w:r>
        <w:rPr>
          <w:spacing w:val="-2"/>
          <w:sz w:val="21"/>
        </w:rPr>
        <w:t>心功能衰竭程度达到美国纽约心脏病学会心功能状态分级</w:t>
      </w:r>
      <w:r>
        <w:rPr>
          <w:rFonts w:ascii="Times New Roman" w:eastAsia="Times New Roman"/>
          <w:spacing w:val="-2"/>
          <w:sz w:val="21"/>
        </w:rPr>
        <w:t>IV</w:t>
      </w:r>
      <w:r>
        <w:rPr>
          <w:spacing w:val="-2"/>
          <w:sz w:val="21"/>
        </w:rPr>
        <w:t>级，或左室射血分数低于</w:t>
      </w:r>
      <w:r>
        <w:rPr>
          <w:rFonts w:ascii="Times New Roman" w:eastAsia="Times New Roman"/>
          <w:spacing w:val="-2"/>
          <w:sz w:val="21"/>
        </w:rPr>
        <w:t>30%</w:t>
      </w:r>
      <w:r>
        <w:rPr>
          <w:spacing w:val="-2"/>
          <w:sz w:val="21"/>
        </w:rPr>
        <w:t>；</w:t>
      </w:r>
    </w:p>
    <w:p>
      <w:pPr>
        <w:pStyle w:val="ListParagraph"/>
        <w:numPr>
          <w:ilvl w:val="0"/>
          <w:numId w:val="76"/>
        </w:numPr>
        <w:tabs>
          <w:tab w:pos="3682" w:val="left" w:leader="none"/>
        </w:tabs>
        <w:spacing w:line="240" w:lineRule="auto" w:before="1" w:after="0"/>
        <w:ind w:left="3682" w:right="0" w:hanging="529"/>
        <w:jc w:val="left"/>
        <w:rPr>
          <w:sz w:val="21"/>
        </w:rPr>
      </w:pPr>
      <w:r>
        <w:rPr>
          <w:spacing w:val="-2"/>
          <w:sz w:val="21"/>
        </w:rPr>
        <w:t>心功能</w:t>
      </w:r>
      <w:r>
        <w:rPr>
          <w:rFonts w:ascii="Times New Roman" w:eastAsia="Times New Roman"/>
          <w:spacing w:val="-2"/>
          <w:sz w:val="21"/>
        </w:rPr>
        <w:t>IV</w:t>
      </w:r>
      <w:r>
        <w:rPr>
          <w:spacing w:val="-2"/>
          <w:sz w:val="21"/>
        </w:rPr>
        <w:t>级状态持续不间断</w:t>
      </w:r>
      <w:r>
        <w:rPr>
          <w:rFonts w:ascii="Times New Roman" w:eastAsia="Times New Roman"/>
          <w:spacing w:val="-2"/>
          <w:sz w:val="21"/>
        </w:rPr>
        <w:t>180</w:t>
      </w:r>
      <w:r>
        <w:rPr>
          <w:spacing w:val="-4"/>
          <w:sz w:val="21"/>
        </w:rPr>
        <w:t>天以上；</w:t>
      </w:r>
    </w:p>
    <w:p>
      <w:pPr>
        <w:pStyle w:val="ListParagraph"/>
        <w:numPr>
          <w:ilvl w:val="0"/>
          <w:numId w:val="76"/>
        </w:numPr>
        <w:tabs>
          <w:tab w:pos="3682" w:val="left" w:leader="none"/>
        </w:tabs>
        <w:spacing w:line="244" w:lineRule="auto" w:before="2" w:after="0"/>
        <w:ind w:left="3678" w:right="842" w:hanging="526"/>
        <w:jc w:val="left"/>
        <w:rPr>
          <w:sz w:val="21"/>
        </w:rPr>
      </w:pPr>
      <w:r>
        <w:rPr>
          <w:spacing w:val="-2"/>
          <w:sz w:val="21"/>
        </w:rPr>
        <w:t>被保险人永久不可逆性的体力活动能力受限，不能从事任何</w:t>
      </w:r>
      <w:r>
        <w:rPr>
          <w:spacing w:val="-2"/>
          <w:sz w:val="21"/>
        </w:rPr>
        <w:t>体力活动。</w:t>
      </w:r>
    </w:p>
    <w:p>
      <w:pPr>
        <w:spacing w:after="0" w:line="244" w:lineRule="auto"/>
        <w:jc w:val="left"/>
        <w:rPr>
          <w:sz w:val="21"/>
        </w:rPr>
        <w:sectPr>
          <w:pgSz w:w="11910" w:h="16840"/>
          <w:pgMar w:header="0" w:footer="878" w:top="1120" w:bottom="1060" w:left="1480" w:right="440"/>
        </w:sectPr>
      </w:pPr>
    </w:p>
    <w:p>
      <w:pPr>
        <w:pStyle w:val="ListParagraph"/>
        <w:numPr>
          <w:ilvl w:val="1"/>
          <w:numId w:val="75"/>
        </w:numPr>
        <w:tabs>
          <w:tab w:pos="1071" w:val="left" w:leader="none"/>
          <w:tab w:pos="1072" w:val="left" w:leader="none"/>
          <w:tab w:pos="3152" w:val="left" w:leader="none"/>
        </w:tabs>
        <w:spacing w:line="364" w:lineRule="exact" w:before="11" w:after="0"/>
        <w:ind w:left="1071" w:right="0" w:hanging="850"/>
        <w:jc w:val="left"/>
        <w:rPr>
          <w:sz w:val="21"/>
        </w:rPr>
      </w:pPr>
      <w:r>
        <w:rPr>
          <w:rFonts w:ascii="微软雅黑" w:eastAsia="微软雅黑"/>
          <w:b/>
          <w:sz w:val="21"/>
        </w:rPr>
        <w:t>肺源性心脏</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因慢性</w:t>
      </w:r>
      <w:r>
        <w:rPr>
          <w:spacing w:val="-2"/>
          <w:sz w:val="21"/>
        </w:rPr>
        <w:t>肺</w:t>
      </w:r>
      <w:r>
        <w:rPr>
          <w:spacing w:val="-2"/>
          <w:sz w:val="21"/>
        </w:rPr>
        <w:t>部</w:t>
      </w:r>
      <w:r>
        <w:rPr>
          <w:spacing w:val="-2"/>
          <w:sz w:val="21"/>
        </w:rPr>
        <w:t>疾</w:t>
      </w:r>
      <w:r>
        <w:rPr>
          <w:spacing w:val="-2"/>
          <w:sz w:val="21"/>
        </w:rPr>
        <w:t>病</w:t>
      </w:r>
      <w:r>
        <w:rPr>
          <w:spacing w:val="-2"/>
          <w:sz w:val="21"/>
        </w:rPr>
        <w:t>导</w:t>
      </w:r>
      <w:r>
        <w:rPr>
          <w:spacing w:val="-2"/>
          <w:sz w:val="21"/>
        </w:rPr>
        <w:t>致</w:t>
      </w:r>
      <w:r>
        <w:rPr>
          <w:spacing w:val="-2"/>
          <w:sz w:val="21"/>
        </w:rPr>
        <w:t>慢</w:t>
      </w:r>
      <w:r>
        <w:rPr>
          <w:spacing w:val="-2"/>
          <w:sz w:val="21"/>
        </w:rPr>
        <w:t>性</w:t>
      </w:r>
      <w:r>
        <w:rPr>
          <w:spacing w:val="-2"/>
          <w:sz w:val="21"/>
        </w:rPr>
        <w:t>心功能</w:t>
      </w:r>
      <w:r>
        <w:rPr>
          <w:spacing w:val="-2"/>
          <w:sz w:val="21"/>
        </w:rPr>
        <w:t>损</w:t>
      </w:r>
      <w:r>
        <w:rPr>
          <w:spacing w:val="-2"/>
          <w:sz w:val="21"/>
        </w:rPr>
        <w:t>害</w:t>
      </w:r>
      <w:r>
        <w:rPr>
          <w:spacing w:val="-2"/>
          <w:sz w:val="21"/>
        </w:rPr>
        <w:t>造</w:t>
      </w:r>
      <w:r>
        <w:rPr>
          <w:spacing w:val="-2"/>
          <w:sz w:val="21"/>
        </w:rPr>
        <w:t>成</w:t>
      </w:r>
      <w:r>
        <w:rPr>
          <w:spacing w:val="-2"/>
          <w:sz w:val="21"/>
        </w:rPr>
        <w:t>永</w:t>
      </w:r>
      <w:r>
        <w:rPr>
          <w:spacing w:val="-2"/>
          <w:sz w:val="21"/>
        </w:rPr>
        <w:t>久</w:t>
      </w:r>
      <w:r>
        <w:rPr>
          <w:spacing w:val="-2"/>
          <w:sz w:val="21"/>
        </w:rPr>
        <w:t>不</w:t>
      </w:r>
      <w:r>
        <w:rPr>
          <w:spacing w:val="-2"/>
          <w:sz w:val="21"/>
        </w:rPr>
        <w:t>可</w:t>
      </w:r>
      <w:r>
        <w:rPr>
          <w:spacing w:val="-2"/>
          <w:sz w:val="21"/>
        </w:rPr>
        <w:t>逆</w:t>
      </w:r>
      <w:r>
        <w:rPr>
          <w:spacing w:val="-10"/>
          <w:sz w:val="21"/>
        </w:rPr>
        <w:t>性</w:t>
      </w:r>
    </w:p>
    <w:p>
      <w:pPr>
        <w:pStyle w:val="BodyText"/>
        <w:spacing w:line="246" w:lineRule="exact"/>
      </w:pPr>
      <w:r>
        <w:rPr>
          <w:spacing w:val="-3"/>
        </w:rPr>
        <w:t>的心功能衰竭。心功能衰竭程度达到美国纽约心脏病学会心功能状</w:t>
      </w:r>
    </w:p>
    <w:p>
      <w:pPr>
        <w:pStyle w:val="BodyText"/>
        <w:spacing w:line="244" w:lineRule="auto" w:before="2"/>
        <w:ind w:right="731"/>
      </w:pPr>
      <w:r>
        <w:rPr>
          <w:spacing w:val="-2"/>
        </w:rPr>
        <w:t>态分级</w:t>
      </w:r>
      <w:r>
        <w:rPr>
          <w:rFonts w:ascii="Times New Roman" w:eastAsia="Times New Roman"/>
          <w:spacing w:val="-2"/>
        </w:rPr>
        <w:t>IV</w:t>
      </w:r>
      <w:r>
        <w:rPr>
          <w:spacing w:val="-2"/>
        </w:rPr>
        <w:t>级。被保险人永久不可逆性的体力活动能力受限，不能从</w:t>
      </w:r>
      <w:r>
        <w:rPr>
          <w:spacing w:val="-2"/>
        </w:rPr>
        <w:t>事任何体力活动。</w:t>
      </w:r>
    </w:p>
    <w:p>
      <w:pPr>
        <w:pStyle w:val="BodyText"/>
        <w:spacing w:before="10"/>
        <w:ind w:left="0"/>
        <w:rPr>
          <w:sz w:val="10"/>
        </w:rPr>
      </w:pPr>
    </w:p>
    <w:p>
      <w:pPr>
        <w:spacing w:after="0"/>
        <w:rPr>
          <w:sz w:val="10"/>
        </w:rPr>
        <w:sectPr>
          <w:pgSz w:w="11910" w:h="16840"/>
          <w:pgMar w:header="0" w:footer="878" w:top="1280" w:bottom="1060" w:left="1480" w:right="440"/>
        </w:sectPr>
      </w:pPr>
    </w:p>
    <w:p>
      <w:pPr>
        <w:pStyle w:val="ListParagraph"/>
        <w:numPr>
          <w:ilvl w:val="1"/>
          <w:numId w:val="75"/>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严重原发性硬化性</w:t>
      </w:r>
    </w:p>
    <w:p>
      <w:pPr>
        <w:spacing w:line="329" w:lineRule="exact" w:before="0"/>
        <w:ind w:left="1071" w:right="0" w:firstLine="0"/>
        <w:jc w:val="left"/>
        <w:rPr>
          <w:rFonts w:ascii="微软雅黑" w:eastAsia="微软雅黑"/>
          <w:b/>
          <w:sz w:val="21"/>
        </w:rPr>
      </w:pPr>
      <w:r>
        <w:rPr>
          <w:rFonts w:ascii="微软雅黑" w:eastAsia="微软雅黑"/>
          <w:b/>
          <w:spacing w:val="-4"/>
          <w:sz w:val="21"/>
        </w:rPr>
        <w:t>胆管炎</w:t>
      </w:r>
    </w:p>
    <w:p>
      <w:pPr>
        <w:pStyle w:val="BodyText"/>
        <w:spacing w:line="242" w:lineRule="auto" w:before="100"/>
        <w:ind w:left="175" w:right="729"/>
      </w:pPr>
      <w:r>
        <w:rPr/>
        <w:br w:type="column"/>
      </w:r>
      <w:r>
        <w:rPr>
          <w:spacing w:val="-2"/>
        </w:rPr>
        <w:t>为一种特发型淤胆性疾病，特点为肝内及肝外胆道系统胆管壁增厚</w:t>
      </w:r>
      <w:r>
        <w:rPr>
          <w:spacing w:val="-2"/>
        </w:rPr>
        <w:t>和管腔狭窄。必须满足以下所有条件：</w:t>
      </w:r>
    </w:p>
    <w:p>
      <w:pPr>
        <w:pStyle w:val="ListParagraph"/>
        <w:numPr>
          <w:ilvl w:val="0"/>
          <w:numId w:val="77"/>
        </w:numPr>
        <w:tabs>
          <w:tab w:pos="707" w:val="left" w:leader="none"/>
        </w:tabs>
        <w:spacing w:line="242" w:lineRule="auto" w:before="1" w:after="0"/>
        <w:ind w:left="701" w:right="732" w:hanging="526"/>
        <w:jc w:val="left"/>
        <w:rPr>
          <w:sz w:val="21"/>
        </w:rPr>
      </w:pPr>
      <w:r>
        <w:rPr>
          <w:spacing w:val="-2"/>
          <w:sz w:val="21"/>
        </w:rPr>
        <w:t>诊断由逆行胰胆管造影（</w:t>
      </w:r>
      <w:r>
        <w:rPr>
          <w:rFonts w:ascii="Times New Roman" w:eastAsia="Times New Roman"/>
          <w:spacing w:val="-2"/>
          <w:sz w:val="21"/>
        </w:rPr>
        <w:t>ERCP</w:t>
      </w:r>
      <w:r>
        <w:rPr>
          <w:spacing w:val="-2"/>
          <w:sz w:val="21"/>
        </w:rPr>
        <w:t>）或经皮胆管造影（</w:t>
      </w:r>
      <w:r>
        <w:rPr>
          <w:rFonts w:ascii="Times New Roman" w:eastAsia="Times New Roman"/>
          <w:spacing w:val="-2"/>
          <w:sz w:val="21"/>
        </w:rPr>
        <w:t>PTC</w:t>
      </w:r>
      <w:r>
        <w:rPr>
          <w:spacing w:val="-2"/>
          <w:sz w:val="21"/>
        </w:rPr>
        <w:t>）</w:t>
      </w:r>
      <w:r>
        <w:rPr>
          <w:spacing w:val="-2"/>
          <w:sz w:val="21"/>
        </w:rPr>
        <w:t>确</w:t>
      </w:r>
      <w:r>
        <w:rPr>
          <w:spacing w:val="-6"/>
          <w:sz w:val="21"/>
        </w:rPr>
        <w:t>认；</w:t>
      </w:r>
    </w:p>
    <w:p>
      <w:pPr>
        <w:pStyle w:val="ListParagraph"/>
        <w:numPr>
          <w:ilvl w:val="0"/>
          <w:numId w:val="77"/>
        </w:numPr>
        <w:tabs>
          <w:tab w:pos="705" w:val="left" w:leader="none"/>
        </w:tabs>
        <w:spacing w:line="240" w:lineRule="auto" w:before="1" w:after="0"/>
        <w:ind w:left="704" w:right="0" w:hanging="530"/>
        <w:jc w:val="left"/>
        <w:rPr>
          <w:sz w:val="21"/>
        </w:rPr>
      </w:pPr>
      <w:r>
        <w:rPr>
          <w:spacing w:val="-2"/>
          <w:sz w:val="21"/>
        </w:rPr>
        <w:t>持续性黄疸伴碱性磷酸酶（</w:t>
      </w:r>
      <w:r>
        <w:rPr>
          <w:rFonts w:ascii="Times New Roman" w:eastAsia="Times New Roman"/>
          <w:spacing w:val="-2"/>
          <w:sz w:val="21"/>
        </w:rPr>
        <w:t>ALP</w:t>
      </w:r>
      <w:r>
        <w:rPr>
          <w:spacing w:val="-2"/>
          <w:sz w:val="21"/>
        </w:rPr>
        <w:t>）</w:t>
      </w:r>
      <w:r>
        <w:rPr>
          <w:spacing w:val="-4"/>
          <w:sz w:val="21"/>
        </w:rPr>
        <w:t>显著升高；</w:t>
      </w:r>
    </w:p>
    <w:p>
      <w:pPr>
        <w:pStyle w:val="ListParagraph"/>
        <w:numPr>
          <w:ilvl w:val="0"/>
          <w:numId w:val="77"/>
        </w:numPr>
        <w:tabs>
          <w:tab w:pos="705" w:val="left" w:leader="none"/>
        </w:tabs>
        <w:spacing w:line="240" w:lineRule="auto" w:before="3" w:after="0"/>
        <w:ind w:left="704" w:right="0" w:hanging="530"/>
        <w:jc w:val="left"/>
        <w:rPr>
          <w:sz w:val="21"/>
        </w:rPr>
      </w:pPr>
      <w:r>
        <w:rPr>
          <w:spacing w:val="-3"/>
          <w:sz w:val="21"/>
        </w:rPr>
        <w:t>出现继发性胆汁性肝硬化和门静脉高压。</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3"/>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75"/>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严重自身免疫性肝</w:t>
      </w:r>
    </w:p>
    <w:p>
      <w:pPr>
        <w:spacing w:line="330" w:lineRule="exact" w:before="0"/>
        <w:ind w:left="1071" w:right="0" w:firstLine="0"/>
        <w:jc w:val="left"/>
        <w:rPr>
          <w:rFonts w:ascii="微软雅黑" w:eastAsia="微软雅黑"/>
          <w:b/>
          <w:sz w:val="21"/>
        </w:rPr>
      </w:pPr>
      <w:r>
        <w:rPr>
          <w:rFonts w:ascii="微软雅黑" w:eastAsia="微软雅黑"/>
          <w:b/>
          <w:w w:val="100"/>
          <w:sz w:val="21"/>
        </w:rPr>
        <w:t>炎</w:t>
      </w:r>
    </w:p>
    <w:p>
      <w:pPr>
        <w:pStyle w:val="BodyText"/>
        <w:spacing w:line="242" w:lineRule="auto" w:before="100"/>
        <w:ind w:left="175" w:right="729"/>
        <w:jc w:val="both"/>
      </w:pPr>
      <w:r>
        <w:rPr/>
        <w:br w:type="column"/>
      </w:r>
      <w:r>
        <w:rPr>
          <w:spacing w:val="-2"/>
        </w:rPr>
        <w:t>自身免疫性肝炎是一种原因不明的慢性肝脏的坏死性炎性疾病，机</w:t>
      </w:r>
      <w:r>
        <w:rPr>
          <w:spacing w:val="-2"/>
        </w:rPr>
        <w:t>体免疫机制被破坏，产生针对肝脏自身抗原的抗体导致自身免疫反</w:t>
      </w:r>
      <w:r>
        <w:rPr>
          <w:spacing w:val="-2"/>
        </w:rPr>
        <w:t>应，从而破坏肝细胞造成肝脏炎症坏死，进而发展为肝硬化。必须</w:t>
      </w:r>
      <w:r>
        <w:rPr>
          <w:spacing w:val="-2"/>
        </w:rPr>
        <w:t>满足所有以下条件：</w:t>
      </w:r>
    </w:p>
    <w:p>
      <w:pPr>
        <w:pStyle w:val="ListParagraph"/>
        <w:numPr>
          <w:ilvl w:val="0"/>
          <w:numId w:val="78"/>
        </w:numPr>
        <w:tabs>
          <w:tab w:pos="705" w:val="left" w:leader="none"/>
        </w:tabs>
        <w:spacing w:line="240" w:lineRule="auto" w:before="3" w:after="0"/>
        <w:ind w:left="704" w:right="0" w:hanging="530"/>
        <w:jc w:val="left"/>
        <w:rPr>
          <w:sz w:val="21"/>
        </w:rPr>
      </w:pPr>
      <w:r>
        <w:rPr>
          <w:spacing w:val="-2"/>
          <w:sz w:val="21"/>
        </w:rPr>
        <w:t>高</w:t>
      </w:r>
      <w:r>
        <w:rPr>
          <w:rFonts w:ascii="Times New Roman" w:hAnsi="Times New Roman" w:eastAsia="Times New Roman"/>
          <w:spacing w:val="-2"/>
          <w:sz w:val="21"/>
        </w:rPr>
        <w:t>γ</w:t>
      </w:r>
      <w:r>
        <w:rPr>
          <w:spacing w:val="-4"/>
          <w:sz w:val="21"/>
        </w:rPr>
        <w:t>球蛋白血症；</w:t>
      </w:r>
    </w:p>
    <w:p>
      <w:pPr>
        <w:pStyle w:val="ListParagraph"/>
        <w:numPr>
          <w:ilvl w:val="0"/>
          <w:numId w:val="78"/>
        </w:numPr>
        <w:tabs>
          <w:tab w:pos="705" w:val="left" w:leader="none"/>
        </w:tabs>
        <w:spacing w:line="240" w:lineRule="auto" w:before="3" w:after="0"/>
        <w:ind w:left="704" w:right="0" w:hanging="530"/>
        <w:jc w:val="left"/>
        <w:rPr>
          <w:sz w:val="21"/>
        </w:rPr>
      </w:pPr>
      <w:r>
        <w:rPr>
          <w:spacing w:val="-2"/>
          <w:sz w:val="21"/>
        </w:rPr>
        <w:t>血液中存在高水平的自身免疫抗体，如</w:t>
      </w:r>
      <w:r>
        <w:rPr>
          <w:rFonts w:ascii="Times New Roman" w:eastAsia="Times New Roman"/>
          <w:spacing w:val="-2"/>
          <w:sz w:val="21"/>
        </w:rPr>
        <w:t>ANA</w:t>
      </w:r>
      <w:r>
        <w:rPr>
          <w:spacing w:val="-2"/>
          <w:sz w:val="21"/>
        </w:rPr>
        <w:t>（抗核抗体</w:t>
      </w:r>
      <w:r>
        <w:rPr>
          <w:spacing w:val="-108"/>
          <w:sz w:val="21"/>
        </w:rPr>
        <w:t>）</w:t>
      </w:r>
      <w:r>
        <w:rPr>
          <w:spacing w:val="-10"/>
          <w:sz w:val="21"/>
        </w:rPr>
        <w:t>、</w:t>
      </w:r>
    </w:p>
    <w:p>
      <w:pPr>
        <w:pStyle w:val="BodyText"/>
        <w:spacing w:before="4"/>
        <w:ind w:left="701"/>
      </w:pPr>
      <w:r>
        <w:rPr>
          <w:rFonts w:ascii="Times New Roman" w:eastAsia="Times New Roman"/>
          <w:spacing w:val="-2"/>
        </w:rPr>
        <w:t>SMA</w:t>
      </w:r>
      <w:r>
        <w:rPr>
          <w:spacing w:val="-2"/>
        </w:rPr>
        <w:t>（抗平滑肌抗体</w:t>
      </w:r>
      <w:r>
        <w:rPr>
          <w:spacing w:val="-108"/>
        </w:rPr>
        <w:t>）</w:t>
      </w:r>
      <w:r>
        <w:rPr>
          <w:spacing w:val="-2"/>
        </w:rPr>
        <w:t>、抗</w:t>
      </w:r>
      <w:r>
        <w:rPr>
          <w:rFonts w:ascii="Times New Roman" w:eastAsia="Times New Roman"/>
          <w:spacing w:val="-2"/>
        </w:rPr>
        <w:t>LKM1</w:t>
      </w:r>
      <w:r>
        <w:rPr>
          <w:spacing w:val="-2"/>
        </w:rPr>
        <w:t>抗体或抗</w:t>
      </w:r>
      <w:r>
        <w:rPr>
          <w:rFonts w:ascii="Times New Roman" w:eastAsia="Times New Roman"/>
          <w:spacing w:val="-2"/>
        </w:rPr>
        <w:t>-SLA/LP</w:t>
      </w:r>
      <w:r>
        <w:rPr>
          <w:spacing w:val="-5"/>
        </w:rPr>
        <w:t>抗体；</w:t>
      </w:r>
    </w:p>
    <w:p>
      <w:pPr>
        <w:pStyle w:val="ListParagraph"/>
        <w:numPr>
          <w:ilvl w:val="0"/>
          <w:numId w:val="78"/>
        </w:numPr>
        <w:tabs>
          <w:tab w:pos="705" w:val="left" w:leader="none"/>
        </w:tabs>
        <w:spacing w:line="240" w:lineRule="auto" w:before="2" w:after="0"/>
        <w:ind w:left="704" w:right="0" w:hanging="530"/>
        <w:jc w:val="left"/>
        <w:rPr>
          <w:sz w:val="21"/>
        </w:rPr>
      </w:pPr>
      <w:r>
        <w:rPr>
          <w:spacing w:val="-3"/>
          <w:sz w:val="21"/>
        </w:rPr>
        <w:t>肝脏活检证实免疫性肝炎；</w:t>
      </w:r>
    </w:p>
    <w:p>
      <w:pPr>
        <w:pStyle w:val="ListParagraph"/>
        <w:numPr>
          <w:ilvl w:val="0"/>
          <w:numId w:val="78"/>
        </w:numPr>
        <w:tabs>
          <w:tab w:pos="705" w:val="left" w:leader="none"/>
        </w:tabs>
        <w:spacing w:line="240" w:lineRule="auto" w:before="5" w:after="0"/>
        <w:ind w:left="704" w:right="0" w:hanging="530"/>
        <w:jc w:val="left"/>
        <w:rPr>
          <w:sz w:val="21"/>
        </w:rPr>
      </w:pPr>
      <w:r>
        <w:rPr>
          <w:spacing w:val="-3"/>
          <w:sz w:val="21"/>
        </w:rPr>
        <w:t>临床已经出现腹水、食道静脉曲张和脾肿大等肝硬化表现。</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3"/>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75"/>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原发性骨髓纤维化</w:t>
      </w:r>
    </w:p>
    <w:p>
      <w:pPr>
        <w:spacing w:line="329" w:lineRule="exact" w:before="0"/>
        <w:ind w:left="1057" w:right="976" w:firstLine="0"/>
        <w:jc w:val="center"/>
        <w:rPr>
          <w:rFonts w:ascii="微软雅黑" w:eastAsia="微软雅黑"/>
          <w:b/>
          <w:sz w:val="21"/>
        </w:rPr>
      </w:pPr>
      <w:r>
        <w:rPr>
          <w:rFonts w:ascii="微软雅黑" w:eastAsia="微软雅黑"/>
          <w:b/>
          <w:spacing w:val="-2"/>
          <w:sz w:val="21"/>
        </w:rPr>
        <w:t>（</w:t>
      </w:r>
      <w:r>
        <w:rPr>
          <w:rFonts w:ascii="Times New Roman" w:eastAsia="Times New Roman"/>
          <w:b/>
          <w:spacing w:val="-2"/>
          <w:sz w:val="21"/>
        </w:rPr>
        <w:t>PMF</w:t>
      </w:r>
      <w:r>
        <w:rPr>
          <w:rFonts w:ascii="微软雅黑" w:eastAsia="微软雅黑"/>
          <w:b/>
          <w:spacing w:val="-2"/>
          <w:sz w:val="21"/>
        </w:rPr>
        <w:t>）</w:t>
      </w:r>
    </w:p>
    <w:p>
      <w:pPr>
        <w:pStyle w:val="BodyText"/>
        <w:spacing w:line="242" w:lineRule="auto" w:before="100"/>
        <w:ind w:left="175" w:right="729"/>
      </w:pPr>
      <w:r>
        <w:rPr/>
        <w:br w:type="column"/>
      </w:r>
      <w:r>
        <w:rPr>
          <w:spacing w:val="-2"/>
        </w:rPr>
        <w:t>原发性骨髓纤维化以骨髓纤维增生和髓外造血为特点，表现为进行</w:t>
      </w:r>
      <w:r>
        <w:rPr>
          <w:spacing w:val="-2"/>
        </w:rPr>
        <w:t>性贫血、脾肿大、外周血幼稚细胞等等。</w:t>
      </w:r>
    </w:p>
    <w:p>
      <w:pPr>
        <w:pStyle w:val="BodyText"/>
        <w:spacing w:line="242" w:lineRule="auto" w:before="2"/>
        <w:ind w:left="175" w:right="729"/>
      </w:pPr>
      <w:r>
        <w:rPr>
          <w:spacing w:val="-2"/>
        </w:rPr>
        <w:t>被保险人须经由骨髓活检明确诊断为原发性骨髓纤维化，并满足下</w:t>
      </w:r>
      <w:r>
        <w:rPr>
          <w:spacing w:val="-2"/>
        </w:rPr>
        <w:t>列所有条件且持续</w:t>
      </w:r>
      <w:r>
        <w:rPr>
          <w:rFonts w:ascii="Times New Roman" w:eastAsia="Times New Roman"/>
          <w:spacing w:val="-2"/>
        </w:rPr>
        <w:t>180</w:t>
      </w:r>
      <w:r>
        <w:rPr>
          <w:spacing w:val="-2"/>
        </w:rPr>
        <w:t>天：</w:t>
      </w:r>
    </w:p>
    <w:p>
      <w:pPr>
        <w:pStyle w:val="BodyText"/>
        <w:spacing w:before="1"/>
        <w:ind w:left="175"/>
      </w:pPr>
      <w:r>
        <w:rPr>
          <w:spacing w:val="-2"/>
        </w:rPr>
        <w:t>（</w:t>
      </w:r>
      <w:r>
        <w:rPr>
          <w:rFonts w:ascii="Times New Roman" w:eastAsia="Times New Roman"/>
          <w:spacing w:val="-2"/>
        </w:rPr>
        <w:t>1</w:t>
      </w:r>
      <w:r>
        <w:rPr>
          <w:spacing w:val="-2"/>
        </w:rPr>
        <w:t>）血红蛋白</w:t>
      </w:r>
      <w:r>
        <w:rPr>
          <w:rFonts w:ascii="Times New Roman" w:eastAsia="Times New Roman"/>
          <w:spacing w:val="-2"/>
        </w:rPr>
        <w:t>&lt;100g/l</w:t>
      </w:r>
      <w:r>
        <w:rPr>
          <w:spacing w:val="-2"/>
        </w:rPr>
        <w:t>；</w:t>
      </w:r>
    </w:p>
    <w:p>
      <w:pPr>
        <w:pStyle w:val="BodyText"/>
        <w:spacing w:before="2"/>
        <w:ind w:left="175"/>
      </w:pPr>
      <w:r>
        <w:rPr>
          <w:spacing w:val="-4"/>
        </w:rPr>
        <w:t>（</w:t>
      </w:r>
      <w:r>
        <w:rPr>
          <w:rFonts w:ascii="Times New Roman" w:hAnsi="Times New Roman" w:eastAsia="Times New Roman"/>
          <w:spacing w:val="-4"/>
        </w:rPr>
        <w:t>2</w:t>
      </w:r>
      <w:r>
        <w:rPr>
          <w:spacing w:val="-4"/>
        </w:rPr>
        <w:t>）白细胞计数</w:t>
      </w:r>
      <w:r>
        <w:rPr>
          <w:rFonts w:ascii="Times New Roman" w:hAnsi="Times New Roman" w:eastAsia="Times New Roman"/>
          <w:spacing w:val="-4"/>
        </w:rPr>
        <w:t>&gt;25×10</w:t>
      </w:r>
      <w:r>
        <w:rPr>
          <w:rFonts w:ascii="Times New Roman" w:hAnsi="Times New Roman" w:eastAsia="Times New Roman"/>
          <w:spacing w:val="-11"/>
        </w:rPr>
        <w:t> </w:t>
      </w:r>
      <w:r>
        <w:rPr>
          <w:rFonts w:ascii="Times New Roman" w:hAnsi="Times New Roman" w:eastAsia="Times New Roman"/>
          <w:spacing w:val="-4"/>
          <w:position w:val="7"/>
          <w:sz w:val="14"/>
        </w:rPr>
        <w:t>9</w:t>
      </w:r>
      <w:r>
        <w:rPr>
          <w:rFonts w:ascii="Times New Roman" w:hAnsi="Times New Roman" w:eastAsia="Times New Roman"/>
          <w:spacing w:val="-4"/>
        </w:rPr>
        <w:t>/L</w:t>
      </w:r>
      <w:r>
        <w:rPr>
          <w:spacing w:val="-4"/>
        </w:rPr>
        <w:t>；</w:t>
      </w:r>
    </w:p>
    <w:p>
      <w:pPr>
        <w:pStyle w:val="BodyText"/>
        <w:spacing w:before="5"/>
        <w:ind w:left="175"/>
      </w:pPr>
      <w:r>
        <w:rPr>
          <w:spacing w:val="-2"/>
        </w:rPr>
        <w:t>（</w:t>
      </w:r>
      <w:r>
        <w:rPr>
          <w:rFonts w:ascii="Times New Roman" w:hAnsi="Times New Roman" w:eastAsia="Times New Roman"/>
          <w:spacing w:val="-2"/>
        </w:rPr>
        <w:t>3</w:t>
      </w:r>
      <w:r>
        <w:rPr>
          <w:spacing w:val="-2"/>
        </w:rPr>
        <w:t>）</w:t>
      </w:r>
      <w:r>
        <w:rPr>
          <w:spacing w:val="-3"/>
        </w:rPr>
        <w:t>外周血原始细胞≥</w:t>
      </w:r>
      <w:r>
        <w:rPr>
          <w:rFonts w:ascii="Times New Roman" w:hAnsi="Times New Roman" w:eastAsia="Times New Roman"/>
          <w:spacing w:val="-4"/>
        </w:rPr>
        <w:t>1%</w:t>
      </w:r>
      <w:r>
        <w:rPr>
          <w:spacing w:val="-4"/>
        </w:rPr>
        <w:t>；</w:t>
      </w:r>
    </w:p>
    <w:p>
      <w:pPr>
        <w:pStyle w:val="BodyText"/>
        <w:spacing w:line="238" w:lineRule="exact" w:before="2"/>
        <w:ind w:left="175"/>
      </w:pPr>
      <w:r>
        <w:rPr>
          <w:w w:val="95"/>
        </w:rPr>
        <w:t>（</w:t>
      </w:r>
      <w:r>
        <w:rPr>
          <w:rFonts w:ascii="Times New Roman" w:hAnsi="Times New Roman" w:eastAsia="Times New Roman"/>
          <w:w w:val="95"/>
        </w:rPr>
        <w:t>4</w:t>
      </w:r>
      <w:r>
        <w:rPr>
          <w:w w:val="95"/>
        </w:rPr>
        <w:t>）血小板计数</w:t>
      </w:r>
      <w:r>
        <w:rPr>
          <w:rFonts w:ascii="Times New Roman" w:hAnsi="Times New Roman" w:eastAsia="Times New Roman"/>
          <w:w w:val="95"/>
        </w:rPr>
        <w:t>&lt;100×10</w:t>
      </w:r>
      <w:r>
        <w:rPr>
          <w:rFonts w:ascii="Times New Roman" w:hAnsi="Times New Roman" w:eastAsia="Times New Roman"/>
          <w:spacing w:val="55"/>
        </w:rPr>
        <w:t> </w:t>
      </w:r>
      <w:r>
        <w:rPr>
          <w:rFonts w:ascii="Times New Roman" w:hAnsi="Times New Roman" w:eastAsia="Times New Roman"/>
          <w:w w:val="95"/>
          <w:position w:val="7"/>
          <w:sz w:val="14"/>
        </w:rPr>
        <w:t>9</w:t>
      </w:r>
      <w:r>
        <w:rPr>
          <w:rFonts w:ascii="Times New Roman" w:hAnsi="Times New Roman" w:eastAsia="Times New Roman"/>
          <w:w w:val="95"/>
        </w:rPr>
        <w:t>/L</w:t>
      </w:r>
      <w:r>
        <w:rPr>
          <w:spacing w:val="-10"/>
          <w:w w:val="95"/>
        </w:rPr>
        <w:t>。</w:t>
      </w:r>
    </w:p>
    <w:p>
      <w:pPr>
        <w:spacing w:line="168" w:lineRule="auto" w:before="52"/>
        <w:ind w:left="175" w:right="732" w:firstLine="0"/>
        <w:jc w:val="left"/>
        <w:rPr>
          <w:rFonts w:ascii="微软雅黑" w:eastAsia="微软雅黑"/>
          <w:b/>
          <w:sz w:val="21"/>
        </w:rPr>
      </w:pPr>
      <w:r>
        <w:rPr>
          <w:rFonts w:ascii="微软雅黑" w:eastAsia="微软雅黑"/>
          <w:b/>
          <w:spacing w:val="-2"/>
          <w:sz w:val="21"/>
        </w:rPr>
        <w:t>恶性肿瘤、中毒、放射线和感染所致的继发性骨髓纤维化不在保障</w:t>
      </w:r>
      <w:r>
        <w:rPr>
          <w:rFonts w:ascii="微软雅黑" w:eastAsia="微软雅黑"/>
          <w:b/>
          <w:spacing w:val="-4"/>
          <w:sz w:val="21"/>
        </w:rPr>
        <w:t>范围内。</w:t>
      </w:r>
    </w:p>
    <w:p>
      <w:pPr>
        <w:spacing w:after="0" w:line="168" w:lineRule="auto"/>
        <w:jc w:val="left"/>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16"/>
        <w:ind w:left="0"/>
        <w:rPr>
          <w:rFonts w:ascii="微软雅黑"/>
          <w:b/>
          <w:sz w:val="6"/>
        </w:rPr>
      </w:pPr>
    </w:p>
    <w:p>
      <w:pPr>
        <w:spacing w:after="0"/>
        <w:rPr>
          <w:rFonts w:ascii="微软雅黑"/>
          <w:sz w:val="6"/>
        </w:rPr>
        <w:sectPr>
          <w:type w:val="continuous"/>
          <w:pgSz w:w="11910" w:h="16840"/>
          <w:pgMar w:header="0" w:footer="878" w:top="160" w:bottom="280" w:left="1480" w:right="440"/>
        </w:sectPr>
      </w:pPr>
    </w:p>
    <w:p>
      <w:pPr>
        <w:pStyle w:val="ListParagraph"/>
        <w:numPr>
          <w:ilvl w:val="1"/>
          <w:numId w:val="75"/>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严重骨髓增生异常</w:t>
      </w:r>
    </w:p>
    <w:p>
      <w:pPr>
        <w:spacing w:line="330" w:lineRule="exact" w:before="0"/>
        <w:ind w:left="1071" w:right="0" w:firstLine="0"/>
        <w:jc w:val="left"/>
        <w:rPr>
          <w:rFonts w:ascii="微软雅黑" w:eastAsia="微软雅黑"/>
          <w:b/>
          <w:sz w:val="21"/>
        </w:rPr>
      </w:pPr>
      <w:r>
        <w:rPr>
          <w:rFonts w:ascii="微软雅黑" w:eastAsia="微软雅黑"/>
          <w:b/>
          <w:sz w:val="21"/>
        </w:rPr>
        <w:t>综合征</w:t>
      </w:r>
      <w:r>
        <w:rPr>
          <w:rFonts w:ascii="微软雅黑" w:eastAsia="微软雅黑"/>
          <w:b/>
          <w:spacing w:val="-2"/>
          <w:sz w:val="21"/>
        </w:rPr>
        <w:t>（</w:t>
      </w:r>
      <w:r>
        <w:rPr>
          <w:rFonts w:ascii="Times New Roman" w:eastAsia="Times New Roman"/>
          <w:b/>
          <w:spacing w:val="-2"/>
          <w:sz w:val="21"/>
        </w:rPr>
        <w:t>MDS</w:t>
      </w:r>
      <w:r>
        <w:rPr>
          <w:rFonts w:ascii="微软雅黑" w:eastAsia="微软雅黑"/>
          <w:b/>
          <w:spacing w:val="-2"/>
          <w:sz w:val="21"/>
        </w:rPr>
        <w:t>）</w:t>
      </w:r>
    </w:p>
    <w:p>
      <w:pPr>
        <w:pStyle w:val="BodyText"/>
        <w:spacing w:line="242" w:lineRule="auto" w:before="100"/>
        <w:ind w:left="175" w:right="729"/>
        <w:jc w:val="both"/>
      </w:pPr>
      <w:r>
        <w:rPr/>
        <w:br w:type="column"/>
      </w:r>
      <w:r>
        <w:rPr>
          <w:spacing w:val="-2"/>
        </w:rPr>
        <w:t>骨髓增生异常综合征是起源于造血干细胞的一组骨髓克隆异常的疾</w:t>
      </w:r>
      <w:r>
        <w:rPr>
          <w:spacing w:val="-2"/>
        </w:rPr>
        <w:t>病，表现为无效造血、难治性血细胞减少，有转化为急性髓系白血</w:t>
      </w:r>
      <w:r>
        <w:rPr>
          <w:spacing w:val="-2"/>
        </w:rPr>
        <w:t>病的风险。</w:t>
      </w:r>
    </w:p>
    <w:p>
      <w:pPr>
        <w:pStyle w:val="BodyText"/>
        <w:spacing w:line="242" w:lineRule="auto" w:before="3"/>
        <w:ind w:left="175" w:right="729"/>
      </w:pPr>
      <w:r>
        <w:rPr>
          <w:spacing w:val="-2"/>
        </w:rPr>
        <w:t>被保险人须经由外周血和骨髓活检被明确诊断为骨髓增生异常综合</w:t>
      </w:r>
      <w:r>
        <w:rPr>
          <w:spacing w:val="-2"/>
        </w:rPr>
        <w:t>征，并且满足下列所有条件：</w:t>
      </w:r>
    </w:p>
    <w:p>
      <w:pPr>
        <w:pStyle w:val="ListParagraph"/>
        <w:numPr>
          <w:ilvl w:val="0"/>
          <w:numId w:val="79"/>
        </w:numPr>
        <w:tabs>
          <w:tab w:pos="703" w:val="left" w:leader="none"/>
        </w:tabs>
        <w:spacing w:line="240" w:lineRule="auto" w:before="2" w:after="0"/>
        <w:ind w:left="702" w:right="0" w:hanging="528"/>
        <w:jc w:val="left"/>
        <w:rPr>
          <w:sz w:val="21"/>
        </w:rPr>
      </w:pPr>
      <w:r>
        <w:rPr>
          <w:spacing w:val="-6"/>
          <w:sz w:val="21"/>
        </w:rPr>
        <w:t>根据</w:t>
      </w:r>
      <w:r>
        <w:rPr>
          <w:rFonts w:ascii="Times New Roman" w:eastAsia="Times New Roman"/>
          <w:spacing w:val="-6"/>
          <w:sz w:val="21"/>
        </w:rPr>
        <w:t>WHO</w:t>
      </w:r>
      <w:r>
        <w:rPr>
          <w:spacing w:val="-6"/>
          <w:sz w:val="21"/>
        </w:rPr>
        <w:t>分型，分型为难治性贫血伴原始细胞增多</w:t>
      </w:r>
      <w:r>
        <w:rPr>
          <w:spacing w:val="25"/>
          <w:sz w:val="21"/>
        </w:rPr>
        <w:t>（</w:t>
      </w:r>
      <w:r>
        <w:rPr>
          <w:rFonts w:ascii="Times New Roman" w:eastAsia="Times New Roman"/>
          <w:spacing w:val="23"/>
          <w:sz w:val="21"/>
        </w:rPr>
        <w:t>RA</w:t>
      </w:r>
      <w:r>
        <w:rPr>
          <w:rFonts w:ascii="Times New Roman" w:eastAsia="Times New Roman"/>
          <w:spacing w:val="25"/>
          <w:sz w:val="21"/>
        </w:rPr>
        <w:t>E</w:t>
      </w:r>
      <w:r>
        <w:rPr>
          <w:rFonts w:ascii="Times New Roman" w:eastAsia="Times New Roman"/>
          <w:spacing w:val="23"/>
          <w:sz w:val="21"/>
        </w:rPr>
        <w:t>B</w:t>
      </w:r>
      <w:r>
        <w:rPr>
          <w:spacing w:val="-83"/>
          <w:sz w:val="21"/>
        </w:rPr>
        <w:t>）；</w:t>
      </w:r>
    </w:p>
    <w:p>
      <w:pPr>
        <w:pStyle w:val="ListParagraph"/>
        <w:numPr>
          <w:ilvl w:val="0"/>
          <w:numId w:val="79"/>
        </w:numPr>
        <w:tabs>
          <w:tab w:pos="705" w:val="left" w:leader="none"/>
        </w:tabs>
        <w:spacing w:line="244" w:lineRule="auto" w:before="2" w:after="0"/>
        <w:ind w:left="701" w:right="731" w:hanging="526"/>
        <w:jc w:val="left"/>
        <w:rPr>
          <w:sz w:val="21"/>
        </w:rPr>
      </w:pPr>
      <w:r>
        <w:rPr>
          <w:spacing w:val="-2"/>
          <w:sz w:val="21"/>
        </w:rPr>
        <w:t>根据</w:t>
      </w:r>
      <w:r>
        <w:rPr>
          <w:rFonts w:ascii="Times New Roman" w:hAnsi="Times New Roman" w:eastAsia="Times New Roman"/>
          <w:spacing w:val="-2"/>
          <w:sz w:val="21"/>
        </w:rPr>
        <w:t>“</w:t>
      </w:r>
      <w:r>
        <w:rPr>
          <w:spacing w:val="-2"/>
          <w:sz w:val="21"/>
        </w:rPr>
        <w:t>骨髓增生异常综合征修订国际预后积分系统（</w:t>
      </w:r>
      <w:r>
        <w:rPr>
          <w:rFonts w:ascii="Times New Roman" w:hAnsi="Times New Roman" w:eastAsia="Times New Roman"/>
          <w:spacing w:val="-2"/>
          <w:sz w:val="21"/>
        </w:rPr>
        <w:t>IPSS-R</w:t>
      </w:r>
      <w:r>
        <w:rPr>
          <w:spacing w:val="-2"/>
          <w:sz w:val="21"/>
        </w:rPr>
        <w:t>）</w:t>
      </w:r>
      <w:r>
        <w:rPr>
          <w:rFonts w:ascii="Times New Roman" w:hAnsi="Times New Roman" w:eastAsia="Times New Roman"/>
          <w:spacing w:val="-2"/>
          <w:sz w:val="21"/>
        </w:rPr>
        <w:t>”</w:t>
      </w:r>
      <w:r>
        <w:rPr>
          <w:spacing w:val="-2"/>
          <w:sz w:val="21"/>
        </w:rPr>
        <w:t>积分≥</w:t>
      </w:r>
      <w:r>
        <w:rPr>
          <w:rFonts w:ascii="Times New Roman" w:hAnsi="Times New Roman" w:eastAsia="Times New Roman"/>
          <w:spacing w:val="-2"/>
          <w:sz w:val="21"/>
        </w:rPr>
        <w:t>3</w:t>
      </w:r>
      <w:r>
        <w:rPr>
          <w:spacing w:val="-2"/>
          <w:sz w:val="21"/>
        </w:rPr>
        <w:t>，属于中危及以上组。</w:t>
      </w:r>
    </w:p>
    <w:p>
      <w:pPr>
        <w:spacing w:after="0" w:line="244"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10"/>
        <w:ind w:left="0"/>
        <w:rPr>
          <w:sz w:val="10"/>
        </w:rPr>
      </w:pPr>
    </w:p>
    <w:p>
      <w:pPr>
        <w:pStyle w:val="ListParagraph"/>
        <w:numPr>
          <w:ilvl w:val="1"/>
          <w:numId w:val="75"/>
        </w:numPr>
        <w:tabs>
          <w:tab w:pos="849" w:val="left" w:leader="none"/>
          <w:tab w:pos="1072" w:val="left" w:leader="none"/>
          <w:tab w:pos="2930" w:val="left" w:leader="none"/>
        </w:tabs>
        <w:spacing w:line="363" w:lineRule="exact" w:before="33" w:after="0"/>
        <w:ind w:left="1071" w:right="729" w:hanging="1072"/>
        <w:jc w:val="right"/>
        <w:rPr>
          <w:sz w:val="21"/>
        </w:rPr>
      </w:pPr>
      <w:r>
        <w:rPr>
          <w:rFonts w:ascii="微软雅黑" w:eastAsia="微软雅黑"/>
          <w:b/>
          <w:sz w:val="21"/>
        </w:rPr>
        <w:t>严重癫</w:t>
      </w:r>
      <w:r>
        <w:rPr>
          <w:rFonts w:ascii="微软雅黑" w:eastAsia="微软雅黑"/>
          <w:b/>
          <w:spacing w:val="-10"/>
          <w:sz w:val="21"/>
        </w:rPr>
        <w:t>痫</w:t>
      </w:r>
      <w:r>
        <w:rPr>
          <w:rFonts w:ascii="微软雅黑" w:eastAsia="微软雅黑"/>
          <w:b/>
          <w:sz w:val="21"/>
        </w:rPr>
        <w:tab/>
      </w:r>
      <w:r>
        <w:rPr>
          <w:spacing w:val="-2"/>
          <w:sz w:val="21"/>
        </w:rPr>
        <w:t>本</w:t>
      </w:r>
      <w:r>
        <w:rPr>
          <w:spacing w:val="-2"/>
          <w:sz w:val="21"/>
        </w:rPr>
        <w:t>疾</w:t>
      </w:r>
      <w:r>
        <w:rPr>
          <w:spacing w:val="-2"/>
          <w:sz w:val="21"/>
        </w:rPr>
        <w:t>病</w:t>
      </w:r>
      <w:r>
        <w:rPr>
          <w:spacing w:val="-2"/>
          <w:sz w:val="21"/>
        </w:rPr>
        <w:t>的</w:t>
      </w:r>
      <w:r>
        <w:rPr>
          <w:spacing w:val="-2"/>
          <w:sz w:val="21"/>
        </w:rPr>
        <w:t>诊</w:t>
      </w:r>
      <w:r>
        <w:rPr>
          <w:spacing w:val="-2"/>
          <w:sz w:val="21"/>
        </w:rPr>
        <w:t>断须由</w:t>
      </w:r>
      <w:r>
        <w:rPr>
          <w:spacing w:val="-2"/>
          <w:sz w:val="21"/>
        </w:rPr>
        <w:t>神</w:t>
      </w:r>
      <w:r>
        <w:rPr>
          <w:spacing w:val="-2"/>
          <w:sz w:val="21"/>
        </w:rPr>
        <w:t>经</w:t>
      </w:r>
      <w:r>
        <w:rPr>
          <w:spacing w:val="-2"/>
          <w:sz w:val="21"/>
        </w:rPr>
        <w:t>科</w:t>
      </w:r>
      <w:r>
        <w:rPr>
          <w:spacing w:val="-2"/>
          <w:sz w:val="21"/>
        </w:rPr>
        <w:t>或</w:t>
      </w:r>
      <w:r>
        <w:rPr>
          <w:spacing w:val="-2"/>
          <w:sz w:val="21"/>
        </w:rPr>
        <w:t>儿</w:t>
      </w:r>
      <w:r>
        <w:rPr>
          <w:spacing w:val="-2"/>
          <w:sz w:val="21"/>
        </w:rPr>
        <w:t>科</w:t>
      </w:r>
      <w:r>
        <w:rPr>
          <w:spacing w:val="-2"/>
          <w:sz w:val="21"/>
        </w:rPr>
        <w:t>专</w:t>
      </w:r>
      <w:r>
        <w:rPr>
          <w:spacing w:val="-2"/>
          <w:sz w:val="21"/>
        </w:rPr>
        <w:t>科</w:t>
      </w:r>
      <w:r>
        <w:rPr>
          <w:spacing w:val="-2"/>
          <w:sz w:val="21"/>
        </w:rPr>
        <w:t>医生根</w:t>
      </w:r>
      <w:r>
        <w:rPr>
          <w:spacing w:val="-2"/>
          <w:sz w:val="21"/>
        </w:rPr>
        <w:t>据</w:t>
      </w:r>
      <w:r>
        <w:rPr>
          <w:spacing w:val="-2"/>
          <w:sz w:val="21"/>
        </w:rPr>
        <w:t>典</w:t>
      </w:r>
      <w:r>
        <w:rPr>
          <w:spacing w:val="-2"/>
          <w:sz w:val="21"/>
        </w:rPr>
        <w:t>型</w:t>
      </w:r>
      <w:r>
        <w:rPr>
          <w:spacing w:val="-2"/>
          <w:sz w:val="21"/>
        </w:rPr>
        <w:t>临</w:t>
      </w:r>
      <w:r>
        <w:rPr>
          <w:spacing w:val="-2"/>
          <w:sz w:val="21"/>
        </w:rPr>
        <w:t>床</w:t>
      </w:r>
      <w:r>
        <w:rPr>
          <w:spacing w:val="-2"/>
          <w:sz w:val="21"/>
        </w:rPr>
        <w:t>症</w:t>
      </w:r>
      <w:r>
        <w:rPr>
          <w:spacing w:val="-2"/>
          <w:sz w:val="21"/>
        </w:rPr>
        <w:t>状</w:t>
      </w:r>
      <w:r>
        <w:rPr>
          <w:spacing w:val="-2"/>
          <w:sz w:val="21"/>
        </w:rPr>
        <w:t>和</w:t>
      </w:r>
      <w:r>
        <w:rPr>
          <w:spacing w:val="-2"/>
          <w:sz w:val="21"/>
        </w:rPr>
        <w:t>脑</w:t>
      </w:r>
      <w:r>
        <w:rPr>
          <w:spacing w:val="-10"/>
          <w:sz w:val="21"/>
        </w:rPr>
        <w:t>电</w:t>
      </w:r>
    </w:p>
    <w:p>
      <w:pPr>
        <w:pStyle w:val="BodyText"/>
        <w:spacing w:line="245" w:lineRule="exact"/>
        <w:ind w:left="0" w:right="731"/>
        <w:jc w:val="right"/>
      </w:pPr>
      <w:r>
        <w:rPr>
          <w:spacing w:val="-4"/>
        </w:rPr>
        <w:t>图及计算机断层扫描</w:t>
      </w:r>
      <w:r>
        <w:rPr>
          <w:spacing w:val="23"/>
        </w:rPr>
        <w:t>（</w:t>
      </w:r>
      <w:r>
        <w:rPr>
          <w:rFonts w:ascii="Times New Roman" w:eastAsia="Times New Roman"/>
          <w:spacing w:val="21"/>
        </w:rPr>
        <w:t>CT</w:t>
      </w:r>
      <w:r>
        <w:rPr>
          <w:spacing w:val="-83"/>
        </w:rPr>
        <w:t>）</w:t>
      </w:r>
      <w:r>
        <w:rPr>
          <w:spacing w:val="-4"/>
        </w:rPr>
        <w:t>、核磁共振检查（</w:t>
      </w:r>
      <w:r>
        <w:rPr>
          <w:rFonts w:ascii="Times New Roman" w:eastAsia="Times New Roman"/>
          <w:spacing w:val="-4"/>
        </w:rPr>
        <w:t>MRI</w:t>
      </w:r>
      <w:r>
        <w:rPr>
          <w:spacing w:val="-4"/>
        </w:rPr>
        <w:t>）</w:t>
      </w:r>
      <w:r>
        <w:rPr>
          <w:spacing w:val="-5"/>
        </w:rPr>
        <w:t>或正电子发射</w:t>
      </w:r>
    </w:p>
    <w:p>
      <w:pPr>
        <w:pStyle w:val="BodyText"/>
        <w:spacing w:line="242" w:lineRule="auto" w:before="4"/>
        <w:ind w:right="729"/>
        <w:jc w:val="both"/>
      </w:pPr>
      <w:r>
        <w:rPr>
          <w:spacing w:val="-2"/>
        </w:rPr>
        <w:t>断层扫描（</w:t>
      </w:r>
      <w:r>
        <w:rPr>
          <w:rFonts w:ascii="Times New Roman" w:eastAsia="Times New Roman"/>
          <w:spacing w:val="-2"/>
        </w:rPr>
        <w:t>PET</w:t>
      </w:r>
      <w:r>
        <w:rPr>
          <w:spacing w:val="-2"/>
        </w:rPr>
        <w:t>）等影像学检查作出。理赔时必须提供</w:t>
      </w:r>
      <w:r>
        <w:rPr>
          <w:rFonts w:ascii="Times New Roman" w:eastAsia="Times New Roman"/>
          <w:spacing w:val="-2"/>
        </w:rPr>
        <w:t>6</w:t>
      </w:r>
      <w:r>
        <w:rPr>
          <w:spacing w:val="-2"/>
        </w:rPr>
        <w:t>个月以上的</w:t>
      </w:r>
      <w:r>
        <w:rPr>
          <w:spacing w:val="-2"/>
        </w:rPr>
        <w:t>相关病历记录证明被保险人存在经抗癫痫药物治疗无效而反复发作</w:t>
      </w:r>
      <w:r>
        <w:rPr>
          <w:spacing w:val="-2"/>
        </w:rPr>
        <w:t>的强直痉挛发作或癫痫大发作，且已经实施了神经外科手术以治疗</w:t>
      </w:r>
      <w:r>
        <w:rPr>
          <w:spacing w:val="-2"/>
        </w:rPr>
        <w:t>反复发作的癫痫。</w:t>
      </w:r>
    </w:p>
    <w:p>
      <w:pPr>
        <w:spacing w:line="168" w:lineRule="auto" w:before="19"/>
        <w:ind w:left="3153" w:right="732" w:firstLine="0"/>
        <w:jc w:val="left"/>
        <w:rPr>
          <w:rFonts w:ascii="微软雅黑" w:eastAsia="微软雅黑"/>
          <w:b/>
          <w:sz w:val="21"/>
        </w:rPr>
      </w:pPr>
      <w:r>
        <w:rPr>
          <w:rFonts w:ascii="微软雅黑" w:eastAsia="微软雅黑"/>
          <w:b/>
          <w:spacing w:val="-2"/>
          <w:sz w:val="21"/>
        </w:rPr>
        <w:t>发热性惊厥以及没有全身性发作的失神发作（癫痫小发作）不在保</w:t>
      </w:r>
      <w:r>
        <w:rPr>
          <w:rFonts w:ascii="微软雅黑" w:eastAsia="微软雅黑"/>
          <w:b/>
          <w:spacing w:val="-2"/>
          <w:sz w:val="21"/>
        </w:rPr>
        <w:t>障范围内。</w:t>
      </w:r>
    </w:p>
    <w:p>
      <w:pPr>
        <w:pStyle w:val="BodyText"/>
        <w:spacing w:before="16"/>
        <w:ind w:left="0"/>
        <w:rPr>
          <w:rFonts w:ascii="微软雅黑"/>
          <w:b/>
          <w:sz w:val="6"/>
        </w:rPr>
      </w:pPr>
    </w:p>
    <w:p>
      <w:pPr>
        <w:spacing w:after="0"/>
        <w:rPr>
          <w:rFonts w:ascii="微软雅黑"/>
          <w:sz w:val="6"/>
        </w:rPr>
        <w:sectPr>
          <w:type w:val="continuous"/>
          <w:pgSz w:w="11910" w:h="16840"/>
          <w:pgMar w:header="0" w:footer="878" w:top="160" w:bottom="280" w:left="1480" w:right="440"/>
        </w:sectPr>
      </w:pPr>
    </w:p>
    <w:p>
      <w:pPr>
        <w:pStyle w:val="ListParagraph"/>
        <w:numPr>
          <w:ilvl w:val="1"/>
          <w:numId w:val="75"/>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严重感染性心内膜</w:t>
      </w:r>
    </w:p>
    <w:p>
      <w:pPr>
        <w:spacing w:line="330" w:lineRule="exact" w:before="0"/>
        <w:ind w:left="1071" w:right="0" w:firstLine="0"/>
        <w:jc w:val="left"/>
        <w:rPr>
          <w:rFonts w:ascii="微软雅黑" w:eastAsia="微软雅黑"/>
          <w:b/>
          <w:sz w:val="21"/>
        </w:rPr>
      </w:pPr>
      <w:r>
        <w:rPr>
          <w:rFonts w:ascii="微软雅黑" w:eastAsia="微软雅黑"/>
          <w:b/>
          <w:w w:val="100"/>
          <w:sz w:val="21"/>
        </w:rPr>
        <w:t>炎</w:t>
      </w:r>
    </w:p>
    <w:p>
      <w:pPr>
        <w:pStyle w:val="BodyText"/>
        <w:spacing w:line="244" w:lineRule="auto" w:before="100"/>
        <w:ind w:left="175" w:right="729"/>
      </w:pPr>
      <w:r>
        <w:rPr/>
        <w:br w:type="column"/>
      </w:r>
      <w:r>
        <w:rPr>
          <w:spacing w:val="-2"/>
        </w:rPr>
        <w:t>感染性心内膜炎是指因细菌或其他致病菌感染造成心脏内膜感染，</w:t>
      </w:r>
      <w:r>
        <w:rPr>
          <w:spacing w:val="-3"/>
        </w:rPr>
        <w:t>瓣膜为最常受累部位，引起心脏瓣膜关闭不全。必须满足下列至少</w:t>
      </w:r>
    </w:p>
    <w:p>
      <w:pPr>
        <w:spacing w:after="0" w:line="244" w:lineRule="auto"/>
        <w:sectPr>
          <w:type w:val="continuous"/>
          <w:pgSz w:w="11910" w:h="16840"/>
          <w:pgMar w:header="0" w:footer="878" w:top="160" w:bottom="280" w:left="1480" w:right="440"/>
          <w:cols w:num="2" w:equalWidth="0">
            <w:col w:w="2938" w:space="40"/>
            <w:col w:w="7012"/>
          </w:cols>
        </w:sect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2"/>
        <w:gridCol w:w="2160"/>
        <w:gridCol w:w="6364"/>
      </w:tblGrid>
      <w:tr>
        <w:trPr>
          <w:trHeight w:val="239" w:hRule="atLeast"/>
        </w:trPr>
        <w:tc>
          <w:tcPr>
            <w:tcW w:w="2872" w:type="dxa"/>
            <w:gridSpan w:val="2"/>
            <w:vMerge w:val="restart"/>
          </w:tcPr>
          <w:p>
            <w:pPr>
              <w:pStyle w:val="TableParagraph"/>
              <w:rPr>
                <w:rFonts w:ascii="Times New Roman"/>
                <w:sz w:val="20"/>
              </w:rPr>
            </w:pPr>
          </w:p>
        </w:tc>
        <w:tc>
          <w:tcPr>
            <w:tcW w:w="6364" w:type="dxa"/>
          </w:tcPr>
          <w:p>
            <w:pPr>
              <w:pStyle w:val="TableParagraph"/>
              <w:spacing w:line="219" w:lineRule="exact"/>
              <w:ind w:left="108"/>
              <w:rPr>
                <w:sz w:val="21"/>
              </w:rPr>
            </w:pPr>
            <w:r>
              <w:rPr>
                <w:spacing w:val="-4"/>
                <w:sz w:val="21"/>
              </w:rPr>
              <w:t>三项条件：</w:t>
            </w:r>
          </w:p>
        </w:tc>
      </w:tr>
      <w:tr>
        <w:trPr>
          <w:trHeight w:val="1101" w:hRule="atLeast"/>
        </w:trPr>
        <w:tc>
          <w:tcPr>
            <w:tcW w:w="2872" w:type="dxa"/>
            <w:gridSpan w:val="2"/>
            <w:vMerge/>
            <w:tcBorders>
              <w:top w:val="nil"/>
            </w:tcBorders>
          </w:tcPr>
          <w:p>
            <w:pPr>
              <w:rPr>
                <w:sz w:val="2"/>
                <w:szCs w:val="2"/>
              </w:rPr>
            </w:pPr>
          </w:p>
        </w:tc>
        <w:tc>
          <w:tcPr>
            <w:tcW w:w="6364" w:type="dxa"/>
          </w:tcPr>
          <w:p>
            <w:pPr>
              <w:pStyle w:val="TableParagraph"/>
              <w:numPr>
                <w:ilvl w:val="0"/>
                <w:numId w:val="80"/>
              </w:numPr>
              <w:tabs>
                <w:tab w:pos="638" w:val="left" w:leader="none"/>
              </w:tabs>
              <w:spacing w:line="240" w:lineRule="auto" w:before="6" w:after="0"/>
              <w:ind w:left="637" w:right="0" w:hanging="530"/>
              <w:jc w:val="left"/>
              <w:rPr>
                <w:sz w:val="21"/>
              </w:rPr>
            </w:pPr>
            <w:r>
              <w:rPr>
                <w:spacing w:val="-3"/>
                <w:sz w:val="21"/>
              </w:rPr>
              <w:t>急性或亚急性感染性心内膜炎临床表现；</w:t>
            </w:r>
          </w:p>
          <w:p>
            <w:pPr>
              <w:pStyle w:val="TableParagraph"/>
              <w:numPr>
                <w:ilvl w:val="0"/>
                <w:numId w:val="80"/>
              </w:numPr>
              <w:tabs>
                <w:tab w:pos="638" w:val="left" w:leader="none"/>
              </w:tabs>
              <w:spacing w:line="240" w:lineRule="auto" w:before="2" w:after="0"/>
              <w:ind w:left="637" w:right="0" w:hanging="530"/>
              <w:jc w:val="left"/>
              <w:rPr>
                <w:sz w:val="21"/>
              </w:rPr>
            </w:pPr>
            <w:r>
              <w:rPr>
                <w:spacing w:val="-3"/>
                <w:sz w:val="21"/>
              </w:rPr>
              <w:t>血培养病原体阳性；</w:t>
            </w:r>
          </w:p>
          <w:p>
            <w:pPr>
              <w:pStyle w:val="TableParagraph"/>
              <w:numPr>
                <w:ilvl w:val="0"/>
                <w:numId w:val="80"/>
              </w:numPr>
              <w:tabs>
                <w:tab w:pos="638" w:val="left" w:leader="none"/>
              </w:tabs>
              <w:spacing w:line="240" w:lineRule="auto" w:before="5" w:after="0"/>
              <w:ind w:left="637" w:right="0" w:hanging="530"/>
              <w:jc w:val="left"/>
              <w:rPr>
                <w:sz w:val="21"/>
              </w:rPr>
            </w:pPr>
            <w:r>
              <w:rPr>
                <w:spacing w:val="-3"/>
                <w:sz w:val="21"/>
              </w:rPr>
              <w:t>心功能衰竭并实际接受了心脏瓣膜置换手术；</w:t>
            </w:r>
          </w:p>
          <w:p>
            <w:pPr>
              <w:pStyle w:val="TableParagraph"/>
              <w:numPr>
                <w:ilvl w:val="0"/>
                <w:numId w:val="80"/>
              </w:numPr>
              <w:tabs>
                <w:tab w:pos="638" w:val="left" w:leader="none"/>
              </w:tabs>
              <w:spacing w:line="259" w:lineRule="exact" w:before="2" w:after="0"/>
              <w:ind w:left="637" w:right="0" w:hanging="530"/>
              <w:jc w:val="left"/>
              <w:rPr>
                <w:sz w:val="21"/>
              </w:rPr>
            </w:pPr>
            <w:r>
              <w:rPr>
                <w:spacing w:val="-3"/>
                <w:sz w:val="21"/>
              </w:rPr>
              <w:t>并发动脉栓塞导致脑梗塞、肾梗塞或心肌梗塞。</w:t>
            </w:r>
          </w:p>
        </w:tc>
      </w:tr>
      <w:tr>
        <w:trPr>
          <w:trHeight w:val="371" w:hRule="atLeast"/>
        </w:trPr>
        <w:tc>
          <w:tcPr>
            <w:tcW w:w="2872" w:type="dxa"/>
            <w:gridSpan w:val="2"/>
            <w:vMerge/>
            <w:tcBorders>
              <w:top w:val="nil"/>
            </w:tcBorders>
          </w:tcPr>
          <w:p>
            <w:pPr>
              <w:rPr>
                <w:sz w:val="2"/>
                <w:szCs w:val="2"/>
              </w:rPr>
            </w:pPr>
          </w:p>
        </w:tc>
        <w:tc>
          <w:tcPr>
            <w:tcW w:w="6364" w:type="dxa"/>
          </w:tcPr>
          <w:p>
            <w:pPr>
              <w:pStyle w:val="TableParagraph"/>
              <w:spacing w:line="315" w:lineRule="exact"/>
              <w:ind w:left="108"/>
              <w:rPr>
                <w:rFonts w:ascii="微软雅黑" w:eastAsia="微软雅黑"/>
                <w:b/>
                <w:sz w:val="21"/>
              </w:rPr>
            </w:pPr>
            <w:r>
              <w:rPr>
                <w:rFonts w:ascii="微软雅黑" w:eastAsia="微软雅黑"/>
                <w:b/>
                <w:spacing w:val="-3"/>
                <w:sz w:val="21"/>
              </w:rPr>
              <w:t>药物滥用者所患感染性心内膜炎除外。</w:t>
            </w:r>
          </w:p>
        </w:tc>
      </w:tr>
      <w:tr>
        <w:trPr>
          <w:trHeight w:val="406" w:hRule="atLeast"/>
        </w:trPr>
        <w:tc>
          <w:tcPr>
            <w:tcW w:w="712" w:type="dxa"/>
          </w:tcPr>
          <w:p>
            <w:pPr>
              <w:pStyle w:val="TableParagraph"/>
              <w:spacing w:before="129"/>
              <w:ind w:left="50"/>
              <w:rPr>
                <w:rFonts w:ascii="Times New Roman"/>
                <w:sz w:val="21"/>
              </w:rPr>
            </w:pPr>
            <w:r>
              <w:rPr>
                <w:rFonts w:ascii="Times New Roman"/>
                <w:spacing w:val="-2"/>
                <w:sz w:val="21"/>
              </w:rPr>
              <w:t>12.55</w:t>
            </w:r>
          </w:p>
        </w:tc>
        <w:tc>
          <w:tcPr>
            <w:tcW w:w="2160" w:type="dxa"/>
          </w:tcPr>
          <w:p>
            <w:pPr>
              <w:pStyle w:val="TableParagraph"/>
              <w:spacing w:line="317" w:lineRule="exact" w:before="69"/>
              <w:ind w:left="187"/>
              <w:rPr>
                <w:rFonts w:ascii="微软雅黑" w:eastAsia="微软雅黑"/>
                <w:b/>
                <w:sz w:val="21"/>
              </w:rPr>
            </w:pPr>
            <w:r>
              <w:rPr>
                <w:rFonts w:ascii="微软雅黑" w:eastAsia="微软雅黑"/>
                <w:b/>
                <w:spacing w:val="-2"/>
                <w:sz w:val="21"/>
              </w:rPr>
              <w:t>弥漫性血管内凝血</w:t>
            </w:r>
          </w:p>
        </w:tc>
        <w:tc>
          <w:tcPr>
            <w:tcW w:w="6364" w:type="dxa"/>
          </w:tcPr>
          <w:p>
            <w:pPr>
              <w:pStyle w:val="TableParagraph"/>
              <w:spacing w:line="250" w:lineRule="exact" w:before="137"/>
              <w:ind w:left="108"/>
              <w:rPr>
                <w:sz w:val="21"/>
              </w:rPr>
            </w:pPr>
            <w:r>
              <w:rPr>
                <w:spacing w:val="-3"/>
                <w:sz w:val="21"/>
              </w:rPr>
              <w:t>指血液凝固系统和纤溶系统的过度活动导致微血管血栓形成、血小</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364" w:type="dxa"/>
          </w:tcPr>
          <w:p>
            <w:pPr>
              <w:pStyle w:val="TableParagraph"/>
              <w:spacing w:line="251" w:lineRule="exact" w:before="1"/>
              <w:ind w:left="108"/>
              <w:rPr>
                <w:sz w:val="21"/>
              </w:rPr>
            </w:pPr>
            <w:r>
              <w:rPr>
                <w:spacing w:val="-3"/>
                <w:sz w:val="21"/>
              </w:rPr>
              <w:t>板及凝血因子耗竭和严重出血，此症必须由我们认可的专科医生确</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364" w:type="dxa"/>
          </w:tcPr>
          <w:p>
            <w:pPr>
              <w:pStyle w:val="TableParagraph"/>
              <w:spacing w:line="250" w:lineRule="exact" w:before="2"/>
              <w:ind w:left="108"/>
              <w:rPr>
                <w:sz w:val="21"/>
              </w:rPr>
            </w:pPr>
            <w:r>
              <w:rPr>
                <w:spacing w:val="-2"/>
                <w:sz w:val="21"/>
              </w:rPr>
              <w:t>诊，并且已经达到临床分期的中期（消耗性低凝期）或后期（</w:t>
            </w:r>
            <w:r>
              <w:rPr>
                <w:spacing w:val="-6"/>
                <w:sz w:val="21"/>
              </w:rPr>
              <w:t>继发</w:t>
            </w:r>
          </w:p>
        </w:tc>
      </w:tr>
      <w:tr>
        <w:trPr>
          <w:trHeight w:val="378"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364" w:type="dxa"/>
          </w:tcPr>
          <w:p>
            <w:pPr>
              <w:pStyle w:val="TableParagraph"/>
              <w:spacing w:before="1"/>
              <w:ind w:left="108"/>
              <w:rPr>
                <w:sz w:val="21"/>
              </w:rPr>
            </w:pPr>
            <w:r>
              <w:rPr>
                <w:spacing w:val="-2"/>
                <w:sz w:val="21"/>
              </w:rPr>
              <w:t>性纤溶亢进期</w:t>
            </w:r>
            <w:r>
              <w:rPr>
                <w:spacing w:val="-108"/>
                <w:sz w:val="21"/>
              </w:rPr>
              <w:t>）</w:t>
            </w:r>
            <w:r>
              <w:rPr>
                <w:spacing w:val="-3"/>
                <w:sz w:val="21"/>
              </w:rPr>
              <w:t>，需要输注血浆和浓缩血小板进行治疗。</w:t>
            </w:r>
          </w:p>
        </w:tc>
      </w:tr>
      <w:tr>
        <w:trPr>
          <w:trHeight w:val="407" w:hRule="atLeast"/>
        </w:trPr>
        <w:tc>
          <w:tcPr>
            <w:tcW w:w="712" w:type="dxa"/>
          </w:tcPr>
          <w:p>
            <w:pPr>
              <w:pStyle w:val="TableParagraph"/>
              <w:spacing w:before="129"/>
              <w:ind w:left="50"/>
              <w:rPr>
                <w:rFonts w:ascii="Times New Roman"/>
                <w:sz w:val="21"/>
              </w:rPr>
            </w:pPr>
            <w:r>
              <w:rPr>
                <w:rFonts w:ascii="Times New Roman"/>
                <w:spacing w:val="-2"/>
                <w:sz w:val="21"/>
              </w:rPr>
              <w:t>12.56</w:t>
            </w:r>
          </w:p>
        </w:tc>
        <w:tc>
          <w:tcPr>
            <w:tcW w:w="2160" w:type="dxa"/>
          </w:tcPr>
          <w:p>
            <w:pPr>
              <w:pStyle w:val="TableParagraph"/>
              <w:spacing w:line="318" w:lineRule="exact" w:before="69"/>
              <w:ind w:left="187"/>
              <w:rPr>
                <w:rFonts w:ascii="微软雅黑" w:eastAsia="微软雅黑"/>
                <w:b/>
                <w:sz w:val="21"/>
              </w:rPr>
            </w:pPr>
            <w:r>
              <w:rPr>
                <w:rFonts w:ascii="微软雅黑" w:eastAsia="微软雅黑"/>
                <w:b/>
                <w:spacing w:val="18"/>
                <w:sz w:val="21"/>
              </w:rPr>
              <w:t>严重慢性缩窄性心</w:t>
            </w:r>
          </w:p>
        </w:tc>
        <w:tc>
          <w:tcPr>
            <w:tcW w:w="6364" w:type="dxa"/>
          </w:tcPr>
          <w:p>
            <w:pPr>
              <w:pStyle w:val="TableParagraph"/>
              <w:spacing w:line="251" w:lineRule="exact" w:before="137"/>
              <w:ind w:left="108"/>
              <w:rPr>
                <w:sz w:val="21"/>
              </w:rPr>
            </w:pPr>
            <w:r>
              <w:rPr>
                <w:spacing w:val="-8"/>
                <w:sz w:val="21"/>
              </w:rPr>
              <w:t>由于慢性心包炎症导致心包脏层和壁层广泛瘢痕粘连、增厚和钙化，</w:t>
            </w:r>
          </w:p>
        </w:tc>
      </w:tr>
      <w:tr>
        <w:trPr>
          <w:trHeight w:val="272" w:hRule="atLeast"/>
        </w:trPr>
        <w:tc>
          <w:tcPr>
            <w:tcW w:w="712" w:type="dxa"/>
          </w:tcPr>
          <w:p>
            <w:pPr>
              <w:pStyle w:val="TableParagraph"/>
              <w:rPr>
                <w:rFonts w:ascii="Times New Roman"/>
                <w:sz w:val="20"/>
              </w:rPr>
            </w:pPr>
          </w:p>
        </w:tc>
        <w:tc>
          <w:tcPr>
            <w:tcW w:w="2160" w:type="dxa"/>
          </w:tcPr>
          <w:p>
            <w:pPr>
              <w:pStyle w:val="TableParagraph"/>
              <w:spacing w:line="252" w:lineRule="exact"/>
              <w:ind w:left="187"/>
              <w:rPr>
                <w:rFonts w:ascii="微软雅黑" w:eastAsia="微软雅黑"/>
                <w:b/>
                <w:sz w:val="21"/>
              </w:rPr>
            </w:pPr>
            <w:r>
              <w:rPr>
                <w:rFonts w:ascii="微软雅黑" w:eastAsia="微软雅黑"/>
                <w:b/>
                <w:spacing w:val="-5"/>
                <w:sz w:val="21"/>
              </w:rPr>
              <w:t>包炎</w:t>
            </w:r>
          </w:p>
        </w:tc>
        <w:tc>
          <w:tcPr>
            <w:tcW w:w="6364" w:type="dxa"/>
          </w:tcPr>
          <w:p>
            <w:pPr>
              <w:pStyle w:val="TableParagraph"/>
              <w:spacing w:line="250" w:lineRule="exact" w:before="2"/>
              <w:ind w:left="108"/>
              <w:rPr>
                <w:sz w:val="21"/>
              </w:rPr>
            </w:pPr>
            <w:r>
              <w:rPr>
                <w:spacing w:val="-3"/>
                <w:sz w:val="21"/>
              </w:rPr>
              <w:t>心包腔闭塞，形成一个纤维瘢痕外壳，使心脏和大血管根部受压，</w:t>
            </w:r>
          </w:p>
        </w:tc>
      </w:tr>
      <w:tr>
        <w:trPr>
          <w:trHeight w:val="27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364" w:type="dxa"/>
          </w:tcPr>
          <w:p>
            <w:pPr>
              <w:pStyle w:val="TableParagraph"/>
              <w:spacing w:line="251" w:lineRule="exact" w:before="1"/>
              <w:ind w:left="108"/>
              <w:rPr>
                <w:sz w:val="21"/>
              </w:rPr>
            </w:pPr>
            <w:r>
              <w:rPr>
                <w:spacing w:val="-3"/>
                <w:sz w:val="21"/>
              </w:rPr>
              <w:t>阻碍心脏的舒张。慢性缩窄性心包炎必须被明确诊断并且满足下列</w:t>
            </w:r>
          </w:p>
        </w:tc>
      </w:tr>
      <w:tr>
        <w:trPr>
          <w:trHeight w:val="269"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364" w:type="dxa"/>
          </w:tcPr>
          <w:p>
            <w:pPr>
              <w:pStyle w:val="TableParagraph"/>
              <w:spacing w:line="247" w:lineRule="exact" w:before="2"/>
              <w:ind w:left="108"/>
              <w:rPr>
                <w:sz w:val="21"/>
              </w:rPr>
            </w:pPr>
            <w:r>
              <w:rPr>
                <w:spacing w:val="-4"/>
                <w:sz w:val="21"/>
              </w:rPr>
              <w:t>所有条件：</w:t>
            </w:r>
          </w:p>
        </w:tc>
      </w:tr>
      <w:tr>
        <w:trPr>
          <w:trHeight w:val="260"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364" w:type="dxa"/>
          </w:tcPr>
          <w:p>
            <w:pPr>
              <w:pStyle w:val="TableParagraph"/>
              <w:spacing w:line="236" w:lineRule="exact" w:before="5"/>
              <w:ind w:left="108"/>
              <w:rPr>
                <w:sz w:val="21"/>
              </w:rPr>
            </w:pPr>
            <w:r>
              <w:rPr>
                <w:spacing w:val="-2"/>
                <w:sz w:val="21"/>
              </w:rPr>
              <w:t>（</w:t>
            </w:r>
            <w:r>
              <w:rPr>
                <w:rFonts w:ascii="Times New Roman" w:eastAsia="Times New Roman"/>
                <w:spacing w:val="-2"/>
                <w:sz w:val="21"/>
              </w:rPr>
              <w:t>1</w:t>
            </w:r>
            <w:r>
              <w:rPr>
                <w:spacing w:val="-2"/>
                <w:sz w:val="21"/>
              </w:rPr>
              <w:t>）</w:t>
            </w:r>
            <w:r>
              <w:rPr>
                <w:spacing w:val="-4"/>
                <w:sz w:val="21"/>
              </w:rPr>
              <w:t>心功能衰竭达到美国纽约心脏病学会心功能状态分级 </w:t>
            </w:r>
            <w:r>
              <w:rPr>
                <w:rFonts w:ascii="Times New Roman" w:eastAsia="Times New Roman"/>
                <w:spacing w:val="-2"/>
                <w:sz w:val="21"/>
              </w:rPr>
              <w:t>IV</w:t>
            </w:r>
            <w:r>
              <w:rPr>
                <w:rFonts w:ascii="Times New Roman" w:eastAsia="Times New Roman"/>
                <w:spacing w:val="9"/>
                <w:sz w:val="21"/>
              </w:rPr>
              <w:t> </w:t>
            </w:r>
            <w:r>
              <w:rPr>
                <w:spacing w:val="-6"/>
                <w:sz w:val="21"/>
              </w:rPr>
              <w:t>级，</w:t>
            </w:r>
          </w:p>
        </w:tc>
      </w:tr>
    </w:tbl>
    <w:p>
      <w:pPr>
        <w:pStyle w:val="BodyText"/>
        <w:spacing w:before="27"/>
        <w:ind w:left="3678"/>
      </w:pPr>
      <w:r>
        <w:rPr>
          <w:spacing w:val="-14"/>
        </w:rPr>
        <w:t>并持续 </w:t>
      </w:r>
      <w:r>
        <w:rPr>
          <w:rFonts w:ascii="Times New Roman" w:eastAsia="Times New Roman"/>
        </w:rPr>
        <w:t>180</w:t>
      </w:r>
      <w:r>
        <w:rPr>
          <w:rFonts w:ascii="Times New Roman" w:eastAsia="Times New Roman"/>
          <w:spacing w:val="-9"/>
        </w:rPr>
        <w:t> </w:t>
      </w:r>
      <w:r>
        <w:rPr>
          <w:spacing w:val="-3"/>
        </w:rPr>
        <w:t>天以上；</w:t>
      </w:r>
    </w:p>
    <w:p>
      <w:pPr>
        <w:pStyle w:val="BodyText"/>
        <w:spacing w:line="244" w:lineRule="auto" w:before="2"/>
        <w:ind w:left="3678" w:right="842" w:hanging="526"/>
      </w:pPr>
      <w:r>
        <w:rPr>
          <w:spacing w:val="-2"/>
        </w:rPr>
        <w:t>（</w:t>
      </w:r>
      <w:r>
        <w:rPr>
          <w:rFonts w:ascii="Times New Roman" w:eastAsia="Times New Roman"/>
          <w:spacing w:val="-2"/>
        </w:rPr>
        <w:t>2</w:t>
      </w:r>
      <w:r>
        <w:rPr>
          <w:spacing w:val="-2"/>
        </w:rPr>
        <w:t>）已经接受了经下列任何一种手术路径进行的开胸心包剥离手</w:t>
      </w:r>
      <w:r>
        <w:rPr>
          <w:spacing w:val="-2"/>
        </w:rPr>
        <w:t>术或心包切除手术：</w:t>
      </w:r>
    </w:p>
    <w:p>
      <w:pPr>
        <w:pStyle w:val="BodyText"/>
        <w:spacing w:line="265" w:lineRule="exact"/>
        <w:ind w:left="3678"/>
      </w:pPr>
      <w:r>
        <w:rPr>
          <w:spacing w:val="-4"/>
        </w:rPr>
        <w:t>①胸骨正中切口；</w:t>
      </w:r>
    </w:p>
    <w:p>
      <w:pPr>
        <w:pStyle w:val="BodyText"/>
        <w:spacing w:before="5"/>
        <w:ind w:left="3678"/>
      </w:pPr>
      <w:r>
        <w:rPr>
          <w:spacing w:val="-4"/>
        </w:rPr>
        <w:t>②双侧前胸切口；</w:t>
      </w:r>
    </w:p>
    <w:p>
      <w:pPr>
        <w:pStyle w:val="BodyText"/>
        <w:spacing w:line="238" w:lineRule="exact" w:before="2"/>
        <w:ind w:left="3678"/>
      </w:pPr>
      <w:r>
        <w:rPr>
          <w:spacing w:val="-3"/>
        </w:rPr>
        <w:t>③左前胸肋间切口。</w:t>
      </w:r>
    </w:p>
    <w:p>
      <w:pPr>
        <w:spacing w:line="168" w:lineRule="auto" w:before="52"/>
        <w:ind w:left="3153" w:right="730" w:firstLine="0"/>
        <w:jc w:val="left"/>
        <w:rPr>
          <w:rFonts w:ascii="微软雅黑" w:eastAsia="微软雅黑"/>
          <w:b/>
          <w:sz w:val="21"/>
        </w:rPr>
      </w:pPr>
      <w:r>
        <w:rPr>
          <w:rFonts w:ascii="微软雅黑" w:eastAsia="微软雅黑"/>
          <w:b/>
          <w:spacing w:val="-2"/>
          <w:sz w:val="21"/>
        </w:rPr>
        <w:t>经胸腔镜、胸壁打孔进行的手术、心包粘连松解手术不在保障范围</w:t>
      </w:r>
      <w:r>
        <w:rPr>
          <w:rFonts w:ascii="微软雅黑" w:eastAsia="微软雅黑"/>
          <w:b/>
          <w:spacing w:val="-6"/>
          <w:sz w:val="21"/>
        </w:rPr>
        <w:t>内。</w:t>
      </w:r>
    </w:p>
    <w:p>
      <w:pPr>
        <w:pStyle w:val="ListParagraph"/>
        <w:numPr>
          <w:ilvl w:val="1"/>
          <w:numId w:val="81"/>
        </w:numPr>
        <w:tabs>
          <w:tab w:pos="1071" w:val="left" w:leader="none"/>
          <w:tab w:pos="1072" w:val="left" w:leader="none"/>
          <w:tab w:pos="3152" w:val="left" w:leader="none"/>
        </w:tabs>
        <w:spacing w:line="330" w:lineRule="exact" w:before="159" w:after="0"/>
        <w:ind w:left="1071" w:right="0" w:hanging="850"/>
        <w:jc w:val="left"/>
        <w:rPr>
          <w:sz w:val="21"/>
        </w:rPr>
      </w:pPr>
      <w:r>
        <w:rPr>
          <w:rFonts w:ascii="微软雅黑" w:eastAsia="微软雅黑"/>
          <w:b/>
          <w:sz w:val="21"/>
        </w:rPr>
        <w:t>心脏粘液</w:t>
      </w:r>
      <w:r>
        <w:rPr>
          <w:rFonts w:ascii="微软雅黑" w:eastAsia="微软雅黑"/>
          <w:b/>
          <w:spacing w:val="-10"/>
          <w:sz w:val="21"/>
        </w:rPr>
        <w:t>瘤</w:t>
      </w:r>
      <w:r>
        <w:rPr>
          <w:rFonts w:ascii="微软雅黑" w:eastAsia="微软雅黑"/>
          <w:b/>
          <w:sz w:val="21"/>
        </w:rPr>
        <w:tab/>
      </w:r>
      <w:r>
        <w:rPr>
          <w:spacing w:val="-2"/>
          <w:sz w:val="21"/>
        </w:rPr>
        <w:t>指</w:t>
      </w:r>
      <w:r>
        <w:rPr>
          <w:spacing w:val="-2"/>
          <w:sz w:val="21"/>
        </w:rPr>
        <w:t>为</w:t>
      </w:r>
      <w:r>
        <w:rPr>
          <w:spacing w:val="-2"/>
          <w:sz w:val="21"/>
        </w:rPr>
        <w:t>了治疗心脏粘液瘤</w:t>
      </w:r>
      <w:r>
        <w:rPr>
          <w:spacing w:val="-99"/>
          <w:sz w:val="21"/>
        </w:rPr>
        <w:t>，</w:t>
      </w:r>
      <w:r>
        <w:rPr>
          <w:spacing w:val="-2"/>
          <w:sz w:val="21"/>
        </w:rPr>
        <w:t>实</w:t>
      </w:r>
      <w:r>
        <w:rPr>
          <w:spacing w:val="-2"/>
          <w:sz w:val="21"/>
        </w:rPr>
        <w:t>际</w:t>
      </w:r>
      <w:r>
        <w:rPr>
          <w:spacing w:val="-2"/>
          <w:sz w:val="21"/>
        </w:rPr>
        <w:t>实</w:t>
      </w:r>
      <w:r>
        <w:rPr>
          <w:spacing w:val="-2"/>
          <w:sz w:val="21"/>
        </w:rPr>
        <w:t>施了开胸开心心脏粘</w:t>
      </w:r>
      <w:r>
        <w:rPr>
          <w:spacing w:val="-2"/>
          <w:sz w:val="21"/>
        </w:rPr>
        <w:t>液</w:t>
      </w:r>
      <w:r>
        <w:rPr>
          <w:spacing w:val="-2"/>
          <w:sz w:val="21"/>
        </w:rPr>
        <w:t>瘤</w:t>
      </w:r>
      <w:r>
        <w:rPr>
          <w:spacing w:val="-2"/>
          <w:sz w:val="21"/>
        </w:rPr>
        <w:t>切除手术</w:t>
      </w:r>
      <w:r>
        <w:rPr>
          <w:spacing w:val="-10"/>
          <w:sz w:val="21"/>
        </w:rPr>
        <w:t>。</w:t>
      </w:r>
    </w:p>
    <w:p>
      <w:pPr>
        <w:spacing w:line="330" w:lineRule="exact" w:before="0"/>
        <w:ind w:left="3153" w:right="0" w:firstLine="0"/>
        <w:jc w:val="left"/>
        <w:rPr>
          <w:rFonts w:ascii="微软雅黑" w:eastAsia="微软雅黑"/>
          <w:b/>
          <w:sz w:val="21"/>
        </w:rPr>
      </w:pPr>
      <w:r>
        <w:rPr>
          <w:rFonts w:ascii="微软雅黑" w:eastAsia="微软雅黑"/>
          <w:b/>
          <w:spacing w:val="-3"/>
          <w:sz w:val="21"/>
        </w:rPr>
        <w:t>经导管介入手术治疗不在本保障范围内。</w:t>
      </w:r>
    </w:p>
    <w:p>
      <w:pPr>
        <w:spacing w:after="0" w:line="330" w:lineRule="exact"/>
        <w:jc w:val="left"/>
        <w:rPr>
          <w:rFonts w:ascii="微软雅黑" w:eastAsia="微软雅黑"/>
          <w:sz w:val="21"/>
        </w:rPr>
        <w:sectPr>
          <w:pgSz w:w="11910" w:h="16840"/>
          <w:pgMar w:header="0" w:footer="878" w:top="1140" w:bottom="1060" w:left="1480" w:right="440"/>
        </w:sectPr>
      </w:pPr>
    </w:p>
    <w:p>
      <w:pPr>
        <w:pStyle w:val="ListParagraph"/>
        <w:numPr>
          <w:ilvl w:val="1"/>
          <w:numId w:val="81"/>
        </w:numPr>
        <w:tabs>
          <w:tab w:pos="1071" w:val="left" w:leader="none"/>
          <w:tab w:pos="1072" w:val="left" w:leader="none"/>
        </w:tabs>
        <w:spacing w:line="329" w:lineRule="exact" w:before="127" w:after="0"/>
        <w:ind w:left="1071" w:right="0" w:hanging="850"/>
        <w:jc w:val="left"/>
        <w:rPr>
          <w:rFonts w:ascii="Times New Roman" w:eastAsia="Times New Roman"/>
          <w:b/>
          <w:sz w:val="21"/>
        </w:rPr>
      </w:pPr>
      <w:r>
        <w:rPr>
          <w:rFonts w:ascii="微软雅黑" w:eastAsia="微软雅黑"/>
          <w:b/>
          <w:spacing w:val="26"/>
          <w:sz w:val="21"/>
        </w:rPr>
        <w:t>严重心脏衰竭</w:t>
      </w:r>
      <w:r>
        <w:rPr>
          <w:rFonts w:ascii="Times New Roman" w:eastAsia="Times New Roman"/>
          <w:b/>
          <w:spacing w:val="-5"/>
          <w:sz w:val="21"/>
        </w:rPr>
        <w:t>CRT</w:t>
      </w:r>
    </w:p>
    <w:p>
      <w:pPr>
        <w:spacing w:line="329" w:lineRule="exact" w:before="0"/>
        <w:ind w:left="1071" w:right="0" w:firstLine="0"/>
        <w:jc w:val="left"/>
        <w:rPr>
          <w:rFonts w:ascii="微软雅黑" w:eastAsia="微软雅黑"/>
          <w:b/>
          <w:sz w:val="21"/>
        </w:rPr>
      </w:pPr>
      <w:r>
        <w:rPr>
          <w:rFonts w:ascii="微软雅黑" w:eastAsia="微软雅黑"/>
          <w:b/>
          <w:spacing w:val="-2"/>
          <w:sz w:val="21"/>
        </w:rPr>
        <w:t>心脏再同步治疗</w:t>
      </w:r>
    </w:p>
    <w:p>
      <w:pPr>
        <w:spacing w:line="240" w:lineRule="auto" w:before="9"/>
        <w:rPr>
          <w:rFonts w:ascii="微软雅黑"/>
          <w:b/>
          <w:sz w:val="10"/>
        </w:rPr>
      </w:pPr>
      <w:r>
        <w:rPr/>
        <w:br w:type="column"/>
      </w:r>
      <w:r>
        <w:rPr>
          <w:rFonts w:ascii="微软雅黑"/>
          <w:b/>
          <w:sz w:val="10"/>
        </w:rPr>
      </w:r>
    </w:p>
    <w:p>
      <w:pPr>
        <w:pStyle w:val="BodyText"/>
        <w:spacing w:line="242" w:lineRule="auto" w:before="1"/>
        <w:ind w:left="174" w:right="657"/>
      </w:pPr>
      <w:r>
        <w:rPr>
          <w:spacing w:val="-2"/>
        </w:rPr>
        <w:t>指因缺血性心脏病或扩张性心肌病导致慢性严重心脏衰竭，被保险</w:t>
      </w:r>
      <w:r>
        <w:rPr>
          <w:spacing w:val="8"/>
        </w:rPr>
        <w:t>人实际接受了</w:t>
      </w:r>
      <w:r>
        <w:rPr>
          <w:rFonts w:ascii="Times New Roman" w:eastAsia="Times New Roman"/>
        </w:rPr>
        <w:t>CRT</w:t>
      </w:r>
      <w:r>
        <w:rPr>
          <w:rFonts w:ascii="Times New Roman" w:eastAsia="Times New Roman"/>
          <w:spacing w:val="-14"/>
        </w:rPr>
        <w:t> </w:t>
      </w:r>
      <w:r>
        <w:rPr/>
        <w:t>治疗，以矫正心室收缩不协调和改善心脏功能。</w:t>
      </w:r>
      <w:r>
        <w:rPr>
          <w:spacing w:val="-2"/>
        </w:rPr>
        <w:t>接受治疗之前必须满足下列所有条件：</w:t>
      </w:r>
    </w:p>
    <w:p>
      <w:pPr>
        <w:pStyle w:val="ListParagraph"/>
        <w:numPr>
          <w:ilvl w:val="0"/>
          <w:numId w:val="82"/>
        </w:numPr>
        <w:tabs>
          <w:tab w:pos="712" w:val="left" w:leader="none"/>
        </w:tabs>
        <w:spacing w:line="240" w:lineRule="auto" w:before="1" w:after="0"/>
        <w:ind w:left="711" w:right="0" w:hanging="538"/>
        <w:jc w:val="left"/>
        <w:rPr>
          <w:rFonts w:ascii="Times New Roman" w:eastAsia="Times New Roman"/>
          <w:sz w:val="21"/>
        </w:rPr>
      </w:pPr>
      <w:r>
        <w:rPr>
          <w:spacing w:val="2"/>
          <w:sz w:val="21"/>
        </w:rPr>
        <w:t>心功能衰竭程度达到美国纽约心脏病学会心功能状态分级 </w:t>
      </w:r>
      <w:r>
        <w:rPr>
          <w:rFonts w:ascii="Times New Roman" w:eastAsia="Times New Roman"/>
          <w:spacing w:val="-5"/>
          <w:sz w:val="21"/>
        </w:rPr>
        <w:t>III</w:t>
      </w:r>
    </w:p>
    <w:p>
      <w:pPr>
        <w:pStyle w:val="BodyText"/>
        <w:spacing w:before="4"/>
        <w:ind w:left="699"/>
      </w:pPr>
      <w:r>
        <w:rPr>
          <w:spacing w:val="-18"/>
        </w:rPr>
        <w:t>级或 </w:t>
      </w:r>
      <w:r>
        <w:rPr>
          <w:rFonts w:ascii="Times New Roman" w:eastAsia="Times New Roman"/>
        </w:rPr>
        <w:t>IV</w:t>
      </w:r>
      <w:r>
        <w:rPr>
          <w:rFonts w:ascii="Times New Roman" w:eastAsia="Times New Roman"/>
          <w:spacing w:val="-6"/>
        </w:rPr>
        <w:t> </w:t>
      </w:r>
      <w:r>
        <w:rPr>
          <w:spacing w:val="-5"/>
        </w:rPr>
        <w:t>级；</w:t>
      </w:r>
    </w:p>
    <w:p>
      <w:pPr>
        <w:pStyle w:val="ListParagraph"/>
        <w:numPr>
          <w:ilvl w:val="0"/>
          <w:numId w:val="82"/>
        </w:numPr>
        <w:tabs>
          <w:tab w:pos="704" w:val="left" w:leader="none"/>
        </w:tabs>
        <w:spacing w:line="240" w:lineRule="auto" w:before="2" w:after="0"/>
        <w:ind w:left="703" w:right="0" w:hanging="530"/>
        <w:jc w:val="left"/>
        <w:rPr>
          <w:sz w:val="21"/>
        </w:rPr>
      </w:pPr>
      <w:r>
        <w:rPr>
          <w:spacing w:val="-8"/>
          <w:sz w:val="21"/>
        </w:rPr>
        <w:t>左室射血分数低于 </w:t>
      </w:r>
      <w:r>
        <w:rPr>
          <w:rFonts w:ascii="Times New Roman" w:eastAsia="Times New Roman"/>
          <w:spacing w:val="-4"/>
          <w:sz w:val="21"/>
        </w:rPr>
        <w:t>35%</w:t>
      </w:r>
      <w:r>
        <w:rPr>
          <w:spacing w:val="-4"/>
          <w:sz w:val="21"/>
        </w:rPr>
        <w:t>；</w:t>
      </w:r>
    </w:p>
    <w:p>
      <w:pPr>
        <w:pStyle w:val="ListParagraph"/>
        <w:numPr>
          <w:ilvl w:val="0"/>
          <w:numId w:val="82"/>
        </w:numPr>
        <w:tabs>
          <w:tab w:pos="704" w:val="left" w:leader="none"/>
        </w:tabs>
        <w:spacing w:line="240" w:lineRule="auto" w:before="5" w:after="0"/>
        <w:ind w:left="703" w:right="0" w:hanging="530"/>
        <w:jc w:val="left"/>
        <w:rPr>
          <w:sz w:val="21"/>
        </w:rPr>
      </w:pPr>
      <w:r>
        <w:rPr>
          <w:spacing w:val="-2"/>
          <w:sz w:val="21"/>
        </w:rPr>
        <w:t>左室舒张末期内径≥</w:t>
      </w:r>
      <w:r>
        <w:rPr>
          <w:rFonts w:ascii="Times New Roman" w:hAnsi="Times New Roman" w:eastAsia="Times New Roman"/>
          <w:spacing w:val="-2"/>
          <w:sz w:val="21"/>
        </w:rPr>
        <w:t>55mm</w:t>
      </w:r>
      <w:r>
        <w:rPr>
          <w:spacing w:val="-2"/>
          <w:sz w:val="21"/>
        </w:rPr>
        <w:t>；</w:t>
      </w:r>
    </w:p>
    <w:p>
      <w:pPr>
        <w:pStyle w:val="ListParagraph"/>
        <w:numPr>
          <w:ilvl w:val="0"/>
          <w:numId w:val="82"/>
        </w:numPr>
        <w:tabs>
          <w:tab w:pos="704" w:val="left" w:leader="none"/>
        </w:tabs>
        <w:spacing w:line="240" w:lineRule="auto" w:before="2" w:after="0"/>
        <w:ind w:left="703" w:right="0" w:hanging="530"/>
        <w:jc w:val="left"/>
        <w:rPr>
          <w:sz w:val="21"/>
        </w:rPr>
      </w:pPr>
      <w:r>
        <w:rPr>
          <w:rFonts w:ascii="Times New Roman" w:hAnsi="Times New Roman" w:eastAsia="Times New Roman"/>
          <w:sz w:val="21"/>
        </w:rPr>
        <w:t>QRS</w:t>
      </w:r>
      <w:r>
        <w:rPr>
          <w:rFonts w:ascii="Times New Roman" w:hAnsi="Times New Roman" w:eastAsia="Times New Roman"/>
          <w:spacing w:val="-7"/>
          <w:sz w:val="21"/>
        </w:rPr>
        <w:t> </w:t>
      </w:r>
      <w:r>
        <w:rPr>
          <w:spacing w:val="-1"/>
          <w:sz w:val="21"/>
        </w:rPr>
        <w:t>时间≥</w:t>
      </w:r>
      <w:r>
        <w:rPr>
          <w:rFonts w:ascii="Times New Roman" w:hAnsi="Times New Roman" w:eastAsia="Times New Roman"/>
          <w:spacing w:val="-2"/>
          <w:sz w:val="21"/>
        </w:rPr>
        <w:t>130msec</w:t>
      </w:r>
      <w:r>
        <w:rPr>
          <w:spacing w:val="-2"/>
          <w:sz w:val="21"/>
        </w:rPr>
        <w:t>；</w:t>
      </w:r>
    </w:p>
    <w:p>
      <w:pPr>
        <w:pStyle w:val="ListParagraph"/>
        <w:numPr>
          <w:ilvl w:val="0"/>
          <w:numId w:val="82"/>
        </w:numPr>
        <w:tabs>
          <w:tab w:pos="704" w:val="left" w:leader="none"/>
        </w:tabs>
        <w:spacing w:line="240" w:lineRule="auto" w:before="5" w:after="0"/>
        <w:ind w:left="703" w:right="0" w:hanging="530"/>
        <w:jc w:val="left"/>
        <w:rPr>
          <w:sz w:val="21"/>
        </w:rPr>
      </w:pPr>
      <w:r>
        <w:rPr>
          <w:spacing w:val="-3"/>
          <w:sz w:val="21"/>
        </w:rPr>
        <w:t>药物治疗效果不佳，仍有症状。</w:t>
      </w:r>
    </w:p>
    <w:p>
      <w:pPr>
        <w:spacing w:after="0" w:line="240" w:lineRule="auto"/>
        <w:jc w:val="left"/>
        <w:rPr>
          <w:sz w:val="21"/>
        </w:rPr>
        <w:sectPr>
          <w:type w:val="continuous"/>
          <w:pgSz w:w="11910" w:h="16840"/>
          <w:pgMar w:header="0" w:footer="878" w:top="160" w:bottom="280" w:left="1480" w:right="440"/>
          <w:cols w:num="2" w:equalWidth="0">
            <w:col w:w="2939" w:space="40"/>
            <w:col w:w="7011"/>
          </w:cols>
        </w:sectPr>
      </w:pPr>
    </w:p>
    <w:p>
      <w:pPr>
        <w:pStyle w:val="BodyText"/>
        <w:spacing w:before="3"/>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81"/>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完全性房室传导阻</w:t>
      </w:r>
    </w:p>
    <w:p>
      <w:pPr>
        <w:spacing w:line="329" w:lineRule="exact" w:before="0"/>
        <w:ind w:left="1071" w:right="0" w:firstLine="0"/>
        <w:jc w:val="left"/>
        <w:rPr>
          <w:rFonts w:ascii="微软雅黑" w:eastAsia="微软雅黑"/>
          <w:b/>
          <w:sz w:val="21"/>
        </w:rPr>
      </w:pPr>
      <w:r>
        <w:rPr>
          <w:rFonts w:ascii="微软雅黑" w:eastAsia="微软雅黑"/>
          <w:b/>
          <w:w w:val="100"/>
          <w:sz w:val="21"/>
        </w:rPr>
        <w:t>滞</w:t>
      </w:r>
    </w:p>
    <w:p>
      <w:pPr>
        <w:pStyle w:val="BodyText"/>
        <w:spacing w:line="242" w:lineRule="auto" w:before="100"/>
        <w:ind w:left="175" w:right="729"/>
        <w:jc w:val="both"/>
      </w:pPr>
      <w:r>
        <w:rPr/>
        <w:br w:type="column"/>
      </w:r>
      <w:r>
        <w:rPr>
          <w:spacing w:val="-2"/>
        </w:rPr>
        <w:t>指因慢性心脏疾病导致完全性房室传导阻滞。完全性房室传导阻滞</w:t>
      </w:r>
      <w:r>
        <w:rPr>
          <w:spacing w:val="-2"/>
        </w:rPr>
        <w:t>是心房的激动不能正常地传导到心室，造成心室率过于缓慢，出现</w:t>
      </w:r>
      <w:r>
        <w:rPr>
          <w:spacing w:val="-4"/>
        </w:rPr>
        <w:t>心力衰竭和因大脑供血不足导致的晕厥、阿</w:t>
      </w:r>
      <w:r>
        <w:rPr>
          <w:rFonts w:ascii="Times New Roman" w:eastAsia="Times New Roman"/>
          <w:spacing w:val="-4"/>
        </w:rPr>
        <w:t>-</w:t>
      </w:r>
      <w:r>
        <w:rPr>
          <w:spacing w:val="-4"/>
        </w:rPr>
        <w:t>斯综合征。必须明确诊</w:t>
      </w:r>
      <w:r>
        <w:rPr>
          <w:spacing w:val="-2"/>
        </w:rPr>
        <w:t>断并且满足下列所有条件：</w:t>
      </w:r>
    </w:p>
    <w:p>
      <w:pPr>
        <w:pStyle w:val="ListParagraph"/>
        <w:numPr>
          <w:ilvl w:val="0"/>
          <w:numId w:val="83"/>
        </w:numPr>
        <w:tabs>
          <w:tab w:pos="705" w:val="left" w:leader="none"/>
        </w:tabs>
        <w:spacing w:line="240" w:lineRule="auto" w:before="3" w:after="0"/>
        <w:ind w:left="704" w:right="0" w:hanging="530"/>
        <w:jc w:val="left"/>
        <w:rPr>
          <w:sz w:val="21"/>
        </w:rPr>
      </w:pPr>
      <w:r>
        <w:rPr>
          <w:spacing w:val="-3"/>
          <w:sz w:val="21"/>
        </w:rPr>
        <w:t>患有慢性心脏疾病；</w:t>
      </w:r>
    </w:p>
    <w:p>
      <w:pPr>
        <w:pStyle w:val="ListParagraph"/>
        <w:numPr>
          <w:ilvl w:val="0"/>
          <w:numId w:val="83"/>
        </w:numPr>
        <w:tabs>
          <w:tab w:pos="705" w:val="left" w:leader="none"/>
        </w:tabs>
        <w:spacing w:line="240" w:lineRule="auto" w:before="3" w:after="0"/>
        <w:ind w:left="704" w:right="0" w:hanging="530"/>
        <w:jc w:val="left"/>
        <w:rPr>
          <w:sz w:val="21"/>
        </w:rPr>
      </w:pPr>
      <w:r>
        <w:rPr>
          <w:spacing w:val="-2"/>
          <w:sz w:val="21"/>
        </w:rPr>
        <w:t>曾经有晕厥、阿</w:t>
      </w:r>
      <w:r>
        <w:rPr>
          <w:rFonts w:ascii="Times New Roman" w:eastAsia="Times New Roman"/>
          <w:spacing w:val="-2"/>
          <w:sz w:val="21"/>
        </w:rPr>
        <w:t>-</w:t>
      </w:r>
      <w:r>
        <w:rPr>
          <w:spacing w:val="-4"/>
          <w:sz w:val="21"/>
        </w:rPr>
        <w:t>斯综合征发作；</w:t>
      </w:r>
    </w:p>
    <w:p>
      <w:pPr>
        <w:pStyle w:val="ListParagraph"/>
        <w:numPr>
          <w:ilvl w:val="0"/>
          <w:numId w:val="83"/>
        </w:numPr>
        <w:tabs>
          <w:tab w:pos="705" w:val="left" w:leader="none"/>
        </w:tabs>
        <w:spacing w:line="240" w:lineRule="auto" w:before="4" w:after="0"/>
        <w:ind w:left="704" w:right="0" w:hanging="530"/>
        <w:jc w:val="left"/>
        <w:rPr>
          <w:sz w:val="21"/>
        </w:rPr>
      </w:pPr>
      <w:r>
        <w:rPr>
          <w:spacing w:val="-4"/>
          <w:sz w:val="21"/>
        </w:rPr>
        <w:t>心电图表现为持续室性逸搏心律，心室率持续低于 </w:t>
      </w:r>
      <w:r>
        <w:rPr>
          <w:rFonts w:ascii="Times New Roman" w:eastAsia="Times New Roman"/>
          <w:spacing w:val="-2"/>
          <w:sz w:val="21"/>
        </w:rPr>
        <w:t>40</w:t>
      </w:r>
      <w:r>
        <w:rPr>
          <w:rFonts w:ascii="Times New Roman" w:eastAsia="Times New Roman"/>
          <w:spacing w:val="9"/>
          <w:sz w:val="21"/>
        </w:rPr>
        <w:t> </w:t>
      </w:r>
      <w:r>
        <w:rPr>
          <w:spacing w:val="-2"/>
          <w:sz w:val="21"/>
        </w:rPr>
        <w:t>次</w:t>
      </w:r>
      <w:r>
        <w:rPr>
          <w:rFonts w:ascii="Times New Roman" w:eastAsia="Times New Roman"/>
          <w:spacing w:val="-2"/>
          <w:sz w:val="21"/>
        </w:rPr>
        <w:t>/</w:t>
      </w:r>
      <w:r>
        <w:rPr>
          <w:spacing w:val="-6"/>
          <w:sz w:val="21"/>
        </w:rPr>
        <w:t>分；</w:t>
      </w:r>
    </w:p>
    <w:p>
      <w:pPr>
        <w:pStyle w:val="ListParagraph"/>
        <w:numPr>
          <w:ilvl w:val="0"/>
          <w:numId w:val="83"/>
        </w:numPr>
        <w:tabs>
          <w:tab w:pos="705" w:val="left" w:leader="none"/>
        </w:tabs>
        <w:spacing w:line="240" w:lineRule="auto" w:before="2" w:after="0"/>
        <w:ind w:left="704" w:right="0" w:hanging="530"/>
        <w:jc w:val="left"/>
        <w:rPr>
          <w:sz w:val="21"/>
        </w:rPr>
      </w:pPr>
      <w:r>
        <w:rPr>
          <w:spacing w:val="-3"/>
          <w:sz w:val="21"/>
        </w:rPr>
        <w:t>已经植入永久性心脏起搏器。</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4"/>
        <w:ind w:left="0"/>
        <w:rPr>
          <w:sz w:val="11"/>
        </w:rPr>
      </w:pPr>
    </w:p>
    <w:p>
      <w:pPr>
        <w:pStyle w:val="ListParagraph"/>
        <w:numPr>
          <w:ilvl w:val="1"/>
          <w:numId w:val="81"/>
        </w:numPr>
        <w:tabs>
          <w:tab w:pos="1071" w:val="left" w:leader="none"/>
          <w:tab w:pos="1072" w:val="left" w:leader="none"/>
          <w:tab w:pos="3152" w:val="left" w:leader="none"/>
        </w:tabs>
        <w:spacing w:line="364" w:lineRule="exact" w:before="33" w:after="0"/>
        <w:ind w:left="1071" w:right="0" w:hanging="850"/>
        <w:jc w:val="left"/>
        <w:rPr>
          <w:sz w:val="21"/>
        </w:rPr>
      </w:pPr>
      <w:r>
        <w:rPr>
          <w:rFonts w:ascii="微软雅黑" w:eastAsia="微软雅黑"/>
          <w:b/>
          <w:sz w:val="21"/>
        </w:rPr>
        <w:t>严重登革</w:t>
      </w:r>
      <w:r>
        <w:rPr>
          <w:rFonts w:ascii="微软雅黑" w:eastAsia="微软雅黑"/>
          <w:b/>
          <w:spacing w:val="-10"/>
          <w:sz w:val="21"/>
        </w:rPr>
        <w:t>热</w:t>
      </w:r>
      <w:r>
        <w:rPr>
          <w:rFonts w:ascii="微软雅黑" w:eastAsia="微软雅黑"/>
          <w:b/>
          <w:sz w:val="21"/>
        </w:rPr>
        <w:tab/>
      </w:r>
      <w:r>
        <w:rPr>
          <w:spacing w:val="-2"/>
          <w:sz w:val="21"/>
        </w:rPr>
        <w:t>是</w:t>
      </w:r>
      <w:r>
        <w:rPr>
          <w:spacing w:val="-2"/>
          <w:sz w:val="21"/>
        </w:rPr>
        <w:t>由</w:t>
      </w:r>
      <w:r>
        <w:rPr>
          <w:spacing w:val="-2"/>
          <w:sz w:val="21"/>
        </w:rPr>
        <w:t>登</w:t>
      </w:r>
      <w:r>
        <w:rPr>
          <w:spacing w:val="-2"/>
          <w:sz w:val="21"/>
        </w:rPr>
        <w:t>革</w:t>
      </w:r>
      <w:r>
        <w:rPr>
          <w:spacing w:val="-2"/>
          <w:sz w:val="21"/>
        </w:rPr>
        <w:t>热</w:t>
      </w:r>
      <w:r>
        <w:rPr>
          <w:spacing w:val="-2"/>
          <w:sz w:val="21"/>
        </w:rPr>
        <w:t>病毒引</w:t>
      </w:r>
      <w:r>
        <w:rPr>
          <w:spacing w:val="-2"/>
          <w:sz w:val="21"/>
        </w:rPr>
        <w:t>起</w:t>
      </w:r>
      <w:r>
        <w:rPr>
          <w:spacing w:val="-2"/>
          <w:sz w:val="21"/>
        </w:rPr>
        <w:t>的</w:t>
      </w:r>
      <w:r>
        <w:rPr>
          <w:spacing w:val="-2"/>
          <w:sz w:val="21"/>
        </w:rPr>
        <w:t>急</w:t>
      </w:r>
      <w:r>
        <w:rPr>
          <w:spacing w:val="-2"/>
          <w:sz w:val="21"/>
        </w:rPr>
        <w:t>性</w:t>
      </w:r>
      <w:r>
        <w:rPr>
          <w:spacing w:val="-2"/>
          <w:sz w:val="21"/>
        </w:rPr>
        <w:t>传</w:t>
      </w:r>
      <w:r>
        <w:rPr>
          <w:spacing w:val="-2"/>
          <w:sz w:val="21"/>
        </w:rPr>
        <w:t>染</w:t>
      </w:r>
      <w:r>
        <w:rPr>
          <w:spacing w:val="-2"/>
          <w:sz w:val="21"/>
        </w:rPr>
        <w:t>病</w:t>
      </w:r>
      <w:r>
        <w:rPr>
          <w:spacing w:val="-2"/>
          <w:sz w:val="21"/>
        </w:rPr>
        <w:t>，为一种</w:t>
      </w:r>
      <w:r>
        <w:rPr>
          <w:spacing w:val="-2"/>
          <w:sz w:val="21"/>
        </w:rPr>
        <w:t>自</w:t>
      </w:r>
      <w:r>
        <w:rPr>
          <w:spacing w:val="-2"/>
          <w:sz w:val="21"/>
        </w:rPr>
        <w:t>限</w:t>
      </w:r>
      <w:r>
        <w:rPr>
          <w:spacing w:val="-2"/>
          <w:sz w:val="21"/>
        </w:rPr>
        <w:t>性</w:t>
      </w:r>
      <w:r>
        <w:rPr>
          <w:spacing w:val="-2"/>
          <w:sz w:val="21"/>
        </w:rPr>
        <w:t>疾</w:t>
      </w:r>
      <w:r>
        <w:rPr>
          <w:spacing w:val="-2"/>
          <w:sz w:val="21"/>
        </w:rPr>
        <w:t>病</w:t>
      </w:r>
      <w:r>
        <w:rPr>
          <w:spacing w:val="-2"/>
          <w:sz w:val="21"/>
        </w:rPr>
        <w:t>，</w:t>
      </w:r>
      <w:r>
        <w:rPr>
          <w:spacing w:val="-2"/>
          <w:sz w:val="21"/>
        </w:rPr>
        <w:t>通</w:t>
      </w:r>
      <w:r>
        <w:rPr>
          <w:spacing w:val="-2"/>
          <w:sz w:val="21"/>
        </w:rPr>
        <w:t>常</w:t>
      </w:r>
      <w:r>
        <w:rPr>
          <w:spacing w:val="-2"/>
          <w:sz w:val="21"/>
        </w:rPr>
        <w:t>预</w:t>
      </w:r>
      <w:r>
        <w:rPr>
          <w:spacing w:val="-10"/>
          <w:sz w:val="21"/>
        </w:rPr>
        <w:t>后</w:t>
      </w:r>
    </w:p>
    <w:p>
      <w:pPr>
        <w:pStyle w:val="BodyText"/>
        <w:spacing w:line="246" w:lineRule="exact"/>
      </w:pPr>
      <w:r>
        <w:rPr>
          <w:spacing w:val="-3"/>
        </w:rPr>
        <w:t>良好。本保单仅对严重的登革热给与保障，被保险人的登革热必须</w:t>
      </w:r>
    </w:p>
    <w:p>
      <w:pPr>
        <w:pStyle w:val="BodyText"/>
        <w:spacing w:before="2"/>
      </w:pPr>
      <w:r>
        <w:rPr>
          <w:spacing w:val="-3"/>
        </w:rPr>
        <w:t>满足下列所有条件：</w:t>
      </w:r>
    </w:p>
    <w:p>
      <w:pPr>
        <w:pStyle w:val="ListParagraph"/>
        <w:numPr>
          <w:ilvl w:val="2"/>
          <w:numId w:val="81"/>
        </w:numPr>
        <w:tabs>
          <w:tab w:pos="3682" w:val="left" w:leader="none"/>
        </w:tabs>
        <w:spacing w:line="240" w:lineRule="auto" w:before="4" w:after="0"/>
        <w:ind w:left="3682" w:right="0" w:hanging="529"/>
        <w:jc w:val="left"/>
        <w:rPr>
          <w:sz w:val="21"/>
        </w:rPr>
      </w:pPr>
      <w:r>
        <w:rPr>
          <w:spacing w:val="-2"/>
          <w:sz w:val="21"/>
        </w:rPr>
        <w:t>根据《登革热诊疗指南（</w:t>
      </w:r>
      <w:r>
        <w:rPr>
          <w:rFonts w:ascii="Times New Roman" w:eastAsia="Times New Roman"/>
          <w:spacing w:val="-2"/>
          <w:sz w:val="21"/>
        </w:rPr>
        <w:t>2014</w:t>
      </w:r>
      <w:r>
        <w:rPr>
          <w:rFonts w:ascii="Times New Roman" w:eastAsia="Times New Roman"/>
          <w:spacing w:val="9"/>
          <w:sz w:val="21"/>
        </w:rPr>
        <w:t> </w:t>
      </w:r>
      <w:r>
        <w:rPr>
          <w:spacing w:val="-2"/>
          <w:sz w:val="21"/>
        </w:rPr>
        <w:t>版</w:t>
      </w:r>
      <w:r>
        <w:rPr>
          <w:spacing w:val="-106"/>
          <w:sz w:val="21"/>
        </w:rPr>
        <w:t>）</w:t>
      </w:r>
      <w:r>
        <w:rPr>
          <w:spacing w:val="-4"/>
          <w:sz w:val="21"/>
        </w:rPr>
        <w:t>》明确诊断；</w:t>
      </w:r>
    </w:p>
    <w:p>
      <w:pPr>
        <w:pStyle w:val="ListParagraph"/>
        <w:numPr>
          <w:ilvl w:val="2"/>
          <w:numId w:val="81"/>
        </w:numPr>
        <w:tabs>
          <w:tab w:pos="3682" w:val="left" w:leader="none"/>
        </w:tabs>
        <w:spacing w:line="240" w:lineRule="auto" w:before="2" w:after="0"/>
        <w:ind w:left="3682" w:right="0" w:hanging="529"/>
        <w:jc w:val="left"/>
        <w:rPr>
          <w:sz w:val="21"/>
        </w:rPr>
      </w:pPr>
      <w:r>
        <w:rPr>
          <w:spacing w:val="-3"/>
          <w:sz w:val="21"/>
        </w:rPr>
        <w:t>出现下列一种或多种严重登革热的临床表现：</w:t>
      </w:r>
    </w:p>
    <w:p>
      <w:pPr>
        <w:pStyle w:val="BodyText"/>
        <w:spacing w:before="5"/>
        <w:ind w:left="3678"/>
      </w:pPr>
      <w:r>
        <w:rPr>
          <w:spacing w:val="-3"/>
        </w:rPr>
        <w:t>①血浆渗漏致休克或胸腔积液伴呼吸困难；</w:t>
      </w:r>
    </w:p>
    <w:p>
      <w:pPr>
        <w:spacing w:after="0"/>
        <w:sectPr>
          <w:type w:val="continuous"/>
          <w:pgSz w:w="11910" w:h="16840"/>
          <w:pgMar w:header="0" w:footer="878" w:top="160" w:bottom="280" w:left="1480" w:right="440"/>
        </w:sectPr>
      </w:pPr>
    </w:p>
    <w:p>
      <w:pPr>
        <w:pStyle w:val="BodyText"/>
        <w:spacing w:line="244" w:lineRule="auto" w:before="55"/>
        <w:ind w:left="3678" w:right="732"/>
      </w:pPr>
      <w:r>
        <w:rPr>
          <w:spacing w:val="-4"/>
        </w:rPr>
        <w:t>②严重出血：消化道出血、阴道大出血、颅内出血、肉眼血尿</w:t>
      </w:r>
      <w:r>
        <w:rPr>
          <w:spacing w:val="-2"/>
        </w:rPr>
        <w:t>或皮下血肿（不包括皮下出血点</w:t>
      </w:r>
      <w:r>
        <w:rPr>
          <w:spacing w:val="-106"/>
        </w:rPr>
        <w:t>）</w:t>
      </w:r>
      <w:r>
        <w:rPr/>
        <w:t>；</w:t>
      </w:r>
    </w:p>
    <w:p>
      <w:pPr>
        <w:pStyle w:val="BodyText"/>
        <w:spacing w:line="242" w:lineRule="auto"/>
        <w:ind w:left="3678" w:right="732"/>
        <w:jc w:val="both"/>
      </w:pPr>
      <w:r>
        <w:rPr>
          <w:spacing w:val="-2"/>
        </w:rPr>
        <w:t>③严重器官损害或衰竭：肝脏损伤</w:t>
      </w:r>
      <w:r>
        <w:rPr>
          <w:rFonts w:ascii="Times New Roman" w:hAnsi="Times New Roman" w:eastAsia="Times New Roman"/>
          <w:spacing w:val="-2"/>
        </w:rPr>
        <w:t>(ALT</w:t>
      </w:r>
      <w:r>
        <w:rPr>
          <w:rFonts w:ascii="Times New Roman" w:hAnsi="Times New Roman" w:eastAsia="Times New Roman"/>
          <w:spacing w:val="13"/>
        </w:rPr>
        <w:t> </w:t>
      </w:r>
      <w:r>
        <w:rPr>
          <w:spacing w:val="-14"/>
        </w:rPr>
        <w:t>或 </w:t>
      </w:r>
      <w:r>
        <w:rPr>
          <w:rFonts w:ascii="Times New Roman" w:hAnsi="Times New Roman" w:eastAsia="Times New Roman"/>
          <w:spacing w:val="-2"/>
        </w:rPr>
        <w:t>AST&gt;1000IU/L)</w:t>
      </w:r>
      <w:r>
        <w:rPr>
          <w:spacing w:val="-2"/>
        </w:rPr>
        <w:t>、 </w:t>
      </w:r>
      <w:r>
        <w:rPr>
          <w:rFonts w:ascii="Times New Roman" w:hAnsi="Times New Roman" w:eastAsia="Times New Roman"/>
          <w:spacing w:val="-2"/>
        </w:rPr>
        <w:t>ARDS</w:t>
      </w:r>
      <w:r>
        <w:rPr>
          <w:spacing w:val="-2"/>
        </w:rPr>
        <w:t>（急性呼吸窘迫综合征</w:t>
      </w:r>
      <w:r>
        <w:rPr>
          <w:spacing w:val="-101"/>
        </w:rPr>
        <w:t>）</w:t>
      </w:r>
      <w:r>
        <w:rPr>
          <w:spacing w:val="-2"/>
        </w:rPr>
        <w:t>、急性心功能衰竭、急性肾功</w:t>
      </w:r>
      <w:r>
        <w:rPr>
          <w:spacing w:val="-2"/>
        </w:rPr>
        <w:t>能衰竭、脑病。</w:t>
      </w:r>
    </w:p>
    <w:p>
      <w:pPr>
        <w:pStyle w:val="BodyText"/>
        <w:spacing w:before="12"/>
        <w:ind w:left="0"/>
        <w:rPr>
          <w:sz w:val="10"/>
        </w:rPr>
      </w:pPr>
    </w:p>
    <w:p>
      <w:pPr>
        <w:spacing w:after="0"/>
        <w:rPr>
          <w:sz w:val="10"/>
        </w:rPr>
        <w:sectPr>
          <w:pgSz w:w="11910" w:h="16840"/>
          <w:pgMar w:header="0" w:footer="878" w:top="1060" w:bottom="1060" w:left="1480" w:right="440"/>
        </w:sectPr>
      </w:pPr>
    </w:p>
    <w:p>
      <w:pPr>
        <w:pStyle w:val="ListParagraph"/>
        <w:numPr>
          <w:ilvl w:val="1"/>
          <w:numId w:val="81"/>
        </w:numPr>
        <w:tabs>
          <w:tab w:pos="1071" w:val="left" w:leader="none"/>
          <w:tab w:pos="1072" w:val="left" w:leader="none"/>
        </w:tabs>
        <w:spacing w:line="330" w:lineRule="exact" w:before="32" w:after="0"/>
        <w:ind w:left="1071" w:right="0" w:hanging="850"/>
        <w:jc w:val="left"/>
        <w:rPr>
          <w:rFonts w:ascii="微软雅黑" w:eastAsia="微软雅黑"/>
          <w:b/>
          <w:sz w:val="21"/>
        </w:rPr>
      </w:pPr>
      <w:r>
        <w:rPr>
          <w:rFonts w:ascii="微软雅黑" w:eastAsia="微软雅黑"/>
          <w:b/>
          <w:spacing w:val="18"/>
          <w:sz w:val="21"/>
        </w:rPr>
        <w:t>头臂动脉型多发性</w:t>
      </w:r>
    </w:p>
    <w:p>
      <w:pPr>
        <w:spacing w:line="168" w:lineRule="auto" w:before="27"/>
        <w:ind w:left="1071" w:right="0" w:firstLine="0"/>
        <w:jc w:val="left"/>
        <w:rPr>
          <w:rFonts w:ascii="微软雅黑" w:eastAsia="微软雅黑"/>
          <w:b/>
          <w:sz w:val="21"/>
        </w:rPr>
      </w:pPr>
      <w:r>
        <w:rPr>
          <w:rFonts w:ascii="微软雅黑" w:eastAsia="微软雅黑"/>
          <w:b/>
          <w:spacing w:val="19"/>
          <w:sz w:val="21"/>
        </w:rPr>
        <w:t>大动脉炎旁路移植</w:t>
      </w:r>
      <w:r>
        <w:rPr>
          <w:rFonts w:ascii="微软雅黑" w:eastAsia="微软雅黑"/>
          <w:b/>
          <w:spacing w:val="-6"/>
          <w:sz w:val="21"/>
        </w:rPr>
        <w:t>手术</w:t>
      </w:r>
    </w:p>
    <w:p>
      <w:pPr>
        <w:pStyle w:val="BodyText"/>
        <w:spacing w:line="242" w:lineRule="auto" w:before="100"/>
        <w:ind w:left="175" w:right="729"/>
        <w:jc w:val="both"/>
      </w:pPr>
      <w:r>
        <w:rPr/>
        <w:br w:type="column"/>
      </w:r>
      <w:r>
        <w:rPr>
          <w:spacing w:val="-2"/>
        </w:rPr>
        <w:t>多发性大动脉炎（高安氏动脉炎）是一种发生在主动脉和其主要分</w:t>
      </w:r>
      <w:r>
        <w:rPr>
          <w:spacing w:val="-2"/>
        </w:rPr>
        <w:t>支的慢性炎症性动脉疾病，表现为受累动脉狭窄或闭塞。头臂动脉</w:t>
      </w:r>
      <w:r>
        <w:rPr/>
        <w:t>型多发性大动脉炎是指多发性大动脉炎头臂动脉型（</w:t>
      </w:r>
      <w:r>
        <w:rPr>
          <w:rFonts w:ascii="Times New Roman" w:eastAsia="Times New Roman"/>
        </w:rPr>
        <w:t>I</w:t>
      </w:r>
      <w:r>
        <w:rPr>
          <w:rFonts w:ascii="Times New Roman" w:eastAsia="Times New Roman"/>
          <w:spacing w:val="-14"/>
        </w:rPr>
        <w:t> </w:t>
      </w:r>
      <w:r>
        <w:rPr/>
        <w:t>型</w:t>
      </w:r>
      <w:r>
        <w:rPr>
          <w:spacing w:val="-57"/>
        </w:rPr>
        <w:t>）</w:t>
      </w:r>
      <w:r>
        <w:rPr>
          <w:spacing w:val="-15"/>
        </w:rPr>
        <w:t>，又称为</w:t>
      </w:r>
      <w:r>
        <w:rPr>
          <w:spacing w:val="-2"/>
        </w:rPr>
        <w:t>无脉症。被保险人被明确诊断为头臂动脉型多发性大动脉炎并且实</w:t>
      </w:r>
      <w:r>
        <w:rPr>
          <w:spacing w:val="-4"/>
        </w:rPr>
        <w:t>际接受了经胸部切开进行的无名动脉（头臂干</w:t>
      </w:r>
      <w:r>
        <w:rPr>
          <w:spacing w:val="-108"/>
        </w:rPr>
        <w:t>）</w:t>
      </w:r>
      <w:r>
        <w:rPr>
          <w:spacing w:val="-4"/>
        </w:rPr>
        <w:t>、颈总动脉、锁骨下</w:t>
      </w:r>
      <w:r>
        <w:rPr>
          <w:spacing w:val="-2"/>
        </w:rPr>
        <w:t>动脉旁路移植手术。</w:t>
      </w:r>
    </w:p>
    <w:p>
      <w:pPr>
        <w:spacing w:line="168" w:lineRule="auto" w:before="19"/>
        <w:ind w:left="175" w:right="715" w:firstLine="0"/>
        <w:jc w:val="both"/>
        <w:rPr>
          <w:rFonts w:ascii="微软雅黑" w:eastAsia="微软雅黑"/>
          <w:b/>
          <w:sz w:val="21"/>
        </w:rPr>
      </w:pPr>
      <w:r>
        <w:rPr>
          <w:rFonts w:ascii="微软雅黑" w:eastAsia="微软雅黑"/>
          <w:b/>
          <w:spacing w:val="-2"/>
          <w:sz w:val="21"/>
        </w:rPr>
        <w:t>非开胸的血管旁路移植手术、因其他病因而进行的旁路移植手术，</w:t>
      </w:r>
      <w:r>
        <w:rPr>
          <w:rFonts w:ascii="微软雅黑" w:eastAsia="微软雅黑"/>
          <w:b/>
          <w:spacing w:val="-2"/>
          <w:sz w:val="21"/>
        </w:rPr>
        <w:t>对其他动脉进行的旁路移植手术，经皮经导管进行的血管内手术不</w:t>
      </w:r>
      <w:r>
        <w:rPr>
          <w:rFonts w:ascii="微软雅黑" w:eastAsia="微软雅黑"/>
          <w:b/>
          <w:spacing w:val="-2"/>
          <w:sz w:val="21"/>
        </w:rPr>
        <w:t>在保障范围内。</w:t>
      </w:r>
    </w:p>
    <w:p>
      <w:pPr>
        <w:spacing w:after="0" w:line="168" w:lineRule="auto"/>
        <w:jc w:val="both"/>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2"/>
        <w:ind w:left="0"/>
        <w:rPr>
          <w:rFonts w:ascii="微软雅黑"/>
          <w:b/>
          <w:sz w:val="7"/>
        </w:rPr>
      </w:pPr>
    </w:p>
    <w:p>
      <w:pPr>
        <w:pStyle w:val="ListParagraph"/>
        <w:numPr>
          <w:ilvl w:val="1"/>
          <w:numId w:val="81"/>
        </w:numPr>
        <w:tabs>
          <w:tab w:pos="1071" w:val="left" w:leader="none"/>
          <w:tab w:pos="1072" w:val="left" w:leader="none"/>
          <w:tab w:pos="3152" w:val="left" w:leader="none"/>
        </w:tabs>
        <w:spacing w:line="364" w:lineRule="exact" w:before="32" w:after="0"/>
        <w:ind w:left="1071" w:right="0" w:hanging="850"/>
        <w:jc w:val="left"/>
        <w:rPr>
          <w:sz w:val="21"/>
        </w:rPr>
      </w:pPr>
      <w:r>
        <w:rPr>
          <w:rFonts w:ascii="微软雅黑" w:eastAsia="微软雅黑"/>
          <w:b/>
          <w:sz w:val="21"/>
        </w:rPr>
        <w:t>肺淋巴管肌瘤</w:t>
      </w:r>
      <w:r>
        <w:rPr>
          <w:rFonts w:ascii="微软雅黑" w:eastAsia="微软雅黑"/>
          <w:b/>
          <w:spacing w:val="-10"/>
          <w:sz w:val="21"/>
        </w:rPr>
        <w:t>病</w:t>
      </w:r>
      <w:r>
        <w:rPr>
          <w:rFonts w:ascii="微软雅黑" w:eastAsia="微软雅黑"/>
          <w:b/>
          <w:sz w:val="21"/>
        </w:rPr>
        <w:tab/>
      </w:r>
      <w:r>
        <w:rPr>
          <w:spacing w:val="-2"/>
          <w:sz w:val="21"/>
        </w:rPr>
        <w:t>肺</w:t>
      </w:r>
      <w:r>
        <w:rPr>
          <w:spacing w:val="-2"/>
          <w:sz w:val="21"/>
        </w:rPr>
        <w:t>淋</w:t>
      </w:r>
      <w:r>
        <w:rPr>
          <w:spacing w:val="-2"/>
          <w:sz w:val="21"/>
        </w:rPr>
        <w:t>巴</w:t>
      </w:r>
      <w:r>
        <w:rPr>
          <w:spacing w:val="-2"/>
          <w:sz w:val="21"/>
        </w:rPr>
        <w:t>管</w:t>
      </w:r>
      <w:r>
        <w:rPr>
          <w:spacing w:val="-2"/>
          <w:sz w:val="21"/>
        </w:rPr>
        <w:t>肌</w:t>
      </w:r>
      <w:r>
        <w:rPr>
          <w:spacing w:val="-2"/>
          <w:sz w:val="21"/>
        </w:rPr>
        <w:t>瘤病是</w:t>
      </w:r>
      <w:r>
        <w:rPr>
          <w:spacing w:val="-2"/>
          <w:sz w:val="21"/>
        </w:rPr>
        <w:t>一</w:t>
      </w:r>
      <w:r>
        <w:rPr>
          <w:spacing w:val="-2"/>
          <w:sz w:val="21"/>
        </w:rPr>
        <w:t>种</w:t>
      </w:r>
      <w:r>
        <w:rPr>
          <w:spacing w:val="-2"/>
          <w:sz w:val="21"/>
        </w:rPr>
        <w:t>弥</w:t>
      </w:r>
      <w:r>
        <w:rPr>
          <w:spacing w:val="-2"/>
          <w:sz w:val="21"/>
        </w:rPr>
        <w:t>漫</w:t>
      </w:r>
      <w:r>
        <w:rPr>
          <w:spacing w:val="-2"/>
          <w:sz w:val="21"/>
        </w:rPr>
        <w:t>性</w:t>
      </w:r>
      <w:r>
        <w:rPr>
          <w:spacing w:val="-2"/>
          <w:sz w:val="21"/>
        </w:rPr>
        <w:t>肺</w:t>
      </w:r>
      <w:r>
        <w:rPr>
          <w:spacing w:val="-2"/>
          <w:sz w:val="21"/>
        </w:rPr>
        <w:t>部</w:t>
      </w:r>
      <w:r>
        <w:rPr>
          <w:spacing w:val="-2"/>
          <w:sz w:val="21"/>
        </w:rPr>
        <w:t>疾</w:t>
      </w:r>
      <w:r>
        <w:rPr>
          <w:spacing w:val="-2"/>
          <w:sz w:val="21"/>
        </w:rPr>
        <w:t>病，其</w:t>
      </w:r>
      <w:r>
        <w:rPr>
          <w:spacing w:val="-2"/>
          <w:sz w:val="21"/>
        </w:rPr>
        <w:t>特</w:t>
      </w:r>
      <w:r>
        <w:rPr>
          <w:spacing w:val="-2"/>
          <w:sz w:val="21"/>
        </w:rPr>
        <w:t>征</w:t>
      </w:r>
      <w:r>
        <w:rPr>
          <w:spacing w:val="-2"/>
          <w:sz w:val="21"/>
        </w:rPr>
        <w:t>性</w:t>
      </w:r>
      <w:r>
        <w:rPr>
          <w:spacing w:val="-2"/>
          <w:sz w:val="21"/>
        </w:rPr>
        <w:t>病</w:t>
      </w:r>
      <w:r>
        <w:rPr>
          <w:spacing w:val="-2"/>
          <w:sz w:val="21"/>
        </w:rPr>
        <w:t>理</w:t>
      </w:r>
      <w:r>
        <w:rPr>
          <w:spacing w:val="-2"/>
          <w:sz w:val="21"/>
        </w:rPr>
        <w:t>表</w:t>
      </w:r>
      <w:r>
        <w:rPr>
          <w:spacing w:val="-2"/>
          <w:sz w:val="21"/>
        </w:rPr>
        <w:t>现</w:t>
      </w:r>
      <w:r>
        <w:rPr>
          <w:spacing w:val="-2"/>
          <w:sz w:val="21"/>
        </w:rPr>
        <w:t>为</w:t>
      </w:r>
      <w:r>
        <w:rPr>
          <w:spacing w:val="-2"/>
          <w:sz w:val="21"/>
        </w:rPr>
        <w:t>囊</w:t>
      </w:r>
      <w:r>
        <w:rPr>
          <w:spacing w:val="-10"/>
          <w:sz w:val="21"/>
        </w:rPr>
        <w:t>性</w:t>
      </w:r>
    </w:p>
    <w:p>
      <w:pPr>
        <w:pStyle w:val="BodyText"/>
        <w:spacing w:line="246" w:lineRule="exact"/>
      </w:pPr>
      <w:r>
        <w:rPr>
          <w:spacing w:val="-3"/>
        </w:rPr>
        <w:t>病变及不成熟的平滑肌细胞和血管周围上皮细胞异常增生形成多发</w:t>
      </w:r>
    </w:p>
    <w:p>
      <w:pPr>
        <w:pStyle w:val="BodyText"/>
        <w:spacing w:before="3"/>
      </w:pPr>
      <w:r>
        <w:rPr>
          <w:spacing w:val="-3"/>
        </w:rPr>
        <w:t>结节。必须满足下列所有条件：</w:t>
      </w:r>
    </w:p>
    <w:p>
      <w:pPr>
        <w:pStyle w:val="ListParagraph"/>
        <w:numPr>
          <w:ilvl w:val="0"/>
          <w:numId w:val="84"/>
        </w:numPr>
        <w:tabs>
          <w:tab w:pos="3682" w:val="left" w:leader="none"/>
        </w:tabs>
        <w:spacing w:line="240" w:lineRule="auto" w:before="4" w:after="0"/>
        <w:ind w:left="3682" w:right="0" w:hanging="529"/>
        <w:jc w:val="left"/>
        <w:rPr>
          <w:sz w:val="21"/>
        </w:rPr>
      </w:pPr>
      <w:r>
        <w:rPr>
          <w:spacing w:val="-3"/>
          <w:sz w:val="21"/>
        </w:rPr>
        <w:t>经组织病理学检查明确诊断；</w:t>
      </w:r>
    </w:p>
    <w:p>
      <w:pPr>
        <w:pStyle w:val="ListParagraph"/>
        <w:numPr>
          <w:ilvl w:val="0"/>
          <w:numId w:val="84"/>
        </w:numPr>
        <w:tabs>
          <w:tab w:pos="3682" w:val="left" w:leader="none"/>
        </w:tabs>
        <w:spacing w:line="240" w:lineRule="auto" w:before="2" w:after="0"/>
        <w:ind w:left="3682" w:right="0" w:hanging="529"/>
        <w:jc w:val="left"/>
        <w:rPr>
          <w:sz w:val="21"/>
        </w:rPr>
      </w:pPr>
      <w:r>
        <w:rPr>
          <w:rFonts w:ascii="Times New Roman" w:eastAsia="Times New Roman"/>
          <w:sz w:val="21"/>
        </w:rPr>
        <w:t>CT</w:t>
      </w:r>
      <w:r>
        <w:rPr>
          <w:rFonts w:ascii="Times New Roman" w:eastAsia="Times New Roman"/>
          <w:spacing w:val="29"/>
          <w:sz w:val="21"/>
        </w:rPr>
        <w:t> </w:t>
      </w:r>
      <w:r>
        <w:rPr>
          <w:spacing w:val="-1"/>
          <w:sz w:val="21"/>
        </w:rPr>
        <w:t>显示双肺弥漫性囊性改变；</w:t>
      </w:r>
    </w:p>
    <w:p>
      <w:pPr>
        <w:pStyle w:val="ListParagraph"/>
        <w:numPr>
          <w:ilvl w:val="0"/>
          <w:numId w:val="84"/>
        </w:numPr>
        <w:tabs>
          <w:tab w:pos="3682" w:val="left" w:leader="none"/>
        </w:tabs>
        <w:spacing w:line="240" w:lineRule="auto" w:before="5" w:after="0"/>
        <w:ind w:left="3682" w:right="0" w:hanging="529"/>
        <w:jc w:val="left"/>
        <w:rPr>
          <w:sz w:val="21"/>
        </w:rPr>
      </w:pPr>
      <w:r>
        <w:rPr>
          <w:spacing w:val="-7"/>
          <w:sz w:val="21"/>
        </w:rPr>
        <w:t>肺功能检查显示 </w:t>
      </w:r>
      <w:r>
        <w:rPr>
          <w:rFonts w:ascii="Times New Roman" w:eastAsia="Times New Roman"/>
          <w:sz w:val="21"/>
        </w:rPr>
        <w:t>FEV1</w:t>
      </w:r>
      <w:r>
        <w:rPr>
          <w:rFonts w:ascii="Times New Roman" w:eastAsia="Times New Roman"/>
          <w:spacing w:val="-14"/>
          <w:sz w:val="21"/>
        </w:rPr>
        <w:t> </w:t>
      </w:r>
      <w:r>
        <w:rPr>
          <w:spacing w:val="42"/>
          <w:sz w:val="21"/>
        </w:rPr>
        <w:t>和</w:t>
      </w:r>
      <w:r>
        <w:rPr>
          <w:rFonts w:ascii="Times New Roman" w:eastAsia="Times New Roman"/>
          <w:sz w:val="21"/>
        </w:rPr>
        <w:t>DLCO</w:t>
      </w:r>
      <w:r>
        <w:rPr>
          <w:sz w:val="21"/>
        </w:rPr>
        <w:t>（</w:t>
      </w:r>
      <w:r>
        <w:rPr>
          <w:rFonts w:ascii="Times New Roman" w:eastAsia="Times New Roman"/>
          <w:sz w:val="21"/>
        </w:rPr>
        <w:t>CO</w:t>
      </w:r>
      <w:r>
        <w:rPr>
          <w:rFonts w:ascii="Times New Roman" w:eastAsia="Times New Roman"/>
          <w:spacing w:val="-11"/>
          <w:sz w:val="21"/>
        </w:rPr>
        <w:t> </w:t>
      </w:r>
      <w:r>
        <w:rPr>
          <w:sz w:val="21"/>
        </w:rPr>
        <w:t>弥散功能）</w:t>
      </w:r>
      <w:r>
        <w:rPr>
          <w:spacing w:val="-4"/>
          <w:sz w:val="21"/>
        </w:rPr>
        <w:t>下降；</w:t>
      </w:r>
    </w:p>
    <w:p>
      <w:pPr>
        <w:pStyle w:val="ListParagraph"/>
        <w:numPr>
          <w:ilvl w:val="0"/>
          <w:numId w:val="84"/>
        </w:numPr>
        <w:tabs>
          <w:tab w:pos="3682" w:val="left" w:leader="none"/>
        </w:tabs>
        <w:spacing w:line="194" w:lineRule="auto" w:before="42" w:after="0"/>
        <w:ind w:left="3153" w:right="3574" w:firstLine="0"/>
        <w:jc w:val="left"/>
        <w:rPr>
          <w:rFonts w:ascii="微软雅黑" w:eastAsia="微软雅黑"/>
          <w:b/>
          <w:sz w:val="21"/>
        </w:rPr>
      </w:pPr>
      <w:r>
        <w:rPr>
          <w:spacing w:val="-2"/>
          <w:sz w:val="21"/>
        </w:rPr>
        <w:t>动脉血气分析显示低氧血症。</w:t>
      </w:r>
      <w:r>
        <w:rPr>
          <w:rFonts w:ascii="微软雅黑" w:eastAsia="微软雅黑"/>
          <w:b/>
          <w:spacing w:val="-2"/>
          <w:sz w:val="21"/>
        </w:rPr>
        <w:t>疑似肺淋巴管肌瘤病除外。</w:t>
      </w:r>
    </w:p>
    <w:p>
      <w:pPr>
        <w:pStyle w:val="ListParagraph"/>
        <w:numPr>
          <w:ilvl w:val="1"/>
          <w:numId w:val="81"/>
        </w:numPr>
        <w:tabs>
          <w:tab w:pos="1071" w:val="left" w:leader="none"/>
          <w:tab w:pos="1072" w:val="left" w:leader="none"/>
          <w:tab w:pos="3152" w:val="left" w:leader="none"/>
        </w:tabs>
        <w:spacing w:line="363" w:lineRule="exact" w:before="148" w:after="0"/>
        <w:ind w:left="1071" w:right="0" w:hanging="850"/>
        <w:jc w:val="left"/>
        <w:rPr>
          <w:sz w:val="21"/>
        </w:rPr>
      </w:pPr>
      <w:r>
        <w:rPr>
          <w:rFonts w:ascii="微软雅黑" w:eastAsia="微软雅黑"/>
          <w:b/>
          <w:sz w:val="21"/>
        </w:rPr>
        <w:t>严重肺结节</w:t>
      </w:r>
      <w:r>
        <w:rPr>
          <w:rFonts w:ascii="微软雅黑" w:eastAsia="微软雅黑"/>
          <w:b/>
          <w:spacing w:val="-10"/>
          <w:sz w:val="21"/>
        </w:rPr>
        <w:t>病</w:t>
      </w:r>
      <w:r>
        <w:rPr>
          <w:rFonts w:ascii="微软雅黑" w:eastAsia="微软雅黑"/>
          <w:b/>
          <w:sz w:val="21"/>
        </w:rPr>
        <w:tab/>
      </w:r>
      <w:r>
        <w:rPr>
          <w:spacing w:val="-2"/>
          <w:sz w:val="21"/>
        </w:rPr>
        <w:t>结</w:t>
      </w:r>
      <w:r>
        <w:rPr>
          <w:spacing w:val="-2"/>
          <w:sz w:val="21"/>
        </w:rPr>
        <w:t>节</w:t>
      </w:r>
      <w:r>
        <w:rPr>
          <w:spacing w:val="-2"/>
          <w:sz w:val="21"/>
        </w:rPr>
        <w:t>病</w:t>
      </w:r>
      <w:r>
        <w:rPr>
          <w:spacing w:val="-2"/>
          <w:sz w:val="21"/>
        </w:rPr>
        <w:t>是</w:t>
      </w:r>
      <w:r>
        <w:rPr>
          <w:spacing w:val="-2"/>
          <w:sz w:val="21"/>
        </w:rPr>
        <w:t>一</w:t>
      </w:r>
      <w:r>
        <w:rPr>
          <w:spacing w:val="-2"/>
          <w:sz w:val="21"/>
        </w:rPr>
        <w:t>种原因</w:t>
      </w:r>
      <w:r>
        <w:rPr>
          <w:spacing w:val="-2"/>
          <w:sz w:val="21"/>
        </w:rPr>
        <w:t>未</w:t>
      </w:r>
      <w:r>
        <w:rPr>
          <w:spacing w:val="-2"/>
          <w:sz w:val="21"/>
        </w:rPr>
        <w:t>明</w:t>
      </w:r>
      <w:r>
        <w:rPr>
          <w:spacing w:val="-2"/>
          <w:sz w:val="21"/>
        </w:rPr>
        <w:t>的</w:t>
      </w:r>
      <w:r>
        <w:rPr>
          <w:spacing w:val="-2"/>
          <w:sz w:val="21"/>
        </w:rPr>
        <w:t>慢</w:t>
      </w:r>
      <w:r>
        <w:rPr>
          <w:spacing w:val="-2"/>
          <w:sz w:val="21"/>
        </w:rPr>
        <w:t>性</w:t>
      </w:r>
      <w:r>
        <w:rPr>
          <w:spacing w:val="-2"/>
          <w:sz w:val="21"/>
        </w:rPr>
        <w:t>肉</w:t>
      </w:r>
      <w:r>
        <w:rPr>
          <w:spacing w:val="-2"/>
          <w:sz w:val="21"/>
        </w:rPr>
        <w:t>芽</w:t>
      </w:r>
      <w:r>
        <w:rPr>
          <w:spacing w:val="-2"/>
          <w:sz w:val="21"/>
        </w:rPr>
        <w:t>肿</w:t>
      </w:r>
      <w:r>
        <w:rPr>
          <w:spacing w:val="-2"/>
          <w:sz w:val="21"/>
        </w:rPr>
        <w:t>病，可</w:t>
      </w:r>
      <w:r>
        <w:rPr>
          <w:spacing w:val="-2"/>
          <w:sz w:val="21"/>
        </w:rPr>
        <w:t>侵</w:t>
      </w:r>
      <w:r>
        <w:rPr>
          <w:spacing w:val="-2"/>
          <w:sz w:val="21"/>
        </w:rPr>
        <w:t>犯</w:t>
      </w:r>
      <w:r>
        <w:rPr>
          <w:spacing w:val="-2"/>
          <w:sz w:val="21"/>
        </w:rPr>
        <w:t>全</w:t>
      </w:r>
      <w:r>
        <w:rPr>
          <w:spacing w:val="-2"/>
          <w:sz w:val="21"/>
        </w:rPr>
        <w:t>身</w:t>
      </w:r>
      <w:r>
        <w:rPr>
          <w:spacing w:val="-2"/>
          <w:sz w:val="21"/>
        </w:rPr>
        <w:t>多</w:t>
      </w:r>
      <w:r>
        <w:rPr>
          <w:spacing w:val="-2"/>
          <w:sz w:val="21"/>
        </w:rPr>
        <w:t>个</w:t>
      </w:r>
      <w:r>
        <w:rPr>
          <w:spacing w:val="-2"/>
          <w:sz w:val="21"/>
        </w:rPr>
        <w:t>器</w:t>
      </w:r>
      <w:r>
        <w:rPr>
          <w:spacing w:val="-2"/>
          <w:sz w:val="21"/>
        </w:rPr>
        <w:t>官</w:t>
      </w:r>
      <w:r>
        <w:rPr>
          <w:spacing w:val="-2"/>
          <w:sz w:val="21"/>
        </w:rPr>
        <w:t>，</w:t>
      </w:r>
      <w:r>
        <w:rPr>
          <w:spacing w:val="-10"/>
          <w:sz w:val="21"/>
        </w:rPr>
        <w:t>以</w:t>
      </w:r>
    </w:p>
    <w:p>
      <w:pPr>
        <w:pStyle w:val="BodyText"/>
        <w:spacing w:line="245" w:lineRule="exact"/>
      </w:pPr>
      <w:r>
        <w:rPr>
          <w:spacing w:val="-3"/>
        </w:rPr>
        <w:t>肺和淋巴结受累最为常见。严重肺结节病表现为肺的广泛纤维化导</w:t>
      </w:r>
    </w:p>
    <w:p>
      <w:pPr>
        <w:pStyle w:val="BodyText"/>
        <w:spacing w:before="5"/>
      </w:pPr>
      <w:r>
        <w:rPr>
          <w:spacing w:val="-3"/>
        </w:rPr>
        <w:t>致慢性呼吸功能衰竭。必须满足下列所有条件：</w:t>
      </w:r>
    </w:p>
    <w:p>
      <w:pPr>
        <w:pStyle w:val="ListParagraph"/>
        <w:numPr>
          <w:ilvl w:val="0"/>
          <w:numId w:val="85"/>
        </w:numPr>
        <w:tabs>
          <w:tab w:pos="3682" w:val="left" w:leader="none"/>
        </w:tabs>
        <w:spacing w:line="240" w:lineRule="auto" w:before="2" w:after="0"/>
        <w:ind w:left="3682" w:right="0" w:hanging="529"/>
        <w:jc w:val="left"/>
        <w:rPr>
          <w:sz w:val="21"/>
        </w:rPr>
      </w:pPr>
      <w:r>
        <w:rPr>
          <w:spacing w:val="9"/>
          <w:sz w:val="21"/>
        </w:rPr>
        <w:t>肺结节病的</w:t>
      </w:r>
      <w:r>
        <w:rPr>
          <w:rFonts w:ascii="Times New Roman" w:eastAsia="Times New Roman"/>
          <w:sz w:val="21"/>
        </w:rPr>
        <w:t>X</w:t>
      </w:r>
      <w:r>
        <w:rPr>
          <w:rFonts w:ascii="Times New Roman" w:eastAsia="Times New Roman"/>
          <w:spacing w:val="-16"/>
          <w:sz w:val="21"/>
        </w:rPr>
        <w:t> </w:t>
      </w:r>
      <w:r>
        <w:rPr>
          <w:spacing w:val="-11"/>
          <w:sz w:val="21"/>
        </w:rPr>
        <w:t>线分期为 </w:t>
      </w:r>
      <w:r>
        <w:rPr>
          <w:rFonts w:ascii="Times New Roman" w:eastAsia="Times New Roman"/>
          <w:sz w:val="21"/>
        </w:rPr>
        <w:t>IV</w:t>
      </w:r>
      <w:r>
        <w:rPr>
          <w:rFonts w:ascii="Times New Roman" w:eastAsia="Times New Roman"/>
          <w:spacing w:val="-11"/>
          <w:sz w:val="21"/>
        </w:rPr>
        <w:t> </w:t>
      </w:r>
      <w:r>
        <w:rPr>
          <w:spacing w:val="-1"/>
          <w:sz w:val="21"/>
        </w:rPr>
        <w:t>期，即广泛肺纤维化；</w:t>
      </w:r>
    </w:p>
    <w:p>
      <w:pPr>
        <w:pStyle w:val="ListParagraph"/>
        <w:numPr>
          <w:ilvl w:val="0"/>
          <w:numId w:val="85"/>
        </w:numPr>
        <w:tabs>
          <w:tab w:pos="3682" w:val="left" w:leader="none"/>
        </w:tabs>
        <w:spacing w:line="240" w:lineRule="auto" w:before="5" w:after="0"/>
        <w:ind w:left="3678" w:right="626" w:hanging="526"/>
        <w:jc w:val="left"/>
        <w:rPr>
          <w:sz w:val="21"/>
        </w:rPr>
      </w:pPr>
      <w:r>
        <w:rPr>
          <w:spacing w:val="-2"/>
          <w:sz w:val="21"/>
        </w:rPr>
        <w:t>永久不可逆性的慢性呼吸功能衰竭，临床持续 </w:t>
      </w:r>
      <w:r>
        <w:rPr>
          <w:rFonts w:ascii="Times New Roman" w:eastAsia="Times New Roman"/>
          <w:sz w:val="21"/>
        </w:rPr>
        <w:t>180 </w:t>
      </w:r>
      <w:r>
        <w:rPr>
          <w:sz w:val="21"/>
        </w:rPr>
        <w:t>天动脉血</w:t>
      </w:r>
      <w:r>
        <w:rPr>
          <w:sz w:val="21"/>
        </w:rPr>
        <w:t> </w:t>
      </w:r>
      <w:r>
        <w:rPr>
          <w:spacing w:val="-2"/>
          <w:position w:val="2"/>
          <w:sz w:val="21"/>
        </w:rPr>
        <w:t>氧分压（</w:t>
      </w:r>
      <w:r>
        <w:rPr>
          <w:rFonts w:ascii="Times New Roman" w:eastAsia="Times New Roman"/>
          <w:spacing w:val="-2"/>
          <w:position w:val="2"/>
          <w:sz w:val="21"/>
        </w:rPr>
        <w:t>PaO</w:t>
      </w:r>
      <w:r>
        <w:rPr>
          <w:rFonts w:ascii="Times New Roman" w:eastAsia="Times New Roman"/>
          <w:spacing w:val="-2"/>
          <w:sz w:val="14"/>
        </w:rPr>
        <w:t>2</w:t>
      </w:r>
      <w:r>
        <w:rPr>
          <w:spacing w:val="-2"/>
          <w:position w:val="2"/>
          <w:sz w:val="21"/>
        </w:rPr>
        <w:t>）</w:t>
      </w:r>
      <w:r>
        <w:rPr>
          <w:rFonts w:ascii="Times New Roman" w:eastAsia="Times New Roman"/>
          <w:spacing w:val="-2"/>
          <w:position w:val="2"/>
          <w:sz w:val="21"/>
        </w:rPr>
        <w:t>&lt;50mmHg </w:t>
      </w:r>
      <w:r>
        <w:rPr>
          <w:spacing w:val="-2"/>
          <w:position w:val="2"/>
          <w:sz w:val="21"/>
        </w:rPr>
        <w:t>和动脉血氧饱和度（</w:t>
      </w:r>
      <w:r>
        <w:rPr>
          <w:rFonts w:ascii="Times New Roman" w:eastAsia="Times New Roman"/>
          <w:spacing w:val="-2"/>
          <w:position w:val="2"/>
          <w:sz w:val="21"/>
        </w:rPr>
        <w:t>SaO</w:t>
      </w:r>
      <w:r>
        <w:rPr>
          <w:rFonts w:ascii="Times New Roman" w:eastAsia="Times New Roman"/>
          <w:spacing w:val="-2"/>
          <w:sz w:val="14"/>
        </w:rPr>
        <w:t>2</w:t>
      </w:r>
      <w:r>
        <w:rPr>
          <w:spacing w:val="-2"/>
          <w:position w:val="2"/>
          <w:sz w:val="21"/>
        </w:rPr>
        <w:t>）</w:t>
      </w:r>
      <w:r>
        <w:rPr>
          <w:rFonts w:ascii="Times New Roman" w:eastAsia="Times New Roman"/>
          <w:spacing w:val="-2"/>
          <w:position w:val="2"/>
          <w:sz w:val="21"/>
        </w:rPr>
        <w:t>&lt;80%</w:t>
      </w:r>
      <w:r>
        <w:rPr>
          <w:spacing w:val="-2"/>
          <w:position w:val="2"/>
          <w:sz w:val="21"/>
        </w:rPr>
        <w:t>。</w:t>
      </w:r>
    </w:p>
    <w:p>
      <w:pPr>
        <w:pStyle w:val="BodyText"/>
        <w:spacing w:before="6"/>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81"/>
        </w:numPr>
        <w:tabs>
          <w:tab w:pos="1071" w:val="left" w:leader="none"/>
          <w:tab w:pos="1072" w:val="left" w:leader="none"/>
        </w:tabs>
        <w:spacing w:line="170" w:lineRule="auto" w:before="113" w:after="0"/>
        <w:ind w:left="1071" w:right="0" w:hanging="850"/>
        <w:jc w:val="left"/>
        <w:rPr>
          <w:rFonts w:ascii="微软雅黑" w:eastAsia="微软雅黑"/>
          <w:b/>
          <w:sz w:val="21"/>
        </w:rPr>
      </w:pPr>
      <w:r>
        <w:rPr>
          <w:rFonts w:ascii="微软雅黑" w:eastAsia="微软雅黑"/>
          <w:b/>
          <w:spacing w:val="20"/>
          <w:sz w:val="21"/>
        </w:rPr>
        <w:t>非阿尔茨海默病致</w:t>
      </w:r>
      <w:r>
        <w:rPr>
          <w:rFonts w:ascii="微软雅黑" w:eastAsia="微软雅黑"/>
          <w:b/>
          <w:spacing w:val="-4"/>
          <w:sz w:val="21"/>
        </w:rPr>
        <w:t>严重痴呆</w:t>
      </w:r>
    </w:p>
    <w:p>
      <w:pPr>
        <w:pStyle w:val="BodyText"/>
        <w:spacing w:line="242" w:lineRule="auto" w:before="100"/>
        <w:ind w:left="173" w:right="729"/>
        <w:jc w:val="both"/>
      </w:pPr>
      <w:r>
        <w:rPr/>
        <w:br w:type="column"/>
      </w:r>
      <w:r>
        <w:rPr>
          <w:spacing w:val="-2"/>
        </w:rPr>
        <w:t>指因阿尔茨海默病以外的脑的器质性疾病造成脑功能衰竭导致永久</w:t>
      </w:r>
      <w:r>
        <w:rPr>
          <w:spacing w:val="-2"/>
        </w:rPr>
        <w:t>不可逆性的严重痴呆，临床表现为明显的认知能力障碍、行为异常</w:t>
      </w:r>
      <w:r>
        <w:rPr>
          <w:spacing w:val="-2"/>
        </w:rPr>
        <w:t>和社交能力减退。被保险人自主生活能力完全丧失，无法独立完成</w:t>
      </w:r>
      <w:r>
        <w:rPr>
          <w:spacing w:val="-2"/>
        </w:rPr>
        <w:t>六项基本日常生活活动中的三项或三项以上，日常生活必须持续受</w:t>
      </w:r>
      <w:r>
        <w:rPr>
          <w:spacing w:val="-2"/>
        </w:rPr>
        <w:t>到他人监护。</w:t>
      </w:r>
    </w:p>
    <w:p>
      <w:pPr>
        <w:pStyle w:val="BodyText"/>
        <w:spacing w:line="242" w:lineRule="auto" w:before="4"/>
        <w:ind w:left="173" w:right="729"/>
      </w:pPr>
      <w:r>
        <w:rPr>
          <w:spacing w:val="-2"/>
        </w:rPr>
        <w:t>导致痴呆的疾病必须明确诊断，并且由完整的临床、实验室和影像</w:t>
      </w:r>
      <w:r>
        <w:rPr>
          <w:spacing w:val="-2"/>
        </w:rPr>
        <w:t>学检查结果证实。</w:t>
      </w:r>
    </w:p>
    <w:p>
      <w:pPr>
        <w:spacing w:line="321" w:lineRule="exact" w:before="0"/>
        <w:ind w:left="173" w:right="0" w:firstLine="0"/>
        <w:jc w:val="left"/>
        <w:rPr>
          <w:rFonts w:ascii="微软雅黑" w:eastAsia="微软雅黑"/>
          <w:b/>
          <w:sz w:val="21"/>
        </w:rPr>
      </w:pPr>
      <w:r>
        <w:rPr>
          <w:rFonts w:ascii="微软雅黑" w:eastAsia="微软雅黑"/>
          <w:b/>
          <w:spacing w:val="-3"/>
          <w:sz w:val="21"/>
        </w:rPr>
        <w:t>神经官能症，精神疾病及酒精中毒所致脑损害不在保障范围内。</w:t>
      </w:r>
    </w:p>
    <w:p>
      <w:pPr>
        <w:spacing w:after="0" w:line="321" w:lineRule="exact"/>
        <w:jc w:val="left"/>
        <w:rPr>
          <w:rFonts w:ascii="微软雅黑" w:eastAsia="微软雅黑"/>
          <w:sz w:val="21"/>
        </w:rPr>
        <w:sectPr>
          <w:type w:val="continuous"/>
          <w:pgSz w:w="11910" w:h="16840"/>
          <w:pgMar w:header="0" w:footer="878" w:top="160" w:bottom="280" w:left="1480" w:right="440"/>
          <w:cols w:num="2" w:equalWidth="0">
            <w:col w:w="2940" w:space="40"/>
            <w:col w:w="7010"/>
          </w:cols>
        </w:sectPr>
      </w:pPr>
    </w:p>
    <w:p>
      <w:pPr>
        <w:pStyle w:val="ListParagraph"/>
        <w:numPr>
          <w:ilvl w:val="1"/>
          <w:numId w:val="81"/>
        </w:numPr>
        <w:tabs>
          <w:tab w:pos="1071" w:val="left" w:leader="none"/>
          <w:tab w:pos="1072" w:val="left" w:leader="none"/>
          <w:tab w:pos="3152" w:val="left" w:leader="none"/>
        </w:tabs>
        <w:spacing w:line="363" w:lineRule="exact" w:before="127" w:after="0"/>
        <w:ind w:left="1071" w:right="0" w:hanging="850"/>
        <w:jc w:val="left"/>
        <w:rPr>
          <w:sz w:val="21"/>
        </w:rPr>
      </w:pPr>
      <w:r>
        <w:rPr>
          <w:rFonts w:ascii="微软雅黑" w:eastAsia="微软雅黑"/>
          <w:b/>
          <w:sz w:val="21"/>
        </w:rPr>
        <w:t>进行性核上性麻</w:t>
      </w:r>
      <w:r>
        <w:rPr>
          <w:rFonts w:ascii="微软雅黑" w:eastAsia="微软雅黑"/>
          <w:b/>
          <w:spacing w:val="-10"/>
          <w:sz w:val="21"/>
        </w:rPr>
        <w:t>痹</w:t>
      </w:r>
      <w:r>
        <w:rPr>
          <w:rFonts w:ascii="微软雅黑" w:eastAsia="微软雅黑"/>
          <w:b/>
          <w:sz w:val="21"/>
        </w:rPr>
        <w:tab/>
      </w:r>
      <w:r>
        <w:rPr>
          <w:spacing w:val="-2"/>
          <w:sz w:val="21"/>
        </w:rPr>
        <w:t>进</w:t>
      </w:r>
      <w:r>
        <w:rPr>
          <w:spacing w:val="-2"/>
          <w:sz w:val="21"/>
        </w:rPr>
        <w:t>行</w:t>
      </w:r>
      <w:r>
        <w:rPr>
          <w:spacing w:val="-2"/>
          <w:sz w:val="21"/>
        </w:rPr>
        <w:t>性</w:t>
      </w:r>
      <w:r>
        <w:rPr>
          <w:spacing w:val="-2"/>
          <w:sz w:val="21"/>
        </w:rPr>
        <w:t>核</w:t>
      </w:r>
      <w:r>
        <w:rPr>
          <w:spacing w:val="-2"/>
          <w:sz w:val="21"/>
        </w:rPr>
        <w:t>上</w:t>
      </w:r>
      <w:r>
        <w:rPr>
          <w:spacing w:val="-2"/>
          <w:sz w:val="21"/>
        </w:rPr>
        <w:t>性麻痹</w:t>
      </w:r>
      <w:r>
        <w:rPr>
          <w:spacing w:val="-2"/>
          <w:sz w:val="21"/>
        </w:rPr>
        <w:t>是</w:t>
      </w:r>
      <w:r>
        <w:rPr>
          <w:spacing w:val="-2"/>
          <w:sz w:val="21"/>
        </w:rPr>
        <w:t>中</w:t>
      </w:r>
      <w:r>
        <w:rPr>
          <w:spacing w:val="-2"/>
          <w:sz w:val="21"/>
        </w:rPr>
        <w:t>枢</w:t>
      </w:r>
      <w:r>
        <w:rPr>
          <w:spacing w:val="-2"/>
          <w:sz w:val="21"/>
        </w:rPr>
        <w:t>神</w:t>
      </w:r>
      <w:r>
        <w:rPr>
          <w:spacing w:val="-2"/>
          <w:sz w:val="21"/>
        </w:rPr>
        <w:t>经</w:t>
      </w:r>
      <w:r>
        <w:rPr>
          <w:spacing w:val="-2"/>
          <w:sz w:val="21"/>
        </w:rPr>
        <w:t>系</w:t>
      </w:r>
      <w:r>
        <w:rPr>
          <w:spacing w:val="-2"/>
          <w:sz w:val="21"/>
        </w:rPr>
        <w:t>统</w:t>
      </w:r>
      <w:r>
        <w:rPr>
          <w:spacing w:val="-2"/>
          <w:sz w:val="21"/>
        </w:rPr>
        <w:t>变</w:t>
      </w:r>
      <w:r>
        <w:rPr>
          <w:spacing w:val="-2"/>
          <w:sz w:val="21"/>
        </w:rPr>
        <w:t>性性疾</w:t>
      </w:r>
      <w:r>
        <w:rPr>
          <w:spacing w:val="-2"/>
          <w:sz w:val="21"/>
        </w:rPr>
        <w:t>病</w:t>
      </w:r>
      <w:r>
        <w:rPr>
          <w:spacing w:val="-2"/>
          <w:sz w:val="21"/>
        </w:rPr>
        <w:t>，临</w:t>
      </w:r>
      <w:r>
        <w:rPr>
          <w:spacing w:val="-2"/>
          <w:sz w:val="21"/>
        </w:rPr>
        <w:t>床</w:t>
      </w:r>
      <w:r>
        <w:rPr>
          <w:spacing w:val="-2"/>
          <w:sz w:val="21"/>
        </w:rPr>
        <w:t>表</w:t>
      </w:r>
      <w:r>
        <w:rPr>
          <w:spacing w:val="-2"/>
          <w:sz w:val="21"/>
        </w:rPr>
        <w:t>现</w:t>
      </w:r>
      <w:r>
        <w:rPr>
          <w:spacing w:val="-2"/>
          <w:sz w:val="21"/>
        </w:rPr>
        <w:t>为</w:t>
      </w:r>
      <w:r>
        <w:rPr>
          <w:spacing w:val="-2"/>
          <w:sz w:val="21"/>
        </w:rPr>
        <w:t>眼</w:t>
      </w:r>
      <w:r>
        <w:rPr>
          <w:spacing w:val="-2"/>
          <w:sz w:val="21"/>
        </w:rPr>
        <w:t>球</w:t>
      </w:r>
      <w:r>
        <w:rPr>
          <w:spacing w:val="-10"/>
          <w:sz w:val="21"/>
        </w:rPr>
        <w:t>运</w:t>
      </w:r>
    </w:p>
    <w:p>
      <w:pPr>
        <w:pStyle w:val="BodyText"/>
        <w:spacing w:line="245" w:lineRule="exact"/>
      </w:pPr>
      <w:r>
        <w:rPr>
          <w:spacing w:val="-3"/>
        </w:rPr>
        <w:t>动障碍、假性球麻痹、帕金森综合征等。被保险人自主生活能力完</w:t>
      </w:r>
    </w:p>
    <w:p>
      <w:pPr>
        <w:pStyle w:val="BodyText"/>
        <w:spacing w:line="242" w:lineRule="auto" w:before="4"/>
        <w:ind w:right="624"/>
      </w:pPr>
      <w:r>
        <w:rPr>
          <w:spacing w:val="-13"/>
        </w:rPr>
        <w:t>全丧失，无法独立完成六项基本日常生活活动中的三项或三项以上，</w:t>
      </w:r>
      <w:r>
        <w:rPr>
          <w:spacing w:val="-2"/>
        </w:rPr>
        <w:t>日常生活必须持续受到他人监护。</w:t>
      </w:r>
    </w:p>
    <w:p>
      <w:pPr>
        <w:pStyle w:val="ListParagraph"/>
        <w:numPr>
          <w:ilvl w:val="1"/>
          <w:numId w:val="81"/>
        </w:numPr>
        <w:tabs>
          <w:tab w:pos="1071" w:val="left" w:leader="none"/>
          <w:tab w:pos="1072" w:val="left" w:leader="none"/>
          <w:tab w:pos="3152" w:val="left" w:leader="none"/>
        </w:tabs>
        <w:spacing w:line="364" w:lineRule="exact" w:before="175" w:after="0"/>
        <w:ind w:left="1071" w:right="0" w:hanging="850"/>
        <w:jc w:val="left"/>
        <w:rPr>
          <w:sz w:val="21"/>
        </w:rPr>
      </w:pPr>
      <w:r>
        <w:rPr>
          <w:rFonts w:ascii="微软雅黑" w:eastAsia="微软雅黑"/>
          <w:b/>
          <w:spacing w:val="-2"/>
          <w:sz w:val="21"/>
        </w:rPr>
        <w:t>克</w:t>
      </w:r>
      <w:r>
        <w:rPr>
          <w:rFonts w:ascii="Times New Roman" w:eastAsia="Times New Roman"/>
          <w:b/>
          <w:spacing w:val="-2"/>
          <w:sz w:val="21"/>
        </w:rPr>
        <w:t>-</w:t>
      </w:r>
      <w:r>
        <w:rPr>
          <w:rFonts w:ascii="微软雅黑" w:eastAsia="微软雅黑"/>
          <w:b/>
          <w:spacing w:val="-2"/>
          <w:sz w:val="21"/>
        </w:rPr>
        <w:t>雅</w:t>
      </w:r>
      <w:r>
        <w:rPr>
          <w:rFonts w:ascii="微软雅黑" w:eastAsia="微软雅黑"/>
          <w:b/>
          <w:spacing w:val="-2"/>
          <w:sz w:val="21"/>
        </w:rPr>
        <w:t>氏</w:t>
      </w:r>
      <w:r>
        <w:rPr>
          <w:rFonts w:ascii="微软雅黑" w:eastAsia="微软雅黑"/>
          <w:b/>
          <w:spacing w:val="-2"/>
          <w:sz w:val="21"/>
        </w:rPr>
        <w:t>病</w:t>
      </w:r>
      <w:r>
        <w:rPr>
          <w:rFonts w:ascii="微软雅黑" w:eastAsia="微软雅黑"/>
          <w:b/>
          <w:spacing w:val="-2"/>
          <w:sz w:val="21"/>
        </w:rPr>
        <w:t>（</w:t>
      </w:r>
      <w:r>
        <w:rPr>
          <w:rFonts w:ascii="Times New Roman" w:eastAsia="Times New Roman"/>
          <w:b/>
          <w:spacing w:val="-2"/>
          <w:sz w:val="21"/>
        </w:rPr>
        <w:t>CJD</w:t>
      </w:r>
      <w:r>
        <w:rPr>
          <w:rFonts w:ascii="微软雅黑" w:eastAsia="微软雅黑"/>
          <w:b/>
          <w:spacing w:val="-2"/>
          <w:sz w:val="21"/>
        </w:rPr>
        <w:t>）</w:t>
      </w:r>
      <w:r>
        <w:rPr>
          <w:rFonts w:ascii="微软雅黑" w:eastAsia="微软雅黑"/>
          <w:b/>
          <w:sz w:val="21"/>
        </w:rPr>
        <w:tab/>
      </w:r>
      <w:r>
        <w:rPr>
          <w:rFonts w:ascii="Times New Roman" w:eastAsia="Times New Roman"/>
          <w:spacing w:val="-2"/>
          <w:sz w:val="21"/>
        </w:rPr>
        <w:t>CJD</w:t>
      </w:r>
      <w:r>
        <w:rPr>
          <w:rFonts w:ascii="Times New Roman" w:eastAsia="Times New Roman"/>
          <w:spacing w:val="20"/>
          <w:sz w:val="21"/>
        </w:rPr>
        <w:t> </w:t>
      </w:r>
      <w:r>
        <w:rPr>
          <w:spacing w:val="-2"/>
          <w:sz w:val="21"/>
        </w:rPr>
        <w:t>是一种传染性海绵状</w:t>
      </w:r>
      <w:r>
        <w:rPr>
          <w:spacing w:val="-2"/>
          <w:sz w:val="21"/>
        </w:rPr>
        <w:t>脑</w:t>
      </w:r>
      <w:r>
        <w:rPr>
          <w:spacing w:val="-2"/>
          <w:sz w:val="21"/>
        </w:rPr>
        <w:t>病</w:t>
      </w:r>
      <w:r>
        <w:rPr>
          <w:spacing w:val="-2"/>
          <w:sz w:val="21"/>
        </w:rPr>
        <w:t>，临床表现为快速进</w:t>
      </w:r>
      <w:r>
        <w:rPr>
          <w:spacing w:val="-2"/>
          <w:sz w:val="21"/>
        </w:rPr>
        <w:t>行</w:t>
      </w:r>
      <w:r>
        <w:rPr>
          <w:spacing w:val="-2"/>
          <w:sz w:val="21"/>
        </w:rPr>
        <w:t>性</w:t>
      </w:r>
      <w:r>
        <w:rPr>
          <w:spacing w:val="-2"/>
          <w:sz w:val="21"/>
        </w:rPr>
        <w:t>痴呆、</w:t>
      </w:r>
      <w:r>
        <w:rPr>
          <w:spacing w:val="-2"/>
          <w:sz w:val="21"/>
        </w:rPr>
        <w:t>肌</w:t>
      </w:r>
      <w:r>
        <w:rPr>
          <w:spacing w:val="-10"/>
          <w:sz w:val="21"/>
        </w:rPr>
        <w:t>阵</w:t>
      </w:r>
    </w:p>
    <w:p>
      <w:pPr>
        <w:pStyle w:val="BodyText"/>
        <w:spacing w:line="246" w:lineRule="exact"/>
        <w:rPr>
          <w:rFonts w:ascii="Times New Roman" w:eastAsia="Times New Roman"/>
        </w:rPr>
      </w:pPr>
      <w:r>
        <w:rPr/>
        <w:t>挛和特征性脑电图变化。本病须经三级医院的专科医师根据 </w:t>
      </w:r>
      <w:r>
        <w:rPr>
          <w:rFonts w:ascii="Times New Roman" w:eastAsia="Times New Roman"/>
          <w:spacing w:val="-5"/>
        </w:rPr>
        <w:t>WHO</w:t>
      </w:r>
    </w:p>
    <w:p>
      <w:pPr>
        <w:pStyle w:val="BodyText"/>
        <w:spacing w:line="244" w:lineRule="auto" w:before="2"/>
        <w:ind w:right="729"/>
      </w:pPr>
      <w:r>
        <w:rPr>
          <w:spacing w:val="-2"/>
        </w:rPr>
        <w:t>诊断标准明确诊断，并且被保险人永久不可逆丧失自主生活能力，</w:t>
      </w:r>
      <w:r>
        <w:rPr>
          <w:spacing w:val="-2"/>
        </w:rPr>
        <w:t>无法独立完成六项基本日常生活活动中的三项或三项以上。</w:t>
      </w:r>
    </w:p>
    <w:p>
      <w:pPr>
        <w:pStyle w:val="BodyText"/>
        <w:spacing w:before="10"/>
        <w:ind w:left="0"/>
        <w:rPr>
          <w:sz w:val="10"/>
        </w:rPr>
      </w:pPr>
    </w:p>
    <w:p>
      <w:pPr>
        <w:spacing w:after="0"/>
        <w:rPr>
          <w:sz w:val="10"/>
        </w:rPr>
        <w:sectPr>
          <w:type w:val="continuous"/>
          <w:pgSz w:w="11910" w:h="16840"/>
          <w:pgMar w:header="0" w:footer="878" w:top="160" w:bottom="280" w:left="1480" w:right="440"/>
        </w:sectPr>
      </w:pPr>
    </w:p>
    <w:p>
      <w:pPr>
        <w:pStyle w:val="ListParagraph"/>
        <w:numPr>
          <w:ilvl w:val="1"/>
          <w:numId w:val="81"/>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原发性脊柱侧弯矫</w:t>
      </w:r>
    </w:p>
    <w:p>
      <w:pPr>
        <w:spacing w:line="329" w:lineRule="exact" w:before="0"/>
        <w:ind w:left="1071" w:right="0" w:firstLine="0"/>
        <w:jc w:val="left"/>
        <w:rPr>
          <w:rFonts w:ascii="微软雅黑" w:eastAsia="微软雅黑"/>
          <w:b/>
          <w:sz w:val="21"/>
        </w:rPr>
      </w:pPr>
      <w:r>
        <w:rPr>
          <w:rFonts w:ascii="微软雅黑" w:eastAsia="微软雅黑"/>
          <w:b/>
          <w:spacing w:val="-4"/>
          <w:sz w:val="21"/>
        </w:rPr>
        <w:t>正手术</w:t>
      </w:r>
    </w:p>
    <w:p>
      <w:pPr>
        <w:spacing w:line="180" w:lineRule="auto" w:before="153"/>
        <w:ind w:left="175" w:right="624" w:firstLine="0"/>
        <w:jc w:val="left"/>
        <w:rPr>
          <w:rFonts w:ascii="微软雅黑" w:eastAsia="微软雅黑"/>
          <w:b/>
          <w:sz w:val="21"/>
        </w:rPr>
      </w:pPr>
      <w:r>
        <w:rPr/>
        <w:br w:type="column"/>
      </w:r>
      <w:r>
        <w:rPr>
          <w:spacing w:val="-10"/>
          <w:w w:val="100"/>
          <w:sz w:val="21"/>
        </w:rPr>
        <w:t>指被保险人因原发性脊柱侧弯，实际实施了对该病的矫正外科手术。</w:t>
      </w:r>
      <w:r>
        <w:rPr>
          <w:rFonts w:ascii="微软雅黑" w:eastAsia="微软雅黑"/>
          <w:b/>
          <w:spacing w:val="4"/>
          <w:w w:val="100"/>
          <w:sz w:val="21"/>
        </w:rPr>
        <w:t>但由于先天性脊柱侧弯以及其他疾病或意外导致的继发性脊柱侧</w:t>
      </w:r>
      <w:r>
        <w:rPr>
          <w:rFonts w:ascii="微软雅黑" w:eastAsia="微软雅黑"/>
          <w:b/>
          <w:spacing w:val="-2"/>
          <w:w w:val="100"/>
          <w:sz w:val="21"/>
        </w:rPr>
        <w:t>弯而进行的手术治疗不在保障范围内。</w:t>
      </w:r>
    </w:p>
    <w:p>
      <w:pPr>
        <w:spacing w:after="0" w:line="180" w:lineRule="auto"/>
        <w:jc w:val="left"/>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ListParagraph"/>
        <w:numPr>
          <w:ilvl w:val="1"/>
          <w:numId w:val="81"/>
        </w:numPr>
        <w:tabs>
          <w:tab w:pos="1071" w:val="left" w:leader="none"/>
          <w:tab w:pos="1072" w:val="left" w:leader="none"/>
        </w:tabs>
        <w:spacing w:line="331" w:lineRule="exact" w:before="11" w:after="0"/>
        <w:ind w:left="1071" w:right="0" w:hanging="850"/>
        <w:jc w:val="left"/>
        <w:rPr>
          <w:rFonts w:ascii="微软雅黑" w:eastAsia="微软雅黑"/>
          <w:b/>
          <w:sz w:val="21"/>
        </w:rPr>
      </w:pPr>
      <w:r>
        <w:rPr>
          <w:rFonts w:ascii="微软雅黑" w:eastAsia="微软雅黑"/>
          <w:b/>
          <w:spacing w:val="18"/>
          <w:sz w:val="21"/>
        </w:rPr>
        <w:t>进行性多灶性白质</w:t>
      </w:r>
    </w:p>
    <w:p>
      <w:pPr>
        <w:spacing w:line="331" w:lineRule="exact" w:before="0"/>
        <w:ind w:left="1071" w:right="0" w:firstLine="0"/>
        <w:jc w:val="left"/>
        <w:rPr>
          <w:rFonts w:ascii="微软雅黑" w:eastAsia="微软雅黑"/>
          <w:b/>
          <w:sz w:val="21"/>
        </w:rPr>
      </w:pPr>
      <w:r>
        <w:rPr>
          <w:rFonts w:ascii="微软雅黑" w:eastAsia="微软雅黑"/>
          <w:b/>
          <w:spacing w:val="-5"/>
          <w:sz w:val="21"/>
        </w:rPr>
        <w:t>脑病</w:t>
      </w:r>
    </w:p>
    <w:p>
      <w:pPr>
        <w:pStyle w:val="BodyText"/>
        <w:spacing w:line="244" w:lineRule="auto" w:before="78"/>
        <w:ind w:left="175" w:right="729"/>
      </w:pPr>
      <w:r>
        <w:rPr/>
        <w:br w:type="column"/>
      </w:r>
      <w:r>
        <w:rPr>
          <w:spacing w:val="-2"/>
        </w:rPr>
        <w:t>进行性多灶性白质脑病是一种亚急性脱髓鞘脑病，常发生于免疫缺</w:t>
      </w:r>
      <w:r>
        <w:rPr>
          <w:spacing w:val="-2"/>
        </w:rPr>
        <w:t>陷病人。必须满足下列所有条件：</w:t>
      </w:r>
    </w:p>
    <w:p>
      <w:pPr>
        <w:pStyle w:val="ListParagraph"/>
        <w:numPr>
          <w:ilvl w:val="0"/>
          <w:numId w:val="86"/>
        </w:numPr>
        <w:tabs>
          <w:tab w:pos="705" w:val="left" w:leader="none"/>
        </w:tabs>
        <w:spacing w:line="265" w:lineRule="exact" w:before="0" w:after="0"/>
        <w:ind w:left="704" w:right="0" w:hanging="530"/>
        <w:jc w:val="left"/>
        <w:rPr>
          <w:sz w:val="21"/>
        </w:rPr>
      </w:pPr>
      <w:r>
        <w:rPr>
          <w:spacing w:val="-3"/>
          <w:sz w:val="21"/>
        </w:rPr>
        <w:t>根据脑组织活检确诊；</w:t>
      </w:r>
    </w:p>
    <w:p>
      <w:pPr>
        <w:pStyle w:val="ListParagraph"/>
        <w:numPr>
          <w:ilvl w:val="0"/>
          <w:numId w:val="86"/>
        </w:numPr>
        <w:tabs>
          <w:tab w:pos="705" w:val="left" w:leader="none"/>
        </w:tabs>
        <w:spacing w:line="242" w:lineRule="auto" w:before="4" w:after="0"/>
        <w:ind w:left="701" w:right="842" w:hanging="526"/>
        <w:jc w:val="left"/>
        <w:rPr>
          <w:sz w:val="21"/>
        </w:rPr>
      </w:pPr>
      <w:r>
        <w:rPr>
          <w:spacing w:val="-2"/>
          <w:sz w:val="21"/>
        </w:rPr>
        <w:t>永久不可逆丧失自主生活能力，无法独立完成六项基本日常</w:t>
      </w:r>
      <w:r>
        <w:rPr>
          <w:spacing w:val="-2"/>
          <w:sz w:val="21"/>
        </w:rPr>
        <w:t>生活活动中的三项或三项以上。</w:t>
      </w:r>
    </w:p>
    <w:p>
      <w:pPr>
        <w:spacing w:after="0" w:line="242" w:lineRule="auto"/>
        <w:jc w:val="left"/>
        <w:rPr>
          <w:sz w:val="21"/>
        </w:rPr>
        <w:sectPr>
          <w:pgSz w:w="11910" w:h="16840"/>
          <w:pgMar w:header="0" w:footer="878" w:top="1280" w:bottom="1060" w:left="1480" w:right="440"/>
          <w:cols w:num="2" w:equalWidth="0">
            <w:col w:w="2938" w:space="40"/>
            <w:col w:w="7012"/>
          </w:cols>
        </w:sectPr>
      </w:pPr>
    </w:p>
    <w:p>
      <w:pPr>
        <w:pStyle w:val="BodyText"/>
        <w:spacing w:before="1"/>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81"/>
        </w:numPr>
        <w:tabs>
          <w:tab w:pos="1071" w:val="left" w:leader="none"/>
          <w:tab w:pos="1072" w:val="left" w:leader="none"/>
        </w:tabs>
        <w:spacing w:line="330" w:lineRule="exact" w:before="32" w:after="0"/>
        <w:ind w:left="1071" w:right="0" w:hanging="850"/>
        <w:jc w:val="left"/>
        <w:rPr>
          <w:rFonts w:ascii="微软雅黑" w:eastAsia="微软雅黑"/>
          <w:b/>
          <w:sz w:val="21"/>
        </w:rPr>
      </w:pPr>
      <w:r>
        <w:rPr>
          <w:rFonts w:ascii="微软雅黑" w:eastAsia="微软雅黑"/>
          <w:b/>
          <w:spacing w:val="18"/>
          <w:sz w:val="21"/>
        </w:rPr>
        <w:t>丧失独立生活能力</w:t>
      </w:r>
    </w:p>
    <w:p>
      <w:pPr>
        <w:spacing w:line="330" w:lineRule="exact" w:before="0"/>
        <w:ind w:left="1071" w:right="0" w:firstLine="0"/>
        <w:jc w:val="left"/>
        <w:rPr>
          <w:rFonts w:ascii="微软雅黑" w:hAnsi="微软雅黑" w:eastAsia="微软雅黑"/>
          <w:b/>
          <w:sz w:val="21"/>
        </w:rPr>
      </w:pPr>
      <w:r>
        <w:rPr>
          <w:rFonts w:ascii="Times New Roman" w:hAnsi="Times New Roman" w:eastAsia="Times New Roman"/>
          <w:b/>
          <w:spacing w:val="26"/>
          <w:sz w:val="21"/>
        </w:rPr>
        <w:t>– </w:t>
      </w:r>
      <w:r>
        <w:rPr>
          <w:rFonts w:ascii="微软雅黑" w:hAnsi="微软雅黑" w:eastAsia="微软雅黑"/>
          <w:b/>
          <w:spacing w:val="-2"/>
          <w:sz w:val="21"/>
        </w:rPr>
        <w:t>六岁始理赔</w:t>
      </w:r>
    </w:p>
    <w:p>
      <w:pPr>
        <w:pStyle w:val="BodyText"/>
        <w:spacing w:line="244" w:lineRule="auto" w:before="100"/>
        <w:ind w:left="175" w:right="729"/>
      </w:pPr>
      <w:r>
        <w:rPr/>
        <w:br w:type="column"/>
      </w:r>
      <w:r>
        <w:rPr>
          <w:spacing w:val="-2"/>
        </w:rPr>
        <w:t>指由于疾病或外伤导致被保险人永久不可逆的完全丧失独立生活能</w:t>
      </w:r>
      <w:r>
        <w:rPr>
          <w:spacing w:val="-2"/>
        </w:rPr>
        <w:t>力，无法独立完成基本日常生活活动中的四项或四项以上。</w:t>
      </w:r>
    </w:p>
    <w:p>
      <w:pPr>
        <w:spacing w:line="316" w:lineRule="exact" w:before="0"/>
        <w:ind w:left="175" w:right="0" w:firstLine="0"/>
        <w:jc w:val="left"/>
        <w:rPr>
          <w:rFonts w:ascii="微软雅黑" w:eastAsia="微软雅黑"/>
          <w:b/>
          <w:sz w:val="21"/>
        </w:rPr>
      </w:pPr>
      <w:r>
        <w:rPr>
          <w:rFonts w:ascii="微软雅黑" w:eastAsia="微软雅黑"/>
          <w:b/>
          <w:spacing w:val="-3"/>
          <w:sz w:val="21"/>
        </w:rPr>
        <w:t>被保险人理赔时年龄在六周岁以上。</w:t>
      </w:r>
    </w:p>
    <w:p>
      <w:pPr>
        <w:spacing w:after="0" w:line="316" w:lineRule="exact"/>
        <w:jc w:val="left"/>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ListParagraph"/>
        <w:numPr>
          <w:ilvl w:val="1"/>
          <w:numId w:val="81"/>
        </w:numPr>
        <w:tabs>
          <w:tab w:pos="1071" w:val="left" w:leader="none"/>
          <w:tab w:pos="1072" w:val="left" w:leader="none"/>
          <w:tab w:pos="3152" w:val="left" w:leader="none"/>
        </w:tabs>
        <w:spacing w:line="364" w:lineRule="exact" w:before="126" w:after="0"/>
        <w:ind w:left="1071" w:right="0" w:hanging="850"/>
        <w:jc w:val="left"/>
        <w:rPr>
          <w:sz w:val="21"/>
        </w:rPr>
      </w:pPr>
      <w:r>
        <w:rPr>
          <w:rFonts w:ascii="微软雅黑" w:eastAsia="微软雅黑"/>
          <w:b/>
          <w:sz w:val="21"/>
        </w:rPr>
        <w:t>脊髓小脑变性</w:t>
      </w:r>
      <w:r>
        <w:rPr>
          <w:rFonts w:ascii="微软雅黑" w:eastAsia="微软雅黑"/>
          <w:b/>
          <w:spacing w:val="-10"/>
          <w:sz w:val="21"/>
        </w:rPr>
        <w:t>症</w:t>
      </w:r>
      <w:r>
        <w:rPr>
          <w:rFonts w:ascii="微软雅黑" w:eastAsia="微软雅黑"/>
          <w:b/>
          <w:sz w:val="21"/>
        </w:rPr>
        <w:tab/>
      </w:r>
      <w:r>
        <w:rPr>
          <w:spacing w:val="-2"/>
          <w:sz w:val="21"/>
        </w:rPr>
        <w:t>脊</w:t>
      </w:r>
      <w:r>
        <w:rPr>
          <w:spacing w:val="-2"/>
          <w:sz w:val="21"/>
        </w:rPr>
        <w:t>髓</w:t>
      </w:r>
      <w:r>
        <w:rPr>
          <w:spacing w:val="-2"/>
          <w:sz w:val="21"/>
        </w:rPr>
        <w:t>小</w:t>
      </w:r>
      <w:r>
        <w:rPr>
          <w:spacing w:val="-2"/>
          <w:sz w:val="21"/>
        </w:rPr>
        <w:t>脑</w:t>
      </w:r>
      <w:r>
        <w:rPr>
          <w:spacing w:val="-2"/>
          <w:sz w:val="21"/>
        </w:rPr>
        <w:t>变</w:t>
      </w:r>
      <w:r>
        <w:rPr>
          <w:spacing w:val="-2"/>
          <w:sz w:val="21"/>
        </w:rPr>
        <w:t>性症为</w:t>
      </w:r>
      <w:r>
        <w:rPr>
          <w:spacing w:val="-2"/>
          <w:sz w:val="21"/>
        </w:rPr>
        <w:t>一</w:t>
      </w:r>
      <w:r>
        <w:rPr>
          <w:spacing w:val="-2"/>
          <w:sz w:val="21"/>
        </w:rPr>
        <w:t>组</w:t>
      </w:r>
      <w:r>
        <w:rPr>
          <w:spacing w:val="-2"/>
          <w:sz w:val="21"/>
        </w:rPr>
        <w:t>以</w:t>
      </w:r>
      <w:r>
        <w:rPr>
          <w:spacing w:val="-2"/>
          <w:sz w:val="21"/>
        </w:rPr>
        <w:t>小</w:t>
      </w:r>
      <w:r>
        <w:rPr>
          <w:spacing w:val="-2"/>
          <w:sz w:val="21"/>
        </w:rPr>
        <w:t>脑</w:t>
      </w:r>
      <w:r>
        <w:rPr>
          <w:spacing w:val="-2"/>
          <w:sz w:val="21"/>
        </w:rPr>
        <w:t>萎</w:t>
      </w:r>
      <w:r>
        <w:rPr>
          <w:spacing w:val="-2"/>
          <w:sz w:val="21"/>
        </w:rPr>
        <w:t>缩</w:t>
      </w:r>
      <w:r>
        <w:rPr>
          <w:spacing w:val="-2"/>
          <w:sz w:val="21"/>
        </w:rPr>
        <w:t>和</w:t>
      </w:r>
      <w:r>
        <w:rPr>
          <w:spacing w:val="-2"/>
          <w:sz w:val="21"/>
        </w:rPr>
        <w:t>共济失</w:t>
      </w:r>
      <w:r>
        <w:rPr>
          <w:spacing w:val="-2"/>
          <w:sz w:val="21"/>
        </w:rPr>
        <w:t>调</w:t>
      </w:r>
      <w:r>
        <w:rPr>
          <w:spacing w:val="-2"/>
          <w:sz w:val="21"/>
        </w:rPr>
        <w:t>为</w:t>
      </w:r>
      <w:r>
        <w:rPr>
          <w:spacing w:val="-2"/>
          <w:sz w:val="21"/>
        </w:rPr>
        <w:t>主</w:t>
      </w:r>
      <w:r>
        <w:rPr>
          <w:spacing w:val="-2"/>
          <w:sz w:val="21"/>
        </w:rPr>
        <w:t>要</w:t>
      </w:r>
      <w:r>
        <w:rPr>
          <w:spacing w:val="-2"/>
          <w:sz w:val="21"/>
        </w:rPr>
        <w:t>临</w:t>
      </w:r>
      <w:r>
        <w:rPr>
          <w:spacing w:val="-2"/>
          <w:sz w:val="21"/>
        </w:rPr>
        <w:t>床</w:t>
      </w:r>
      <w:r>
        <w:rPr>
          <w:spacing w:val="-2"/>
          <w:sz w:val="21"/>
        </w:rPr>
        <w:t>特</w:t>
      </w:r>
      <w:r>
        <w:rPr>
          <w:spacing w:val="-2"/>
          <w:sz w:val="21"/>
        </w:rPr>
        <w:t>点</w:t>
      </w:r>
      <w:r>
        <w:rPr>
          <w:spacing w:val="-2"/>
          <w:sz w:val="21"/>
        </w:rPr>
        <w:t>的</w:t>
      </w:r>
      <w:r>
        <w:rPr>
          <w:spacing w:val="-10"/>
          <w:sz w:val="21"/>
        </w:rPr>
        <w:t>多</w:t>
      </w:r>
    </w:p>
    <w:p>
      <w:pPr>
        <w:pStyle w:val="BodyText"/>
        <w:spacing w:line="246" w:lineRule="exact"/>
      </w:pPr>
      <w:r>
        <w:rPr>
          <w:spacing w:val="-3"/>
        </w:rPr>
        <w:t>与遗传有关的疾病。必须满足下列所有条件：</w:t>
      </w:r>
    </w:p>
    <w:p>
      <w:pPr>
        <w:pStyle w:val="ListParagraph"/>
        <w:numPr>
          <w:ilvl w:val="0"/>
          <w:numId w:val="87"/>
        </w:numPr>
        <w:tabs>
          <w:tab w:pos="3682" w:val="left" w:leader="none"/>
        </w:tabs>
        <w:spacing w:line="240" w:lineRule="auto" w:before="2" w:after="0"/>
        <w:ind w:left="3682" w:right="0" w:hanging="529"/>
        <w:jc w:val="left"/>
        <w:rPr>
          <w:sz w:val="21"/>
        </w:rPr>
      </w:pPr>
      <w:r>
        <w:rPr>
          <w:spacing w:val="-10"/>
          <w:sz w:val="21"/>
        </w:rPr>
        <w:t>脊髓小脑变性症必须由三级医院诊断，并有下列所有证据支持：</w:t>
      </w:r>
    </w:p>
    <w:p>
      <w:pPr>
        <w:pStyle w:val="BodyText"/>
        <w:spacing w:before="5"/>
        <w:ind w:left="3573"/>
      </w:pPr>
      <w:r>
        <w:rPr>
          <w:spacing w:val="-3"/>
        </w:rPr>
        <w:t>①影像学检查证实存在小脑萎缩；</w:t>
      </w:r>
    </w:p>
    <w:p>
      <w:pPr>
        <w:pStyle w:val="BodyText"/>
        <w:spacing w:before="2"/>
        <w:ind w:left="3573"/>
      </w:pPr>
      <w:r>
        <w:rPr>
          <w:spacing w:val="-3"/>
        </w:rPr>
        <w:t>②临床表现存在共济失调、语言障碍和肌张力异常；</w:t>
      </w:r>
    </w:p>
    <w:p>
      <w:pPr>
        <w:pStyle w:val="ListParagraph"/>
        <w:numPr>
          <w:ilvl w:val="0"/>
          <w:numId w:val="87"/>
        </w:numPr>
        <w:tabs>
          <w:tab w:pos="3682" w:val="left" w:leader="none"/>
        </w:tabs>
        <w:spacing w:line="242" w:lineRule="auto" w:before="5" w:after="0"/>
        <w:ind w:left="3625" w:right="729" w:hanging="473"/>
        <w:jc w:val="left"/>
        <w:rPr>
          <w:sz w:val="21"/>
        </w:rPr>
      </w:pPr>
      <w:r>
        <w:rPr>
          <w:spacing w:val="-2"/>
          <w:sz w:val="21"/>
        </w:rPr>
        <w:t>被保险人运动功能严重障碍，自主生活能力完全丧失，无法独</w:t>
      </w:r>
      <w:r>
        <w:rPr>
          <w:spacing w:val="-2"/>
          <w:sz w:val="21"/>
        </w:rPr>
        <w:t>立完成六项基本日常生活活动中的三项或三项以上。</w:t>
      </w:r>
    </w:p>
    <w:p>
      <w:pPr>
        <w:pStyle w:val="ListParagraph"/>
        <w:numPr>
          <w:ilvl w:val="1"/>
          <w:numId w:val="81"/>
        </w:numPr>
        <w:tabs>
          <w:tab w:pos="1071" w:val="left" w:leader="none"/>
          <w:tab w:pos="1072" w:val="left" w:leader="none"/>
          <w:tab w:pos="3152" w:val="left" w:leader="none"/>
        </w:tabs>
        <w:spacing w:line="364" w:lineRule="exact" w:before="174" w:after="0"/>
        <w:ind w:left="1071" w:right="0" w:hanging="850"/>
        <w:jc w:val="left"/>
        <w:rPr>
          <w:sz w:val="21"/>
        </w:rPr>
      </w:pPr>
      <w:r>
        <w:rPr>
          <w:rFonts w:ascii="微软雅黑" w:eastAsia="微软雅黑"/>
          <w:b/>
          <w:sz w:val="21"/>
        </w:rPr>
        <w:t>神经白塞</w:t>
      </w:r>
      <w:r>
        <w:rPr>
          <w:rFonts w:ascii="微软雅黑" w:eastAsia="微软雅黑"/>
          <w:b/>
          <w:spacing w:val="-10"/>
          <w:sz w:val="21"/>
        </w:rPr>
        <w:t>病</w:t>
      </w:r>
      <w:r>
        <w:rPr>
          <w:rFonts w:ascii="微软雅黑" w:eastAsia="微软雅黑"/>
          <w:b/>
          <w:sz w:val="21"/>
        </w:rPr>
        <w:tab/>
      </w:r>
      <w:r>
        <w:rPr>
          <w:spacing w:val="-2"/>
          <w:sz w:val="21"/>
        </w:rPr>
        <w:t>白</w:t>
      </w:r>
      <w:r>
        <w:rPr>
          <w:spacing w:val="-2"/>
          <w:sz w:val="21"/>
        </w:rPr>
        <w:t>塞</w:t>
      </w:r>
      <w:r>
        <w:rPr>
          <w:spacing w:val="-2"/>
          <w:sz w:val="21"/>
        </w:rPr>
        <w:t>病</w:t>
      </w:r>
      <w:r>
        <w:rPr>
          <w:spacing w:val="-2"/>
          <w:sz w:val="21"/>
        </w:rPr>
        <w:t>是</w:t>
      </w:r>
      <w:r>
        <w:rPr>
          <w:spacing w:val="-2"/>
          <w:sz w:val="21"/>
        </w:rPr>
        <w:t>一</w:t>
      </w:r>
      <w:r>
        <w:rPr>
          <w:spacing w:val="-2"/>
          <w:sz w:val="21"/>
        </w:rPr>
        <w:t>种慢性</w:t>
      </w:r>
      <w:r>
        <w:rPr>
          <w:spacing w:val="-2"/>
          <w:sz w:val="21"/>
        </w:rPr>
        <w:t>全</w:t>
      </w:r>
      <w:r>
        <w:rPr>
          <w:spacing w:val="-2"/>
          <w:sz w:val="21"/>
        </w:rPr>
        <w:t>身</w:t>
      </w:r>
      <w:r>
        <w:rPr>
          <w:spacing w:val="-2"/>
          <w:sz w:val="21"/>
        </w:rPr>
        <w:t>性</w:t>
      </w:r>
      <w:r>
        <w:rPr>
          <w:spacing w:val="-2"/>
          <w:sz w:val="21"/>
        </w:rPr>
        <w:t>血</w:t>
      </w:r>
      <w:r>
        <w:rPr>
          <w:spacing w:val="-2"/>
          <w:sz w:val="21"/>
        </w:rPr>
        <w:t>管</w:t>
      </w:r>
      <w:r>
        <w:rPr>
          <w:spacing w:val="-2"/>
          <w:sz w:val="21"/>
        </w:rPr>
        <w:t>炎</w:t>
      </w:r>
      <w:r>
        <w:rPr>
          <w:spacing w:val="-2"/>
          <w:sz w:val="21"/>
        </w:rPr>
        <w:t>症</w:t>
      </w:r>
      <w:r>
        <w:rPr>
          <w:spacing w:val="-2"/>
          <w:sz w:val="21"/>
        </w:rPr>
        <w:t>性</w:t>
      </w:r>
      <w:r>
        <w:rPr>
          <w:spacing w:val="-2"/>
          <w:sz w:val="21"/>
        </w:rPr>
        <w:t>疾病，</w:t>
      </w:r>
      <w:r>
        <w:rPr>
          <w:spacing w:val="-2"/>
          <w:sz w:val="21"/>
        </w:rPr>
        <w:t>主</w:t>
      </w:r>
      <w:r>
        <w:rPr>
          <w:spacing w:val="-2"/>
          <w:sz w:val="21"/>
        </w:rPr>
        <w:t>要</w:t>
      </w:r>
      <w:r>
        <w:rPr>
          <w:spacing w:val="-2"/>
          <w:sz w:val="21"/>
        </w:rPr>
        <w:t>表</w:t>
      </w:r>
      <w:r>
        <w:rPr>
          <w:spacing w:val="-2"/>
          <w:sz w:val="21"/>
        </w:rPr>
        <w:t>现</w:t>
      </w:r>
      <w:r>
        <w:rPr>
          <w:spacing w:val="-2"/>
          <w:sz w:val="21"/>
        </w:rPr>
        <w:t>为</w:t>
      </w:r>
      <w:r>
        <w:rPr>
          <w:spacing w:val="-2"/>
          <w:sz w:val="21"/>
        </w:rPr>
        <w:t>复</w:t>
      </w:r>
      <w:r>
        <w:rPr>
          <w:spacing w:val="-2"/>
          <w:sz w:val="21"/>
        </w:rPr>
        <w:t>发</w:t>
      </w:r>
      <w:r>
        <w:rPr>
          <w:spacing w:val="-2"/>
          <w:sz w:val="21"/>
        </w:rPr>
        <w:t>性</w:t>
      </w:r>
      <w:r>
        <w:rPr>
          <w:spacing w:val="-2"/>
          <w:sz w:val="21"/>
        </w:rPr>
        <w:t>口</w:t>
      </w:r>
      <w:r>
        <w:rPr>
          <w:spacing w:val="-10"/>
          <w:sz w:val="21"/>
        </w:rPr>
        <w:t>腔</w:t>
      </w:r>
    </w:p>
    <w:p>
      <w:pPr>
        <w:pStyle w:val="BodyText"/>
        <w:spacing w:line="246" w:lineRule="exact"/>
      </w:pPr>
      <w:r>
        <w:rPr>
          <w:spacing w:val="-7"/>
        </w:rPr>
        <w:t>溃疡、生殖器溃疡、眼炎及皮肤损害，并可累及大血管、神经系统、</w:t>
      </w:r>
    </w:p>
    <w:p>
      <w:pPr>
        <w:pStyle w:val="BodyText"/>
        <w:spacing w:line="242" w:lineRule="auto" w:before="2"/>
        <w:ind w:right="624"/>
      </w:pPr>
      <w:r>
        <w:rPr>
          <w:spacing w:val="-4"/>
        </w:rPr>
        <w:t>消化道、肺、肾等等。累及神经系统损害的白塞病称为神经白塞病。</w:t>
      </w:r>
      <w:r>
        <w:rPr>
          <w:spacing w:val="-2"/>
        </w:rPr>
        <w:t>神经白塞病必须明确诊断，并且已经造成永久不可逆的神经系统功</w:t>
      </w:r>
      <w:r>
        <w:rPr>
          <w:spacing w:val="-1"/>
        </w:rPr>
        <w:t>能损害。永久不可逆的神经系统损害指被保险人持续 </w:t>
      </w:r>
      <w:r>
        <w:rPr>
          <w:rFonts w:ascii="Times New Roman" w:eastAsia="Times New Roman"/>
        </w:rPr>
        <w:t>180 </w:t>
      </w:r>
      <w:r>
        <w:rPr/>
        <w:t>天无法独</w:t>
      </w:r>
      <w:r>
        <w:rPr>
          <w:spacing w:val="-2"/>
        </w:rPr>
        <w:t>立完成下列基本日常生活活动之一或全部：</w:t>
      </w:r>
    </w:p>
    <w:p>
      <w:pPr>
        <w:pStyle w:val="ListParagraph"/>
        <w:numPr>
          <w:ilvl w:val="0"/>
          <w:numId w:val="88"/>
        </w:numPr>
        <w:tabs>
          <w:tab w:pos="3682" w:val="left" w:leader="none"/>
        </w:tabs>
        <w:spacing w:line="240" w:lineRule="auto" w:before="3" w:after="0"/>
        <w:ind w:left="3682" w:right="0" w:hanging="529"/>
        <w:jc w:val="left"/>
        <w:rPr>
          <w:sz w:val="21"/>
        </w:rPr>
      </w:pPr>
      <w:r>
        <w:rPr>
          <w:spacing w:val="-3"/>
          <w:sz w:val="21"/>
        </w:rPr>
        <w:t>移动：自己从一个房间到另一个房间；</w:t>
      </w:r>
    </w:p>
    <w:p>
      <w:pPr>
        <w:pStyle w:val="ListParagraph"/>
        <w:numPr>
          <w:ilvl w:val="0"/>
          <w:numId w:val="88"/>
        </w:numPr>
        <w:tabs>
          <w:tab w:pos="3682" w:val="left" w:leader="none"/>
        </w:tabs>
        <w:spacing w:line="240" w:lineRule="auto" w:before="2" w:after="0"/>
        <w:ind w:left="3682" w:right="0" w:hanging="529"/>
        <w:jc w:val="left"/>
        <w:rPr>
          <w:sz w:val="21"/>
        </w:rPr>
      </w:pPr>
      <w:r>
        <w:rPr>
          <w:spacing w:val="-3"/>
          <w:sz w:val="21"/>
        </w:rPr>
        <w:t>进食：自己从已准备好的碗或碟中取食物放入口中。</w:t>
      </w:r>
    </w:p>
    <w:p>
      <w:pPr>
        <w:pStyle w:val="ListParagraph"/>
        <w:numPr>
          <w:ilvl w:val="1"/>
          <w:numId w:val="81"/>
        </w:numPr>
        <w:tabs>
          <w:tab w:pos="1071" w:val="left" w:leader="none"/>
          <w:tab w:pos="1072" w:val="left" w:leader="none"/>
          <w:tab w:pos="3152" w:val="left" w:leader="none"/>
        </w:tabs>
        <w:spacing w:line="363" w:lineRule="exact" w:before="180" w:after="0"/>
        <w:ind w:left="1071" w:right="0" w:hanging="850"/>
        <w:jc w:val="left"/>
        <w:rPr>
          <w:sz w:val="21"/>
        </w:rPr>
      </w:pPr>
      <w:r>
        <w:rPr>
          <w:rFonts w:ascii="微软雅黑" w:eastAsia="微软雅黑"/>
          <w:b/>
          <w:sz w:val="21"/>
        </w:rPr>
        <w:t>脊髓内肿</w:t>
      </w:r>
      <w:r>
        <w:rPr>
          <w:rFonts w:ascii="微软雅黑" w:eastAsia="微软雅黑"/>
          <w:b/>
          <w:spacing w:val="-10"/>
          <w:sz w:val="21"/>
        </w:rPr>
        <w:t>瘤</w:t>
      </w:r>
      <w:r>
        <w:rPr>
          <w:rFonts w:ascii="微软雅黑" w:eastAsia="微软雅黑"/>
          <w:b/>
          <w:sz w:val="21"/>
        </w:rPr>
        <w:tab/>
      </w:r>
      <w:r>
        <w:rPr>
          <w:spacing w:val="-2"/>
          <w:sz w:val="21"/>
        </w:rPr>
        <w:t>指</w:t>
      </w:r>
      <w:r>
        <w:rPr>
          <w:spacing w:val="-2"/>
          <w:sz w:val="21"/>
        </w:rPr>
        <w:t>脊</w:t>
      </w:r>
      <w:r>
        <w:rPr>
          <w:spacing w:val="-2"/>
          <w:sz w:val="21"/>
        </w:rPr>
        <w:t>髓</w:t>
      </w:r>
      <w:r>
        <w:rPr>
          <w:spacing w:val="-2"/>
          <w:sz w:val="21"/>
        </w:rPr>
        <w:t>内</w:t>
      </w:r>
      <w:r>
        <w:rPr>
          <w:spacing w:val="-2"/>
          <w:sz w:val="21"/>
        </w:rPr>
        <w:t>良</w:t>
      </w:r>
      <w:r>
        <w:rPr>
          <w:spacing w:val="-2"/>
          <w:sz w:val="21"/>
        </w:rPr>
        <w:t>性或恶</w:t>
      </w:r>
      <w:r>
        <w:rPr>
          <w:spacing w:val="-2"/>
          <w:sz w:val="21"/>
        </w:rPr>
        <w:t>性</w:t>
      </w:r>
      <w:r>
        <w:rPr>
          <w:spacing w:val="-2"/>
          <w:sz w:val="21"/>
        </w:rPr>
        <w:t>肿</w:t>
      </w:r>
      <w:r>
        <w:rPr>
          <w:spacing w:val="-2"/>
          <w:sz w:val="21"/>
        </w:rPr>
        <w:t>瘤</w:t>
      </w:r>
      <w:r>
        <w:rPr>
          <w:spacing w:val="-2"/>
          <w:sz w:val="21"/>
        </w:rPr>
        <w:t>。</w:t>
      </w:r>
      <w:r>
        <w:rPr>
          <w:spacing w:val="-2"/>
          <w:sz w:val="21"/>
        </w:rPr>
        <w:t>肿</w:t>
      </w:r>
      <w:r>
        <w:rPr>
          <w:spacing w:val="-2"/>
          <w:sz w:val="21"/>
        </w:rPr>
        <w:t>瘤</w:t>
      </w:r>
      <w:r>
        <w:rPr>
          <w:spacing w:val="-2"/>
          <w:sz w:val="21"/>
        </w:rPr>
        <w:t>造</w:t>
      </w:r>
      <w:r>
        <w:rPr>
          <w:spacing w:val="-2"/>
          <w:sz w:val="21"/>
        </w:rPr>
        <w:t>成</w:t>
      </w:r>
      <w:r>
        <w:rPr>
          <w:spacing w:val="-2"/>
          <w:sz w:val="21"/>
        </w:rPr>
        <w:t>脊髓损</w:t>
      </w:r>
      <w:r>
        <w:rPr>
          <w:spacing w:val="-2"/>
          <w:sz w:val="21"/>
        </w:rPr>
        <w:t>害</w:t>
      </w:r>
      <w:r>
        <w:rPr>
          <w:spacing w:val="-2"/>
          <w:sz w:val="21"/>
        </w:rPr>
        <w:t>导</w:t>
      </w:r>
      <w:r>
        <w:rPr>
          <w:spacing w:val="-2"/>
          <w:sz w:val="21"/>
        </w:rPr>
        <w:t>致</w:t>
      </w:r>
      <w:r>
        <w:rPr>
          <w:spacing w:val="-2"/>
          <w:sz w:val="21"/>
        </w:rPr>
        <w:t>瘫</w:t>
      </w:r>
      <w:r>
        <w:rPr>
          <w:spacing w:val="-2"/>
          <w:sz w:val="21"/>
        </w:rPr>
        <w:t>痪</w:t>
      </w:r>
      <w:r>
        <w:rPr>
          <w:spacing w:val="-2"/>
          <w:sz w:val="21"/>
        </w:rPr>
        <w:t>。</w:t>
      </w:r>
      <w:r>
        <w:rPr>
          <w:spacing w:val="-2"/>
          <w:sz w:val="21"/>
        </w:rPr>
        <w:t>须</w:t>
      </w:r>
      <w:r>
        <w:rPr>
          <w:spacing w:val="-2"/>
          <w:sz w:val="21"/>
        </w:rPr>
        <w:t>满</w:t>
      </w:r>
      <w:r>
        <w:rPr>
          <w:spacing w:val="-2"/>
          <w:sz w:val="21"/>
        </w:rPr>
        <w:t>足</w:t>
      </w:r>
      <w:r>
        <w:rPr>
          <w:spacing w:val="-10"/>
          <w:sz w:val="21"/>
        </w:rPr>
        <w:t>下</w:t>
      </w:r>
    </w:p>
    <w:p>
      <w:pPr>
        <w:pStyle w:val="BodyText"/>
        <w:spacing w:line="245" w:lineRule="exact"/>
      </w:pPr>
      <w:r>
        <w:rPr>
          <w:spacing w:val="-4"/>
        </w:rPr>
        <w:t>列所有条件：</w:t>
      </w:r>
    </w:p>
    <w:p>
      <w:pPr>
        <w:pStyle w:val="ListParagraph"/>
        <w:numPr>
          <w:ilvl w:val="0"/>
          <w:numId w:val="89"/>
        </w:numPr>
        <w:tabs>
          <w:tab w:pos="3682" w:val="left" w:leader="none"/>
        </w:tabs>
        <w:spacing w:line="240" w:lineRule="auto" w:before="2" w:after="0"/>
        <w:ind w:left="3682" w:right="0" w:hanging="529"/>
        <w:jc w:val="left"/>
        <w:rPr>
          <w:sz w:val="21"/>
        </w:rPr>
      </w:pPr>
      <w:r>
        <w:rPr>
          <w:spacing w:val="-3"/>
          <w:sz w:val="21"/>
        </w:rPr>
        <w:t>被保险人实际接受了肿瘤切除的手术治疗；</w:t>
      </w:r>
    </w:p>
    <w:p>
      <w:pPr>
        <w:pStyle w:val="ListParagraph"/>
        <w:numPr>
          <w:ilvl w:val="0"/>
          <w:numId w:val="89"/>
        </w:numPr>
        <w:tabs>
          <w:tab w:pos="3682" w:val="left" w:leader="none"/>
        </w:tabs>
        <w:spacing w:line="242" w:lineRule="auto" w:before="5" w:after="0"/>
        <w:ind w:left="3678" w:right="729" w:hanging="526"/>
        <w:jc w:val="left"/>
        <w:rPr>
          <w:sz w:val="21"/>
        </w:rPr>
      </w:pPr>
      <w:r>
        <w:rPr>
          <w:spacing w:val="-2"/>
          <w:sz w:val="21"/>
        </w:rPr>
        <w:t>手术</w:t>
      </w:r>
      <w:r>
        <w:rPr>
          <w:rFonts w:ascii="Times New Roman" w:eastAsia="Times New Roman"/>
          <w:spacing w:val="-2"/>
          <w:sz w:val="21"/>
        </w:rPr>
        <w:t>180</w:t>
      </w:r>
      <w:r>
        <w:rPr>
          <w:spacing w:val="-2"/>
          <w:sz w:val="21"/>
        </w:rPr>
        <w:t>天后遗留神经系统损害，无法独立完成下列基本日常</w:t>
      </w:r>
      <w:r>
        <w:rPr>
          <w:spacing w:val="-2"/>
          <w:sz w:val="21"/>
        </w:rPr>
        <w:t>生活活动之一或全部：</w:t>
      </w:r>
    </w:p>
    <w:p>
      <w:pPr>
        <w:pStyle w:val="BodyText"/>
        <w:spacing w:before="1"/>
        <w:ind w:left="3678"/>
      </w:pPr>
      <w:r>
        <w:rPr>
          <w:spacing w:val="-3"/>
        </w:rPr>
        <w:t>①移动：自己从一个房间到另一个房间；</w:t>
      </w:r>
    </w:p>
    <w:p>
      <w:pPr>
        <w:pStyle w:val="BodyText"/>
        <w:spacing w:before="2" w:after="34"/>
        <w:ind w:left="3678"/>
      </w:pPr>
      <w:r>
        <w:rPr>
          <w:spacing w:val="-3"/>
        </w:rPr>
        <w:t>②进食：自己从已准备好的碗或碟中取食物放入口中。</w:t>
      </w: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2"/>
        <w:gridCol w:w="2160"/>
        <w:gridCol w:w="6259"/>
      </w:tblGrid>
      <w:tr>
        <w:trPr>
          <w:trHeight w:val="619" w:hRule="atLeast"/>
        </w:trPr>
        <w:tc>
          <w:tcPr>
            <w:tcW w:w="2872" w:type="dxa"/>
            <w:gridSpan w:val="2"/>
          </w:tcPr>
          <w:p>
            <w:pPr>
              <w:pStyle w:val="TableParagraph"/>
              <w:rPr>
                <w:rFonts w:ascii="Times New Roman"/>
                <w:sz w:val="20"/>
              </w:rPr>
            </w:pPr>
          </w:p>
        </w:tc>
        <w:tc>
          <w:tcPr>
            <w:tcW w:w="6259" w:type="dxa"/>
          </w:tcPr>
          <w:p>
            <w:pPr>
              <w:pStyle w:val="TableParagraph"/>
              <w:spacing w:line="168" w:lineRule="auto"/>
              <w:ind w:left="108" w:right="49"/>
              <w:rPr>
                <w:rFonts w:ascii="微软雅黑" w:eastAsia="微软雅黑"/>
                <w:b/>
                <w:sz w:val="21"/>
              </w:rPr>
            </w:pPr>
            <w:r>
              <w:rPr>
                <w:rFonts w:ascii="微软雅黑" w:eastAsia="微软雅黑"/>
                <w:b/>
                <w:spacing w:val="-2"/>
                <w:sz w:val="21"/>
              </w:rPr>
              <w:t>非脊髓内的其他椎管内肿瘤、脊柱肿瘤、神经纤维瘤不在保障范围</w:t>
            </w:r>
            <w:r>
              <w:rPr>
                <w:rFonts w:ascii="微软雅黑" w:eastAsia="微软雅黑"/>
                <w:b/>
                <w:spacing w:val="-6"/>
                <w:sz w:val="21"/>
              </w:rPr>
              <w:t>内。</w:t>
            </w:r>
          </w:p>
        </w:tc>
      </w:tr>
      <w:tr>
        <w:trPr>
          <w:trHeight w:val="407" w:hRule="atLeast"/>
        </w:trPr>
        <w:tc>
          <w:tcPr>
            <w:tcW w:w="712" w:type="dxa"/>
          </w:tcPr>
          <w:p>
            <w:pPr>
              <w:pStyle w:val="TableParagraph"/>
              <w:spacing w:before="129"/>
              <w:ind w:left="50"/>
              <w:rPr>
                <w:rFonts w:ascii="Times New Roman"/>
                <w:sz w:val="21"/>
              </w:rPr>
            </w:pPr>
            <w:r>
              <w:rPr>
                <w:rFonts w:ascii="Times New Roman"/>
                <w:spacing w:val="-2"/>
                <w:sz w:val="21"/>
              </w:rPr>
              <w:t>12.73</w:t>
            </w:r>
          </w:p>
        </w:tc>
        <w:tc>
          <w:tcPr>
            <w:tcW w:w="2160" w:type="dxa"/>
          </w:tcPr>
          <w:p>
            <w:pPr>
              <w:pStyle w:val="TableParagraph"/>
              <w:spacing w:line="318" w:lineRule="exact" w:before="69"/>
              <w:ind w:left="187"/>
              <w:rPr>
                <w:rFonts w:ascii="微软雅黑" w:eastAsia="微软雅黑"/>
                <w:b/>
                <w:sz w:val="21"/>
              </w:rPr>
            </w:pPr>
            <w:r>
              <w:rPr>
                <w:rFonts w:ascii="微软雅黑" w:eastAsia="微软雅黑"/>
                <w:b/>
                <w:spacing w:val="18"/>
                <w:sz w:val="21"/>
              </w:rPr>
              <w:t>横贯性脊髓炎后遗</w:t>
            </w:r>
          </w:p>
        </w:tc>
        <w:tc>
          <w:tcPr>
            <w:tcW w:w="6259" w:type="dxa"/>
          </w:tcPr>
          <w:p>
            <w:pPr>
              <w:pStyle w:val="TableParagraph"/>
              <w:spacing w:line="251" w:lineRule="exact" w:before="137"/>
              <w:ind w:left="138" w:right="78"/>
              <w:jc w:val="center"/>
              <w:rPr>
                <w:sz w:val="21"/>
              </w:rPr>
            </w:pPr>
            <w:r>
              <w:rPr>
                <w:spacing w:val="-3"/>
                <w:sz w:val="21"/>
              </w:rPr>
              <w:t>脊髓炎是一种炎症性脊髓疾病。横贯性脊髓炎是指炎症扩展横贯整</w:t>
            </w:r>
          </w:p>
        </w:tc>
      </w:tr>
      <w:tr>
        <w:trPr>
          <w:trHeight w:val="272" w:hRule="atLeast"/>
        </w:trPr>
        <w:tc>
          <w:tcPr>
            <w:tcW w:w="712" w:type="dxa"/>
          </w:tcPr>
          <w:p>
            <w:pPr>
              <w:pStyle w:val="TableParagraph"/>
              <w:rPr>
                <w:rFonts w:ascii="Times New Roman"/>
                <w:sz w:val="20"/>
              </w:rPr>
            </w:pPr>
          </w:p>
        </w:tc>
        <w:tc>
          <w:tcPr>
            <w:tcW w:w="2160" w:type="dxa"/>
          </w:tcPr>
          <w:p>
            <w:pPr>
              <w:pStyle w:val="TableParagraph"/>
              <w:spacing w:line="252" w:lineRule="exact"/>
              <w:ind w:left="187"/>
              <w:rPr>
                <w:rFonts w:ascii="微软雅黑" w:eastAsia="微软雅黑"/>
                <w:b/>
                <w:sz w:val="21"/>
              </w:rPr>
            </w:pPr>
            <w:r>
              <w:rPr>
                <w:rFonts w:ascii="微软雅黑" w:eastAsia="微软雅黑"/>
                <w:b/>
                <w:w w:val="100"/>
                <w:sz w:val="21"/>
              </w:rPr>
              <w:t>症</w:t>
            </w:r>
          </w:p>
        </w:tc>
        <w:tc>
          <w:tcPr>
            <w:tcW w:w="6259" w:type="dxa"/>
          </w:tcPr>
          <w:p>
            <w:pPr>
              <w:pStyle w:val="TableParagraph"/>
              <w:spacing w:line="250" w:lineRule="exact" w:before="2"/>
              <w:ind w:left="138" w:right="78"/>
              <w:jc w:val="center"/>
              <w:rPr>
                <w:sz w:val="21"/>
              </w:rPr>
            </w:pPr>
            <w:r>
              <w:rPr>
                <w:spacing w:val="-3"/>
                <w:sz w:val="21"/>
              </w:rPr>
              <w:t>个脊髓，表现为运动障碍、感觉障碍和自主神经功能障碍。横断性</w:t>
            </w:r>
          </w:p>
        </w:tc>
      </w:tr>
      <w:tr>
        <w:trPr>
          <w:trHeight w:val="269" w:hRule="atLeast"/>
        </w:trPr>
        <w:tc>
          <w:tcPr>
            <w:tcW w:w="712" w:type="dxa"/>
          </w:tcPr>
          <w:p>
            <w:pPr>
              <w:pStyle w:val="TableParagraph"/>
              <w:rPr>
                <w:rFonts w:ascii="Times New Roman"/>
                <w:sz w:val="18"/>
              </w:rPr>
            </w:pPr>
          </w:p>
        </w:tc>
        <w:tc>
          <w:tcPr>
            <w:tcW w:w="2160" w:type="dxa"/>
          </w:tcPr>
          <w:p>
            <w:pPr>
              <w:pStyle w:val="TableParagraph"/>
              <w:rPr>
                <w:rFonts w:ascii="Times New Roman"/>
                <w:sz w:val="18"/>
              </w:rPr>
            </w:pPr>
          </w:p>
        </w:tc>
        <w:tc>
          <w:tcPr>
            <w:tcW w:w="6259" w:type="dxa"/>
          </w:tcPr>
          <w:p>
            <w:pPr>
              <w:pStyle w:val="TableParagraph"/>
              <w:spacing w:line="248" w:lineRule="exact" w:before="1"/>
              <w:ind w:left="138" w:right="78"/>
              <w:jc w:val="center"/>
              <w:rPr>
                <w:sz w:val="21"/>
              </w:rPr>
            </w:pPr>
            <w:r>
              <w:rPr>
                <w:spacing w:val="-3"/>
                <w:sz w:val="21"/>
              </w:rPr>
              <w:t>脊髓炎必须明确诊断，并且已经造成永久不可逆的神经系统功能损</w:t>
            </w:r>
          </w:p>
        </w:tc>
      </w:tr>
      <w:tr>
        <w:trPr>
          <w:trHeight w:val="544"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59" w:type="dxa"/>
          </w:tcPr>
          <w:p>
            <w:pPr>
              <w:pStyle w:val="TableParagraph"/>
              <w:spacing w:line="270" w:lineRule="atLeast"/>
              <w:ind w:left="108" w:right="46"/>
              <w:rPr>
                <w:sz w:val="21"/>
              </w:rPr>
            </w:pPr>
            <w:r>
              <w:rPr>
                <w:spacing w:val="-3"/>
                <w:sz w:val="21"/>
              </w:rPr>
              <w:t>害。永久不可逆的神经系统损害指被保险人持续 </w:t>
            </w:r>
            <w:r>
              <w:rPr>
                <w:rFonts w:ascii="Times New Roman" w:eastAsia="Times New Roman"/>
                <w:sz w:val="21"/>
              </w:rPr>
              <w:t>180</w:t>
            </w:r>
            <w:r>
              <w:rPr>
                <w:rFonts w:ascii="Times New Roman" w:eastAsia="Times New Roman"/>
                <w:spacing w:val="-14"/>
                <w:sz w:val="21"/>
              </w:rPr>
              <w:t> </w:t>
            </w:r>
            <w:r>
              <w:rPr>
                <w:sz w:val="21"/>
              </w:rPr>
              <w:t>天无法独立完</w:t>
            </w:r>
            <w:r>
              <w:rPr>
                <w:spacing w:val="-2"/>
                <w:sz w:val="21"/>
              </w:rPr>
              <w:t>成下列基本日常生活活动之一或全部：</w:t>
            </w:r>
          </w:p>
        </w:tc>
      </w:tr>
      <w:tr>
        <w:trPr>
          <w:trHeight w:val="662" w:hRule="atLeast"/>
        </w:trPr>
        <w:tc>
          <w:tcPr>
            <w:tcW w:w="712" w:type="dxa"/>
          </w:tcPr>
          <w:p>
            <w:pPr>
              <w:pStyle w:val="TableParagraph"/>
              <w:rPr>
                <w:rFonts w:ascii="Times New Roman"/>
                <w:sz w:val="20"/>
              </w:rPr>
            </w:pPr>
          </w:p>
        </w:tc>
        <w:tc>
          <w:tcPr>
            <w:tcW w:w="2160" w:type="dxa"/>
          </w:tcPr>
          <w:p>
            <w:pPr>
              <w:pStyle w:val="TableParagraph"/>
              <w:rPr>
                <w:rFonts w:ascii="Times New Roman"/>
                <w:sz w:val="20"/>
              </w:rPr>
            </w:pPr>
          </w:p>
        </w:tc>
        <w:tc>
          <w:tcPr>
            <w:tcW w:w="6259" w:type="dxa"/>
          </w:tcPr>
          <w:p>
            <w:pPr>
              <w:pStyle w:val="TableParagraph"/>
              <w:numPr>
                <w:ilvl w:val="0"/>
                <w:numId w:val="90"/>
              </w:numPr>
              <w:tabs>
                <w:tab w:pos="638" w:val="left" w:leader="none"/>
              </w:tabs>
              <w:spacing w:line="240" w:lineRule="auto" w:before="6" w:after="0"/>
              <w:ind w:left="637" w:right="0" w:hanging="530"/>
              <w:jc w:val="left"/>
              <w:rPr>
                <w:sz w:val="21"/>
              </w:rPr>
            </w:pPr>
            <w:r>
              <w:rPr>
                <w:spacing w:val="-3"/>
                <w:sz w:val="21"/>
              </w:rPr>
              <w:t>移动：自己从一个房间到另一个房间；</w:t>
            </w:r>
          </w:p>
          <w:p>
            <w:pPr>
              <w:pStyle w:val="TableParagraph"/>
              <w:numPr>
                <w:ilvl w:val="0"/>
                <w:numId w:val="90"/>
              </w:numPr>
              <w:tabs>
                <w:tab w:pos="638" w:val="left" w:leader="none"/>
              </w:tabs>
              <w:spacing w:line="240" w:lineRule="auto" w:before="2" w:after="0"/>
              <w:ind w:left="637" w:right="0" w:hanging="530"/>
              <w:jc w:val="left"/>
              <w:rPr>
                <w:sz w:val="21"/>
              </w:rPr>
            </w:pPr>
            <w:r>
              <w:rPr>
                <w:spacing w:val="-3"/>
                <w:sz w:val="21"/>
              </w:rPr>
              <w:t>进食：自己从已准备好的碗或碟中取食物放入口中。</w:t>
            </w:r>
          </w:p>
        </w:tc>
      </w:tr>
      <w:tr>
        <w:trPr>
          <w:trHeight w:val="399" w:hRule="atLeast"/>
        </w:trPr>
        <w:tc>
          <w:tcPr>
            <w:tcW w:w="712" w:type="dxa"/>
          </w:tcPr>
          <w:p>
            <w:pPr>
              <w:pStyle w:val="TableParagraph"/>
              <w:spacing w:before="121"/>
              <w:ind w:left="50"/>
              <w:rPr>
                <w:rFonts w:ascii="Times New Roman"/>
                <w:sz w:val="21"/>
              </w:rPr>
            </w:pPr>
            <w:r>
              <w:rPr>
                <w:rFonts w:ascii="Times New Roman"/>
                <w:spacing w:val="-2"/>
                <w:sz w:val="21"/>
              </w:rPr>
              <w:t>12.74</w:t>
            </w:r>
          </w:p>
        </w:tc>
        <w:tc>
          <w:tcPr>
            <w:tcW w:w="2160" w:type="dxa"/>
          </w:tcPr>
          <w:p>
            <w:pPr>
              <w:pStyle w:val="TableParagraph"/>
              <w:spacing w:line="318" w:lineRule="exact" w:before="61"/>
              <w:ind w:left="187"/>
              <w:rPr>
                <w:rFonts w:ascii="微软雅黑" w:eastAsia="微软雅黑"/>
                <w:b/>
                <w:sz w:val="21"/>
              </w:rPr>
            </w:pPr>
            <w:r>
              <w:rPr>
                <w:rFonts w:ascii="微软雅黑" w:eastAsia="微软雅黑"/>
                <w:b/>
                <w:sz w:val="21"/>
              </w:rPr>
              <w:t>脊（延）</w:t>
            </w:r>
            <w:r>
              <w:rPr>
                <w:rFonts w:ascii="微软雅黑" w:eastAsia="微软雅黑"/>
                <w:b/>
                <w:spacing w:val="-3"/>
                <w:sz w:val="21"/>
              </w:rPr>
              <w:t>髓空洞症</w:t>
            </w:r>
          </w:p>
        </w:tc>
        <w:tc>
          <w:tcPr>
            <w:tcW w:w="6259" w:type="dxa"/>
          </w:tcPr>
          <w:p>
            <w:pPr>
              <w:pStyle w:val="TableParagraph"/>
              <w:spacing w:line="251" w:lineRule="exact" w:before="129"/>
              <w:ind w:left="138" w:right="78"/>
              <w:jc w:val="center"/>
              <w:rPr>
                <w:sz w:val="21"/>
              </w:rPr>
            </w:pPr>
            <w:r>
              <w:rPr>
                <w:spacing w:val="-3"/>
                <w:sz w:val="21"/>
              </w:rPr>
              <w:t>脊髓空洞症为慢性进行性的脊髓变性性疾病，其特征为脊髓内空洞</w:t>
            </w:r>
          </w:p>
        </w:tc>
      </w:tr>
      <w:tr>
        <w:trPr>
          <w:trHeight w:val="272" w:hRule="atLeast"/>
        </w:trPr>
        <w:tc>
          <w:tcPr>
            <w:tcW w:w="2872" w:type="dxa"/>
            <w:gridSpan w:val="2"/>
            <w:vMerge w:val="restart"/>
          </w:tcPr>
          <w:p>
            <w:pPr>
              <w:pStyle w:val="TableParagraph"/>
              <w:rPr>
                <w:rFonts w:ascii="Times New Roman"/>
                <w:sz w:val="20"/>
              </w:rPr>
            </w:pPr>
          </w:p>
        </w:tc>
        <w:tc>
          <w:tcPr>
            <w:tcW w:w="6259" w:type="dxa"/>
          </w:tcPr>
          <w:p>
            <w:pPr>
              <w:pStyle w:val="TableParagraph"/>
              <w:spacing w:line="250" w:lineRule="exact" w:before="2"/>
              <w:ind w:left="138" w:right="78"/>
              <w:jc w:val="center"/>
              <w:rPr>
                <w:sz w:val="21"/>
              </w:rPr>
            </w:pPr>
            <w:r>
              <w:rPr>
                <w:spacing w:val="-3"/>
                <w:sz w:val="21"/>
              </w:rPr>
              <w:t>形成。表现为感觉异常、肌萎缩及神经营养障碍。脊髓空洞症累及</w:t>
            </w:r>
          </w:p>
        </w:tc>
      </w:tr>
      <w:tr>
        <w:trPr>
          <w:trHeight w:val="269" w:hRule="atLeast"/>
        </w:trPr>
        <w:tc>
          <w:tcPr>
            <w:tcW w:w="2872" w:type="dxa"/>
            <w:gridSpan w:val="2"/>
            <w:vMerge/>
            <w:tcBorders>
              <w:top w:val="nil"/>
            </w:tcBorders>
          </w:tcPr>
          <w:p>
            <w:pPr>
              <w:rPr>
                <w:sz w:val="2"/>
                <w:szCs w:val="2"/>
              </w:rPr>
            </w:pPr>
          </w:p>
        </w:tc>
        <w:tc>
          <w:tcPr>
            <w:tcW w:w="6259" w:type="dxa"/>
          </w:tcPr>
          <w:p>
            <w:pPr>
              <w:pStyle w:val="TableParagraph"/>
              <w:spacing w:line="248" w:lineRule="exact" w:before="1"/>
              <w:ind w:left="138" w:right="78"/>
              <w:jc w:val="center"/>
              <w:rPr>
                <w:sz w:val="21"/>
              </w:rPr>
            </w:pPr>
            <w:r>
              <w:rPr>
                <w:spacing w:val="-3"/>
                <w:sz w:val="21"/>
              </w:rPr>
              <w:t>延髓的称为延髓空洞症，表现为延髓麻痹。脊髓空洞症必须明确诊</w:t>
            </w:r>
          </w:p>
        </w:tc>
      </w:tr>
      <w:tr>
        <w:trPr>
          <w:trHeight w:val="544" w:hRule="atLeast"/>
        </w:trPr>
        <w:tc>
          <w:tcPr>
            <w:tcW w:w="2872" w:type="dxa"/>
            <w:gridSpan w:val="2"/>
            <w:vMerge/>
            <w:tcBorders>
              <w:top w:val="nil"/>
            </w:tcBorders>
          </w:tcPr>
          <w:p>
            <w:pPr>
              <w:rPr>
                <w:sz w:val="2"/>
                <w:szCs w:val="2"/>
              </w:rPr>
            </w:pPr>
          </w:p>
        </w:tc>
        <w:tc>
          <w:tcPr>
            <w:tcW w:w="6259" w:type="dxa"/>
          </w:tcPr>
          <w:p>
            <w:pPr>
              <w:pStyle w:val="TableParagraph"/>
              <w:spacing w:line="270" w:lineRule="atLeast"/>
              <w:ind w:left="108" w:right="46"/>
              <w:rPr>
                <w:sz w:val="21"/>
              </w:rPr>
            </w:pPr>
            <w:r>
              <w:rPr>
                <w:spacing w:val="-2"/>
                <w:sz w:val="21"/>
              </w:rPr>
              <w:t>断并且造成永久不可逆的神经系统功能障碍，存在持续至少 </w:t>
            </w:r>
            <w:r>
              <w:rPr>
                <w:rFonts w:ascii="Times New Roman" w:eastAsia="Times New Roman"/>
                <w:sz w:val="21"/>
              </w:rPr>
              <w:t>180</w:t>
            </w:r>
            <w:r>
              <w:rPr>
                <w:rFonts w:ascii="Times New Roman" w:eastAsia="Times New Roman"/>
                <w:spacing w:val="-14"/>
                <w:sz w:val="21"/>
              </w:rPr>
              <w:t> </w:t>
            </w:r>
            <w:r>
              <w:rPr>
                <w:sz w:val="21"/>
              </w:rPr>
              <w:t>天</w:t>
            </w:r>
            <w:r>
              <w:rPr>
                <w:spacing w:val="-3"/>
                <w:sz w:val="21"/>
              </w:rPr>
              <w:t>以上的神经系统功能缺失并满足下列任何一项基本日常生活活动：</w:t>
            </w:r>
          </w:p>
        </w:tc>
      </w:tr>
      <w:tr>
        <w:trPr>
          <w:trHeight w:val="532" w:hRule="atLeast"/>
        </w:trPr>
        <w:tc>
          <w:tcPr>
            <w:tcW w:w="2872" w:type="dxa"/>
            <w:gridSpan w:val="2"/>
            <w:vMerge/>
            <w:tcBorders>
              <w:top w:val="nil"/>
            </w:tcBorders>
          </w:tcPr>
          <w:p>
            <w:pPr>
              <w:rPr>
                <w:sz w:val="2"/>
                <w:szCs w:val="2"/>
              </w:rPr>
            </w:pPr>
          </w:p>
        </w:tc>
        <w:tc>
          <w:tcPr>
            <w:tcW w:w="6259" w:type="dxa"/>
          </w:tcPr>
          <w:p>
            <w:pPr>
              <w:pStyle w:val="TableParagraph"/>
              <w:numPr>
                <w:ilvl w:val="0"/>
                <w:numId w:val="91"/>
              </w:numPr>
              <w:tabs>
                <w:tab w:pos="638" w:val="left" w:leader="none"/>
              </w:tabs>
              <w:spacing w:line="240" w:lineRule="auto" w:before="6" w:after="0"/>
              <w:ind w:left="637" w:right="0" w:hanging="530"/>
              <w:jc w:val="left"/>
              <w:rPr>
                <w:sz w:val="21"/>
              </w:rPr>
            </w:pPr>
            <w:r>
              <w:rPr>
                <w:spacing w:val="-3"/>
                <w:sz w:val="21"/>
              </w:rPr>
              <w:t>延髓麻痹呈现显著舌肌萎缩、构音困难和吞咽困难；</w:t>
            </w:r>
          </w:p>
          <w:p>
            <w:pPr>
              <w:pStyle w:val="TableParagraph"/>
              <w:numPr>
                <w:ilvl w:val="0"/>
                <w:numId w:val="91"/>
              </w:numPr>
              <w:tabs>
                <w:tab w:pos="638" w:val="left" w:leader="none"/>
              </w:tabs>
              <w:spacing w:line="236" w:lineRule="exact" w:before="2" w:after="0"/>
              <w:ind w:left="637" w:right="0" w:hanging="530"/>
              <w:jc w:val="left"/>
              <w:rPr>
                <w:sz w:val="21"/>
              </w:rPr>
            </w:pPr>
            <w:r>
              <w:rPr>
                <w:spacing w:val="-2"/>
                <w:sz w:val="21"/>
              </w:rPr>
              <w:t>双手萎缩呈</w:t>
            </w:r>
            <w:r>
              <w:rPr>
                <w:rFonts w:ascii="Times New Roman" w:hAnsi="Times New Roman" w:eastAsia="Times New Roman"/>
                <w:spacing w:val="-2"/>
                <w:sz w:val="21"/>
              </w:rPr>
              <w:t>“</w:t>
            </w:r>
            <w:r>
              <w:rPr>
                <w:spacing w:val="-2"/>
                <w:sz w:val="21"/>
              </w:rPr>
              <w:t>爪形手</w:t>
            </w:r>
            <w:r>
              <w:rPr>
                <w:rFonts w:ascii="Times New Roman" w:hAnsi="Times New Roman" w:eastAsia="Times New Roman"/>
                <w:spacing w:val="-2"/>
                <w:sz w:val="21"/>
              </w:rPr>
              <w:t>”</w:t>
            </w:r>
            <w:r>
              <w:rPr>
                <w:spacing w:val="-12"/>
                <w:sz w:val="21"/>
              </w:rPr>
              <w:t>，且肌力 </w:t>
            </w:r>
            <w:r>
              <w:rPr>
                <w:rFonts w:ascii="Times New Roman" w:hAnsi="Times New Roman" w:eastAsia="Times New Roman"/>
                <w:spacing w:val="-2"/>
                <w:sz w:val="21"/>
              </w:rPr>
              <w:t>2</w:t>
            </w:r>
            <w:r>
              <w:rPr>
                <w:rFonts w:ascii="Times New Roman" w:hAnsi="Times New Roman" w:eastAsia="Times New Roman"/>
                <w:spacing w:val="5"/>
                <w:sz w:val="21"/>
              </w:rPr>
              <w:t> </w:t>
            </w:r>
            <w:r>
              <w:rPr>
                <w:spacing w:val="-4"/>
                <w:sz w:val="21"/>
              </w:rPr>
              <w:t>级或以下。</w:t>
            </w:r>
          </w:p>
        </w:tc>
      </w:tr>
    </w:tbl>
    <w:p>
      <w:pPr>
        <w:spacing w:after="0" w:line="236" w:lineRule="exact"/>
        <w:jc w:val="left"/>
        <w:rPr>
          <w:sz w:val="2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 w:pos="3152" w:val="left" w:leader="none"/>
        </w:tabs>
        <w:spacing w:line="364" w:lineRule="exact" w:before="8" w:after="0"/>
        <w:ind w:left="1071" w:right="0" w:hanging="850"/>
        <w:jc w:val="left"/>
        <w:rPr>
          <w:sz w:val="21"/>
        </w:rPr>
      </w:pPr>
      <w:r>
        <w:rPr>
          <w:rFonts w:ascii="微软雅黑" w:eastAsia="微软雅黑"/>
          <w:b/>
          <w:sz w:val="21"/>
        </w:rPr>
        <w:t>脊髓血管病后遗</w:t>
      </w:r>
      <w:r>
        <w:rPr>
          <w:rFonts w:ascii="微软雅黑" w:eastAsia="微软雅黑"/>
          <w:b/>
          <w:spacing w:val="-10"/>
          <w:sz w:val="21"/>
        </w:rPr>
        <w:t>症</w:t>
      </w:r>
      <w:r>
        <w:rPr>
          <w:rFonts w:ascii="微软雅黑" w:eastAsia="微软雅黑"/>
          <w:b/>
          <w:sz w:val="21"/>
        </w:rPr>
        <w:tab/>
      </w:r>
      <w:r>
        <w:rPr>
          <w:spacing w:val="-2"/>
          <w:sz w:val="21"/>
        </w:rPr>
        <w:t>指</w:t>
      </w:r>
      <w:r>
        <w:rPr>
          <w:spacing w:val="-2"/>
          <w:sz w:val="21"/>
        </w:rPr>
        <w:t>脊</w:t>
      </w:r>
      <w:r>
        <w:rPr>
          <w:spacing w:val="-2"/>
          <w:sz w:val="21"/>
        </w:rPr>
        <w:t>髓</w:t>
      </w:r>
      <w:r>
        <w:rPr>
          <w:spacing w:val="-2"/>
          <w:sz w:val="21"/>
        </w:rPr>
        <w:t>血</w:t>
      </w:r>
      <w:r>
        <w:rPr>
          <w:spacing w:val="-2"/>
          <w:sz w:val="21"/>
        </w:rPr>
        <w:t>管</w:t>
      </w:r>
      <w:r>
        <w:rPr>
          <w:spacing w:val="-2"/>
          <w:sz w:val="21"/>
        </w:rPr>
        <w:t>的突发</w:t>
      </w:r>
      <w:r>
        <w:rPr>
          <w:spacing w:val="-2"/>
          <w:sz w:val="21"/>
        </w:rPr>
        <w:t>病</w:t>
      </w:r>
      <w:r>
        <w:rPr>
          <w:spacing w:val="-2"/>
          <w:sz w:val="21"/>
        </w:rPr>
        <w:t>变</w:t>
      </w:r>
      <w:r>
        <w:rPr>
          <w:spacing w:val="-2"/>
          <w:sz w:val="21"/>
        </w:rPr>
        <w:t>引</w:t>
      </w:r>
      <w:r>
        <w:rPr>
          <w:spacing w:val="-2"/>
          <w:sz w:val="21"/>
        </w:rPr>
        <w:t>起</w:t>
      </w:r>
      <w:r>
        <w:rPr>
          <w:spacing w:val="-2"/>
          <w:sz w:val="21"/>
        </w:rPr>
        <w:t>脊</w:t>
      </w:r>
      <w:r>
        <w:rPr>
          <w:spacing w:val="-2"/>
          <w:sz w:val="21"/>
        </w:rPr>
        <w:t>髓</w:t>
      </w:r>
      <w:r>
        <w:rPr>
          <w:spacing w:val="-2"/>
          <w:sz w:val="21"/>
        </w:rPr>
        <w:t>梗</w:t>
      </w:r>
      <w:r>
        <w:rPr>
          <w:spacing w:val="-2"/>
          <w:sz w:val="21"/>
        </w:rPr>
        <w:t>塞</w:t>
      </w:r>
      <w:r>
        <w:rPr>
          <w:spacing w:val="-2"/>
          <w:sz w:val="21"/>
        </w:rPr>
        <w:t>或脊髓</w:t>
      </w:r>
      <w:r>
        <w:rPr>
          <w:spacing w:val="-2"/>
          <w:sz w:val="21"/>
        </w:rPr>
        <w:t>出</w:t>
      </w:r>
      <w:r>
        <w:rPr>
          <w:spacing w:val="-2"/>
          <w:sz w:val="21"/>
        </w:rPr>
        <w:t>血</w:t>
      </w:r>
      <w:r>
        <w:rPr>
          <w:spacing w:val="-2"/>
          <w:sz w:val="21"/>
        </w:rPr>
        <w:t>，</w:t>
      </w:r>
      <w:r>
        <w:rPr>
          <w:spacing w:val="-2"/>
          <w:sz w:val="21"/>
        </w:rPr>
        <w:t>导</w:t>
      </w:r>
      <w:r>
        <w:rPr>
          <w:spacing w:val="-2"/>
          <w:sz w:val="21"/>
        </w:rPr>
        <w:t>致</w:t>
      </w:r>
      <w:r>
        <w:rPr>
          <w:spacing w:val="-2"/>
          <w:sz w:val="21"/>
        </w:rPr>
        <w:t>永</w:t>
      </w:r>
      <w:r>
        <w:rPr>
          <w:spacing w:val="-2"/>
          <w:sz w:val="21"/>
        </w:rPr>
        <w:t>久</w:t>
      </w:r>
      <w:r>
        <w:rPr>
          <w:spacing w:val="-2"/>
          <w:sz w:val="21"/>
        </w:rPr>
        <w:t>性</w:t>
      </w:r>
      <w:r>
        <w:rPr>
          <w:spacing w:val="-2"/>
          <w:sz w:val="21"/>
        </w:rPr>
        <w:t>不</w:t>
      </w:r>
      <w:r>
        <w:rPr>
          <w:spacing w:val="-10"/>
          <w:sz w:val="21"/>
        </w:rPr>
        <w:t>可</w:t>
      </w:r>
    </w:p>
    <w:p>
      <w:pPr>
        <w:pStyle w:val="BodyText"/>
        <w:spacing w:line="246" w:lineRule="exact"/>
      </w:pPr>
      <w:r>
        <w:rPr>
          <w:spacing w:val="-3"/>
        </w:rPr>
        <w:t>逆的神经系统功能损害，表现为截瘫或四肢瘫。神经系统永久性的</w:t>
      </w:r>
    </w:p>
    <w:p>
      <w:pPr>
        <w:pStyle w:val="BodyText"/>
        <w:spacing w:line="244" w:lineRule="auto" w:before="3"/>
        <w:ind w:right="729"/>
      </w:pPr>
      <w:r>
        <w:rPr>
          <w:spacing w:val="-6"/>
        </w:rPr>
        <w:t>功能障碍指疾病确诊 </w:t>
      </w:r>
      <w:r>
        <w:rPr>
          <w:rFonts w:ascii="Times New Roman" w:eastAsia="Times New Roman"/>
        </w:rPr>
        <w:t>180</w:t>
      </w:r>
      <w:r>
        <w:rPr>
          <w:rFonts w:ascii="Times New Roman" w:eastAsia="Times New Roman"/>
          <w:spacing w:val="-14"/>
        </w:rPr>
        <w:t> </w:t>
      </w:r>
      <w:r>
        <w:rPr/>
        <w:t>天后，仍然遗留后遗症并且无法独立完成</w:t>
      </w:r>
      <w:r>
        <w:rPr>
          <w:spacing w:val="-2"/>
        </w:rPr>
        <w:t>下列基本日常生活活动之一或全部：</w:t>
      </w:r>
    </w:p>
    <w:p>
      <w:pPr>
        <w:pStyle w:val="ListParagraph"/>
        <w:numPr>
          <w:ilvl w:val="0"/>
          <w:numId w:val="93"/>
        </w:numPr>
        <w:tabs>
          <w:tab w:pos="3682" w:val="left" w:leader="none"/>
        </w:tabs>
        <w:spacing w:line="265" w:lineRule="exact" w:before="0" w:after="0"/>
        <w:ind w:left="3682" w:right="0" w:hanging="529"/>
        <w:jc w:val="left"/>
        <w:rPr>
          <w:sz w:val="21"/>
        </w:rPr>
      </w:pPr>
      <w:r>
        <w:rPr>
          <w:spacing w:val="-3"/>
          <w:sz w:val="21"/>
        </w:rPr>
        <w:t>移动：自己从一个房间到另一个房间；</w:t>
      </w:r>
    </w:p>
    <w:p>
      <w:pPr>
        <w:pStyle w:val="ListParagraph"/>
        <w:numPr>
          <w:ilvl w:val="0"/>
          <w:numId w:val="93"/>
        </w:numPr>
        <w:tabs>
          <w:tab w:pos="3682" w:val="left" w:leader="none"/>
        </w:tabs>
        <w:spacing w:line="240" w:lineRule="auto" w:before="4" w:after="0"/>
        <w:ind w:left="3682" w:right="0" w:hanging="529"/>
        <w:jc w:val="left"/>
        <w:rPr>
          <w:sz w:val="21"/>
        </w:rPr>
      </w:pPr>
      <w:r>
        <w:rPr>
          <w:spacing w:val="-3"/>
          <w:sz w:val="21"/>
        </w:rPr>
        <w:t>进食：自己从已准备好的碗或碟中取食物放入口中。</w:t>
      </w:r>
    </w:p>
    <w:p>
      <w:pPr>
        <w:pStyle w:val="ListParagraph"/>
        <w:numPr>
          <w:ilvl w:val="1"/>
          <w:numId w:val="92"/>
        </w:numPr>
        <w:tabs>
          <w:tab w:pos="1071" w:val="left" w:leader="none"/>
          <w:tab w:pos="1072" w:val="left" w:leader="none"/>
          <w:tab w:pos="3152" w:val="left" w:leader="none"/>
        </w:tabs>
        <w:spacing w:line="363" w:lineRule="exact" w:before="178" w:after="0"/>
        <w:ind w:left="1071" w:right="0" w:hanging="850"/>
        <w:jc w:val="left"/>
        <w:rPr>
          <w:sz w:val="21"/>
        </w:rPr>
      </w:pPr>
      <w:r>
        <w:rPr>
          <w:rFonts w:ascii="微软雅黑" w:eastAsia="微软雅黑"/>
          <w:b/>
          <w:sz w:val="21"/>
        </w:rPr>
        <w:t>开颅手</w:t>
      </w:r>
      <w:r>
        <w:rPr>
          <w:rFonts w:ascii="微软雅黑" w:eastAsia="微软雅黑"/>
          <w:b/>
          <w:spacing w:val="-10"/>
          <w:sz w:val="21"/>
        </w:rPr>
        <w:t>术</w:t>
      </w:r>
      <w:r>
        <w:rPr>
          <w:rFonts w:ascii="微软雅黑" w:eastAsia="微软雅黑"/>
          <w:b/>
          <w:sz w:val="21"/>
        </w:rPr>
        <w:tab/>
      </w:r>
      <w:r>
        <w:rPr>
          <w:spacing w:val="-2"/>
          <w:sz w:val="21"/>
        </w:rPr>
        <w:t>指</w:t>
      </w:r>
      <w:r>
        <w:rPr>
          <w:spacing w:val="-2"/>
          <w:sz w:val="21"/>
        </w:rPr>
        <w:t>因</w:t>
      </w:r>
      <w:r>
        <w:rPr>
          <w:spacing w:val="-2"/>
          <w:sz w:val="21"/>
        </w:rPr>
        <w:t>外</w:t>
      </w:r>
      <w:r>
        <w:rPr>
          <w:spacing w:val="-2"/>
          <w:sz w:val="21"/>
        </w:rPr>
        <w:t>伤</w:t>
      </w:r>
      <w:r>
        <w:rPr>
          <w:spacing w:val="-2"/>
          <w:sz w:val="21"/>
        </w:rPr>
        <w:t>、</w:t>
      </w:r>
      <w:r>
        <w:rPr>
          <w:spacing w:val="-2"/>
          <w:sz w:val="21"/>
        </w:rPr>
        <w:t>颅内肿</w:t>
      </w:r>
      <w:r>
        <w:rPr>
          <w:spacing w:val="-2"/>
          <w:sz w:val="21"/>
        </w:rPr>
        <w:t>瘤</w:t>
      </w:r>
      <w:r>
        <w:rPr>
          <w:spacing w:val="-2"/>
          <w:sz w:val="21"/>
        </w:rPr>
        <w:t>或</w:t>
      </w:r>
      <w:r>
        <w:rPr>
          <w:spacing w:val="-2"/>
          <w:sz w:val="21"/>
        </w:rPr>
        <w:t>脑</w:t>
      </w:r>
      <w:r>
        <w:rPr>
          <w:spacing w:val="-2"/>
          <w:sz w:val="21"/>
        </w:rPr>
        <w:t>动</w:t>
      </w:r>
      <w:r>
        <w:rPr>
          <w:spacing w:val="-2"/>
          <w:sz w:val="21"/>
        </w:rPr>
        <w:t>脉</w:t>
      </w:r>
      <w:r>
        <w:rPr>
          <w:spacing w:val="-2"/>
          <w:sz w:val="21"/>
        </w:rPr>
        <w:t>瘤</w:t>
      </w:r>
      <w:r>
        <w:rPr>
          <w:spacing w:val="-2"/>
          <w:sz w:val="21"/>
        </w:rPr>
        <w:t>破</w:t>
      </w:r>
      <w:r>
        <w:rPr>
          <w:spacing w:val="-2"/>
          <w:sz w:val="21"/>
        </w:rPr>
        <w:t>裂</w:t>
      </w:r>
      <w:r>
        <w:rPr>
          <w:spacing w:val="-2"/>
          <w:sz w:val="21"/>
        </w:rPr>
        <w:t>，被保</w:t>
      </w:r>
      <w:r>
        <w:rPr>
          <w:spacing w:val="-2"/>
          <w:sz w:val="21"/>
        </w:rPr>
        <w:t>险</w:t>
      </w:r>
      <w:r>
        <w:rPr>
          <w:spacing w:val="-2"/>
          <w:sz w:val="21"/>
        </w:rPr>
        <w:t>人</w:t>
      </w:r>
      <w:r>
        <w:rPr>
          <w:spacing w:val="-2"/>
          <w:sz w:val="21"/>
        </w:rPr>
        <w:t>实</w:t>
      </w:r>
      <w:r>
        <w:rPr>
          <w:spacing w:val="-2"/>
          <w:sz w:val="21"/>
        </w:rPr>
        <w:t>际</w:t>
      </w:r>
      <w:r>
        <w:rPr>
          <w:spacing w:val="-2"/>
          <w:sz w:val="21"/>
        </w:rPr>
        <w:t>接</w:t>
      </w:r>
      <w:r>
        <w:rPr>
          <w:spacing w:val="-2"/>
          <w:sz w:val="21"/>
        </w:rPr>
        <w:t>受</w:t>
      </w:r>
      <w:r>
        <w:rPr>
          <w:spacing w:val="-2"/>
          <w:sz w:val="21"/>
        </w:rPr>
        <w:t>了</w:t>
      </w:r>
      <w:r>
        <w:rPr>
          <w:spacing w:val="-2"/>
          <w:sz w:val="21"/>
        </w:rPr>
        <w:t>在</w:t>
      </w:r>
      <w:r>
        <w:rPr>
          <w:spacing w:val="-2"/>
          <w:sz w:val="21"/>
        </w:rPr>
        <w:t>全</w:t>
      </w:r>
      <w:r>
        <w:rPr>
          <w:spacing w:val="-10"/>
          <w:sz w:val="21"/>
        </w:rPr>
        <w:t>麻</w:t>
      </w:r>
    </w:p>
    <w:p>
      <w:pPr>
        <w:pStyle w:val="BodyText"/>
        <w:spacing w:line="245" w:lineRule="exact"/>
      </w:pPr>
      <w:r>
        <w:rPr>
          <w:spacing w:val="-3"/>
        </w:rPr>
        <w:t>下进行的颅骨切开手术，以清除脑内血肿、切除肿瘤或夹闭破裂动</w:t>
      </w:r>
    </w:p>
    <w:p>
      <w:pPr>
        <w:pStyle w:val="BodyText"/>
        <w:spacing w:line="237" w:lineRule="exact" w:before="4"/>
      </w:pPr>
      <w:r>
        <w:rPr>
          <w:spacing w:val="-4"/>
        </w:rPr>
        <w:t>脉瘤的手术治疗。</w:t>
      </w:r>
    </w:p>
    <w:p>
      <w:pPr>
        <w:spacing w:line="168" w:lineRule="auto" w:before="51"/>
        <w:ind w:left="3153" w:right="732" w:firstLine="0"/>
        <w:jc w:val="both"/>
        <w:rPr>
          <w:rFonts w:ascii="微软雅黑" w:eastAsia="微软雅黑"/>
          <w:b/>
          <w:sz w:val="21"/>
        </w:rPr>
      </w:pPr>
      <w:r>
        <w:rPr>
          <w:rFonts w:ascii="微软雅黑" w:eastAsia="微软雅黑"/>
          <w:b/>
          <w:spacing w:val="-2"/>
          <w:sz w:val="21"/>
        </w:rPr>
        <w:t>颅骨打孔手术、硬膜下血肿清除术、未破裂动脉瘤预防性手术、动</w:t>
      </w:r>
      <w:r>
        <w:rPr>
          <w:rFonts w:ascii="微软雅黑" w:eastAsia="微软雅黑"/>
          <w:b/>
          <w:spacing w:val="-2"/>
          <w:sz w:val="21"/>
        </w:rPr>
        <w:t>脉瘤栓塞手术、血管内手术、颅骨切开或切除减压术、脑积水脑脊</w:t>
      </w:r>
      <w:r>
        <w:rPr>
          <w:rFonts w:ascii="微软雅黑" w:eastAsia="微软雅黑"/>
          <w:b/>
          <w:spacing w:val="-2"/>
          <w:sz w:val="21"/>
        </w:rPr>
        <w:t>液分流手术、经蝶骨肿瘤切除术及其他原因的开颅手术不在保障范</w:t>
      </w:r>
      <w:r>
        <w:rPr>
          <w:rFonts w:ascii="微软雅黑" w:eastAsia="微软雅黑"/>
          <w:b/>
          <w:spacing w:val="-4"/>
          <w:sz w:val="21"/>
        </w:rPr>
        <w:t>围内。</w:t>
      </w:r>
    </w:p>
    <w:p>
      <w:pPr>
        <w:pStyle w:val="BodyText"/>
        <w:spacing w:before="3"/>
        <w:ind w:left="0"/>
        <w:rPr>
          <w:rFonts w:ascii="微软雅黑"/>
          <w:b/>
          <w:sz w:val="7"/>
        </w:rPr>
      </w:pPr>
    </w:p>
    <w:p>
      <w:pPr>
        <w:spacing w:after="0"/>
        <w:rPr>
          <w:rFonts w:ascii="微软雅黑"/>
          <w:sz w:val="7"/>
        </w:rPr>
        <w:sectPr>
          <w:pgSz w:w="11910" w:h="16840"/>
          <w:pgMar w:header="0" w:footer="878" w:top="1040" w:bottom="1060" w:left="1480" w:right="440"/>
        </w:sectPr>
      </w:pPr>
    </w:p>
    <w:p>
      <w:pPr>
        <w:pStyle w:val="ListParagraph"/>
        <w:numPr>
          <w:ilvl w:val="1"/>
          <w:numId w:val="92"/>
        </w:numPr>
        <w:tabs>
          <w:tab w:pos="1071" w:val="left" w:leader="none"/>
          <w:tab w:pos="1072" w:val="left" w:leader="none"/>
        </w:tabs>
        <w:spacing w:line="168" w:lineRule="auto" w:before="116" w:after="0"/>
        <w:ind w:left="1071" w:right="0" w:hanging="850"/>
        <w:jc w:val="left"/>
        <w:rPr>
          <w:rFonts w:ascii="微软雅黑" w:eastAsia="微软雅黑"/>
          <w:b/>
          <w:sz w:val="21"/>
        </w:rPr>
      </w:pPr>
      <w:r>
        <w:rPr>
          <w:rFonts w:ascii="微软雅黑" w:eastAsia="微软雅黑"/>
          <w:b/>
          <w:spacing w:val="19"/>
          <w:sz w:val="21"/>
        </w:rPr>
        <w:t>系统性红斑狼疮性</w:t>
      </w:r>
      <w:r>
        <w:rPr>
          <w:rFonts w:ascii="微软雅黑" w:eastAsia="微软雅黑"/>
          <w:b/>
          <w:spacing w:val="-2"/>
          <w:sz w:val="21"/>
        </w:rPr>
        <w:t>肾炎尿毒症</w:t>
      </w:r>
    </w:p>
    <w:p>
      <w:pPr>
        <w:pStyle w:val="BodyText"/>
        <w:spacing w:line="242" w:lineRule="auto" w:before="100"/>
        <w:ind w:left="175" w:right="729"/>
        <w:jc w:val="both"/>
      </w:pPr>
      <w:r>
        <w:rPr/>
        <w:br w:type="column"/>
      </w:r>
      <w:r>
        <w:rPr>
          <w:spacing w:val="-2"/>
        </w:rPr>
        <w:t>系统性红斑狼疮是指由多种因素引起、累及多系统的、并导致肾脏</w:t>
      </w:r>
      <w:r>
        <w:rPr>
          <w:spacing w:val="-4"/>
        </w:rPr>
        <w:t>损害的自身免疫性疾病，其诊断须符合世界卫生组织（</w:t>
      </w:r>
      <w:r>
        <w:rPr>
          <w:rFonts w:ascii="Times New Roman" w:hAnsi="Times New Roman" w:eastAsia="Times New Roman"/>
          <w:spacing w:val="-4"/>
        </w:rPr>
        <w:t>WHO</w:t>
      </w:r>
      <w:r>
        <w:rPr>
          <w:spacing w:val="-4"/>
        </w:rPr>
        <w:t>）狼疮</w:t>
      </w:r>
      <w:r>
        <w:rPr>
          <w:spacing w:val="-2"/>
        </w:rPr>
        <w:t>性肾炎分型诊断标准的Ⅲ至Ⅴ型、经肾脏活组织病理检查证实并由</w:t>
      </w:r>
      <w:r>
        <w:rPr>
          <w:spacing w:val="-2"/>
        </w:rPr>
        <w:t>免疫专科医生确认。</w:t>
      </w:r>
    </w:p>
    <w:p>
      <w:pPr>
        <w:pStyle w:val="BodyText"/>
        <w:spacing w:before="3"/>
        <w:ind w:left="175"/>
        <w:rPr>
          <w:rFonts w:ascii="Times New Roman" w:eastAsia="Times New Roman"/>
        </w:rPr>
      </w:pPr>
      <w:r>
        <w:rPr>
          <w:spacing w:val="-2"/>
        </w:rPr>
        <w:t>世界卫生组织（</w:t>
      </w:r>
      <w:r>
        <w:rPr>
          <w:rFonts w:ascii="Times New Roman" w:eastAsia="Times New Roman"/>
          <w:spacing w:val="-2"/>
        </w:rPr>
        <w:t>WHO</w:t>
      </w:r>
      <w:r>
        <w:rPr>
          <w:spacing w:val="-2"/>
        </w:rPr>
        <w:t>）狼疮性肾炎分型</w:t>
      </w:r>
      <w:r>
        <w:rPr>
          <w:rFonts w:ascii="Times New Roman" w:eastAsia="Times New Roman"/>
          <w:spacing w:val="-10"/>
        </w:rPr>
        <w:t>:</w:t>
      </w:r>
    </w:p>
    <w:tbl>
      <w:tblPr>
        <w:tblW w:w="0" w:type="auto"/>
        <w:jc w:val="left"/>
        <w:tblInd w:w="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552"/>
        <w:gridCol w:w="3035"/>
      </w:tblGrid>
      <w:tr>
        <w:trPr>
          <w:trHeight w:val="272" w:hRule="atLeast"/>
        </w:trPr>
        <w:tc>
          <w:tcPr>
            <w:tcW w:w="2552" w:type="dxa"/>
            <w:tcBorders>
              <w:bottom w:val="single" w:sz="6" w:space="0" w:color="000000"/>
              <w:right w:val="single" w:sz="6" w:space="0" w:color="000000"/>
            </w:tcBorders>
          </w:tcPr>
          <w:p>
            <w:pPr>
              <w:pStyle w:val="TableParagraph"/>
              <w:spacing w:line="250" w:lineRule="exact" w:before="3"/>
              <w:ind w:left="107"/>
              <w:rPr>
                <w:sz w:val="21"/>
              </w:rPr>
            </w:pPr>
            <w:r>
              <w:rPr>
                <w:spacing w:val="-2"/>
                <w:sz w:val="21"/>
              </w:rPr>
              <w:t>Ⅰ型（微小病变型</w:t>
            </w:r>
            <w:r>
              <w:rPr>
                <w:spacing w:val="-10"/>
                <w:sz w:val="21"/>
              </w:rPr>
              <w:t>）</w:t>
            </w:r>
          </w:p>
        </w:tc>
        <w:tc>
          <w:tcPr>
            <w:tcW w:w="3035" w:type="dxa"/>
            <w:tcBorders>
              <w:left w:val="single" w:sz="6" w:space="0" w:color="000000"/>
              <w:bottom w:val="single" w:sz="6" w:space="0" w:color="000000"/>
            </w:tcBorders>
          </w:tcPr>
          <w:p>
            <w:pPr>
              <w:pStyle w:val="TableParagraph"/>
              <w:spacing w:line="250" w:lineRule="exact" w:before="3"/>
              <w:ind w:left="107"/>
              <w:rPr>
                <w:sz w:val="21"/>
              </w:rPr>
            </w:pPr>
            <w:r>
              <w:rPr>
                <w:spacing w:val="-3"/>
                <w:sz w:val="21"/>
              </w:rPr>
              <w:t>镜下阴性，尿液正常</w:t>
            </w:r>
          </w:p>
        </w:tc>
      </w:tr>
      <w:tr>
        <w:trPr>
          <w:trHeight w:val="272" w:hRule="atLeast"/>
        </w:trPr>
        <w:tc>
          <w:tcPr>
            <w:tcW w:w="2552" w:type="dxa"/>
            <w:tcBorders>
              <w:top w:val="single" w:sz="6" w:space="0" w:color="000000"/>
              <w:bottom w:val="single" w:sz="6" w:space="0" w:color="000000"/>
              <w:right w:val="single" w:sz="6" w:space="0" w:color="000000"/>
            </w:tcBorders>
          </w:tcPr>
          <w:p>
            <w:pPr>
              <w:pStyle w:val="TableParagraph"/>
              <w:spacing w:line="252" w:lineRule="exact" w:before="1"/>
              <w:ind w:left="107"/>
              <w:rPr>
                <w:sz w:val="21"/>
              </w:rPr>
            </w:pPr>
            <w:r>
              <w:rPr>
                <w:spacing w:val="-2"/>
                <w:sz w:val="21"/>
              </w:rPr>
              <w:t>Ⅱ型（系膜病变型</w:t>
            </w:r>
            <w:r>
              <w:rPr>
                <w:spacing w:val="-10"/>
                <w:sz w:val="21"/>
              </w:rPr>
              <w:t>）</w:t>
            </w:r>
          </w:p>
        </w:tc>
        <w:tc>
          <w:tcPr>
            <w:tcW w:w="3035" w:type="dxa"/>
            <w:tcBorders>
              <w:top w:val="single" w:sz="6" w:space="0" w:color="000000"/>
              <w:left w:val="single" w:sz="6" w:space="0" w:color="000000"/>
              <w:bottom w:val="single" w:sz="6" w:space="0" w:color="000000"/>
            </w:tcBorders>
          </w:tcPr>
          <w:p>
            <w:pPr>
              <w:pStyle w:val="TableParagraph"/>
              <w:spacing w:line="252" w:lineRule="exact" w:before="1"/>
              <w:ind w:left="107"/>
              <w:rPr>
                <w:sz w:val="21"/>
              </w:rPr>
            </w:pPr>
            <w:r>
              <w:rPr>
                <w:spacing w:val="-3"/>
                <w:sz w:val="21"/>
              </w:rPr>
              <w:t>中度蛋白尿，偶有尿沉渣改变</w:t>
            </w:r>
          </w:p>
        </w:tc>
      </w:tr>
      <w:tr>
        <w:trPr>
          <w:trHeight w:val="272" w:hRule="atLeast"/>
        </w:trPr>
        <w:tc>
          <w:tcPr>
            <w:tcW w:w="2552" w:type="dxa"/>
            <w:tcBorders>
              <w:top w:val="single" w:sz="6" w:space="0" w:color="000000"/>
              <w:bottom w:val="single" w:sz="6" w:space="0" w:color="000000"/>
              <w:right w:val="single" w:sz="6" w:space="0" w:color="000000"/>
            </w:tcBorders>
          </w:tcPr>
          <w:p>
            <w:pPr>
              <w:pStyle w:val="TableParagraph"/>
              <w:spacing w:line="252" w:lineRule="exact" w:before="1"/>
              <w:ind w:left="107" w:right="-29"/>
              <w:rPr>
                <w:sz w:val="21"/>
              </w:rPr>
            </w:pPr>
            <w:r>
              <w:rPr>
                <w:spacing w:val="-42"/>
                <w:sz w:val="21"/>
              </w:rPr>
              <w:t>Ⅲ型</w:t>
            </w:r>
            <w:r>
              <w:rPr>
                <w:spacing w:val="-2"/>
                <w:sz w:val="21"/>
              </w:rPr>
              <w:t>（局灶及节段增生型</w:t>
            </w:r>
            <w:r>
              <w:rPr>
                <w:spacing w:val="-10"/>
                <w:sz w:val="21"/>
              </w:rPr>
              <w:t>）</w:t>
            </w:r>
          </w:p>
        </w:tc>
        <w:tc>
          <w:tcPr>
            <w:tcW w:w="3035" w:type="dxa"/>
            <w:tcBorders>
              <w:top w:val="single" w:sz="6" w:space="0" w:color="000000"/>
              <w:left w:val="single" w:sz="6" w:space="0" w:color="000000"/>
              <w:bottom w:val="single" w:sz="6" w:space="0" w:color="000000"/>
            </w:tcBorders>
          </w:tcPr>
          <w:p>
            <w:pPr>
              <w:pStyle w:val="TableParagraph"/>
              <w:spacing w:line="252" w:lineRule="exact" w:before="1"/>
              <w:ind w:left="107"/>
              <w:rPr>
                <w:sz w:val="21"/>
              </w:rPr>
            </w:pPr>
            <w:r>
              <w:rPr>
                <w:spacing w:val="-3"/>
                <w:sz w:val="21"/>
              </w:rPr>
              <w:t>蛋白尿，尿沉渣改变</w:t>
            </w:r>
          </w:p>
        </w:tc>
      </w:tr>
      <w:tr>
        <w:trPr>
          <w:trHeight w:val="544" w:hRule="atLeast"/>
        </w:trPr>
        <w:tc>
          <w:tcPr>
            <w:tcW w:w="2552" w:type="dxa"/>
            <w:tcBorders>
              <w:top w:val="single" w:sz="6" w:space="0" w:color="000000"/>
              <w:bottom w:val="single" w:sz="6" w:space="0" w:color="000000"/>
              <w:right w:val="single" w:sz="6" w:space="0" w:color="000000"/>
            </w:tcBorders>
          </w:tcPr>
          <w:p>
            <w:pPr>
              <w:pStyle w:val="TableParagraph"/>
              <w:spacing w:before="137"/>
              <w:ind w:left="107"/>
              <w:rPr>
                <w:sz w:val="21"/>
              </w:rPr>
            </w:pPr>
            <w:r>
              <w:rPr>
                <w:spacing w:val="-2"/>
                <w:sz w:val="21"/>
              </w:rPr>
              <w:t>Ⅳ型（弥漫增生型</w:t>
            </w:r>
            <w:r>
              <w:rPr>
                <w:spacing w:val="-10"/>
                <w:sz w:val="21"/>
              </w:rPr>
              <w:t>）</w:t>
            </w:r>
          </w:p>
        </w:tc>
        <w:tc>
          <w:tcPr>
            <w:tcW w:w="3035" w:type="dxa"/>
            <w:tcBorders>
              <w:top w:val="single" w:sz="6" w:space="0" w:color="000000"/>
              <w:left w:val="single" w:sz="6" w:space="0" w:color="000000"/>
              <w:bottom w:val="single" w:sz="6" w:space="0" w:color="000000"/>
            </w:tcBorders>
          </w:tcPr>
          <w:p>
            <w:pPr>
              <w:pStyle w:val="TableParagraph"/>
              <w:spacing w:before="1"/>
              <w:ind w:left="107"/>
              <w:rPr>
                <w:sz w:val="21"/>
              </w:rPr>
            </w:pPr>
            <w:r>
              <w:rPr>
                <w:spacing w:val="-1"/>
                <w:sz w:val="21"/>
              </w:rPr>
              <w:t>急性肾炎伴有尿沉渣改变及／</w:t>
            </w:r>
          </w:p>
          <w:p>
            <w:pPr>
              <w:pStyle w:val="TableParagraph"/>
              <w:spacing w:line="252" w:lineRule="exact" w:before="2"/>
              <w:ind w:left="107"/>
              <w:rPr>
                <w:sz w:val="21"/>
              </w:rPr>
            </w:pPr>
            <w:r>
              <w:rPr>
                <w:spacing w:val="-4"/>
                <w:sz w:val="21"/>
              </w:rPr>
              <w:t>或肾病综合征</w:t>
            </w:r>
          </w:p>
        </w:tc>
      </w:tr>
      <w:tr>
        <w:trPr>
          <w:trHeight w:val="272" w:hRule="atLeast"/>
        </w:trPr>
        <w:tc>
          <w:tcPr>
            <w:tcW w:w="2552" w:type="dxa"/>
            <w:tcBorders>
              <w:top w:val="single" w:sz="6" w:space="0" w:color="000000"/>
              <w:right w:val="single" w:sz="6" w:space="0" w:color="000000"/>
            </w:tcBorders>
          </w:tcPr>
          <w:p>
            <w:pPr>
              <w:pStyle w:val="TableParagraph"/>
              <w:spacing w:line="252" w:lineRule="exact" w:before="1"/>
              <w:ind w:left="107"/>
              <w:rPr>
                <w:sz w:val="21"/>
              </w:rPr>
            </w:pPr>
            <w:r>
              <w:rPr>
                <w:spacing w:val="-2"/>
                <w:sz w:val="21"/>
              </w:rPr>
              <w:t>Ⅴ型（膜型</w:t>
            </w:r>
            <w:r>
              <w:rPr>
                <w:spacing w:val="-10"/>
                <w:sz w:val="21"/>
              </w:rPr>
              <w:t>）</w:t>
            </w:r>
          </w:p>
        </w:tc>
        <w:tc>
          <w:tcPr>
            <w:tcW w:w="3035" w:type="dxa"/>
            <w:tcBorders>
              <w:top w:val="single" w:sz="6" w:space="0" w:color="000000"/>
              <w:left w:val="single" w:sz="6" w:space="0" w:color="000000"/>
            </w:tcBorders>
          </w:tcPr>
          <w:p>
            <w:pPr>
              <w:pStyle w:val="TableParagraph"/>
              <w:spacing w:line="252" w:lineRule="exact" w:before="1"/>
              <w:ind w:left="107"/>
              <w:rPr>
                <w:sz w:val="21"/>
              </w:rPr>
            </w:pPr>
            <w:r>
              <w:rPr>
                <w:spacing w:val="-3"/>
                <w:sz w:val="21"/>
              </w:rPr>
              <w:t>肾病综合征或重度蛋白尿</w:t>
            </w:r>
          </w:p>
        </w:tc>
      </w:tr>
    </w:tbl>
    <w:p>
      <w:pPr>
        <w:spacing w:line="168" w:lineRule="auto" w:before="20"/>
        <w:ind w:left="175" w:right="732" w:firstLine="0"/>
        <w:jc w:val="left"/>
        <w:rPr>
          <w:rFonts w:ascii="微软雅黑" w:eastAsia="微软雅黑"/>
          <w:b/>
          <w:sz w:val="21"/>
        </w:rPr>
      </w:pPr>
      <w:r>
        <w:rPr>
          <w:rFonts w:ascii="微软雅黑" w:eastAsia="微软雅黑"/>
          <w:b/>
          <w:spacing w:val="-2"/>
          <w:sz w:val="21"/>
        </w:rPr>
        <w:t>不包括仅累及血液及关节的狼疮或其他类型的红斑性狼疮（如盘状</w:t>
      </w:r>
      <w:r>
        <w:rPr>
          <w:rFonts w:ascii="微软雅黑" w:eastAsia="微软雅黑"/>
          <w:b/>
          <w:spacing w:val="-4"/>
          <w:sz w:val="21"/>
        </w:rPr>
        <w:t>狼疮</w:t>
      </w:r>
      <w:r>
        <w:rPr>
          <w:rFonts w:ascii="微软雅黑" w:eastAsia="微软雅黑"/>
          <w:b/>
          <w:spacing w:val="-106"/>
          <w:sz w:val="21"/>
        </w:rPr>
        <w:t>）</w:t>
      </w:r>
      <w:r>
        <w:rPr>
          <w:rFonts w:ascii="微软雅黑" w:eastAsia="微软雅黑"/>
          <w:b/>
          <w:spacing w:val="-4"/>
          <w:sz w:val="21"/>
        </w:rPr>
        <w:t>。</w:t>
      </w:r>
    </w:p>
    <w:p>
      <w:pPr>
        <w:spacing w:after="0" w:line="168" w:lineRule="auto"/>
        <w:jc w:val="left"/>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16"/>
        <w:ind w:left="0"/>
        <w:rPr>
          <w:rFonts w:ascii="微软雅黑"/>
          <w:b/>
          <w:sz w:val="6"/>
        </w:rPr>
      </w:pPr>
    </w:p>
    <w:p>
      <w:pPr>
        <w:spacing w:after="0"/>
        <w:rPr>
          <w:rFonts w:ascii="微软雅黑"/>
          <w:sz w:val="6"/>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s>
        <w:spacing w:line="331" w:lineRule="exact" w:before="33" w:after="0"/>
        <w:ind w:left="1071" w:right="0" w:hanging="850"/>
        <w:jc w:val="left"/>
        <w:rPr>
          <w:rFonts w:ascii="微软雅黑" w:eastAsia="微软雅黑"/>
          <w:b/>
          <w:sz w:val="21"/>
        </w:rPr>
      </w:pPr>
      <w:r>
        <w:rPr>
          <w:rFonts w:ascii="微软雅黑" w:eastAsia="微软雅黑"/>
          <w:b/>
          <w:w w:val="95"/>
          <w:sz w:val="21"/>
        </w:rPr>
        <w:t>1型糖尿病严重并</w:t>
      </w:r>
      <w:r>
        <w:rPr>
          <w:rFonts w:ascii="微软雅黑" w:eastAsia="微软雅黑"/>
          <w:b/>
          <w:spacing w:val="-10"/>
          <w:w w:val="95"/>
          <w:sz w:val="21"/>
        </w:rPr>
        <w:t>发</w:t>
      </w:r>
    </w:p>
    <w:p>
      <w:pPr>
        <w:spacing w:line="331" w:lineRule="exact" w:before="0"/>
        <w:ind w:left="1071" w:right="0" w:firstLine="0"/>
        <w:jc w:val="left"/>
        <w:rPr>
          <w:rFonts w:ascii="微软雅黑" w:eastAsia="微软雅黑"/>
          <w:b/>
          <w:sz w:val="21"/>
        </w:rPr>
      </w:pPr>
      <w:r>
        <w:rPr>
          <w:rFonts w:ascii="微软雅黑" w:eastAsia="微软雅黑"/>
          <w:b/>
          <w:w w:val="100"/>
          <w:sz w:val="21"/>
        </w:rPr>
        <w:t>症</w:t>
      </w:r>
    </w:p>
    <w:p>
      <w:pPr>
        <w:pStyle w:val="BodyText"/>
        <w:spacing w:line="242" w:lineRule="auto" w:before="100"/>
        <w:ind w:left="176" w:right="729"/>
        <w:jc w:val="both"/>
      </w:pPr>
      <w:r>
        <w:rPr/>
        <w:br w:type="column"/>
      </w:r>
      <w:r>
        <w:rPr>
          <w:rFonts w:ascii="Times New Roman" w:eastAsia="Times New Roman"/>
        </w:rPr>
        <w:t>1 </w:t>
      </w:r>
      <w:r>
        <w:rPr/>
        <w:t>型糖尿病的特征为由于胰岛素分泌绝对不足引起严重胰岛素缺乏</w:t>
      </w:r>
      <w:r>
        <w:rPr>
          <w:spacing w:val="-2"/>
        </w:rPr>
        <w:t>导致慢性血糖升高，需要依赖外源性胰岛素进行机体的葡萄糖代谢</w:t>
      </w:r>
      <w:r>
        <w:rPr>
          <w:w w:val="95"/>
        </w:rPr>
        <w:t>和</w:t>
      </w:r>
      <w:r>
        <w:rPr>
          <w:w w:val="95"/>
        </w:rPr>
        <w:t>维</w:t>
      </w:r>
      <w:r>
        <w:rPr>
          <w:w w:val="95"/>
        </w:rPr>
        <w:t>持生命。被保险</w:t>
      </w:r>
      <w:r>
        <w:rPr>
          <w:w w:val="95"/>
        </w:rPr>
        <w:t>人</w:t>
      </w:r>
      <w:r>
        <w:rPr>
          <w:w w:val="95"/>
        </w:rPr>
        <w:t>的</w:t>
      </w:r>
      <w:r>
        <w:rPr/>
        <w:t> </w:t>
      </w:r>
      <w:r>
        <w:rPr>
          <w:w w:val="95"/>
        </w:rPr>
        <w:t>1</w:t>
      </w:r>
      <w:r>
        <w:rPr>
          <w:spacing w:val="36"/>
        </w:rPr>
        <w:t> </w:t>
      </w:r>
      <w:r>
        <w:rPr>
          <w:w w:val="95"/>
        </w:rPr>
        <w:t>型糖尿病必须明确诊断，</w:t>
      </w:r>
      <w:r>
        <w:rPr>
          <w:w w:val="95"/>
        </w:rPr>
        <w:t>而</w:t>
      </w:r>
      <w:r>
        <w:rPr>
          <w:w w:val="95"/>
        </w:rPr>
        <w:t>且有血</w:t>
      </w:r>
      <w:r>
        <w:rPr>
          <w:w w:val="95"/>
        </w:rPr>
        <w:t>胰</w:t>
      </w:r>
      <w:r>
        <w:rPr>
          <w:w w:val="95"/>
        </w:rPr>
        <w:t>岛</w:t>
      </w:r>
      <w:r>
        <w:rPr>
          <w:spacing w:val="-5"/>
        </w:rPr>
        <w:t>素测定及血 </w:t>
      </w:r>
      <w:r>
        <w:rPr>
          <w:rFonts w:ascii="Times New Roman" w:eastAsia="Times New Roman"/>
        </w:rPr>
        <w:t>C</w:t>
      </w:r>
      <w:r>
        <w:rPr>
          <w:rFonts w:ascii="Times New Roman" w:eastAsia="Times New Roman"/>
          <w:spacing w:val="-13"/>
        </w:rPr>
        <w:t> </w:t>
      </w:r>
      <w:r>
        <w:rPr>
          <w:spacing w:val="16"/>
        </w:rPr>
        <w:t>肽或尿</w:t>
      </w:r>
      <w:r>
        <w:rPr>
          <w:rFonts w:ascii="Times New Roman" w:eastAsia="Times New Roman"/>
        </w:rPr>
        <w:t>C</w:t>
      </w:r>
      <w:r>
        <w:rPr>
          <w:rFonts w:ascii="Times New Roman" w:eastAsia="Times New Roman"/>
          <w:spacing w:val="-13"/>
        </w:rPr>
        <w:t> </w:t>
      </w:r>
      <w:r>
        <w:rPr>
          <w:spacing w:val="-7"/>
        </w:rPr>
        <w:t>肽测定结果支持诊断，并且满足下列所有条</w:t>
      </w:r>
      <w:r>
        <w:rPr>
          <w:spacing w:val="-6"/>
        </w:rPr>
        <w:t>件：</w:t>
      </w:r>
    </w:p>
    <w:p>
      <w:pPr>
        <w:pStyle w:val="ListParagraph"/>
        <w:numPr>
          <w:ilvl w:val="0"/>
          <w:numId w:val="94"/>
        </w:numPr>
        <w:tabs>
          <w:tab w:pos="706" w:val="left" w:leader="none"/>
        </w:tabs>
        <w:spacing w:line="240" w:lineRule="auto" w:before="5" w:after="0"/>
        <w:ind w:left="705" w:right="0" w:hanging="530"/>
        <w:jc w:val="left"/>
        <w:rPr>
          <w:sz w:val="21"/>
        </w:rPr>
      </w:pPr>
      <w:r>
        <w:rPr>
          <w:spacing w:val="-5"/>
          <w:sz w:val="21"/>
        </w:rPr>
        <w:t>已经持续性地接受外源性胰岛素注射治疗连续 </w:t>
      </w:r>
      <w:r>
        <w:rPr>
          <w:rFonts w:ascii="Times New Roman" w:eastAsia="Times New Roman"/>
          <w:spacing w:val="-2"/>
          <w:sz w:val="21"/>
        </w:rPr>
        <w:t>180</w:t>
      </w:r>
      <w:r>
        <w:rPr>
          <w:rFonts w:ascii="Times New Roman" w:eastAsia="Times New Roman"/>
          <w:spacing w:val="9"/>
          <w:sz w:val="21"/>
        </w:rPr>
        <w:t> </w:t>
      </w:r>
      <w:r>
        <w:rPr>
          <w:spacing w:val="-4"/>
          <w:sz w:val="21"/>
        </w:rPr>
        <w:t>天以上；</w:t>
      </w:r>
    </w:p>
    <w:p>
      <w:pPr>
        <w:pStyle w:val="ListParagraph"/>
        <w:numPr>
          <w:ilvl w:val="0"/>
          <w:numId w:val="94"/>
        </w:numPr>
        <w:tabs>
          <w:tab w:pos="706" w:val="left" w:leader="none"/>
        </w:tabs>
        <w:spacing w:line="240" w:lineRule="auto" w:before="2" w:after="0"/>
        <w:ind w:left="705" w:right="0" w:hanging="530"/>
        <w:jc w:val="left"/>
        <w:rPr>
          <w:sz w:val="21"/>
        </w:rPr>
      </w:pPr>
      <w:r>
        <w:rPr>
          <w:spacing w:val="-3"/>
          <w:sz w:val="21"/>
        </w:rPr>
        <w:t>因需要已经接受了下列治疗项目之一或全部：</w:t>
      </w:r>
    </w:p>
    <w:p>
      <w:pPr>
        <w:pStyle w:val="BodyText"/>
        <w:spacing w:before="5"/>
        <w:ind w:left="701"/>
      </w:pPr>
      <w:r>
        <w:rPr>
          <w:spacing w:val="-3"/>
        </w:rPr>
        <w:t>①因严重心律失常植入了心脏起搏器；</w:t>
      </w:r>
    </w:p>
    <w:p>
      <w:pPr>
        <w:pStyle w:val="BodyText"/>
        <w:spacing w:before="2"/>
        <w:ind w:left="701"/>
      </w:pPr>
      <w:r>
        <w:rPr>
          <w:spacing w:val="-3"/>
        </w:rPr>
        <w:t>②因坏疽自跖趾关节或以上切除了一趾或多趾。</w:t>
      </w:r>
    </w:p>
    <w:p>
      <w:pPr>
        <w:spacing w:after="0"/>
        <w:sectPr>
          <w:type w:val="continuous"/>
          <w:pgSz w:w="11910" w:h="16840"/>
          <w:pgMar w:header="0" w:footer="878" w:top="160" w:bottom="280" w:left="1480" w:right="440"/>
          <w:cols w:num="2" w:equalWidth="0">
            <w:col w:w="2937" w:space="40"/>
            <w:col w:w="7013"/>
          </w:cols>
        </w:sectPr>
      </w:pPr>
    </w:p>
    <w:p>
      <w:pPr>
        <w:pStyle w:val="BodyText"/>
        <w:spacing w:before="4"/>
        <w:ind w:left="0"/>
        <w:rPr>
          <w:sz w:val="11"/>
        </w:rPr>
      </w:pPr>
    </w:p>
    <w:p>
      <w:pPr>
        <w:pStyle w:val="ListParagraph"/>
        <w:numPr>
          <w:ilvl w:val="1"/>
          <w:numId w:val="92"/>
        </w:numPr>
        <w:tabs>
          <w:tab w:pos="1071" w:val="left" w:leader="none"/>
          <w:tab w:pos="1072" w:val="left" w:leader="none"/>
          <w:tab w:pos="3152" w:val="left" w:leader="none"/>
        </w:tabs>
        <w:spacing w:line="364" w:lineRule="exact" w:before="32" w:after="0"/>
        <w:ind w:left="1071" w:right="0" w:hanging="850"/>
        <w:jc w:val="left"/>
        <w:rPr>
          <w:sz w:val="21"/>
        </w:rPr>
      </w:pPr>
      <w:r>
        <w:rPr>
          <w:rFonts w:ascii="微软雅黑" w:eastAsia="微软雅黑"/>
          <w:b/>
          <w:sz w:val="21"/>
        </w:rPr>
        <w:t>席汉氏综合</w:t>
      </w:r>
      <w:r>
        <w:rPr>
          <w:rFonts w:ascii="微软雅黑" w:eastAsia="微软雅黑"/>
          <w:b/>
          <w:spacing w:val="-10"/>
          <w:sz w:val="21"/>
        </w:rPr>
        <w:t>征</w:t>
      </w:r>
      <w:r>
        <w:rPr>
          <w:rFonts w:ascii="微软雅黑" w:eastAsia="微软雅黑"/>
          <w:b/>
          <w:sz w:val="21"/>
        </w:rPr>
        <w:tab/>
      </w:r>
      <w:r>
        <w:rPr>
          <w:spacing w:val="-2"/>
          <w:sz w:val="21"/>
        </w:rPr>
        <w:t>指</w:t>
      </w:r>
      <w:r>
        <w:rPr>
          <w:spacing w:val="-2"/>
          <w:sz w:val="21"/>
        </w:rPr>
        <w:t>因</w:t>
      </w:r>
      <w:r>
        <w:rPr>
          <w:spacing w:val="-2"/>
          <w:sz w:val="21"/>
        </w:rPr>
        <w:t>产</w:t>
      </w:r>
      <w:r>
        <w:rPr>
          <w:spacing w:val="-2"/>
          <w:sz w:val="21"/>
        </w:rPr>
        <w:t>后</w:t>
      </w:r>
      <w:r>
        <w:rPr>
          <w:spacing w:val="-2"/>
          <w:sz w:val="21"/>
        </w:rPr>
        <w:t>大</w:t>
      </w:r>
      <w:r>
        <w:rPr>
          <w:spacing w:val="-2"/>
          <w:sz w:val="21"/>
        </w:rPr>
        <w:t>出血并</w:t>
      </w:r>
      <w:r>
        <w:rPr>
          <w:spacing w:val="-2"/>
          <w:sz w:val="21"/>
        </w:rPr>
        <w:t>发</w:t>
      </w:r>
      <w:r>
        <w:rPr>
          <w:spacing w:val="-2"/>
          <w:sz w:val="21"/>
        </w:rPr>
        <w:t>休</w:t>
      </w:r>
      <w:r>
        <w:rPr>
          <w:spacing w:val="-2"/>
          <w:sz w:val="21"/>
        </w:rPr>
        <w:t>克</w:t>
      </w:r>
      <w:r>
        <w:rPr>
          <w:spacing w:val="-2"/>
          <w:sz w:val="21"/>
        </w:rPr>
        <w:t>、</w:t>
      </w:r>
      <w:r>
        <w:rPr>
          <w:spacing w:val="-2"/>
          <w:sz w:val="21"/>
        </w:rPr>
        <w:t>全</w:t>
      </w:r>
      <w:r>
        <w:rPr>
          <w:spacing w:val="-2"/>
          <w:sz w:val="21"/>
        </w:rPr>
        <w:t>身</w:t>
      </w:r>
      <w:r>
        <w:rPr>
          <w:spacing w:val="-2"/>
          <w:sz w:val="21"/>
        </w:rPr>
        <w:t>循</w:t>
      </w:r>
      <w:r>
        <w:rPr>
          <w:spacing w:val="-2"/>
          <w:sz w:val="21"/>
        </w:rPr>
        <w:t>环</w:t>
      </w:r>
      <w:r>
        <w:rPr>
          <w:spacing w:val="-2"/>
          <w:sz w:val="21"/>
        </w:rPr>
        <w:t>衰竭、</w:t>
      </w:r>
      <w:r>
        <w:rPr>
          <w:spacing w:val="-2"/>
          <w:sz w:val="21"/>
        </w:rPr>
        <w:t>弥</w:t>
      </w:r>
      <w:r>
        <w:rPr>
          <w:spacing w:val="-2"/>
          <w:sz w:val="21"/>
        </w:rPr>
        <w:t>漫</w:t>
      </w:r>
      <w:r>
        <w:rPr>
          <w:spacing w:val="-2"/>
          <w:sz w:val="21"/>
        </w:rPr>
        <w:t>性</w:t>
      </w:r>
      <w:r>
        <w:rPr>
          <w:spacing w:val="-2"/>
          <w:sz w:val="21"/>
        </w:rPr>
        <w:t>血</w:t>
      </w:r>
      <w:r>
        <w:rPr>
          <w:spacing w:val="-2"/>
          <w:sz w:val="21"/>
        </w:rPr>
        <w:t>管</w:t>
      </w:r>
      <w:r>
        <w:rPr>
          <w:spacing w:val="-2"/>
          <w:sz w:val="21"/>
        </w:rPr>
        <w:t>内</w:t>
      </w:r>
      <w:r>
        <w:rPr>
          <w:spacing w:val="-2"/>
          <w:sz w:val="21"/>
        </w:rPr>
        <w:t>凝</w:t>
      </w:r>
      <w:r>
        <w:rPr>
          <w:spacing w:val="-2"/>
          <w:sz w:val="21"/>
        </w:rPr>
        <w:t>血</w:t>
      </w:r>
      <w:r>
        <w:rPr>
          <w:spacing w:val="-2"/>
          <w:sz w:val="21"/>
        </w:rPr>
        <w:t>导</w:t>
      </w:r>
      <w:r>
        <w:rPr>
          <w:spacing w:val="-10"/>
          <w:sz w:val="21"/>
        </w:rPr>
        <w:t>致</w:t>
      </w:r>
    </w:p>
    <w:p>
      <w:pPr>
        <w:pStyle w:val="BodyText"/>
        <w:spacing w:line="246" w:lineRule="exact"/>
      </w:pPr>
      <w:r>
        <w:rPr>
          <w:spacing w:val="-3"/>
        </w:rPr>
        <w:t>脑垂体缺血坏死和垂体分泌激素不足，造成性腺、甲状腺、肾上腺</w:t>
      </w:r>
    </w:p>
    <w:p>
      <w:pPr>
        <w:pStyle w:val="BodyText"/>
        <w:spacing w:before="3"/>
      </w:pPr>
      <w:r>
        <w:rPr>
          <w:spacing w:val="-3"/>
        </w:rPr>
        <w:t>皮质功能减退。必须满足下列所有条件：</w:t>
      </w:r>
    </w:p>
    <w:p>
      <w:pPr>
        <w:pStyle w:val="ListParagraph"/>
        <w:numPr>
          <w:ilvl w:val="2"/>
          <w:numId w:val="92"/>
        </w:numPr>
        <w:tabs>
          <w:tab w:pos="3682" w:val="left" w:leader="none"/>
        </w:tabs>
        <w:spacing w:line="240" w:lineRule="auto" w:before="4" w:after="0"/>
        <w:ind w:left="3682" w:right="0" w:hanging="529"/>
        <w:jc w:val="left"/>
        <w:rPr>
          <w:sz w:val="21"/>
        </w:rPr>
      </w:pPr>
      <w:r>
        <w:rPr>
          <w:spacing w:val="-3"/>
          <w:sz w:val="21"/>
        </w:rPr>
        <w:t>产后大出血休克病史；</w:t>
      </w:r>
    </w:p>
    <w:p>
      <w:pPr>
        <w:pStyle w:val="ListParagraph"/>
        <w:numPr>
          <w:ilvl w:val="2"/>
          <w:numId w:val="92"/>
        </w:numPr>
        <w:tabs>
          <w:tab w:pos="3682" w:val="left" w:leader="none"/>
        </w:tabs>
        <w:spacing w:line="240" w:lineRule="auto" w:before="2" w:after="0"/>
        <w:ind w:left="3682" w:right="0" w:hanging="529"/>
        <w:jc w:val="left"/>
        <w:rPr>
          <w:sz w:val="21"/>
        </w:rPr>
      </w:pPr>
      <w:r>
        <w:rPr>
          <w:spacing w:val="-2"/>
          <w:sz w:val="21"/>
        </w:rPr>
        <w:t>严重腺垂体功能破坏，破坏程度</w:t>
      </w:r>
      <w:r>
        <w:rPr>
          <w:rFonts w:ascii="Times New Roman" w:eastAsia="Times New Roman"/>
          <w:spacing w:val="-2"/>
          <w:sz w:val="21"/>
        </w:rPr>
        <w:t>&gt;95%</w:t>
      </w:r>
      <w:r>
        <w:rPr>
          <w:spacing w:val="-4"/>
          <w:sz w:val="21"/>
        </w:rPr>
        <w:t>，临床症状严重；</w:t>
      </w:r>
    </w:p>
    <w:p>
      <w:pPr>
        <w:pStyle w:val="ListParagraph"/>
        <w:numPr>
          <w:ilvl w:val="2"/>
          <w:numId w:val="92"/>
        </w:numPr>
        <w:tabs>
          <w:tab w:pos="3682" w:val="left" w:leader="none"/>
        </w:tabs>
        <w:spacing w:line="240" w:lineRule="auto" w:before="5" w:after="0"/>
        <w:ind w:left="3682" w:right="0" w:hanging="529"/>
        <w:jc w:val="left"/>
        <w:rPr>
          <w:sz w:val="21"/>
        </w:rPr>
      </w:pPr>
      <w:r>
        <w:rPr>
          <w:spacing w:val="-3"/>
          <w:sz w:val="21"/>
        </w:rPr>
        <w:t>影像学检查显示脑垂体严重萎缩或消失；</w:t>
      </w:r>
    </w:p>
    <w:p>
      <w:pPr>
        <w:pStyle w:val="ListParagraph"/>
        <w:numPr>
          <w:ilvl w:val="2"/>
          <w:numId w:val="92"/>
        </w:numPr>
        <w:tabs>
          <w:tab w:pos="3682" w:val="left" w:leader="none"/>
        </w:tabs>
        <w:spacing w:line="240" w:lineRule="auto" w:before="3" w:after="0"/>
        <w:ind w:left="3682" w:right="0" w:hanging="529"/>
        <w:jc w:val="left"/>
        <w:rPr>
          <w:sz w:val="21"/>
        </w:rPr>
      </w:pPr>
      <w:r>
        <w:rPr>
          <w:spacing w:val="-4"/>
          <w:sz w:val="21"/>
        </w:rPr>
        <w:t>实验室检查显示：</w:t>
      </w:r>
    </w:p>
    <w:p>
      <w:pPr>
        <w:pStyle w:val="BodyText"/>
        <w:spacing w:line="242" w:lineRule="auto" w:before="4"/>
        <w:ind w:left="3678" w:right="729"/>
      </w:pPr>
      <w:r>
        <w:rPr>
          <w:spacing w:val="-4"/>
        </w:rPr>
        <w:t>①垂体前叶激素全面低下（包括生长激素、促甲状腺素、促肾</w:t>
      </w:r>
      <w:r>
        <w:rPr>
          <w:spacing w:val="-2"/>
        </w:rPr>
        <w:t>上腺皮质激素、卵泡刺激素和黄体生成素</w:t>
      </w:r>
      <w:r>
        <w:rPr>
          <w:spacing w:val="-106"/>
        </w:rPr>
        <w:t>）</w:t>
      </w:r>
      <w:r>
        <w:rPr>
          <w:spacing w:val="-3"/>
        </w:rPr>
        <w:t>；和</w:t>
      </w:r>
    </w:p>
    <w:p>
      <w:pPr>
        <w:pStyle w:val="BodyText"/>
        <w:spacing w:before="1"/>
        <w:ind w:left="3676"/>
      </w:pPr>
      <w:r>
        <w:rPr>
          <w:spacing w:val="-3"/>
        </w:rPr>
        <w:t>②性激素、甲状腺素、肾上腺皮质激素全面低下；</w:t>
      </w:r>
    </w:p>
    <w:p>
      <w:pPr>
        <w:pStyle w:val="ListParagraph"/>
        <w:numPr>
          <w:ilvl w:val="2"/>
          <w:numId w:val="92"/>
        </w:numPr>
        <w:tabs>
          <w:tab w:pos="3682" w:val="left" w:leader="none"/>
        </w:tabs>
        <w:spacing w:line="244" w:lineRule="auto" w:before="3" w:after="0"/>
        <w:ind w:left="3678" w:right="842" w:hanging="526"/>
        <w:jc w:val="left"/>
        <w:rPr>
          <w:sz w:val="21"/>
        </w:rPr>
      </w:pPr>
      <w:r>
        <w:rPr>
          <w:spacing w:val="-2"/>
          <w:sz w:val="21"/>
        </w:rPr>
        <w:t>需要终身激素替代治疗以维持身体功能，持续服用各种替代</w:t>
      </w:r>
      <w:r>
        <w:rPr>
          <w:spacing w:val="-2"/>
          <w:sz w:val="21"/>
        </w:rPr>
        <w:t>激素超过一年。</w:t>
      </w:r>
    </w:p>
    <w:p>
      <w:pPr>
        <w:spacing w:line="316" w:lineRule="exact" w:before="0"/>
        <w:ind w:left="3153" w:right="0" w:firstLine="0"/>
        <w:jc w:val="left"/>
        <w:rPr>
          <w:rFonts w:ascii="微软雅黑" w:eastAsia="微软雅黑"/>
          <w:b/>
          <w:sz w:val="21"/>
        </w:rPr>
      </w:pPr>
      <w:r>
        <w:rPr>
          <w:rFonts w:ascii="微软雅黑" w:eastAsia="微软雅黑"/>
          <w:b/>
          <w:spacing w:val="-3"/>
          <w:sz w:val="21"/>
        </w:rPr>
        <w:t>垂体功能部分低下及其他原因所致垂体功能低下不在保障范围内。</w:t>
      </w:r>
    </w:p>
    <w:p>
      <w:pPr>
        <w:spacing w:after="0" w:line="316" w:lineRule="exact"/>
        <w:jc w:val="left"/>
        <w:rPr>
          <w:rFonts w:ascii="微软雅黑" w:eastAsia="微软雅黑"/>
          <w:sz w:val="2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 w:pos="3152" w:val="left" w:leader="none"/>
        </w:tabs>
        <w:spacing w:line="364" w:lineRule="exact" w:before="8" w:after="0"/>
        <w:ind w:left="1071" w:right="0" w:hanging="850"/>
        <w:jc w:val="left"/>
        <w:rPr>
          <w:sz w:val="21"/>
        </w:rPr>
      </w:pPr>
      <w:r>
        <w:rPr>
          <w:rFonts w:ascii="微软雅黑" w:eastAsia="微软雅黑"/>
          <w:b/>
          <w:sz w:val="21"/>
        </w:rPr>
        <w:t>严重强直性脊柱</w:t>
      </w:r>
      <w:r>
        <w:rPr>
          <w:rFonts w:ascii="微软雅黑" w:eastAsia="微软雅黑"/>
          <w:b/>
          <w:spacing w:val="-10"/>
          <w:sz w:val="21"/>
        </w:rPr>
        <w:t>炎</w:t>
      </w:r>
      <w:r>
        <w:rPr>
          <w:rFonts w:ascii="微软雅黑" w:eastAsia="微软雅黑"/>
          <w:b/>
          <w:sz w:val="21"/>
        </w:rPr>
        <w:tab/>
      </w:r>
      <w:r>
        <w:rPr>
          <w:spacing w:val="-2"/>
          <w:sz w:val="21"/>
        </w:rPr>
        <w:t>强</w:t>
      </w:r>
      <w:r>
        <w:rPr>
          <w:spacing w:val="-2"/>
          <w:sz w:val="21"/>
        </w:rPr>
        <w:t>直</w:t>
      </w:r>
      <w:r>
        <w:rPr>
          <w:spacing w:val="-2"/>
          <w:sz w:val="21"/>
        </w:rPr>
        <w:t>性</w:t>
      </w:r>
      <w:r>
        <w:rPr>
          <w:spacing w:val="-2"/>
          <w:sz w:val="21"/>
        </w:rPr>
        <w:t>脊</w:t>
      </w:r>
      <w:r>
        <w:rPr>
          <w:spacing w:val="-2"/>
          <w:sz w:val="21"/>
        </w:rPr>
        <w:t>柱</w:t>
      </w:r>
      <w:r>
        <w:rPr>
          <w:spacing w:val="-2"/>
          <w:sz w:val="21"/>
        </w:rPr>
        <w:t>炎是一</w:t>
      </w:r>
      <w:r>
        <w:rPr>
          <w:spacing w:val="-2"/>
          <w:sz w:val="21"/>
        </w:rPr>
        <w:t>种</w:t>
      </w:r>
      <w:r>
        <w:rPr>
          <w:spacing w:val="-2"/>
          <w:sz w:val="21"/>
        </w:rPr>
        <w:t>慢</w:t>
      </w:r>
      <w:r>
        <w:rPr>
          <w:spacing w:val="-2"/>
          <w:sz w:val="21"/>
        </w:rPr>
        <w:t>性</w:t>
      </w:r>
      <w:r>
        <w:rPr>
          <w:spacing w:val="-2"/>
          <w:sz w:val="21"/>
        </w:rPr>
        <w:t>全</w:t>
      </w:r>
      <w:r>
        <w:rPr>
          <w:spacing w:val="-2"/>
          <w:sz w:val="21"/>
        </w:rPr>
        <w:t>身</w:t>
      </w:r>
      <w:r>
        <w:rPr>
          <w:spacing w:val="-2"/>
          <w:sz w:val="21"/>
        </w:rPr>
        <w:t>性</w:t>
      </w:r>
      <w:r>
        <w:rPr>
          <w:spacing w:val="-2"/>
          <w:sz w:val="21"/>
        </w:rPr>
        <w:t>炎</w:t>
      </w:r>
      <w:r>
        <w:rPr>
          <w:spacing w:val="-2"/>
          <w:sz w:val="21"/>
        </w:rPr>
        <w:t>性</w:t>
      </w:r>
      <w:r>
        <w:rPr>
          <w:spacing w:val="-2"/>
          <w:sz w:val="21"/>
        </w:rPr>
        <w:t>疾病，</w:t>
      </w:r>
      <w:r>
        <w:rPr>
          <w:spacing w:val="-2"/>
          <w:sz w:val="21"/>
        </w:rPr>
        <w:t>主</w:t>
      </w:r>
      <w:r>
        <w:rPr>
          <w:spacing w:val="-2"/>
          <w:sz w:val="21"/>
        </w:rPr>
        <w:t>要</w:t>
      </w:r>
      <w:r>
        <w:rPr>
          <w:spacing w:val="-2"/>
          <w:sz w:val="21"/>
        </w:rPr>
        <w:t>侵</w:t>
      </w:r>
      <w:r>
        <w:rPr>
          <w:spacing w:val="-2"/>
          <w:sz w:val="21"/>
        </w:rPr>
        <w:t>犯</w:t>
      </w:r>
      <w:r>
        <w:rPr>
          <w:spacing w:val="-2"/>
          <w:sz w:val="21"/>
        </w:rPr>
        <w:t>脊</w:t>
      </w:r>
      <w:r>
        <w:rPr>
          <w:spacing w:val="-2"/>
          <w:sz w:val="21"/>
        </w:rPr>
        <w:t>柱</w:t>
      </w:r>
      <w:r>
        <w:rPr>
          <w:spacing w:val="-2"/>
          <w:sz w:val="21"/>
        </w:rPr>
        <w:t>导</w:t>
      </w:r>
      <w:r>
        <w:rPr>
          <w:spacing w:val="-2"/>
          <w:sz w:val="21"/>
        </w:rPr>
        <w:t>致</w:t>
      </w:r>
      <w:r>
        <w:rPr>
          <w:spacing w:val="-2"/>
          <w:sz w:val="21"/>
        </w:rPr>
        <w:t>脊</w:t>
      </w:r>
      <w:r>
        <w:rPr>
          <w:spacing w:val="-10"/>
          <w:sz w:val="21"/>
        </w:rPr>
        <w:t>柱</w:t>
      </w:r>
    </w:p>
    <w:p>
      <w:pPr>
        <w:pStyle w:val="BodyText"/>
        <w:spacing w:line="246" w:lineRule="exact"/>
      </w:pPr>
      <w:r>
        <w:rPr>
          <w:spacing w:val="-3"/>
        </w:rPr>
        <w:t>畸形。强直性脊柱炎必须明确诊断并且满足下列所有条件：</w:t>
      </w:r>
    </w:p>
    <w:p>
      <w:pPr>
        <w:pStyle w:val="ListParagraph"/>
        <w:numPr>
          <w:ilvl w:val="0"/>
          <w:numId w:val="95"/>
        </w:numPr>
        <w:tabs>
          <w:tab w:pos="3682" w:val="left" w:leader="none"/>
        </w:tabs>
        <w:spacing w:line="240" w:lineRule="auto" w:before="3" w:after="0"/>
        <w:ind w:left="3682" w:right="0" w:hanging="529"/>
        <w:jc w:val="left"/>
        <w:rPr>
          <w:sz w:val="21"/>
        </w:rPr>
      </w:pPr>
      <w:r>
        <w:rPr>
          <w:spacing w:val="-4"/>
          <w:sz w:val="21"/>
        </w:rPr>
        <w:t>严重脊柱畸形；</w:t>
      </w:r>
    </w:p>
    <w:p>
      <w:pPr>
        <w:pStyle w:val="ListParagraph"/>
        <w:numPr>
          <w:ilvl w:val="0"/>
          <w:numId w:val="95"/>
        </w:numPr>
        <w:tabs>
          <w:tab w:pos="3682" w:val="left" w:leader="none"/>
        </w:tabs>
        <w:spacing w:line="242" w:lineRule="auto" w:before="4" w:after="0"/>
        <w:ind w:left="3678" w:right="842" w:hanging="526"/>
        <w:jc w:val="left"/>
        <w:rPr>
          <w:sz w:val="21"/>
        </w:rPr>
      </w:pPr>
      <w:r>
        <w:rPr>
          <w:spacing w:val="-2"/>
          <w:sz w:val="21"/>
        </w:rPr>
        <w:t>自主生活能力完全丧失，无法独立完成六项基本日常生活活</w:t>
      </w:r>
      <w:r>
        <w:rPr>
          <w:spacing w:val="-2"/>
          <w:sz w:val="21"/>
        </w:rPr>
        <w:t>动中的三项或三项以上。</w:t>
      </w:r>
    </w:p>
    <w:p>
      <w:pPr>
        <w:pStyle w:val="ListParagraph"/>
        <w:numPr>
          <w:ilvl w:val="1"/>
          <w:numId w:val="92"/>
        </w:numPr>
        <w:tabs>
          <w:tab w:pos="1071" w:val="left" w:leader="none"/>
          <w:tab w:pos="1072" w:val="left" w:leader="none"/>
          <w:tab w:pos="3152" w:val="left" w:leader="none"/>
        </w:tabs>
        <w:spacing w:line="364" w:lineRule="exact" w:before="174" w:after="0"/>
        <w:ind w:left="1071" w:right="0" w:hanging="850"/>
        <w:jc w:val="left"/>
        <w:rPr>
          <w:sz w:val="21"/>
        </w:rPr>
      </w:pPr>
      <w:r>
        <w:rPr>
          <w:rFonts w:ascii="微软雅黑" w:eastAsia="微软雅黑"/>
          <w:b/>
          <w:sz w:val="21"/>
        </w:rPr>
        <w:t>肾髓质囊性</w:t>
      </w:r>
      <w:r>
        <w:rPr>
          <w:rFonts w:ascii="微软雅黑" w:eastAsia="微软雅黑"/>
          <w:b/>
          <w:spacing w:val="-10"/>
          <w:sz w:val="21"/>
        </w:rPr>
        <w:t>病</w:t>
      </w:r>
      <w:r>
        <w:rPr>
          <w:rFonts w:ascii="微软雅黑" w:eastAsia="微软雅黑"/>
          <w:b/>
          <w:sz w:val="21"/>
        </w:rPr>
        <w:tab/>
      </w:r>
      <w:r>
        <w:rPr>
          <w:spacing w:val="-2"/>
          <w:sz w:val="21"/>
        </w:rPr>
        <w:t>肾</w:t>
      </w:r>
      <w:r>
        <w:rPr>
          <w:spacing w:val="-2"/>
          <w:sz w:val="21"/>
        </w:rPr>
        <w:t>髓</w:t>
      </w:r>
      <w:r>
        <w:rPr>
          <w:spacing w:val="-2"/>
          <w:sz w:val="21"/>
        </w:rPr>
        <w:t>质</w:t>
      </w:r>
      <w:r>
        <w:rPr>
          <w:spacing w:val="-2"/>
          <w:sz w:val="21"/>
        </w:rPr>
        <w:t>囊</w:t>
      </w:r>
      <w:r>
        <w:rPr>
          <w:spacing w:val="-2"/>
          <w:sz w:val="21"/>
        </w:rPr>
        <w:t>性</w:t>
      </w:r>
      <w:r>
        <w:rPr>
          <w:spacing w:val="-2"/>
          <w:sz w:val="21"/>
        </w:rPr>
        <w:t>病是一</w:t>
      </w:r>
      <w:r>
        <w:rPr>
          <w:spacing w:val="-2"/>
          <w:sz w:val="21"/>
        </w:rPr>
        <w:t>种</w:t>
      </w:r>
      <w:r>
        <w:rPr>
          <w:spacing w:val="-2"/>
          <w:sz w:val="21"/>
        </w:rPr>
        <w:t>遗</w:t>
      </w:r>
      <w:r>
        <w:rPr>
          <w:spacing w:val="-2"/>
          <w:sz w:val="21"/>
        </w:rPr>
        <w:t>传</w:t>
      </w:r>
      <w:r>
        <w:rPr>
          <w:spacing w:val="-2"/>
          <w:sz w:val="21"/>
        </w:rPr>
        <w:t>性</w:t>
      </w:r>
      <w:r>
        <w:rPr>
          <w:spacing w:val="-2"/>
          <w:sz w:val="21"/>
        </w:rPr>
        <w:t>肾</w:t>
      </w:r>
      <w:r>
        <w:rPr>
          <w:spacing w:val="-2"/>
          <w:sz w:val="21"/>
        </w:rPr>
        <w:t>脏</w:t>
      </w:r>
      <w:r>
        <w:rPr>
          <w:spacing w:val="-2"/>
          <w:sz w:val="21"/>
        </w:rPr>
        <w:t>疾</w:t>
      </w:r>
      <w:r>
        <w:rPr>
          <w:spacing w:val="-2"/>
          <w:sz w:val="21"/>
        </w:rPr>
        <w:t>病</w:t>
      </w:r>
      <w:r>
        <w:rPr>
          <w:spacing w:val="-2"/>
          <w:sz w:val="21"/>
        </w:rPr>
        <w:t>，特点</w:t>
      </w:r>
      <w:r>
        <w:rPr>
          <w:spacing w:val="-2"/>
          <w:sz w:val="21"/>
        </w:rPr>
        <w:t>为</w:t>
      </w:r>
      <w:r>
        <w:rPr>
          <w:spacing w:val="-2"/>
          <w:sz w:val="21"/>
        </w:rPr>
        <w:t>肾</w:t>
      </w:r>
      <w:r>
        <w:rPr>
          <w:spacing w:val="-2"/>
          <w:sz w:val="21"/>
        </w:rPr>
        <w:t>髓</w:t>
      </w:r>
      <w:r>
        <w:rPr>
          <w:spacing w:val="-2"/>
          <w:sz w:val="21"/>
        </w:rPr>
        <w:t>质</w:t>
      </w:r>
      <w:r>
        <w:rPr>
          <w:spacing w:val="-2"/>
          <w:sz w:val="21"/>
        </w:rPr>
        <w:t>多</w:t>
      </w:r>
      <w:r>
        <w:rPr>
          <w:spacing w:val="-2"/>
          <w:sz w:val="21"/>
        </w:rPr>
        <w:t>发</w:t>
      </w:r>
      <w:r>
        <w:rPr>
          <w:spacing w:val="-2"/>
          <w:sz w:val="21"/>
        </w:rPr>
        <w:t>大</w:t>
      </w:r>
      <w:r>
        <w:rPr>
          <w:spacing w:val="-2"/>
          <w:sz w:val="21"/>
        </w:rPr>
        <w:t>小</w:t>
      </w:r>
      <w:r>
        <w:rPr>
          <w:spacing w:val="-2"/>
          <w:sz w:val="21"/>
        </w:rPr>
        <w:t>不</w:t>
      </w:r>
      <w:r>
        <w:rPr>
          <w:spacing w:val="-10"/>
          <w:sz w:val="21"/>
        </w:rPr>
        <w:t>等</w:t>
      </w:r>
    </w:p>
    <w:p>
      <w:pPr>
        <w:pStyle w:val="BodyText"/>
        <w:spacing w:line="246" w:lineRule="exact"/>
      </w:pPr>
      <w:r>
        <w:rPr>
          <w:spacing w:val="-3"/>
        </w:rPr>
        <w:t>的囊肿并且伴有小管炎症和间质性肾炎。必须满足下列所有条件：</w:t>
      </w:r>
    </w:p>
    <w:p>
      <w:pPr>
        <w:pStyle w:val="ListParagraph"/>
        <w:numPr>
          <w:ilvl w:val="0"/>
          <w:numId w:val="96"/>
        </w:numPr>
        <w:tabs>
          <w:tab w:pos="3682" w:val="left" w:leader="none"/>
        </w:tabs>
        <w:spacing w:line="240" w:lineRule="auto" w:before="2" w:after="0"/>
        <w:ind w:left="3682" w:right="0" w:hanging="529"/>
        <w:jc w:val="left"/>
        <w:rPr>
          <w:sz w:val="21"/>
        </w:rPr>
      </w:pPr>
      <w:r>
        <w:rPr>
          <w:spacing w:val="-3"/>
          <w:sz w:val="21"/>
        </w:rPr>
        <w:t>经肾组织活检明确诊断；</w:t>
      </w:r>
    </w:p>
    <w:p>
      <w:pPr>
        <w:pStyle w:val="ListParagraph"/>
        <w:numPr>
          <w:ilvl w:val="0"/>
          <w:numId w:val="96"/>
        </w:numPr>
        <w:tabs>
          <w:tab w:pos="3682" w:val="left" w:leader="none"/>
        </w:tabs>
        <w:spacing w:line="240" w:lineRule="auto" w:before="5" w:after="0"/>
        <w:ind w:left="3682" w:right="0" w:hanging="529"/>
        <w:jc w:val="left"/>
        <w:rPr>
          <w:sz w:val="21"/>
        </w:rPr>
      </w:pPr>
      <w:r>
        <w:rPr>
          <w:spacing w:val="-3"/>
          <w:sz w:val="21"/>
        </w:rPr>
        <w:t>临床有肾脏衰竭和肾小管功能障碍表现；</w:t>
      </w:r>
    </w:p>
    <w:p>
      <w:pPr>
        <w:pStyle w:val="ListParagraph"/>
        <w:numPr>
          <w:ilvl w:val="0"/>
          <w:numId w:val="96"/>
        </w:numPr>
        <w:tabs>
          <w:tab w:pos="3682" w:val="left" w:leader="none"/>
        </w:tabs>
        <w:spacing w:line="194" w:lineRule="auto" w:before="42" w:after="0"/>
        <w:ind w:left="3153" w:right="3153" w:firstLine="0"/>
        <w:jc w:val="left"/>
        <w:rPr>
          <w:rFonts w:ascii="微软雅黑" w:eastAsia="微软雅黑"/>
          <w:b/>
          <w:sz w:val="21"/>
        </w:rPr>
      </w:pPr>
      <w:r>
        <w:rPr>
          <w:spacing w:val="-2"/>
          <w:sz w:val="21"/>
        </w:rPr>
        <w:t>影像学证据显示肾髓质多发囊肿。</w:t>
      </w:r>
      <w:r>
        <w:rPr>
          <w:rFonts w:ascii="微软雅黑" w:eastAsia="微软雅黑"/>
          <w:b/>
          <w:spacing w:val="-2"/>
          <w:sz w:val="21"/>
        </w:rPr>
        <w:t>其他肾脏囊性病变不在保障范围内。</w:t>
      </w:r>
    </w:p>
    <w:p>
      <w:pPr>
        <w:pStyle w:val="ListParagraph"/>
        <w:numPr>
          <w:ilvl w:val="1"/>
          <w:numId w:val="92"/>
        </w:numPr>
        <w:tabs>
          <w:tab w:pos="1071" w:val="left" w:leader="none"/>
          <w:tab w:pos="1072" w:val="left" w:leader="none"/>
          <w:tab w:pos="3152" w:val="left" w:leader="none"/>
        </w:tabs>
        <w:spacing w:line="363" w:lineRule="exact" w:before="149" w:after="0"/>
        <w:ind w:left="1071" w:right="0" w:hanging="850"/>
        <w:jc w:val="left"/>
        <w:rPr>
          <w:sz w:val="21"/>
        </w:rPr>
      </w:pPr>
      <w:r>
        <w:rPr>
          <w:rFonts w:ascii="微软雅黑" w:eastAsia="微软雅黑"/>
          <w:b/>
          <w:sz w:val="21"/>
        </w:rPr>
        <w:t>肝豆状核变</w:t>
      </w:r>
      <w:r>
        <w:rPr>
          <w:rFonts w:ascii="微软雅黑" w:eastAsia="微软雅黑"/>
          <w:b/>
          <w:spacing w:val="-10"/>
          <w:sz w:val="21"/>
        </w:rPr>
        <w:t>性</w:t>
      </w:r>
      <w:r>
        <w:rPr>
          <w:rFonts w:ascii="微软雅黑" w:eastAsia="微软雅黑"/>
          <w:b/>
          <w:sz w:val="21"/>
        </w:rPr>
        <w:tab/>
      </w:r>
      <w:r>
        <w:rPr>
          <w:spacing w:val="-2"/>
          <w:sz w:val="21"/>
        </w:rPr>
        <w:t>肝</w:t>
      </w:r>
      <w:r>
        <w:rPr>
          <w:spacing w:val="-2"/>
          <w:sz w:val="21"/>
        </w:rPr>
        <w:t>豆</w:t>
      </w:r>
      <w:r>
        <w:rPr>
          <w:spacing w:val="-2"/>
          <w:sz w:val="21"/>
        </w:rPr>
        <w:t>状</w:t>
      </w:r>
      <w:r>
        <w:rPr>
          <w:spacing w:val="-2"/>
          <w:sz w:val="21"/>
        </w:rPr>
        <w:t>核</w:t>
      </w:r>
      <w:r>
        <w:rPr>
          <w:spacing w:val="-2"/>
          <w:sz w:val="21"/>
        </w:rPr>
        <w:t>变</w:t>
      </w:r>
      <w:r>
        <w:rPr>
          <w:spacing w:val="-2"/>
          <w:sz w:val="21"/>
        </w:rPr>
        <w:t>性是一</w:t>
      </w:r>
      <w:r>
        <w:rPr>
          <w:spacing w:val="-2"/>
          <w:sz w:val="21"/>
        </w:rPr>
        <w:t>种</w:t>
      </w:r>
      <w:r>
        <w:rPr>
          <w:spacing w:val="-2"/>
          <w:sz w:val="21"/>
        </w:rPr>
        <w:t>遗</w:t>
      </w:r>
      <w:r>
        <w:rPr>
          <w:spacing w:val="-2"/>
          <w:sz w:val="21"/>
        </w:rPr>
        <w:t>传</w:t>
      </w:r>
      <w:r>
        <w:rPr>
          <w:spacing w:val="-2"/>
          <w:sz w:val="21"/>
        </w:rPr>
        <w:t>性</w:t>
      </w:r>
      <w:r>
        <w:rPr>
          <w:spacing w:val="-2"/>
          <w:sz w:val="21"/>
        </w:rPr>
        <w:t>铜</w:t>
      </w:r>
      <w:r>
        <w:rPr>
          <w:spacing w:val="-2"/>
          <w:sz w:val="21"/>
        </w:rPr>
        <w:t>代</w:t>
      </w:r>
      <w:r>
        <w:rPr>
          <w:spacing w:val="-2"/>
          <w:sz w:val="21"/>
        </w:rPr>
        <w:t>谢</w:t>
      </w:r>
      <w:r>
        <w:rPr>
          <w:spacing w:val="-2"/>
          <w:sz w:val="21"/>
        </w:rPr>
        <w:t>障</w:t>
      </w:r>
      <w:r>
        <w:rPr>
          <w:spacing w:val="-2"/>
          <w:sz w:val="21"/>
        </w:rPr>
        <w:t>碍疾病</w:t>
      </w:r>
      <w:r>
        <w:rPr>
          <w:spacing w:val="-2"/>
          <w:sz w:val="21"/>
        </w:rPr>
        <w:t>。</w:t>
      </w:r>
      <w:r>
        <w:rPr>
          <w:spacing w:val="-2"/>
          <w:sz w:val="21"/>
        </w:rPr>
        <w:t>表</w:t>
      </w:r>
      <w:r>
        <w:rPr>
          <w:spacing w:val="-2"/>
          <w:sz w:val="21"/>
        </w:rPr>
        <w:t>现</w:t>
      </w:r>
      <w:r>
        <w:rPr>
          <w:spacing w:val="-2"/>
          <w:sz w:val="21"/>
        </w:rPr>
        <w:t>为</w:t>
      </w:r>
      <w:r>
        <w:rPr>
          <w:spacing w:val="-2"/>
          <w:sz w:val="21"/>
        </w:rPr>
        <w:t>体</w:t>
      </w:r>
      <w:r>
        <w:rPr>
          <w:spacing w:val="-2"/>
          <w:sz w:val="21"/>
        </w:rPr>
        <w:t>内</w:t>
      </w:r>
      <w:r>
        <w:rPr>
          <w:spacing w:val="-2"/>
          <w:sz w:val="21"/>
        </w:rPr>
        <w:t>的</w:t>
      </w:r>
      <w:r>
        <w:rPr>
          <w:spacing w:val="-2"/>
          <w:sz w:val="21"/>
        </w:rPr>
        <w:t>铜</w:t>
      </w:r>
      <w:r>
        <w:rPr>
          <w:spacing w:val="-2"/>
          <w:sz w:val="21"/>
        </w:rPr>
        <w:t>离</w:t>
      </w:r>
      <w:r>
        <w:rPr>
          <w:spacing w:val="-10"/>
          <w:sz w:val="21"/>
        </w:rPr>
        <w:t>子</w:t>
      </w:r>
    </w:p>
    <w:p>
      <w:pPr>
        <w:pStyle w:val="BodyText"/>
        <w:spacing w:line="245" w:lineRule="exact"/>
      </w:pPr>
      <w:r>
        <w:rPr>
          <w:spacing w:val="-3"/>
        </w:rPr>
        <w:t>在肝、脑、肾、角膜等处沉积，引起进行性加重的肝硬化、锥体外</w:t>
      </w:r>
    </w:p>
    <w:p>
      <w:pPr>
        <w:pStyle w:val="BodyText"/>
        <w:spacing w:line="242" w:lineRule="auto" w:before="4"/>
        <w:ind w:right="729"/>
      </w:pPr>
      <w:r>
        <w:rPr>
          <w:spacing w:val="-2"/>
        </w:rPr>
        <w:t>系症状、精神症状、肾损害及角膜色素环。肝豆状核变性必须明确</w:t>
      </w:r>
      <w:r>
        <w:rPr>
          <w:spacing w:val="-2"/>
        </w:rPr>
        <w:t>诊断并且满足下列条件之一：</w:t>
      </w:r>
    </w:p>
    <w:p>
      <w:pPr>
        <w:pStyle w:val="ListParagraph"/>
        <w:numPr>
          <w:ilvl w:val="0"/>
          <w:numId w:val="97"/>
        </w:numPr>
        <w:tabs>
          <w:tab w:pos="3682" w:val="left" w:leader="none"/>
        </w:tabs>
        <w:spacing w:line="242" w:lineRule="auto" w:before="2" w:after="0"/>
        <w:ind w:left="3678" w:right="840" w:hanging="526"/>
        <w:jc w:val="both"/>
        <w:rPr>
          <w:sz w:val="21"/>
        </w:rPr>
      </w:pPr>
      <w:r>
        <w:rPr>
          <w:spacing w:val="-2"/>
          <w:sz w:val="21"/>
        </w:rPr>
        <w:t>帕金森综合征或其他神经系统功能损害，自主生活能力完全</w:t>
      </w:r>
      <w:r>
        <w:rPr>
          <w:spacing w:val="-2"/>
          <w:sz w:val="21"/>
        </w:rPr>
        <w:t>丧失，无法独立完成六项基本日常生活活动中的三项或三项</w:t>
      </w:r>
      <w:r>
        <w:rPr>
          <w:spacing w:val="-4"/>
          <w:sz w:val="21"/>
        </w:rPr>
        <w:t>以上；</w:t>
      </w:r>
    </w:p>
    <w:p>
      <w:pPr>
        <w:pStyle w:val="ListParagraph"/>
        <w:numPr>
          <w:ilvl w:val="0"/>
          <w:numId w:val="97"/>
        </w:numPr>
        <w:tabs>
          <w:tab w:pos="3682" w:val="left" w:leader="none"/>
        </w:tabs>
        <w:spacing w:line="244" w:lineRule="auto" w:before="1" w:after="0"/>
        <w:ind w:left="3678" w:right="842" w:hanging="526"/>
        <w:jc w:val="left"/>
        <w:rPr>
          <w:sz w:val="21"/>
        </w:rPr>
      </w:pPr>
      <w:r>
        <w:rPr>
          <w:spacing w:val="-2"/>
          <w:sz w:val="21"/>
        </w:rPr>
        <w:t>失代偿性肝硬化，临床已经出现腹水、食道静脉曲张和脾肿</w:t>
      </w:r>
      <w:r>
        <w:rPr>
          <w:spacing w:val="-2"/>
          <w:sz w:val="21"/>
        </w:rPr>
        <w:t>大等表现；</w:t>
      </w:r>
    </w:p>
    <w:p>
      <w:pPr>
        <w:pStyle w:val="ListParagraph"/>
        <w:numPr>
          <w:ilvl w:val="0"/>
          <w:numId w:val="97"/>
        </w:numPr>
        <w:tabs>
          <w:tab w:pos="3682" w:val="left" w:leader="none"/>
        </w:tabs>
        <w:spacing w:line="265" w:lineRule="exact" w:before="0" w:after="0"/>
        <w:ind w:left="3682" w:right="0" w:hanging="529"/>
        <w:jc w:val="left"/>
        <w:rPr>
          <w:sz w:val="21"/>
        </w:rPr>
      </w:pPr>
      <w:r>
        <w:rPr>
          <w:spacing w:val="-3"/>
          <w:sz w:val="21"/>
        </w:rPr>
        <w:t>慢性肾功能衰竭，已开始肾脏透析治疗；</w:t>
      </w:r>
    </w:p>
    <w:p>
      <w:pPr>
        <w:pStyle w:val="ListParagraph"/>
        <w:numPr>
          <w:ilvl w:val="0"/>
          <w:numId w:val="97"/>
        </w:numPr>
        <w:tabs>
          <w:tab w:pos="3682" w:val="left" w:leader="none"/>
        </w:tabs>
        <w:spacing w:line="240" w:lineRule="auto" w:before="4" w:after="0"/>
        <w:ind w:left="3682" w:right="0" w:hanging="529"/>
        <w:jc w:val="left"/>
        <w:rPr>
          <w:sz w:val="21"/>
        </w:rPr>
      </w:pPr>
      <w:r>
        <w:rPr>
          <w:spacing w:val="-3"/>
          <w:sz w:val="21"/>
        </w:rPr>
        <w:t>接受了肝移植或肾移植手术。</w:t>
      </w:r>
    </w:p>
    <w:p>
      <w:pPr>
        <w:pStyle w:val="BodyText"/>
        <w:spacing w:before="4"/>
        <w:ind w:left="0"/>
        <w:rPr>
          <w:sz w:val="11"/>
        </w:rPr>
      </w:pPr>
    </w:p>
    <w:p>
      <w:pPr>
        <w:spacing w:after="0"/>
        <w:rPr>
          <w:sz w:val="11"/>
        </w:rPr>
        <w:sectPr>
          <w:pgSz w:w="11910" w:h="16840"/>
          <w:pgMar w:header="0" w:footer="878" w:top="1040" w:bottom="1060" w:left="1480" w:right="440"/>
        </w:sectPr>
      </w:pPr>
    </w:p>
    <w:p>
      <w:pPr>
        <w:pStyle w:val="ListParagraph"/>
        <w:numPr>
          <w:ilvl w:val="1"/>
          <w:numId w:val="92"/>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重症急性出血坏死</w:t>
      </w:r>
    </w:p>
    <w:p>
      <w:pPr>
        <w:spacing w:line="329" w:lineRule="exact" w:before="0"/>
        <w:ind w:left="1071" w:right="0" w:firstLine="0"/>
        <w:jc w:val="left"/>
        <w:rPr>
          <w:rFonts w:ascii="微软雅黑" w:eastAsia="微软雅黑"/>
          <w:b/>
          <w:sz w:val="21"/>
        </w:rPr>
      </w:pPr>
      <w:r>
        <w:rPr>
          <w:rFonts w:ascii="微软雅黑" w:eastAsia="微软雅黑"/>
          <w:b/>
          <w:spacing w:val="-2"/>
          <w:sz w:val="21"/>
        </w:rPr>
        <w:t>性胰腺炎开腹手术</w:t>
      </w:r>
    </w:p>
    <w:p>
      <w:pPr>
        <w:pStyle w:val="BodyText"/>
        <w:spacing w:line="242" w:lineRule="auto" w:before="100"/>
        <w:ind w:left="175" w:right="729"/>
        <w:jc w:val="both"/>
      </w:pPr>
      <w:r>
        <w:rPr/>
        <w:br w:type="column"/>
      </w:r>
      <w:r>
        <w:rPr>
          <w:spacing w:val="-2"/>
        </w:rPr>
        <w:t>指被保险人被确诊为重症急性出血坏死性胰腺炎，并实际接受了外</w:t>
      </w:r>
      <w:r>
        <w:rPr>
          <w:spacing w:val="-2"/>
        </w:rPr>
        <w:t>科剖腹直视手术治疗，进行坏死组织清除、坏死病灶切除或胰腺切</w:t>
      </w:r>
      <w:r>
        <w:rPr>
          <w:spacing w:val="-6"/>
        </w:rPr>
        <w:t>除。</w:t>
      </w:r>
    </w:p>
    <w:p>
      <w:pPr>
        <w:spacing w:line="170" w:lineRule="auto" w:before="14"/>
        <w:ind w:left="175" w:right="725" w:firstLine="0"/>
        <w:jc w:val="left"/>
        <w:rPr>
          <w:rFonts w:ascii="微软雅黑" w:eastAsia="微软雅黑"/>
          <w:b/>
          <w:sz w:val="21"/>
        </w:rPr>
      </w:pPr>
      <w:r>
        <w:rPr>
          <w:rFonts w:ascii="微软雅黑" w:eastAsia="微软雅黑"/>
          <w:b/>
          <w:spacing w:val="4"/>
          <w:w w:val="100"/>
          <w:sz w:val="21"/>
        </w:rPr>
        <w:t>因酗酒或饮酒过量所致的急性出血坏死性胰腺炎或经腹腔镜手术</w:t>
      </w:r>
      <w:r>
        <w:rPr>
          <w:rFonts w:ascii="微软雅黑" w:eastAsia="微软雅黑"/>
          <w:b/>
          <w:spacing w:val="-2"/>
          <w:w w:val="100"/>
          <w:sz w:val="21"/>
        </w:rPr>
        <w:t>进行的治疗不在保障范围内。</w:t>
      </w:r>
    </w:p>
    <w:p>
      <w:pPr>
        <w:spacing w:after="0" w:line="170" w:lineRule="auto"/>
        <w:jc w:val="left"/>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BodyText"/>
        <w:spacing w:before="14"/>
        <w:ind w:left="0"/>
        <w:rPr>
          <w:rFonts w:ascii="微软雅黑"/>
          <w:b/>
          <w:sz w:val="6"/>
        </w:rPr>
      </w:pPr>
    </w:p>
    <w:p>
      <w:pPr>
        <w:pStyle w:val="ListParagraph"/>
        <w:numPr>
          <w:ilvl w:val="1"/>
          <w:numId w:val="92"/>
        </w:numPr>
        <w:tabs>
          <w:tab w:pos="1072" w:val="left" w:leader="none"/>
        </w:tabs>
        <w:spacing w:line="363" w:lineRule="exact" w:before="33" w:after="0"/>
        <w:ind w:left="1071" w:right="0" w:hanging="850"/>
        <w:jc w:val="both"/>
        <w:rPr>
          <w:sz w:val="21"/>
        </w:rPr>
      </w:pPr>
      <w:r>
        <w:rPr>
          <w:rFonts w:ascii="微软雅黑" w:hAnsi="微软雅黑" w:eastAsia="微软雅黑"/>
          <w:b/>
          <w:spacing w:val="32"/>
          <w:sz w:val="21"/>
        </w:rPr>
        <w:t>成骨不全症第Ⅲ型 </w:t>
      </w:r>
      <w:r>
        <w:rPr>
          <w:spacing w:val="-2"/>
          <w:sz w:val="21"/>
        </w:rPr>
        <w:t>指一种胶原病，特征为骨易碎、骨质疏松和易骨折。该病有 </w:t>
      </w:r>
      <w:r>
        <w:rPr>
          <w:rFonts w:ascii="Times New Roman" w:hAnsi="Times New Roman" w:eastAsia="Times New Roman"/>
          <w:sz w:val="21"/>
        </w:rPr>
        <w:t>4</w:t>
      </w:r>
      <w:r>
        <w:rPr>
          <w:rFonts w:ascii="Times New Roman" w:hAnsi="Times New Roman" w:eastAsia="Times New Roman"/>
          <w:spacing w:val="-1"/>
          <w:sz w:val="21"/>
        </w:rPr>
        <w:t> </w:t>
      </w:r>
      <w:r>
        <w:rPr>
          <w:spacing w:val="-5"/>
          <w:sz w:val="21"/>
        </w:rPr>
        <w:t>种类</w:t>
      </w:r>
    </w:p>
    <w:p>
      <w:pPr>
        <w:pStyle w:val="BodyText"/>
        <w:spacing w:line="245" w:lineRule="exact"/>
        <w:jc w:val="both"/>
      </w:pPr>
      <w:r>
        <w:rPr>
          <w:spacing w:val="-4"/>
        </w:rPr>
        <w:t>型：</w:t>
      </w:r>
      <w:r>
        <w:rPr>
          <w:rFonts w:ascii="Times New Roman" w:hAnsi="Times New Roman" w:eastAsia="Times New Roman"/>
          <w:spacing w:val="-4"/>
        </w:rPr>
        <w:t>Ⅰ</w:t>
      </w:r>
      <w:r>
        <w:rPr>
          <w:spacing w:val="-4"/>
        </w:rPr>
        <w:t>型、</w:t>
      </w:r>
      <w:r>
        <w:rPr>
          <w:rFonts w:ascii="Times New Roman" w:hAnsi="Times New Roman" w:eastAsia="Times New Roman"/>
          <w:spacing w:val="-4"/>
        </w:rPr>
        <w:t>Ⅱ</w:t>
      </w:r>
      <w:r>
        <w:rPr>
          <w:spacing w:val="-4"/>
        </w:rPr>
        <w:t>型、</w:t>
      </w:r>
      <w:r>
        <w:rPr>
          <w:rFonts w:ascii="Times New Roman" w:hAnsi="Times New Roman" w:eastAsia="Times New Roman"/>
          <w:spacing w:val="-4"/>
        </w:rPr>
        <w:t>III</w:t>
      </w:r>
      <w:r>
        <w:rPr>
          <w:rFonts w:ascii="Times New Roman" w:hAnsi="Times New Roman" w:eastAsia="Times New Roman"/>
          <w:spacing w:val="10"/>
        </w:rPr>
        <w:t> </w:t>
      </w:r>
      <w:r>
        <w:rPr>
          <w:spacing w:val="-4"/>
        </w:rPr>
        <w:t>型、</w:t>
      </w:r>
      <w:r>
        <w:rPr>
          <w:rFonts w:ascii="Times New Roman" w:hAnsi="Times New Roman" w:eastAsia="Times New Roman"/>
          <w:spacing w:val="-4"/>
        </w:rPr>
        <w:t>Ⅳ</w:t>
      </w:r>
      <w:r>
        <w:rPr>
          <w:spacing w:val="-8"/>
        </w:rPr>
        <w:t>型。本合同只保障 </w:t>
      </w:r>
      <w:r>
        <w:rPr>
          <w:rFonts w:ascii="Times New Roman" w:hAnsi="Times New Roman" w:eastAsia="Times New Roman"/>
          <w:spacing w:val="-4"/>
        </w:rPr>
        <w:t>III</w:t>
      </w:r>
      <w:r>
        <w:rPr>
          <w:rFonts w:ascii="Times New Roman" w:hAnsi="Times New Roman" w:eastAsia="Times New Roman"/>
          <w:spacing w:val="13"/>
        </w:rPr>
        <w:t> </w:t>
      </w:r>
      <w:r>
        <w:rPr>
          <w:spacing w:val="-5"/>
        </w:rPr>
        <w:t>型成骨不全的情形，</w:t>
      </w:r>
    </w:p>
    <w:p>
      <w:pPr>
        <w:pStyle w:val="BodyText"/>
        <w:spacing w:line="242" w:lineRule="auto" w:before="4"/>
        <w:ind w:right="729"/>
        <w:jc w:val="both"/>
      </w:pPr>
      <w:r>
        <w:rPr>
          <w:spacing w:val="-2"/>
        </w:rPr>
        <w:t>其主要临床特点有发展迟缓、多发性骨折、进行性脊柱后侧凸及听</w:t>
      </w:r>
      <w:r>
        <w:rPr>
          <w:spacing w:val="-6"/>
        </w:rPr>
        <w:t>力损害。 </w:t>
      </w:r>
      <w:r>
        <w:rPr>
          <w:rFonts w:ascii="Times New Roman" w:eastAsia="Times New Roman"/>
        </w:rPr>
        <w:t>III</w:t>
      </w:r>
      <w:r>
        <w:rPr>
          <w:rFonts w:ascii="Times New Roman" w:eastAsia="Times New Roman"/>
          <w:spacing w:val="-13"/>
        </w:rPr>
        <w:t> </w:t>
      </w:r>
      <w:r>
        <w:rPr>
          <w:spacing w:val="-2"/>
        </w:rPr>
        <w:t>型成骨不全必须根据身体检查、家族史、 </w:t>
      </w:r>
      <w:r>
        <w:rPr>
          <w:rFonts w:ascii="Times New Roman" w:eastAsia="Times New Roman"/>
        </w:rPr>
        <w:t>X</w:t>
      </w:r>
      <w:r>
        <w:rPr>
          <w:rFonts w:ascii="Times New Roman" w:eastAsia="Times New Roman"/>
          <w:spacing w:val="-3"/>
        </w:rPr>
        <w:t> </w:t>
      </w:r>
      <w:r>
        <w:rPr/>
        <w:t>线检查和</w:t>
      </w:r>
      <w:r>
        <w:rPr>
          <w:spacing w:val="-2"/>
        </w:rPr>
        <w:t>皮肤活检报告资料确诊。</w:t>
      </w:r>
    </w:p>
    <w:p>
      <w:pPr>
        <w:pStyle w:val="BodyText"/>
        <w:spacing w:before="3"/>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意外导致的重度面</w:t>
      </w:r>
    </w:p>
    <w:p>
      <w:pPr>
        <w:spacing w:line="329" w:lineRule="exact" w:before="0"/>
        <w:ind w:left="1071" w:right="0" w:firstLine="0"/>
        <w:jc w:val="left"/>
        <w:rPr>
          <w:rFonts w:ascii="微软雅黑" w:eastAsia="微软雅黑"/>
          <w:b/>
          <w:sz w:val="21"/>
        </w:rPr>
      </w:pPr>
      <w:r>
        <w:rPr>
          <w:rFonts w:ascii="微软雅黑" w:eastAsia="微软雅黑"/>
          <w:b/>
          <w:spacing w:val="-4"/>
          <w:sz w:val="21"/>
        </w:rPr>
        <w:t>部烧伤</w:t>
      </w:r>
    </w:p>
    <w:p>
      <w:pPr>
        <w:pStyle w:val="BodyText"/>
        <w:spacing w:line="242" w:lineRule="auto" w:before="100"/>
        <w:ind w:left="175" w:right="730"/>
      </w:pPr>
      <w:r>
        <w:rPr/>
        <w:br w:type="column"/>
      </w:r>
      <w:r>
        <w:rPr>
          <w:spacing w:val="-2"/>
        </w:rPr>
        <w:t>指面部Ⅲ度烧伤且烧伤面积达到面部表面积的 </w:t>
      </w:r>
      <w:r>
        <w:rPr>
          <w:rFonts w:ascii="Times New Roman" w:hAnsi="Times New Roman" w:eastAsia="Times New Roman"/>
        </w:rPr>
        <w:t>2/3</w:t>
      </w:r>
      <w:r>
        <w:rPr>
          <w:rFonts w:ascii="Times New Roman" w:hAnsi="Times New Roman" w:eastAsia="Times New Roman"/>
          <w:spacing w:val="-3"/>
        </w:rPr>
        <w:t> </w:t>
      </w:r>
      <w:r>
        <w:rPr/>
        <w:t>或全身体表面积</w:t>
      </w:r>
      <w:r>
        <w:rPr>
          <w:spacing w:val="-21"/>
        </w:rPr>
        <w:t>的 </w:t>
      </w:r>
      <w:r>
        <w:rPr>
          <w:rFonts w:ascii="Times New Roman" w:hAnsi="Times New Roman" w:eastAsia="Times New Roman"/>
        </w:rPr>
        <w:t>2%</w:t>
      </w:r>
      <w:r>
        <w:rPr/>
        <w:t>。</w:t>
      </w:r>
    </w:p>
    <w:p>
      <w:pPr>
        <w:pStyle w:val="BodyText"/>
        <w:spacing w:line="242" w:lineRule="auto" w:before="1"/>
        <w:ind w:left="175" w:right="729"/>
      </w:pPr>
      <w:r>
        <w:rPr>
          <w:spacing w:val="-2"/>
        </w:rPr>
        <w:t>体表面积根据《中国新九分法》计算，面部总面积为全身体表面积</w:t>
      </w:r>
      <w:r>
        <w:rPr>
          <w:spacing w:val="-21"/>
        </w:rPr>
        <w:t>的 </w:t>
      </w:r>
      <w:r>
        <w:rPr>
          <w:rFonts w:ascii="Times New Roman" w:eastAsia="Times New Roman"/>
        </w:rPr>
        <w:t>3%</w:t>
      </w:r>
      <w:r>
        <w:rPr/>
        <w:t>。面部面积不包括发部和颈部。</w:t>
      </w:r>
    </w:p>
    <w:p>
      <w:pPr>
        <w:spacing w:after="0" w:line="242" w:lineRule="auto"/>
        <w:sectPr>
          <w:type w:val="continuous"/>
          <w:pgSz w:w="11910" w:h="16840"/>
          <w:pgMar w:header="0" w:footer="878" w:top="160" w:bottom="280" w:left="1480" w:right="440"/>
          <w:cols w:num="2" w:equalWidth="0">
            <w:col w:w="2938" w:space="40"/>
            <w:col w:w="7012"/>
          </w:cols>
        </w:sectPr>
      </w:pPr>
    </w:p>
    <w:p>
      <w:pPr>
        <w:pStyle w:val="BodyText"/>
        <w:ind w:left="0"/>
        <w:rPr>
          <w:sz w:val="11"/>
        </w:rPr>
      </w:pPr>
    </w:p>
    <w:p>
      <w:pPr>
        <w:pStyle w:val="ListParagraph"/>
        <w:numPr>
          <w:ilvl w:val="1"/>
          <w:numId w:val="92"/>
        </w:numPr>
        <w:tabs>
          <w:tab w:pos="1071" w:val="left" w:leader="none"/>
          <w:tab w:pos="1072" w:val="left" w:leader="none"/>
          <w:tab w:pos="3152" w:val="left" w:leader="none"/>
        </w:tabs>
        <w:spacing w:line="364" w:lineRule="exact" w:before="33" w:after="0"/>
        <w:ind w:left="1071" w:right="0" w:hanging="850"/>
        <w:jc w:val="left"/>
        <w:rPr>
          <w:sz w:val="21"/>
        </w:rPr>
      </w:pPr>
      <w:r>
        <w:rPr>
          <w:rFonts w:ascii="微软雅黑" w:eastAsia="微软雅黑"/>
          <w:b/>
          <w:sz w:val="21"/>
        </w:rPr>
        <w:t>失去一肢及一</w:t>
      </w:r>
      <w:r>
        <w:rPr>
          <w:rFonts w:ascii="微软雅黑" w:eastAsia="微软雅黑"/>
          <w:b/>
          <w:spacing w:val="-10"/>
          <w:sz w:val="21"/>
        </w:rPr>
        <w:t>眼</w:t>
      </w:r>
      <w:r>
        <w:rPr>
          <w:rFonts w:ascii="微软雅黑" w:eastAsia="微软雅黑"/>
          <w:b/>
          <w:sz w:val="21"/>
        </w:rPr>
        <w:tab/>
      </w:r>
      <w:r>
        <w:rPr>
          <w:spacing w:val="-2"/>
          <w:sz w:val="21"/>
        </w:rPr>
        <w:t>被</w:t>
      </w:r>
      <w:r>
        <w:rPr>
          <w:spacing w:val="-2"/>
          <w:sz w:val="21"/>
        </w:rPr>
        <w:t>保</w:t>
      </w:r>
      <w:r>
        <w:rPr>
          <w:spacing w:val="-2"/>
          <w:sz w:val="21"/>
        </w:rPr>
        <w:t>险人因同一次</w:t>
      </w:r>
      <w:r>
        <w:rPr>
          <w:spacing w:val="-2"/>
          <w:sz w:val="21"/>
        </w:rPr>
        <w:t>意</w:t>
      </w:r>
      <w:r>
        <w:rPr>
          <w:spacing w:val="-2"/>
          <w:sz w:val="21"/>
        </w:rPr>
        <w:t>外</w:t>
      </w:r>
      <w:r>
        <w:rPr>
          <w:spacing w:val="-2"/>
          <w:sz w:val="21"/>
        </w:rPr>
        <w:t>伤</w:t>
      </w:r>
      <w:r>
        <w:rPr>
          <w:spacing w:val="-2"/>
          <w:sz w:val="21"/>
        </w:rPr>
        <w:t>害</w:t>
      </w:r>
      <w:r>
        <w:rPr>
          <w:spacing w:val="-2"/>
          <w:sz w:val="21"/>
        </w:rPr>
        <w:t>事</w:t>
      </w:r>
      <w:r>
        <w:rPr>
          <w:spacing w:val="-2"/>
          <w:sz w:val="21"/>
        </w:rPr>
        <w:t>件</w:t>
      </w:r>
      <w:r>
        <w:rPr>
          <w:spacing w:val="-2"/>
          <w:sz w:val="21"/>
        </w:rPr>
        <w:t>导</w:t>
      </w:r>
      <w:r>
        <w:rPr>
          <w:spacing w:val="-2"/>
          <w:sz w:val="21"/>
        </w:rPr>
        <w:t>致</w:t>
      </w:r>
      <w:r>
        <w:rPr>
          <w:spacing w:val="-2"/>
          <w:sz w:val="21"/>
        </w:rPr>
        <w:t>一肢体</w:t>
      </w:r>
      <w:r>
        <w:rPr>
          <w:spacing w:val="-2"/>
          <w:sz w:val="21"/>
        </w:rPr>
        <w:t>丧</w:t>
      </w:r>
      <w:r>
        <w:rPr>
          <w:spacing w:val="-2"/>
          <w:sz w:val="21"/>
        </w:rPr>
        <w:t>失</w:t>
      </w:r>
      <w:r>
        <w:rPr>
          <w:spacing w:val="-2"/>
          <w:sz w:val="21"/>
        </w:rPr>
        <w:t>和</w:t>
      </w:r>
      <w:r>
        <w:rPr>
          <w:spacing w:val="-2"/>
          <w:sz w:val="21"/>
        </w:rPr>
        <w:t>一</w:t>
      </w:r>
      <w:r>
        <w:rPr>
          <w:spacing w:val="-2"/>
          <w:sz w:val="21"/>
        </w:rPr>
        <w:t>眼</w:t>
      </w:r>
      <w:r>
        <w:rPr>
          <w:spacing w:val="-2"/>
          <w:sz w:val="21"/>
        </w:rPr>
        <w:t>视</w:t>
      </w:r>
      <w:r>
        <w:rPr>
          <w:spacing w:val="-2"/>
          <w:sz w:val="21"/>
        </w:rPr>
        <w:t>力</w:t>
      </w:r>
      <w:r>
        <w:rPr>
          <w:spacing w:val="-2"/>
          <w:sz w:val="21"/>
        </w:rPr>
        <w:t>丧</w:t>
      </w:r>
      <w:r>
        <w:rPr>
          <w:spacing w:val="-2"/>
          <w:sz w:val="21"/>
        </w:rPr>
        <w:t>失</w:t>
      </w:r>
      <w:r>
        <w:rPr>
          <w:spacing w:val="-10"/>
          <w:sz w:val="21"/>
        </w:rPr>
        <w:t>。</w:t>
      </w:r>
    </w:p>
    <w:p>
      <w:pPr>
        <w:pStyle w:val="BodyText"/>
        <w:spacing w:line="246" w:lineRule="exact"/>
      </w:pPr>
      <w:r>
        <w:rPr>
          <w:spacing w:val="-3"/>
        </w:rPr>
        <w:t>必须满足下列所有条件：</w:t>
      </w:r>
    </w:p>
    <w:p>
      <w:pPr>
        <w:pStyle w:val="ListParagraph"/>
        <w:numPr>
          <w:ilvl w:val="0"/>
          <w:numId w:val="98"/>
        </w:numPr>
        <w:tabs>
          <w:tab w:pos="3682" w:val="left" w:leader="none"/>
        </w:tabs>
        <w:spacing w:line="244" w:lineRule="auto" w:before="3" w:after="0"/>
        <w:ind w:left="3678" w:right="842" w:hanging="526"/>
        <w:jc w:val="left"/>
        <w:rPr>
          <w:sz w:val="21"/>
        </w:rPr>
      </w:pPr>
      <w:r>
        <w:rPr>
          <w:spacing w:val="-2"/>
          <w:sz w:val="21"/>
        </w:rPr>
        <w:t>一肢体丧失指任何一肢体自腕关节或踝关节近端（靠近躯干</w:t>
      </w:r>
      <w:r>
        <w:rPr>
          <w:spacing w:val="-2"/>
          <w:sz w:val="21"/>
        </w:rPr>
        <w:t>端）以上完全性断离；</w:t>
      </w:r>
    </w:p>
    <w:p>
      <w:pPr>
        <w:pStyle w:val="ListParagraph"/>
        <w:numPr>
          <w:ilvl w:val="0"/>
          <w:numId w:val="98"/>
        </w:numPr>
        <w:tabs>
          <w:tab w:pos="3682" w:val="left" w:leader="none"/>
        </w:tabs>
        <w:spacing w:line="244" w:lineRule="auto" w:before="0" w:after="0"/>
        <w:ind w:left="3678" w:right="729" w:hanging="526"/>
        <w:jc w:val="left"/>
        <w:rPr>
          <w:sz w:val="21"/>
        </w:rPr>
      </w:pPr>
      <w:r>
        <w:rPr>
          <w:spacing w:val="-6"/>
          <w:w w:val="100"/>
          <w:sz w:val="21"/>
        </w:rPr>
        <w:t>一眼视力丧失指一只眼视力永久不可逆性丧失，患眼须满足</w:t>
      </w:r>
      <w:r>
        <w:rPr>
          <w:spacing w:val="-5"/>
          <w:w w:val="100"/>
          <w:sz w:val="21"/>
        </w:rPr>
        <w:t>下列至少一项条件：</w:t>
      </w:r>
    </w:p>
    <w:p>
      <w:pPr>
        <w:pStyle w:val="BodyText"/>
        <w:spacing w:line="265" w:lineRule="exact"/>
        <w:ind w:left="3676"/>
      </w:pPr>
      <w:r>
        <w:rPr>
          <w:spacing w:val="-4"/>
        </w:rPr>
        <w:t>①眼球摘除；</w:t>
      </w:r>
    </w:p>
    <w:p>
      <w:pPr>
        <w:pStyle w:val="BodyText"/>
        <w:spacing w:line="242" w:lineRule="auto"/>
        <w:ind w:left="3678" w:right="729"/>
      </w:pPr>
      <w:r>
        <w:rPr>
          <w:spacing w:val="-9"/>
        </w:rPr>
        <w:t>②矫正视力低于 </w:t>
      </w:r>
      <w:r>
        <w:rPr>
          <w:rFonts w:ascii="Times New Roman" w:hAnsi="Times New Roman" w:eastAsia="Times New Roman"/>
          <w:spacing w:val="-2"/>
        </w:rPr>
        <w:t>0.02</w:t>
      </w:r>
      <w:r>
        <w:rPr>
          <w:spacing w:val="-2"/>
        </w:rPr>
        <w:t>（</w:t>
      </w:r>
      <w:r>
        <w:rPr>
          <w:spacing w:val="-8"/>
        </w:rPr>
        <w:t>采用国际标准视力表，如果使用其他视</w:t>
      </w:r>
      <w:r>
        <w:rPr>
          <w:spacing w:val="-2"/>
        </w:rPr>
        <w:t>力表应进行换算</w:t>
      </w:r>
      <w:r>
        <w:rPr>
          <w:spacing w:val="-106"/>
        </w:rPr>
        <w:t>）</w:t>
      </w:r>
      <w:r>
        <w:rPr/>
        <w:t>；</w:t>
      </w:r>
    </w:p>
    <w:p>
      <w:pPr>
        <w:pStyle w:val="BodyText"/>
        <w:spacing w:line="237" w:lineRule="exact" w:before="2"/>
        <w:ind w:left="3676"/>
      </w:pPr>
      <w:r>
        <w:rPr>
          <w:spacing w:val="-7"/>
        </w:rPr>
        <w:t>③视野半径小于 </w:t>
      </w:r>
      <w:r>
        <w:rPr>
          <w:rFonts w:ascii="Times New Roman" w:hAnsi="Times New Roman" w:eastAsia="Times New Roman"/>
        </w:rPr>
        <w:t>5</w:t>
      </w:r>
      <w:r>
        <w:rPr>
          <w:rFonts w:ascii="Times New Roman" w:hAnsi="Times New Roman" w:eastAsia="Times New Roman"/>
          <w:spacing w:val="-12"/>
        </w:rPr>
        <w:t> </w:t>
      </w:r>
      <w:r>
        <w:rPr>
          <w:spacing w:val="-5"/>
        </w:rPr>
        <w:t>度。</w:t>
      </w:r>
    </w:p>
    <w:p>
      <w:pPr>
        <w:spacing w:line="170" w:lineRule="auto" w:before="47"/>
        <w:ind w:left="3153" w:right="732" w:firstLine="0"/>
        <w:jc w:val="left"/>
        <w:rPr>
          <w:rFonts w:ascii="微软雅黑" w:eastAsia="微软雅黑"/>
          <w:b/>
          <w:sz w:val="21"/>
        </w:rPr>
      </w:pPr>
      <w:r>
        <w:rPr>
          <w:rFonts w:ascii="微软雅黑" w:eastAsia="微软雅黑"/>
          <w:b/>
          <w:spacing w:val="-2"/>
          <w:sz w:val="21"/>
        </w:rPr>
        <w:t>除眼球摘除以外，被保险人申请理赔时年龄必须在三周岁以上，并</w:t>
      </w:r>
      <w:r>
        <w:rPr>
          <w:rFonts w:ascii="微软雅黑" w:eastAsia="微软雅黑"/>
          <w:b/>
          <w:spacing w:val="-2"/>
          <w:sz w:val="21"/>
        </w:rPr>
        <w:t>且提供理赔当时的视力丧失诊断及检查证据。</w:t>
      </w:r>
    </w:p>
    <w:p>
      <w:pPr>
        <w:spacing w:after="0" w:line="170" w:lineRule="auto"/>
        <w:jc w:val="left"/>
        <w:rPr>
          <w:rFonts w:ascii="微软雅黑" w:eastAsia="微软雅黑"/>
          <w:sz w:val="2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s>
        <w:spacing w:line="170" w:lineRule="auto" w:before="91" w:after="0"/>
        <w:ind w:left="1071" w:right="0" w:hanging="850"/>
        <w:jc w:val="left"/>
        <w:rPr>
          <w:rFonts w:ascii="微软雅黑" w:eastAsia="微软雅黑"/>
          <w:b/>
          <w:sz w:val="21"/>
        </w:rPr>
      </w:pPr>
      <w:r>
        <w:rPr>
          <w:rFonts w:ascii="微软雅黑" w:eastAsia="微软雅黑"/>
          <w:b/>
          <w:spacing w:val="19"/>
          <w:sz w:val="21"/>
        </w:rPr>
        <w:t>溶血性链球菌感染</w:t>
      </w:r>
      <w:r>
        <w:rPr>
          <w:rFonts w:ascii="微软雅黑" w:eastAsia="微软雅黑"/>
          <w:b/>
          <w:spacing w:val="-2"/>
          <w:sz w:val="21"/>
        </w:rPr>
        <w:t>引起的坏疽</w:t>
      </w:r>
    </w:p>
    <w:p>
      <w:pPr>
        <w:pStyle w:val="BodyText"/>
        <w:spacing w:line="244" w:lineRule="auto" w:before="78"/>
        <w:ind w:left="175" w:right="729"/>
      </w:pPr>
      <w:r>
        <w:rPr/>
        <w:br w:type="column"/>
      </w:r>
      <w:r>
        <w:rPr>
          <w:spacing w:val="-2"/>
        </w:rPr>
        <w:t>由于急性溶血性链球菌感染导致广泛的皮肤、皮下组织和深层组织</w:t>
      </w:r>
      <w:r>
        <w:rPr>
          <w:spacing w:val="-2"/>
        </w:rPr>
        <w:t>的坏死。必须满足下列所有条件：</w:t>
      </w:r>
    </w:p>
    <w:p>
      <w:pPr>
        <w:pStyle w:val="ListParagraph"/>
        <w:numPr>
          <w:ilvl w:val="0"/>
          <w:numId w:val="99"/>
        </w:numPr>
        <w:tabs>
          <w:tab w:pos="705" w:val="left" w:leader="none"/>
        </w:tabs>
        <w:spacing w:line="265" w:lineRule="exact" w:before="0" w:after="0"/>
        <w:ind w:left="704" w:right="0" w:hanging="530"/>
        <w:jc w:val="left"/>
        <w:rPr>
          <w:sz w:val="21"/>
        </w:rPr>
      </w:pPr>
      <w:r>
        <w:rPr>
          <w:spacing w:val="-3"/>
          <w:sz w:val="21"/>
        </w:rPr>
        <w:t>细菌培养证实致病菌为溶血性链球菌；</w:t>
      </w:r>
    </w:p>
    <w:p>
      <w:pPr>
        <w:pStyle w:val="ListParagraph"/>
        <w:numPr>
          <w:ilvl w:val="0"/>
          <w:numId w:val="99"/>
        </w:numPr>
        <w:tabs>
          <w:tab w:pos="705" w:val="left" w:leader="none"/>
        </w:tabs>
        <w:spacing w:line="240" w:lineRule="auto" w:before="4" w:after="0"/>
        <w:ind w:left="704" w:right="0" w:hanging="530"/>
        <w:jc w:val="left"/>
        <w:rPr>
          <w:sz w:val="21"/>
        </w:rPr>
      </w:pPr>
      <w:r>
        <w:rPr>
          <w:spacing w:val="-2"/>
          <w:sz w:val="21"/>
        </w:rPr>
        <w:t>受感染肢体被截肢（自腕关节或踝关节近端</w:t>
      </w:r>
      <w:r>
        <w:rPr>
          <w:spacing w:val="-108"/>
          <w:sz w:val="21"/>
        </w:rPr>
        <w:t>）</w:t>
      </w:r>
      <w:r>
        <w:rPr>
          <w:spacing w:val="-10"/>
          <w:sz w:val="21"/>
        </w:rPr>
        <w:t>。</w:t>
      </w:r>
    </w:p>
    <w:p>
      <w:pPr>
        <w:spacing w:after="0" w:line="240" w:lineRule="auto"/>
        <w:jc w:val="left"/>
        <w:rPr>
          <w:sz w:val="21"/>
        </w:rPr>
        <w:sectPr>
          <w:pgSz w:w="11910" w:h="16840"/>
          <w:pgMar w:header="0" w:footer="878" w:top="1280" w:bottom="1060" w:left="1480" w:right="440"/>
          <w:cols w:num="2" w:equalWidth="0">
            <w:col w:w="2938" w:space="40"/>
            <w:col w:w="7012"/>
          </w:cols>
        </w:sectPr>
      </w:pPr>
    </w:p>
    <w:p>
      <w:pPr>
        <w:pStyle w:val="BodyText"/>
        <w:spacing w:before="4"/>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器官移植致人类免</w:t>
      </w:r>
    </w:p>
    <w:p>
      <w:pPr>
        <w:spacing w:line="170" w:lineRule="auto" w:before="22"/>
        <w:ind w:left="1071" w:right="0" w:firstLine="0"/>
        <w:jc w:val="left"/>
        <w:rPr>
          <w:rFonts w:ascii="微软雅黑" w:eastAsia="微软雅黑"/>
          <w:b/>
          <w:sz w:val="21"/>
        </w:rPr>
      </w:pPr>
      <w:r>
        <w:rPr>
          <w:rFonts w:ascii="微软雅黑" w:eastAsia="微软雅黑"/>
          <w:b/>
          <w:spacing w:val="-2"/>
          <w:sz w:val="21"/>
        </w:rPr>
        <w:t>疫缺陷病毒</w:t>
      </w:r>
      <w:r>
        <w:rPr>
          <w:rFonts w:ascii="微软雅黑" w:eastAsia="微软雅黑"/>
          <w:b/>
          <w:spacing w:val="-2"/>
          <w:sz w:val="21"/>
        </w:rPr>
        <w:t>（</w:t>
      </w:r>
      <w:r>
        <w:rPr>
          <w:rFonts w:ascii="Times New Roman" w:eastAsia="Times New Roman"/>
          <w:b/>
          <w:spacing w:val="-2"/>
          <w:sz w:val="21"/>
        </w:rPr>
        <w:t>HIV</w:t>
      </w:r>
      <w:r>
        <w:rPr>
          <w:rFonts w:ascii="微软雅黑" w:eastAsia="微软雅黑"/>
          <w:b/>
          <w:spacing w:val="-2"/>
          <w:sz w:val="21"/>
        </w:rPr>
        <w:t>）</w:t>
      </w:r>
      <w:r>
        <w:rPr>
          <w:rFonts w:ascii="微软雅黑" w:eastAsia="微软雅黑"/>
          <w:b/>
          <w:spacing w:val="-6"/>
          <w:sz w:val="21"/>
        </w:rPr>
        <w:t>感染</w:t>
      </w:r>
    </w:p>
    <w:p>
      <w:pPr>
        <w:pStyle w:val="BodyText"/>
        <w:spacing w:line="242" w:lineRule="auto" w:before="100"/>
        <w:ind w:left="166" w:right="729"/>
      </w:pPr>
      <w:r>
        <w:rPr/>
        <w:br w:type="column"/>
      </w:r>
      <w:r>
        <w:rPr>
          <w:spacing w:val="-2"/>
        </w:rPr>
        <w:t>被保险人因接受器官移植感染上人类免疫缺陷病毒（</w:t>
      </w:r>
      <w:r>
        <w:rPr>
          <w:rFonts w:ascii="Times New Roman" w:eastAsia="Times New Roman"/>
          <w:spacing w:val="-2"/>
        </w:rPr>
        <w:t>HIV</w:t>
      </w:r>
      <w:r>
        <w:rPr>
          <w:spacing w:val="-2"/>
        </w:rPr>
        <w:t>）并且满</w:t>
      </w:r>
      <w:r>
        <w:rPr>
          <w:spacing w:val="-2"/>
        </w:rPr>
        <w:t>足下列全部条件：</w:t>
      </w:r>
    </w:p>
    <w:p>
      <w:pPr>
        <w:pStyle w:val="ListParagraph"/>
        <w:numPr>
          <w:ilvl w:val="0"/>
          <w:numId w:val="100"/>
        </w:numPr>
        <w:tabs>
          <w:tab w:pos="696" w:val="left" w:leader="none"/>
        </w:tabs>
        <w:spacing w:line="240" w:lineRule="auto" w:before="1" w:after="0"/>
        <w:ind w:left="695" w:right="0" w:hanging="530"/>
        <w:jc w:val="left"/>
        <w:rPr>
          <w:sz w:val="21"/>
        </w:rPr>
      </w:pPr>
      <w:r>
        <w:rPr>
          <w:sz w:val="21"/>
        </w:rPr>
        <w:t>在等待期后，被保险人接受器官移植，并因此感染</w:t>
      </w:r>
      <w:r>
        <w:rPr>
          <w:rFonts w:ascii="Times New Roman" w:eastAsia="Times New Roman"/>
          <w:spacing w:val="-4"/>
          <w:sz w:val="21"/>
        </w:rPr>
        <w:t>HIV</w:t>
      </w:r>
      <w:r>
        <w:rPr>
          <w:spacing w:val="-4"/>
          <w:sz w:val="21"/>
        </w:rPr>
        <w:t>；</w:t>
      </w:r>
    </w:p>
    <w:p>
      <w:pPr>
        <w:pStyle w:val="ListParagraph"/>
        <w:numPr>
          <w:ilvl w:val="0"/>
          <w:numId w:val="100"/>
        </w:numPr>
        <w:tabs>
          <w:tab w:pos="696" w:val="left" w:leader="none"/>
        </w:tabs>
        <w:spacing w:line="240" w:lineRule="auto" w:before="2" w:after="0"/>
        <w:ind w:left="695" w:right="0" w:hanging="530"/>
        <w:jc w:val="left"/>
        <w:rPr>
          <w:sz w:val="21"/>
        </w:rPr>
      </w:pPr>
      <w:r>
        <w:rPr>
          <w:spacing w:val="-3"/>
          <w:sz w:val="21"/>
        </w:rPr>
        <w:t>实施器官移植的医院为三级医院；</w:t>
      </w:r>
    </w:p>
    <w:p>
      <w:pPr>
        <w:pStyle w:val="ListParagraph"/>
        <w:numPr>
          <w:ilvl w:val="0"/>
          <w:numId w:val="100"/>
        </w:numPr>
        <w:tabs>
          <w:tab w:pos="696" w:val="left" w:leader="none"/>
        </w:tabs>
        <w:spacing w:line="240" w:lineRule="auto" w:before="5" w:after="0"/>
        <w:ind w:left="695" w:right="0" w:hanging="530"/>
        <w:jc w:val="left"/>
        <w:rPr>
          <w:sz w:val="21"/>
        </w:rPr>
      </w:pPr>
      <w:r>
        <w:rPr>
          <w:spacing w:val="-3"/>
          <w:sz w:val="21"/>
        </w:rPr>
        <w:t>实施移植医院出具具有法律效力的证明确认移植器官来自</w:t>
      </w:r>
    </w:p>
    <w:p>
      <w:pPr>
        <w:pStyle w:val="BodyText"/>
        <w:spacing w:line="237" w:lineRule="exact" w:before="2"/>
        <w:ind w:left="691"/>
      </w:pPr>
      <w:r>
        <w:rPr>
          <w:rFonts w:ascii="Times New Roman" w:eastAsia="Times New Roman"/>
        </w:rPr>
        <w:t>HIV</w:t>
      </w:r>
      <w:r>
        <w:rPr>
          <w:rFonts w:ascii="Times New Roman" w:eastAsia="Times New Roman"/>
          <w:spacing w:val="-9"/>
        </w:rPr>
        <w:t> </w:t>
      </w:r>
      <w:r>
        <w:rPr>
          <w:spacing w:val="-3"/>
        </w:rPr>
        <w:t>感染者。</w:t>
      </w:r>
    </w:p>
    <w:p>
      <w:pPr>
        <w:spacing w:line="168" w:lineRule="auto" w:before="51"/>
        <w:ind w:left="166" w:right="732" w:firstLine="0"/>
        <w:jc w:val="both"/>
        <w:rPr>
          <w:rFonts w:ascii="微软雅黑" w:eastAsia="微软雅黑"/>
          <w:b/>
          <w:sz w:val="21"/>
        </w:rPr>
      </w:pPr>
      <w:r>
        <w:rPr>
          <w:rFonts w:ascii="微软雅黑" w:eastAsia="微软雅黑"/>
          <w:b/>
          <w:sz w:val="21"/>
        </w:rPr>
        <w:t>在任何治愈艾滋病（</w:t>
      </w:r>
      <w:r>
        <w:rPr>
          <w:rFonts w:ascii="Times New Roman" w:eastAsia="Times New Roman"/>
          <w:b/>
          <w:sz w:val="21"/>
        </w:rPr>
        <w:t>AIDS</w:t>
      </w:r>
      <w:r>
        <w:rPr>
          <w:rFonts w:ascii="微软雅黑" w:eastAsia="微软雅黑"/>
          <w:b/>
          <w:sz w:val="21"/>
        </w:rPr>
        <w:t>）或阻止 </w:t>
      </w:r>
      <w:r>
        <w:rPr>
          <w:rFonts w:ascii="Times New Roman" w:eastAsia="Times New Roman"/>
          <w:b/>
          <w:sz w:val="21"/>
        </w:rPr>
        <w:t>HIV </w:t>
      </w:r>
      <w:r>
        <w:rPr>
          <w:rFonts w:ascii="微软雅黑" w:eastAsia="微软雅黑"/>
          <w:b/>
          <w:sz w:val="21"/>
        </w:rPr>
        <w:t>病毒作用的疗法被发现以</w:t>
      </w:r>
      <w:r>
        <w:rPr>
          <w:rFonts w:ascii="微软雅黑" w:eastAsia="微软雅黑"/>
          <w:b/>
          <w:spacing w:val="-2"/>
          <w:sz w:val="21"/>
        </w:rPr>
        <w:t>后，或能防止 </w:t>
      </w:r>
      <w:r>
        <w:rPr>
          <w:rFonts w:ascii="Times New Roman" w:eastAsia="Times New Roman"/>
          <w:b/>
          <w:sz w:val="21"/>
        </w:rPr>
        <w:t>AIDS</w:t>
      </w:r>
      <w:r>
        <w:rPr>
          <w:rFonts w:ascii="Times New Roman" w:eastAsia="Times New Roman"/>
          <w:b/>
          <w:spacing w:val="-3"/>
          <w:sz w:val="21"/>
        </w:rPr>
        <w:t> </w:t>
      </w:r>
      <w:r>
        <w:rPr>
          <w:rFonts w:ascii="微软雅黑" w:eastAsia="微软雅黑"/>
          <w:b/>
          <w:sz w:val="21"/>
        </w:rPr>
        <w:t>发生的医疗方法被研究出来以后，本保障将不</w:t>
      </w:r>
      <w:r>
        <w:rPr>
          <w:rFonts w:ascii="微软雅黑" w:eastAsia="微软雅黑"/>
          <w:b/>
          <w:spacing w:val="-2"/>
          <w:sz w:val="21"/>
        </w:rPr>
        <w:t>再予以赔付。</w:t>
      </w:r>
    </w:p>
    <w:p>
      <w:pPr>
        <w:spacing w:after="0" w:line="168" w:lineRule="auto"/>
        <w:jc w:val="both"/>
        <w:rPr>
          <w:rFonts w:ascii="微软雅黑" w:eastAsia="微软雅黑"/>
          <w:sz w:val="21"/>
        </w:rPr>
        <w:sectPr>
          <w:type w:val="continuous"/>
          <w:pgSz w:w="11910" w:h="16840"/>
          <w:pgMar w:header="0" w:footer="878" w:top="160" w:bottom="280" w:left="1480" w:right="440"/>
          <w:cols w:num="2" w:equalWidth="0">
            <w:col w:w="2947" w:space="40"/>
            <w:col w:w="7003"/>
          </w:cols>
        </w:sectPr>
      </w:pPr>
    </w:p>
    <w:p>
      <w:pPr>
        <w:pStyle w:val="BodyText"/>
        <w:spacing w:before="3"/>
        <w:ind w:left="0"/>
        <w:rPr>
          <w:rFonts w:ascii="微软雅黑"/>
          <w:b/>
          <w:sz w:val="7"/>
        </w:rPr>
      </w:pPr>
    </w:p>
    <w:p>
      <w:pPr>
        <w:pStyle w:val="ListParagraph"/>
        <w:numPr>
          <w:ilvl w:val="1"/>
          <w:numId w:val="92"/>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埃博拉病毒感</w:t>
      </w:r>
      <w:r>
        <w:rPr>
          <w:rFonts w:ascii="微软雅黑" w:eastAsia="微软雅黑"/>
          <w:b/>
          <w:spacing w:val="-10"/>
          <w:sz w:val="21"/>
        </w:rPr>
        <w:t>染</w:t>
      </w:r>
      <w:r>
        <w:rPr>
          <w:rFonts w:ascii="微软雅黑" w:eastAsia="微软雅黑"/>
          <w:b/>
          <w:sz w:val="21"/>
        </w:rPr>
        <w:tab/>
      </w:r>
      <w:r>
        <w:rPr>
          <w:spacing w:val="-2"/>
          <w:sz w:val="21"/>
        </w:rPr>
        <w:t>指</w:t>
      </w:r>
      <w:r>
        <w:rPr>
          <w:spacing w:val="-2"/>
          <w:sz w:val="21"/>
        </w:rPr>
        <w:t>埃</w:t>
      </w:r>
      <w:r>
        <w:rPr>
          <w:spacing w:val="-2"/>
          <w:sz w:val="21"/>
        </w:rPr>
        <w:t>博</w:t>
      </w:r>
      <w:r>
        <w:rPr>
          <w:spacing w:val="-2"/>
          <w:sz w:val="21"/>
        </w:rPr>
        <w:t>拉</w:t>
      </w:r>
      <w:r>
        <w:rPr>
          <w:spacing w:val="-2"/>
          <w:sz w:val="21"/>
        </w:rPr>
        <w:t>病</w:t>
      </w:r>
      <w:r>
        <w:rPr>
          <w:spacing w:val="-2"/>
          <w:sz w:val="21"/>
        </w:rPr>
        <w:t>毒感染</w:t>
      </w:r>
      <w:r>
        <w:rPr>
          <w:spacing w:val="-2"/>
          <w:sz w:val="21"/>
        </w:rPr>
        <w:t>导</w:t>
      </w:r>
      <w:r>
        <w:rPr>
          <w:spacing w:val="-2"/>
          <w:sz w:val="21"/>
        </w:rPr>
        <w:t>致</w:t>
      </w:r>
      <w:r>
        <w:rPr>
          <w:spacing w:val="-2"/>
          <w:sz w:val="21"/>
        </w:rPr>
        <w:t>的</w:t>
      </w:r>
      <w:r>
        <w:rPr>
          <w:spacing w:val="-2"/>
          <w:sz w:val="21"/>
        </w:rPr>
        <w:t>急</w:t>
      </w:r>
      <w:r>
        <w:rPr>
          <w:spacing w:val="-2"/>
          <w:sz w:val="21"/>
        </w:rPr>
        <w:t>性</w:t>
      </w:r>
      <w:r>
        <w:rPr>
          <w:spacing w:val="-2"/>
          <w:sz w:val="21"/>
        </w:rPr>
        <w:t>出</w:t>
      </w:r>
      <w:r>
        <w:rPr>
          <w:spacing w:val="-2"/>
          <w:sz w:val="21"/>
        </w:rPr>
        <w:t>血</w:t>
      </w:r>
      <w:r>
        <w:rPr>
          <w:spacing w:val="-2"/>
          <w:sz w:val="21"/>
        </w:rPr>
        <w:t>性</w:t>
      </w:r>
      <w:r>
        <w:rPr>
          <w:spacing w:val="-2"/>
          <w:sz w:val="21"/>
        </w:rPr>
        <w:t>传染病</w:t>
      </w:r>
      <w:r>
        <w:rPr>
          <w:spacing w:val="-2"/>
          <w:sz w:val="21"/>
        </w:rPr>
        <w:t>。</w:t>
      </w:r>
      <w:r>
        <w:rPr>
          <w:spacing w:val="-2"/>
          <w:sz w:val="21"/>
        </w:rPr>
        <w:t>埃</w:t>
      </w:r>
      <w:r>
        <w:rPr>
          <w:spacing w:val="-2"/>
          <w:sz w:val="21"/>
        </w:rPr>
        <w:t>博</w:t>
      </w:r>
      <w:r>
        <w:rPr>
          <w:spacing w:val="-2"/>
          <w:sz w:val="21"/>
        </w:rPr>
        <w:t>拉</w:t>
      </w:r>
      <w:r>
        <w:rPr>
          <w:spacing w:val="-2"/>
          <w:sz w:val="21"/>
        </w:rPr>
        <w:t>病</w:t>
      </w:r>
      <w:r>
        <w:rPr>
          <w:spacing w:val="-2"/>
          <w:sz w:val="21"/>
        </w:rPr>
        <w:t>毒</w:t>
      </w:r>
      <w:r>
        <w:rPr>
          <w:spacing w:val="-2"/>
          <w:sz w:val="21"/>
        </w:rPr>
        <w:t>病</w:t>
      </w:r>
      <w:r>
        <w:rPr>
          <w:spacing w:val="-2"/>
          <w:sz w:val="21"/>
        </w:rPr>
        <w:t>必</w:t>
      </w:r>
      <w:r>
        <w:rPr>
          <w:spacing w:val="-2"/>
          <w:sz w:val="21"/>
        </w:rPr>
        <w:t>须</w:t>
      </w:r>
      <w:r>
        <w:rPr>
          <w:spacing w:val="-10"/>
          <w:sz w:val="21"/>
        </w:rPr>
        <w:t>经</w:t>
      </w:r>
    </w:p>
    <w:p>
      <w:pPr>
        <w:pStyle w:val="BodyText"/>
        <w:spacing w:line="245" w:lineRule="exact"/>
      </w:pPr>
      <w:r>
        <w:rPr>
          <w:spacing w:val="-3"/>
        </w:rPr>
        <w:t>国家认可的有合法资质的传染病专家确诊并且上报国家疾病控制中</w:t>
      </w:r>
    </w:p>
    <w:p>
      <w:pPr>
        <w:pStyle w:val="BodyText"/>
        <w:spacing w:before="2"/>
      </w:pPr>
      <w:r>
        <w:rPr>
          <w:spacing w:val="-3"/>
        </w:rPr>
        <w:t>心接受了隔离和治疗，必须满足下列所有条件：</w:t>
      </w:r>
    </w:p>
    <w:p>
      <w:pPr>
        <w:pStyle w:val="ListParagraph"/>
        <w:numPr>
          <w:ilvl w:val="0"/>
          <w:numId w:val="101"/>
        </w:numPr>
        <w:tabs>
          <w:tab w:pos="3682" w:val="left" w:leader="none"/>
        </w:tabs>
        <w:spacing w:line="240" w:lineRule="auto" w:before="5" w:after="0"/>
        <w:ind w:left="3682" w:right="0" w:hanging="529"/>
        <w:jc w:val="left"/>
        <w:rPr>
          <w:sz w:val="21"/>
        </w:rPr>
      </w:pPr>
      <w:r>
        <w:rPr>
          <w:spacing w:val="-3"/>
          <w:sz w:val="21"/>
        </w:rPr>
        <w:t>实验室检查证据证实存在埃博拉病毒感染；</w:t>
      </w:r>
    </w:p>
    <w:p>
      <w:pPr>
        <w:pStyle w:val="ListParagraph"/>
        <w:numPr>
          <w:ilvl w:val="0"/>
          <w:numId w:val="101"/>
        </w:numPr>
        <w:tabs>
          <w:tab w:pos="3682" w:val="left" w:leader="none"/>
        </w:tabs>
        <w:spacing w:line="238" w:lineRule="exact" w:before="2" w:after="0"/>
        <w:ind w:left="3682" w:right="0" w:hanging="529"/>
        <w:jc w:val="left"/>
        <w:rPr>
          <w:sz w:val="21"/>
        </w:rPr>
      </w:pPr>
      <w:r>
        <w:rPr>
          <w:spacing w:val="-12"/>
          <w:sz w:val="21"/>
        </w:rPr>
        <w:t>存在持续 </w:t>
      </w:r>
      <w:r>
        <w:rPr>
          <w:rFonts w:ascii="Times New Roman" w:eastAsia="Times New Roman"/>
          <w:spacing w:val="-2"/>
          <w:sz w:val="21"/>
        </w:rPr>
        <w:t>30</w:t>
      </w:r>
      <w:r>
        <w:rPr>
          <w:rFonts w:ascii="Times New Roman" w:eastAsia="Times New Roman"/>
          <w:spacing w:val="8"/>
          <w:sz w:val="21"/>
        </w:rPr>
        <w:t> </w:t>
      </w:r>
      <w:r>
        <w:rPr>
          <w:spacing w:val="-3"/>
          <w:sz w:val="21"/>
        </w:rPr>
        <w:t>天以上广泛出血的临床表现。</w:t>
      </w:r>
    </w:p>
    <w:p>
      <w:pPr>
        <w:spacing w:line="168" w:lineRule="auto" w:before="52"/>
        <w:ind w:left="3153" w:right="725" w:firstLine="0"/>
        <w:jc w:val="left"/>
        <w:rPr>
          <w:rFonts w:ascii="微软雅黑" w:eastAsia="微软雅黑"/>
          <w:b/>
          <w:sz w:val="21"/>
        </w:rPr>
      </w:pPr>
      <w:r>
        <w:rPr>
          <w:rFonts w:ascii="微软雅黑" w:eastAsia="微软雅黑"/>
          <w:b/>
          <w:spacing w:val="4"/>
          <w:w w:val="100"/>
          <w:sz w:val="21"/>
        </w:rPr>
        <w:t>埃博拉病毒感染疑似病例，在确诊之前已经死亡的不在保障范围</w:t>
      </w:r>
      <w:r>
        <w:rPr>
          <w:rFonts w:ascii="微软雅黑" w:eastAsia="微软雅黑"/>
          <w:b/>
          <w:w w:val="100"/>
          <w:sz w:val="21"/>
        </w:rPr>
        <w:t>内。</w:t>
      </w:r>
    </w:p>
    <w:p>
      <w:pPr>
        <w:pStyle w:val="ListParagraph"/>
        <w:numPr>
          <w:ilvl w:val="1"/>
          <w:numId w:val="92"/>
        </w:numPr>
        <w:tabs>
          <w:tab w:pos="849" w:val="left" w:leader="none"/>
          <w:tab w:pos="1072" w:val="left" w:leader="none"/>
          <w:tab w:pos="2930" w:val="left" w:leader="none"/>
        </w:tabs>
        <w:spacing w:line="364" w:lineRule="exact" w:before="159" w:after="0"/>
        <w:ind w:left="1071" w:right="729" w:hanging="1072"/>
        <w:jc w:val="right"/>
        <w:rPr>
          <w:sz w:val="21"/>
        </w:rPr>
      </w:pPr>
      <w:r>
        <w:rPr>
          <w:rFonts w:ascii="微软雅黑" w:eastAsia="微软雅黑"/>
          <w:b/>
          <w:sz w:val="21"/>
        </w:rPr>
        <w:t>终末期疾</w:t>
      </w:r>
      <w:r>
        <w:rPr>
          <w:rFonts w:ascii="微软雅黑" w:eastAsia="微软雅黑"/>
          <w:b/>
          <w:spacing w:val="-10"/>
          <w:sz w:val="21"/>
        </w:rPr>
        <w:t>病</w:t>
      </w:r>
      <w:r>
        <w:rPr>
          <w:rFonts w:ascii="微软雅黑" w:eastAsia="微软雅黑"/>
          <w:b/>
          <w:sz w:val="21"/>
        </w:rPr>
        <w:tab/>
      </w:r>
      <w:r>
        <w:rPr>
          <w:spacing w:val="-2"/>
          <w:sz w:val="21"/>
        </w:rPr>
        <w:t>被</w:t>
      </w:r>
      <w:r>
        <w:rPr>
          <w:spacing w:val="-2"/>
          <w:sz w:val="21"/>
        </w:rPr>
        <w:t>保</w:t>
      </w:r>
      <w:r>
        <w:rPr>
          <w:spacing w:val="-2"/>
          <w:sz w:val="21"/>
        </w:rPr>
        <w:t>险人被三级医</w:t>
      </w:r>
      <w:r>
        <w:rPr>
          <w:spacing w:val="-2"/>
          <w:sz w:val="21"/>
        </w:rPr>
        <w:t>院</w:t>
      </w:r>
      <w:r>
        <w:rPr>
          <w:spacing w:val="-2"/>
          <w:sz w:val="21"/>
        </w:rPr>
        <w:t>确</w:t>
      </w:r>
      <w:r>
        <w:rPr>
          <w:spacing w:val="-2"/>
          <w:sz w:val="21"/>
        </w:rPr>
        <w:t>诊</w:t>
      </w:r>
      <w:r>
        <w:rPr>
          <w:spacing w:val="-2"/>
          <w:sz w:val="21"/>
        </w:rPr>
        <w:t>为</w:t>
      </w:r>
      <w:r>
        <w:rPr>
          <w:spacing w:val="-2"/>
          <w:sz w:val="21"/>
        </w:rPr>
        <w:t>疾</w:t>
      </w:r>
      <w:r>
        <w:rPr>
          <w:spacing w:val="-2"/>
          <w:sz w:val="21"/>
        </w:rPr>
        <w:t>病</w:t>
      </w:r>
      <w:r>
        <w:rPr>
          <w:spacing w:val="-2"/>
          <w:sz w:val="21"/>
        </w:rPr>
        <w:t>的</w:t>
      </w:r>
      <w:r>
        <w:rPr>
          <w:spacing w:val="-2"/>
          <w:sz w:val="21"/>
        </w:rPr>
        <w:t>终</w:t>
      </w:r>
      <w:r>
        <w:rPr>
          <w:spacing w:val="-2"/>
          <w:sz w:val="21"/>
        </w:rPr>
        <w:t>末期状</w:t>
      </w:r>
      <w:r>
        <w:rPr>
          <w:spacing w:val="-2"/>
          <w:sz w:val="21"/>
        </w:rPr>
        <w:t>态</w:t>
      </w:r>
      <w:r>
        <w:rPr>
          <w:spacing w:val="-2"/>
          <w:sz w:val="21"/>
        </w:rPr>
        <w:t>。</w:t>
      </w:r>
      <w:r>
        <w:rPr>
          <w:spacing w:val="-2"/>
          <w:sz w:val="21"/>
        </w:rPr>
        <w:t>疾</w:t>
      </w:r>
      <w:r>
        <w:rPr>
          <w:spacing w:val="-2"/>
          <w:sz w:val="21"/>
        </w:rPr>
        <w:t>病</w:t>
      </w:r>
      <w:r>
        <w:rPr>
          <w:spacing w:val="-2"/>
          <w:sz w:val="21"/>
        </w:rPr>
        <w:t>已</w:t>
      </w:r>
      <w:r>
        <w:rPr>
          <w:spacing w:val="-2"/>
          <w:sz w:val="21"/>
        </w:rPr>
        <w:t>经</w:t>
      </w:r>
      <w:r>
        <w:rPr>
          <w:spacing w:val="-2"/>
          <w:sz w:val="21"/>
        </w:rPr>
        <w:t>无</w:t>
      </w:r>
      <w:r>
        <w:rPr>
          <w:spacing w:val="-2"/>
          <w:sz w:val="21"/>
        </w:rPr>
        <w:t>法</w:t>
      </w:r>
      <w:r>
        <w:rPr>
          <w:spacing w:val="-2"/>
          <w:sz w:val="21"/>
        </w:rPr>
        <w:t>以</w:t>
      </w:r>
      <w:r>
        <w:rPr>
          <w:spacing w:val="-10"/>
          <w:sz w:val="21"/>
        </w:rPr>
        <w:t>现</w:t>
      </w:r>
    </w:p>
    <w:p>
      <w:pPr>
        <w:pStyle w:val="BodyText"/>
        <w:spacing w:line="246" w:lineRule="exact"/>
        <w:ind w:left="0" w:right="729"/>
        <w:jc w:val="right"/>
      </w:pPr>
      <w:r>
        <w:rPr>
          <w:spacing w:val="-3"/>
        </w:rPr>
        <w:t>有的医疗技术医治缓解，并且根据临床医学经验判断被保险人将于</w:t>
      </w:r>
    </w:p>
    <w:p>
      <w:pPr>
        <w:pStyle w:val="BodyText"/>
        <w:spacing w:line="242" w:lineRule="auto" w:before="2"/>
        <w:ind w:right="725"/>
        <w:jc w:val="both"/>
      </w:pPr>
      <w:r>
        <w:rPr>
          <w:spacing w:val="-3"/>
          <w:w w:val="100"/>
        </w:rPr>
        <w:t>未来六个月内死亡。在家属及患者的要求和医师的同意下积极治疗已被放弃，所有治疗措施仅以减轻患者痛苦为目的。此疾病状态必</w:t>
      </w:r>
      <w:r>
        <w:rPr>
          <w:spacing w:val="4"/>
          <w:w w:val="100"/>
        </w:rPr>
        <w:t>须在被保险人生前已经确诊并且具有医疗证明文件和临床检查依</w:t>
      </w:r>
      <w:r>
        <w:rPr>
          <w:w w:val="100"/>
        </w:rPr>
        <w:t>据。</w:t>
      </w:r>
    </w:p>
    <w:p>
      <w:pPr>
        <w:pStyle w:val="ListParagraph"/>
        <w:numPr>
          <w:ilvl w:val="1"/>
          <w:numId w:val="92"/>
        </w:numPr>
        <w:tabs>
          <w:tab w:pos="849" w:val="left" w:leader="none"/>
          <w:tab w:pos="1072" w:val="left" w:leader="none"/>
          <w:tab w:pos="2930" w:val="left" w:leader="none"/>
        </w:tabs>
        <w:spacing w:line="329" w:lineRule="exact" w:before="179" w:after="0"/>
        <w:ind w:left="1071" w:right="729" w:hanging="1072"/>
        <w:jc w:val="right"/>
        <w:rPr>
          <w:sz w:val="21"/>
        </w:rPr>
      </w:pPr>
      <w:r>
        <w:rPr>
          <w:rFonts w:ascii="微软雅黑" w:eastAsia="微软雅黑"/>
          <w:b/>
          <w:sz w:val="21"/>
        </w:rPr>
        <w:t>严重川崎</w:t>
      </w:r>
      <w:r>
        <w:rPr>
          <w:rFonts w:ascii="微软雅黑" w:eastAsia="微软雅黑"/>
          <w:b/>
          <w:spacing w:val="-10"/>
          <w:sz w:val="21"/>
        </w:rPr>
        <w:t>病</w:t>
      </w:r>
      <w:r>
        <w:rPr>
          <w:rFonts w:ascii="微软雅黑" w:eastAsia="微软雅黑"/>
          <w:b/>
          <w:sz w:val="21"/>
        </w:rPr>
        <w:tab/>
      </w:r>
      <w:r>
        <w:rPr>
          <w:spacing w:val="-4"/>
          <w:sz w:val="21"/>
        </w:rPr>
        <w:t>川</w:t>
      </w:r>
      <w:r>
        <w:rPr>
          <w:spacing w:val="-4"/>
          <w:sz w:val="21"/>
        </w:rPr>
        <w:t>崎</w:t>
      </w:r>
      <w:r>
        <w:rPr>
          <w:spacing w:val="-4"/>
          <w:sz w:val="21"/>
        </w:rPr>
        <w:t>病（又称皮肤粘膜淋</w:t>
      </w:r>
      <w:r>
        <w:rPr>
          <w:spacing w:val="-4"/>
          <w:sz w:val="21"/>
        </w:rPr>
        <w:t>巴</w:t>
      </w:r>
      <w:r>
        <w:rPr>
          <w:spacing w:val="-4"/>
          <w:sz w:val="21"/>
        </w:rPr>
        <w:t>结</w:t>
      </w:r>
      <w:r>
        <w:rPr>
          <w:spacing w:val="-4"/>
          <w:sz w:val="21"/>
        </w:rPr>
        <w:t>综合征</w:t>
      </w:r>
      <w:r>
        <w:rPr>
          <w:spacing w:val="-70"/>
          <w:sz w:val="21"/>
        </w:rPr>
        <w:t>），</w:t>
      </w:r>
      <w:r>
        <w:rPr>
          <w:spacing w:val="-4"/>
          <w:sz w:val="21"/>
        </w:rPr>
        <w:t>指以皮肤粘</w:t>
      </w:r>
      <w:r>
        <w:rPr>
          <w:spacing w:val="-4"/>
          <w:sz w:val="21"/>
        </w:rPr>
        <w:t>膜</w:t>
      </w:r>
      <w:r>
        <w:rPr>
          <w:spacing w:val="-4"/>
          <w:sz w:val="21"/>
        </w:rPr>
        <w:t>出</w:t>
      </w:r>
      <w:r>
        <w:rPr>
          <w:spacing w:val="-4"/>
          <w:sz w:val="21"/>
        </w:rPr>
        <w:t>疹、淋</w:t>
      </w:r>
      <w:r>
        <w:rPr>
          <w:spacing w:val="-4"/>
          <w:sz w:val="21"/>
        </w:rPr>
        <w:t>巴</w:t>
      </w:r>
      <w:r>
        <w:rPr>
          <w:spacing w:val="-10"/>
          <w:sz w:val="21"/>
        </w:rPr>
        <w:t>结</w:t>
      </w:r>
    </w:p>
    <w:p>
      <w:pPr>
        <w:spacing w:line="168" w:lineRule="auto" w:before="25"/>
        <w:ind w:left="3153" w:right="725" w:firstLine="0"/>
        <w:jc w:val="both"/>
        <w:rPr>
          <w:rFonts w:ascii="微软雅黑" w:eastAsia="微软雅黑"/>
          <w:b/>
          <w:sz w:val="21"/>
        </w:rPr>
      </w:pPr>
      <w:r>
        <w:rPr>
          <w:spacing w:val="-3"/>
          <w:w w:val="100"/>
          <w:sz w:val="21"/>
        </w:rPr>
        <w:t>肿大和多发性动脉炎为特点的小儿急性发热性疾病。</w:t>
      </w:r>
      <w:r>
        <w:rPr>
          <w:rFonts w:ascii="微软雅黑" w:eastAsia="微软雅黑"/>
          <w:b/>
          <w:w w:val="100"/>
          <w:sz w:val="21"/>
        </w:rPr>
        <w:t>本合同仅对经</w:t>
      </w:r>
      <w:r>
        <w:rPr>
          <w:rFonts w:ascii="微软雅黑" w:eastAsia="微软雅黑"/>
          <w:b/>
          <w:spacing w:val="-4"/>
          <w:w w:val="100"/>
          <w:sz w:val="21"/>
        </w:rPr>
        <w:t>诊断证实为川崎病且并发冠状动脉瘤或其他心血管异常，且实际接</w:t>
      </w:r>
      <w:r>
        <w:rPr>
          <w:rFonts w:ascii="微软雅黑" w:eastAsia="微软雅黑"/>
          <w:b/>
          <w:spacing w:val="3"/>
          <w:w w:val="100"/>
          <w:sz w:val="21"/>
        </w:rPr>
        <w:t>受了针对动脉瘤或其他心血管异常而进行外科手术治疗的情况予</w:t>
      </w:r>
      <w:r>
        <w:rPr>
          <w:rFonts w:ascii="微软雅黑" w:eastAsia="微软雅黑"/>
          <w:b/>
          <w:w w:val="100"/>
          <w:sz w:val="21"/>
        </w:rPr>
        <w:t>以理赔。</w:t>
      </w:r>
    </w:p>
    <w:p>
      <w:pPr>
        <w:pStyle w:val="BodyText"/>
        <w:spacing w:before="3"/>
        <w:ind w:left="0"/>
        <w:rPr>
          <w:rFonts w:ascii="微软雅黑"/>
          <w:b/>
          <w:sz w:val="7"/>
        </w:rPr>
      </w:pPr>
    </w:p>
    <w:p>
      <w:pPr>
        <w:spacing w:after="0"/>
        <w:rPr>
          <w:rFonts w:ascii="微软雅黑"/>
          <w:sz w:val="7"/>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pacing w:val="18"/>
          <w:sz w:val="21"/>
        </w:rPr>
        <w:t>湿性老年性黄斑变</w:t>
      </w:r>
    </w:p>
    <w:p>
      <w:pPr>
        <w:spacing w:line="329" w:lineRule="exact" w:before="0"/>
        <w:ind w:left="1071" w:right="0" w:firstLine="0"/>
        <w:jc w:val="left"/>
        <w:rPr>
          <w:rFonts w:ascii="微软雅黑" w:eastAsia="微软雅黑"/>
          <w:b/>
          <w:sz w:val="21"/>
        </w:rPr>
      </w:pPr>
      <w:r>
        <w:rPr>
          <w:rFonts w:ascii="微软雅黑" w:eastAsia="微软雅黑"/>
          <w:b/>
          <w:w w:val="100"/>
          <w:sz w:val="21"/>
        </w:rPr>
        <w:t>性</w:t>
      </w:r>
    </w:p>
    <w:p>
      <w:pPr>
        <w:pStyle w:val="BodyText"/>
        <w:spacing w:line="242" w:lineRule="auto" w:before="100"/>
        <w:ind w:left="175" w:right="729"/>
        <w:jc w:val="both"/>
      </w:pPr>
      <w:r>
        <w:rPr/>
        <w:br w:type="column"/>
      </w:r>
      <w:r>
        <w:rPr>
          <w:spacing w:val="-2"/>
        </w:rPr>
        <w:t>是一种与年龄老化相关的渗出性黄斑部变性。黄斑部视网膜下脉络</w:t>
      </w:r>
      <w:r>
        <w:rPr>
          <w:spacing w:val="-2"/>
        </w:rPr>
        <w:t>膜异常新生血管生长，造成渗出、出血、盘状瘢痕形成，引起中心</w:t>
      </w:r>
      <w:r>
        <w:rPr>
          <w:spacing w:val="-2"/>
        </w:rPr>
        <w:t>视力进行性下降甚至丧失。必须满足下列所有条件：</w:t>
      </w:r>
    </w:p>
    <w:p>
      <w:pPr>
        <w:pStyle w:val="ListParagraph"/>
        <w:numPr>
          <w:ilvl w:val="0"/>
          <w:numId w:val="102"/>
        </w:numPr>
        <w:tabs>
          <w:tab w:pos="705" w:val="left" w:leader="none"/>
        </w:tabs>
        <w:spacing w:line="244" w:lineRule="auto" w:before="1" w:after="0"/>
        <w:ind w:left="701" w:right="842" w:hanging="526"/>
        <w:jc w:val="left"/>
        <w:rPr>
          <w:sz w:val="21"/>
        </w:rPr>
      </w:pPr>
      <w:r>
        <w:rPr>
          <w:spacing w:val="-2"/>
          <w:sz w:val="21"/>
        </w:rPr>
        <w:t>湿性黄斑变性经光学相干断层成像（</w:t>
      </w:r>
      <w:r>
        <w:rPr>
          <w:rFonts w:ascii="Times New Roman" w:eastAsia="Times New Roman"/>
          <w:spacing w:val="-2"/>
          <w:sz w:val="21"/>
        </w:rPr>
        <w:t>OCT</w:t>
      </w:r>
      <w:r>
        <w:rPr>
          <w:spacing w:val="-2"/>
          <w:sz w:val="21"/>
        </w:rPr>
        <w:t>）和眼底荧光血管</w:t>
      </w:r>
      <w:r>
        <w:rPr>
          <w:spacing w:val="-2"/>
          <w:sz w:val="21"/>
        </w:rPr>
        <w:t>造影明确诊断；</w:t>
      </w:r>
    </w:p>
    <w:p>
      <w:pPr>
        <w:pStyle w:val="ListParagraph"/>
        <w:numPr>
          <w:ilvl w:val="0"/>
          <w:numId w:val="102"/>
        </w:numPr>
        <w:tabs>
          <w:tab w:pos="705" w:val="left" w:leader="none"/>
        </w:tabs>
        <w:spacing w:line="265" w:lineRule="exact" w:before="0" w:after="0"/>
        <w:ind w:left="704" w:right="0" w:hanging="530"/>
        <w:jc w:val="left"/>
        <w:rPr>
          <w:sz w:val="21"/>
        </w:rPr>
      </w:pPr>
      <w:r>
        <w:rPr>
          <w:spacing w:val="-19"/>
          <w:sz w:val="21"/>
        </w:rPr>
        <w:t>年龄 </w:t>
      </w:r>
      <w:r>
        <w:rPr>
          <w:rFonts w:ascii="Times New Roman" w:eastAsia="Times New Roman"/>
          <w:sz w:val="21"/>
        </w:rPr>
        <w:t>50</w:t>
      </w:r>
      <w:r>
        <w:rPr>
          <w:rFonts w:ascii="Times New Roman" w:eastAsia="Times New Roman"/>
          <w:spacing w:val="-9"/>
          <w:sz w:val="21"/>
        </w:rPr>
        <w:t> </w:t>
      </w:r>
      <w:r>
        <w:rPr>
          <w:sz w:val="21"/>
        </w:rPr>
        <w:t>岁以上（含</w:t>
      </w:r>
      <w:r>
        <w:rPr>
          <w:spacing w:val="-113"/>
          <w:sz w:val="21"/>
        </w:rPr>
        <w:t>）</w:t>
      </w:r>
      <w:r>
        <w:rPr>
          <w:spacing w:val="-5"/>
          <w:sz w:val="21"/>
        </w:rPr>
        <w:t>；</w:t>
      </w:r>
    </w:p>
    <w:p>
      <w:pPr>
        <w:pStyle w:val="ListParagraph"/>
        <w:numPr>
          <w:ilvl w:val="0"/>
          <w:numId w:val="102"/>
        </w:numPr>
        <w:tabs>
          <w:tab w:pos="705" w:val="left" w:leader="none"/>
        </w:tabs>
        <w:spacing w:line="240" w:lineRule="auto" w:before="4" w:after="0"/>
        <w:ind w:left="704" w:right="0" w:hanging="530"/>
        <w:jc w:val="left"/>
        <w:rPr>
          <w:sz w:val="21"/>
        </w:rPr>
      </w:pPr>
      <w:r>
        <w:rPr>
          <w:spacing w:val="-6"/>
          <w:sz w:val="21"/>
        </w:rPr>
        <w:t>双眼中较好眼矫正中心视力低于 </w:t>
      </w:r>
      <w:r>
        <w:rPr>
          <w:rFonts w:ascii="Times New Roman" w:eastAsia="Times New Roman"/>
          <w:spacing w:val="-2"/>
          <w:sz w:val="21"/>
        </w:rPr>
        <w:t>0.1</w:t>
      </w:r>
      <w:r>
        <w:rPr>
          <w:spacing w:val="-2"/>
          <w:sz w:val="21"/>
        </w:rPr>
        <w:t>（含）</w:t>
      </w:r>
      <w:r>
        <w:rPr>
          <w:spacing w:val="-16"/>
          <w:sz w:val="21"/>
        </w:rPr>
        <w:t>持续 </w:t>
      </w:r>
      <w:r>
        <w:rPr>
          <w:rFonts w:ascii="Times New Roman" w:eastAsia="Times New Roman"/>
          <w:spacing w:val="-2"/>
          <w:sz w:val="21"/>
        </w:rPr>
        <w:t>180</w:t>
      </w:r>
      <w:r>
        <w:rPr>
          <w:rFonts w:ascii="Times New Roman" w:eastAsia="Times New Roman"/>
          <w:spacing w:val="5"/>
          <w:sz w:val="21"/>
        </w:rPr>
        <w:t> </w:t>
      </w:r>
      <w:r>
        <w:rPr>
          <w:spacing w:val="-4"/>
          <w:sz w:val="21"/>
        </w:rPr>
        <w:t>天以上。</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5"/>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s>
        <w:spacing w:line="168" w:lineRule="auto" w:before="115" w:after="0"/>
        <w:ind w:left="1071" w:right="0" w:hanging="850"/>
        <w:jc w:val="left"/>
        <w:rPr>
          <w:rFonts w:ascii="微软雅黑" w:eastAsia="微软雅黑"/>
          <w:b/>
          <w:sz w:val="21"/>
        </w:rPr>
      </w:pPr>
      <w:r>
        <w:rPr>
          <w:rFonts w:ascii="微软雅黑" w:eastAsia="微软雅黑"/>
          <w:b/>
          <w:spacing w:val="19"/>
          <w:sz w:val="21"/>
        </w:rPr>
        <w:t>因疾病或外伤导致</w:t>
      </w:r>
      <w:r>
        <w:rPr>
          <w:rFonts w:ascii="微软雅黑" w:eastAsia="微软雅黑"/>
          <w:b/>
          <w:spacing w:val="-4"/>
          <w:sz w:val="21"/>
        </w:rPr>
        <w:t>智力缺陷</w:t>
      </w:r>
    </w:p>
    <w:p>
      <w:pPr>
        <w:pStyle w:val="BodyText"/>
        <w:spacing w:line="242" w:lineRule="auto" w:before="99"/>
        <w:ind w:left="175" w:right="729"/>
      </w:pPr>
      <w:r>
        <w:rPr/>
        <w:br w:type="column"/>
      </w:r>
      <w:r>
        <w:rPr>
          <w:spacing w:val="-2"/>
        </w:rPr>
        <w:t>因严重头部创伤或疾病造成被保险人智力低常（智力低于常态）或</w:t>
      </w:r>
      <w:r>
        <w:rPr/>
        <w:t>智力残疾。根据智商（</w:t>
      </w:r>
      <w:r>
        <w:rPr>
          <w:rFonts w:ascii="Times New Roman" w:eastAsia="Times New Roman"/>
        </w:rPr>
        <w:t>IQ</w:t>
      </w:r>
      <w:r>
        <w:rPr/>
        <w:t>）智力低常分为轻度（</w:t>
      </w:r>
      <w:r>
        <w:rPr>
          <w:rFonts w:ascii="Times New Roman" w:eastAsia="Times New Roman"/>
        </w:rPr>
        <w:t>IQ50-</w:t>
      </w:r>
      <w:r>
        <w:rPr>
          <w:rFonts w:ascii="Times New Roman" w:eastAsia="Times New Roman"/>
          <w:spacing w:val="20"/>
        </w:rPr>
        <w:t>7</w:t>
      </w:r>
      <w:r>
        <w:rPr>
          <w:rFonts w:ascii="Times New Roman" w:eastAsia="Times New Roman"/>
          <w:spacing w:val="29"/>
        </w:rPr>
        <w:t>0</w:t>
      </w:r>
      <w:r>
        <w:rPr>
          <w:spacing w:val="-77"/>
        </w:rPr>
        <w:t>）</w:t>
      </w:r>
      <w:r>
        <w:rPr>
          <w:spacing w:val="5"/>
        </w:rPr>
        <w:t>；中度</w:t>
      </w:r>
    </w:p>
    <w:p>
      <w:pPr>
        <w:spacing w:line="184" w:lineRule="auto" w:before="0"/>
        <w:ind w:left="175" w:right="729" w:firstLine="0"/>
        <w:jc w:val="both"/>
        <w:rPr>
          <w:sz w:val="21"/>
        </w:rPr>
      </w:pPr>
      <w:r>
        <w:rPr>
          <w:spacing w:val="-6"/>
          <w:sz w:val="21"/>
        </w:rPr>
        <w:t>（</w:t>
      </w:r>
      <w:r>
        <w:rPr>
          <w:rFonts w:ascii="Times New Roman" w:eastAsia="Times New Roman"/>
          <w:spacing w:val="-6"/>
          <w:sz w:val="21"/>
        </w:rPr>
        <w:t>IQ35-</w:t>
      </w:r>
      <w:r>
        <w:rPr>
          <w:rFonts w:ascii="Times New Roman" w:eastAsia="Times New Roman"/>
          <w:spacing w:val="23"/>
          <w:sz w:val="21"/>
        </w:rPr>
        <w:t>50</w:t>
      </w:r>
      <w:r>
        <w:rPr>
          <w:spacing w:val="-83"/>
          <w:sz w:val="21"/>
        </w:rPr>
        <w:t>）</w:t>
      </w:r>
      <w:r>
        <w:rPr>
          <w:sz w:val="21"/>
        </w:rPr>
        <w:t>；重度</w:t>
      </w:r>
      <w:r>
        <w:rPr>
          <w:spacing w:val="-6"/>
          <w:sz w:val="21"/>
        </w:rPr>
        <w:t>（</w:t>
      </w:r>
      <w:r>
        <w:rPr>
          <w:rFonts w:ascii="Times New Roman" w:eastAsia="Times New Roman"/>
          <w:spacing w:val="-6"/>
          <w:sz w:val="21"/>
        </w:rPr>
        <w:t>IQ20-35</w:t>
      </w:r>
      <w:r>
        <w:rPr>
          <w:spacing w:val="-6"/>
          <w:sz w:val="21"/>
        </w:rPr>
        <w:t>）和极重度</w:t>
      </w:r>
      <w:r>
        <w:rPr>
          <w:spacing w:val="9"/>
          <w:sz w:val="21"/>
        </w:rPr>
        <w:t>（</w:t>
      </w:r>
      <w:r>
        <w:rPr>
          <w:rFonts w:ascii="Times New Roman" w:eastAsia="Times New Roman"/>
          <w:spacing w:val="6"/>
          <w:sz w:val="21"/>
        </w:rPr>
        <w:t>I</w:t>
      </w:r>
      <w:r>
        <w:rPr>
          <w:rFonts w:ascii="Times New Roman" w:eastAsia="Times New Roman"/>
          <w:spacing w:val="10"/>
          <w:sz w:val="21"/>
        </w:rPr>
        <w:t>Q&lt;</w:t>
      </w:r>
      <w:r>
        <w:rPr>
          <w:rFonts w:ascii="Times New Roman" w:eastAsia="Times New Roman"/>
          <w:spacing w:val="7"/>
          <w:sz w:val="21"/>
        </w:rPr>
        <w:t>2</w:t>
      </w:r>
      <w:r>
        <w:rPr>
          <w:rFonts w:ascii="Times New Roman" w:eastAsia="Times New Roman"/>
          <w:spacing w:val="10"/>
          <w:sz w:val="21"/>
        </w:rPr>
        <w:t>0</w:t>
      </w:r>
      <w:r>
        <w:rPr>
          <w:spacing w:val="-96"/>
          <w:sz w:val="21"/>
        </w:rPr>
        <w:t>）</w:t>
      </w:r>
      <w:r>
        <w:rPr>
          <w:spacing w:val="-6"/>
          <w:sz w:val="21"/>
        </w:rPr>
        <w:t>。</w:t>
      </w:r>
      <w:r>
        <w:rPr>
          <w:rFonts w:ascii="微软雅黑" w:eastAsia="微软雅黑"/>
          <w:b/>
          <w:spacing w:val="-8"/>
          <w:sz w:val="21"/>
        </w:rPr>
        <w:t>智商 </w:t>
      </w:r>
      <w:r>
        <w:rPr>
          <w:rFonts w:ascii="Times New Roman" w:eastAsia="Times New Roman"/>
          <w:b/>
          <w:spacing w:val="-6"/>
          <w:sz w:val="21"/>
        </w:rPr>
        <w:t>70-85</w:t>
      </w:r>
      <w:r>
        <w:rPr>
          <w:rFonts w:ascii="Times New Roman" w:eastAsia="Times New Roman"/>
          <w:b/>
          <w:spacing w:val="-7"/>
          <w:sz w:val="21"/>
        </w:rPr>
        <w:t> </w:t>
      </w:r>
      <w:r>
        <w:rPr>
          <w:rFonts w:ascii="微软雅黑" w:eastAsia="微软雅黑"/>
          <w:b/>
          <w:spacing w:val="-6"/>
          <w:sz w:val="21"/>
        </w:rPr>
        <w:t>为智</w:t>
      </w:r>
      <w:r>
        <w:rPr>
          <w:rFonts w:ascii="微软雅黑" w:eastAsia="微软雅黑"/>
          <w:b/>
          <w:spacing w:val="-2"/>
          <w:sz w:val="21"/>
        </w:rPr>
        <w:t>力临界低常，不在本保障范围内。</w:t>
      </w:r>
      <w:r>
        <w:rPr>
          <w:spacing w:val="-2"/>
          <w:sz w:val="21"/>
        </w:rPr>
        <w:t>智商的检测必须由本公司认可的</w:t>
      </w:r>
      <w:r>
        <w:rPr>
          <w:spacing w:val="-3"/>
          <w:sz w:val="21"/>
        </w:rPr>
        <w:t>专职心理测验工作者进行，心理测验工作者必须持有心理测量专业</w:t>
      </w:r>
    </w:p>
    <w:p>
      <w:pPr>
        <w:pStyle w:val="BodyText"/>
        <w:spacing w:line="244" w:lineRule="auto" w:before="15"/>
        <w:ind w:left="175" w:right="729"/>
      </w:pPr>
      <w:r>
        <w:rPr>
          <w:spacing w:val="-2"/>
        </w:rPr>
        <w:t>委员会资格认定书。根据被保险人年龄采用对应的智力量表如韦克</w:t>
      </w:r>
      <w:r>
        <w:rPr>
          <w:spacing w:val="-2"/>
        </w:rPr>
        <w:t>斯勒智力量表（儿童智力量表或成人智力量表</w:t>
      </w:r>
      <w:r>
        <w:rPr>
          <w:spacing w:val="-106"/>
        </w:rPr>
        <w:t>）</w:t>
      </w:r>
      <w:r>
        <w:rPr>
          <w:spacing w:val="-2"/>
        </w:rPr>
        <w:t>。</w:t>
      </w:r>
    </w:p>
    <w:p>
      <w:pPr>
        <w:pStyle w:val="BodyText"/>
        <w:spacing w:line="265" w:lineRule="exact"/>
        <w:ind w:left="175"/>
      </w:pPr>
      <w:r>
        <w:rPr>
          <w:spacing w:val="-3"/>
        </w:rPr>
        <w:t>理赔时必须满足下列所有条件：</w:t>
      </w:r>
    </w:p>
    <w:p>
      <w:pPr>
        <w:pStyle w:val="ListParagraph"/>
        <w:numPr>
          <w:ilvl w:val="0"/>
          <w:numId w:val="103"/>
        </w:numPr>
        <w:tabs>
          <w:tab w:pos="705" w:val="left" w:leader="none"/>
        </w:tabs>
        <w:spacing w:line="240" w:lineRule="auto" w:before="4" w:after="0"/>
        <w:ind w:left="704" w:right="0" w:hanging="530"/>
        <w:jc w:val="left"/>
        <w:rPr>
          <w:sz w:val="21"/>
        </w:rPr>
      </w:pPr>
      <w:r>
        <w:rPr>
          <w:spacing w:val="-3"/>
          <w:sz w:val="21"/>
        </w:rPr>
        <w:t>被保险人大于或等于六周岁，且确诊时小于二十五周岁；</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ListParagraph"/>
        <w:numPr>
          <w:ilvl w:val="1"/>
          <w:numId w:val="103"/>
        </w:numPr>
        <w:tabs>
          <w:tab w:pos="3691" w:val="left" w:leader="none"/>
        </w:tabs>
        <w:spacing w:line="244" w:lineRule="auto" w:before="55" w:after="0"/>
        <w:ind w:left="3678" w:right="733" w:hanging="526"/>
        <w:jc w:val="left"/>
        <w:rPr>
          <w:sz w:val="21"/>
        </w:rPr>
      </w:pPr>
      <w:r>
        <w:rPr>
          <w:spacing w:val="-2"/>
          <w:sz w:val="21"/>
        </w:rPr>
        <w:t>主任医师确诊被保险人由于严重头部创伤或疾病造成智力低</w:t>
      </w:r>
      <w:r>
        <w:rPr>
          <w:spacing w:val="-6"/>
          <w:sz w:val="21"/>
        </w:rPr>
        <w:t>下；</w:t>
      </w:r>
    </w:p>
    <w:p>
      <w:pPr>
        <w:pStyle w:val="ListParagraph"/>
        <w:numPr>
          <w:ilvl w:val="1"/>
          <w:numId w:val="103"/>
        </w:numPr>
        <w:tabs>
          <w:tab w:pos="3682" w:val="left" w:leader="none"/>
        </w:tabs>
        <w:spacing w:line="244" w:lineRule="auto" w:before="0" w:after="0"/>
        <w:ind w:left="3678" w:right="842" w:hanging="526"/>
        <w:jc w:val="left"/>
        <w:rPr>
          <w:sz w:val="21"/>
        </w:rPr>
      </w:pPr>
      <w:r>
        <w:rPr>
          <w:spacing w:val="-2"/>
          <w:sz w:val="21"/>
        </w:rPr>
        <w:t>专职合格心理检测工作者适时做的心理检测证实被保险人智</w:t>
      </w:r>
      <w:r>
        <w:rPr>
          <w:spacing w:val="-2"/>
          <w:sz w:val="21"/>
        </w:rPr>
        <w:t>力低常（中度、重度或极重度</w:t>
      </w:r>
      <w:r>
        <w:rPr>
          <w:spacing w:val="-108"/>
          <w:sz w:val="21"/>
        </w:rPr>
        <w:t>）</w:t>
      </w:r>
      <w:r>
        <w:rPr>
          <w:sz w:val="21"/>
        </w:rPr>
        <w:t>；</w:t>
      </w:r>
    </w:p>
    <w:p>
      <w:pPr>
        <w:pStyle w:val="ListParagraph"/>
        <w:numPr>
          <w:ilvl w:val="1"/>
          <w:numId w:val="103"/>
        </w:numPr>
        <w:tabs>
          <w:tab w:pos="3682" w:val="left" w:leader="none"/>
        </w:tabs>
        <w:spacing w:line="265" w:lineRule="exact" w:before="0" w:after="0"/>
        <w:ind w:left="3682" w:right="0" w:hanging="529"/>
        <w:jc w:val="left"/>
        <w:rPr>
          <w:sz w:val="21"/>
        </w:rPr>
      </w:pPr>
      <w:r>
        <w:rPr>
          <w:spacing w:val="-5"/>
          <w:sz w:val="21"/>
        </w:rPr>
        <w:t>被保险人的智力低常自确认日起持续 </w:t>
      </w:r>
      <w:r>
        <w:rPr>
          <w:rFonts w:ascii="Times New Roman" w:eastAsia="Times New Roman"/>
          <w:spacing w:val="-2"/>
          <w:sz w:val="21"/>
        </w:rPr>
        <w:t>180</w:t>
      </w:r>
      <w:r>
        <w:rPr>
          <w:rFonts w:ascii="Times New Roman" w:eastAsia="Times New Roman"/>
          <w:spacing w:val="6"/>
          <w:sz w:val="21"/>
        </w:rPr>
        <w:t> </w:t>
      </w:r>
      <w:r>
        <w:rPr>
          <w:spacing w:val="-4"/>
          <w:sz w:val="21"/>
        </w:rPr>
        <w:t>天以上。</w:t>
      </w:r>
    </w:p>
    <w:p>
      <w:pPr>
        <w:pStyle w:val="BodyText"/>
        <w:ind w:left="0"/>
        <w:rPr>
          <w:sz w:val="11"/>
        </w:rPr>
      </w:pPr>
    </w:p>
    <w:p>
      <w:pPr>
        <w:spacing w:after="0"/>
        <w:rPr>
          <w:sz w:val="11"/>
        </w:rPr>
        <w:sectPr>
          <w:pgSz w:w="11910" w:h="16840"/>
          <w:pgMar w:header="0" w:footer="878" w:top="1060" w:bottom="1060" w:left="1480" w:right="440"/>
        </w:sectPr>
      </w:pPr>
    </w:p>
    <w:p>
      <w:pPr>
        <w:pStyle w:val="ListParagraph"/>
        <w:numPr>
          <w:ilvl w:val="1"/>
          <w:numId w:val="92"/>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严重肠道疾病并发</w:t>
      </w:r>
    </w:p>
    <w:p>
      <w:pPr>
        <w:spacing w:line="330" w:lineRule="exact" w:before="0"/>
        <w:ind w:left="1071" w:right="0" w:firstLine="0"/>
        <w:jc w:val="left"/>
        <w:rPr>
          <w:rFonts w:ascii="微软雅黑" w:eastAsia="微软雅黑"/>
          <w:b/>
          <w:sz w:val="21"/>
        </w:rPr>
      </w:pPr>
      <w:r>
        <w:rPr>
          <w:rFonts w:ascii="微软雅黑" w:eastAsia="微软雅黑"/>
          <w:b/>
          <w:w w:val="100"/>
          <w:sz w:val="21"/>
        </w:rPr>
        <w:t>症</w:t>
      </w:r>
    </w:p>
    <w:p>
      <w:pPr>
        <w:pStyle w:val="BodyText"/>
        <w:spacing w:before="100"/>
        <w:ind w:left="175"/>
      </w:pPr>
      <w:r>
        <w:rPr/>
        <w:br w:type="column"/>
      </w:r>
      <w:r>
        <w:rPr>
          <w:spacing w:val="-9"/>
        </w:rPr>
        <w:t>严重肠道疾病或外伤导致小肠损害并发症，必须满足下列所有条件：</w:t>
      </w:r>
    </w:p>
    <w:p>
      <w:pPr>
        <w:pStyle w:val="ListParagraph"/>
        <w:numPr>
          <w:ilvl w:val="0"/>
          <w:numId w:val="104"/>
        </w:numPr>
        <w:tabs>
          <w:tab w:pos="705" w:val="left" w:leader="none"/>
        </w:tabs>
        <w:spacing w:line="240" w:lineRule="auto" w:before="5" w:after="0"/>
        <w:ind w:left="704" w:right="0" w:hanging="530"/>
        <w:jc w:val="left"/>
        <w:rPr>
          <w:sz w:val="21"/>
        </w:rPr>
      </w:pPr>
      <w:r>
        <w:rPr>
          <w:spacing w:val="-3"/>
          <w:sz w:val="21"/>
        </w:rPr>
        <w:t>至少切除了三分之二小肠；</w:t>
      </w:r>
    </w:p>
    <w:p>
      <w:pPr>
        <w:pStyle w:val="ListParagraph"/>
        <w:numPr>
          <w:ilvl w:val="0"/>
          <w:numId w:val="104"/>
        </w:numPr>
        <w:tabs>
          <w:tab w:pos="705" w:val="left" w:leader="none"/>
        </w:tabs>
        <w:spacing w:line="240" w:lineRule="auto" w:before="2" w:after="0"/>
        <w:ind w:left="704" w:right="0" w:hanging="530"/>
        <w:jc w:val="left"/>
        <w:rPr>
          <w:sz w:val="21"/>
        </w:rPr>
      </w:pPr>
      <w:r>
        <w:rPr>
          <w:spacing w:val="-8"/>
          <w:sz w:val="21"/>
        </w:rPr>
        <w:t>完全肠外营养支持 </w:t>
      </w:r>
      <w:r>
        <w:rPr>
          <w:rFonts w:ascii="Times New Roman" w:eastAsia="Times New Roman"/>
          <w:spacing w:val="-2"/>
          <w:sz w:val="21"/>
        </w:rPr>
        <w:t>3</w:t>
      </w:r>
      <w:r>
        <w:rPr>
          <w:rFonts w:ascii="Times New Roman" w:eastAsia="Times New Roman"/>
          <w:spacing w:val="4"/>
          <w:sz w:val="21"/>
        </w:rPr>
        <w:t> </w:t>
      </w:r>
      <w:r>
        <w:rPr>
          <w:spacing w:val="-4"/>
          <w:sz w:val="21"/>
        </w:rPr>
        <w:t>个月以上。</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6"/>
        <w:ind w:left="0"/>
        <w:rPr>
          <w:sz w:val="11"/>
        </w:rPr>
      </w:pPr>
    </w:p>
    <w:p>
      <w:pPr>
        <w:pStyle w:val="ListParagraph"/>
        <w:numPr>
          <w:ilvl w:val="1"/>
          <w:numId w:val="92"/>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严重瑞氏综合</w:t>
      </w:r>
      <w:r>
        <w:rPr>
          <w:rFonts w:ascii="微软雅黑" w:eastAsia="微软雅黑"/>
          <w:b/>
          <w:spacing w:val="-10"/>
          <w:sz w:val="21"/>
        </w:rPr>
        <w:t>征</w:t>
      </w:r>
      <w:r>
        <w:rPr>
          <w:rFonts w:ascii="微软雅黑" w:eastAsia="微软雅黑"/>
          <w:b/>
          <w:sz w:val="21"/>
        </w:rPr>
        <w:tab/>
      </w:r>
      <w:r>
        <w:rPr>
          <w:spacing w:val="-4"/>
          <w:sz w:val="21"/>
        </w:rPr>
        <w:t>瑞</w:t>
      </w:r>
      <w:r>
        <w:rPr>
          <w:spacing w:val="-4"/>
          <w:sz w:val="21"/>
        </w:rPr>
        <w:t>氏</w:t>
      </w:r>
      <w:r>
        <w:rPr>
          <w:spacing w:val="-4"/>
          <w:sz w:val="21"/>
        </w:rPr>
        <w:t>综合征（</w:t>
      </w:r>
      <w:r>
        <w:rPr>
          <w:rFonts w:ascii="Times New Roman" w:eastAsia="Times New Roman"/>
          <w:spacing w:val="-4"/>
          <w:sz w:val="21"/>
        </w:rPr>
        <w:t>Reye</w:t>
      </w:r>
      <w:r>
        <w:rPr>
          <w:rFonts w:ascii="Times New Roman" w:eastAsia="Times New Roman"/>
          <w:spacing w:val="18"/>
          <w:sz w:val="21"/>
        </w:rPr>
        <w:t> </w:t>
      </w:r>
      <w:r>
        <w:rPr>
          <w:spacing w:val="-4"/>
          <w:sz w:val="21"/>
        </w:rPr>
        <w:t>综</w:t>
      </w:r>
      <w:r>
        <w:rPr>
          <w:spacing w:val="-4"/>
          <w:sz w:val="21"/>
        </w:rPr>
        <w:t>合</w:t>
      </w:r>
      <w:r>
        <w:rPr>
          <w:spacing w:val="-4"/>
          <w:sz w:val="21"/>
        </w:rPr>
        <w:t>征）是线粒体功</w:t>
      </w:r>
      <w:r>
        <w:rPr>
          <w:spacing w:val="-4"/>
          <w:sz w:val="21"/>
        </w:rPr>
        <w:t>能</w:t>
      </w:r>
      <w:r>
        <w:rPr>
          <w:spacing w:val="-4"/>
          <w:sz w:val="21"/>
        </w:rPr>
        <w:t>障</w:t>
      </w:r>
      <w:r>
        <w:rPr>
          <w:spacing w:val="-4"/>
          <w:sz w:val="21"/>
        </w:rPr>
        <w:t>碍性疾病。导致脂肪</w:t>
      </w:r>
      <w:r>
        <w:rPr>
          <w:spacing w:val="-10"/>
          <w:sz w:val="21"/>
        </w:rPr>
        <w:t>代</w:t>
      </w:r>
    </w:p>
    <w:p>
      <w:pPr>
        <w:pStyle w:val="BodyText"/>
        <w:spacing w:line="245" w:lineRule="exact"/>
      </w:pPr>
      <w:r>
        <w:rPr>
          <w:spacing w:val="-3"/>
        </w:rPr>
        <w:t>谢障碍，引起短链脂肪酸、血氨升高，造成脑水肿。主要临床表现</w:t>
      </w:r>
    </w:p>
    <w:p>
      <w:pPr>
        <w:pStyle w:val="BodyText"/>
        <w:spacing w:line="242" w:lineRule="auto" w:before="2"/>
        <w:ind w:right="729"/>
        <w:jc w:val="both"/>
      </w:pPr>
      <w:r>
        <w:rPr>
          <w:spacing w:val="-2"/>
        </w:rPr>
        <w:t>为急性发热、反复呕吐、惊厥及意识障碍等等。肝脏活检是确诊的</w:t>
      </w:r>
      <w:r>
        <w:rPr>
          <w:spacing w:val="-2"/>
        </w:rPr>
        <w:t>重要手段。瑞氏综合征需由三级医院的专科医生确诊，并满足下列</w:t>
      </w:r>
      <w:r>
        <w:rPr>
          <w:spacing w:val="-2"/>
        </w:rPr>
        <w:t>所有条件：</w:t>
      </w:r>
    </w:p>
    <w:p>
      <w:pPr>
        <w:pStyle w:val="ListParagraph"/>
        <w:numPr>
          <w:ilvl w:val="0"/>
          <w:numId w:val="105"/>
        </w:numPr>
        <w:tabs>
          <w:tab w:pos="3682" w:val="left" w:leader="none"/>
        </w:tabs>
        <w:spacing w:line="240" w:lineRule="auto" w:before="3" w:after="0"/>
        <w:ind w:left="3682" w:right="0" w:hanging="529"/>
        <w:jc w:val="left"/>
        <w:rPr>
          <w:sz w:val="21"/>
        </w:rPr>
      </w:pPr>
      <w:r>
        <w:rPr>
          <w:spacing w:val="-3"/>
          <w:sz w:val="21"/>
        </w:rPr>
        <w:t>有脑水肿和颅内压升高的脑脊液检查和影像学检查证据；</w:t>
      </w:r>
    </w:p>
    <w:p>
      <w:pPr>
        <w:pStyle w:val="ListParagraph"/>
        <w:numPr>
          <w:ilvl w:val="0"/>
          <w:numId w:val="105"/>
        </w:numPr>
        <w:tabs>
          <w:tab w:pos="3682" w:val="left" w:leader="none"/>
        </w:tabs>
        <w:spacing w:line="240" w:lineRule="auto" w:before="3" w:after="0"/>
        <w:ind w:left="3682" w:right="0" w:hanging="529"/>
        <w:jc w:val="left"/>
        <w:rPr>
          <w:sz w:val="21"/>
        </w:rPr>
      </w:pPr>
      <w:r>
        <w:rPr>
          <w:spacing w:val="-7"/>
          <w:sz w:val="21"/>
        </w:rPr>
        <w:t>血氨超过正常值的 </w:t>
      </w:r>
      <w:r>
        <w:rPr>
          <w:rFonts w:ascii="Times New Roman" w:eastAsia="Times New Roman"/>
          <w:sz w:val="21"/>
        </w:rPr>
        <w:t>3</w:t>
      </w:r>
      <w:r>
        <w:rPr>
          <w:rFonts w:ascii="Times New Roman" w:eastAsia="Times New Roman"/>
          <w:spacing w:val="-12"/>
          <w:sz w:val="21"/>
        </w:rPr>
        <w:t> </w:t>
      </w:r>
      <w:r>
        <w:rPr>
          <w:spacing w:val="-5"/>
          <w:sz w:val="21"/>
        </w:rPr>
        <w:t>倍；</w:t>
      </w:r>
    </w:p>
    <w:p>
      <w:pPr>
        <w:pStyle w:val="ListParagraph"/>
        <w:numPr>
          <w:ilvl w:val="0"/>
          <w:numId w:val="105"/>
        </w:numPr>
        <w:tabs>
          <w:tab w:pos="3682" w:val="left" w:leader="none"/>
        </w:tabs>
        <w:spacing w:line="240" w:lineRule="auto" w:before="4" w:after="0"/>
        <w:ind w:left="3682" w:right="0" w:hanging="529"/>
        <w:jc w:val="left"/>
        <w:rPr>
          <w:sz w:val="21"/>
        </w:rPr>
      </w:pPr>
      <w:r>
        <w:rPr>
          <w:spacing w:val="-5"/>
          <w:sz w:val="21"/>
        </w:rPr>
        <w:t>临床出现昏迷，病程至少达到疾病分期第 </w:t>
      </w:r>
      <w:r>
        <w:rPr>
          <w:rFonts w:ascii="Times New Roman" w:eastAsia="Times New Roman"/>
          <w:spacing w:val="-2"/>
          <w:sz w:val="21"/>
        </w:rPr>
        <w:t>3</w:t>
      </w:r>
      <w:r>
        <w:rPr>
          <w:rFonts w:ascii="Times New Roman" w:eastAsia="Times New Roman"/>
          <w:spacing w:val="6"/>
          <w:sz w:val="21"/>
        </w:rPr>
        <w:t> </w:t>
      </w:r>
      <w:r>
        <w:rPr>
          <w:spacing w:val="-6"/>
          <w:sz w:val="21"/>
        </w:rPr>
        <w:t>期。</w:t>
      </w:r>
    </w:p>
    <w:p>
      <w:pPr>
        <w:pStyle w:val="BodyText"/>
        <w:spacing w:before="4"/>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s>
        <w:spacing w:line="329" w:lineRule="exact" w:before="33" w:after="0"/>
        <w:ind w:left="1071" w:right="0" w:hanging="850"/>
        <w:jc w:val="left"/>
        <w:rPr>
          <w:rFonts w:ascii="微软雅黑" w:eastAsia="微软雅黑"/>
          <w:b/>
          <w:sz w:val="21"/>
        </w:rPr>
      </w:pPr>
      <w:r>
        <w:rPr>
          <w:rFonts w:ascii="微软雅黑" w:eastAsia="微软雅黑"/>
          <w:b/>
          <w:sz w:val="21"/>
        </w:rPr>
        <w:t>急性肺损伤</w:t>
      </w:r>
      <w:r>
        <w:rPr>
          <w:rFonts w:ascii="微软雅黑" w:eastAsia="微软雅黑"/>
          <w:b/>
          <w:spacing w:val="-2"/>
          <w:sz w:val="21"/>
        </w:rPr>
        <w:t>（</w:t>
      </w:r>
      <w:r>
        <w:rPr>
          <w:rFonts w:ascii="Times New Roman" w:eastAsia="Times New Roman"/>
          <w:b/>
          <w:spacing w:val="-2"/>
          <w:sz w:val="21"/>
        </w:rPr>
        <w:t>ALI</w:t>
      </w:r>
      <w:r>
        <w:rPr>
          <w:rFonts w:ascii="微软雅黑" w:eastAsia="微软雅黑"/>
          <w:b/>
          <w:spacing w:val="-2"/>
          <w:sz w:val="21"/>
        </w:rPr>
        <w:t>）</w:t>
      </w:r>
    </w:p>
    <w:p>
      <w:pPr>
        <w:spacing w:line="170" w:lineRule="auto" w:before="22"/>
        <w:ind w:left="1071" w:right="0" w:firstLine="0"/>
        <w:jc w:val="left"/>
        <w:rPr>
          <w:rFonts w:ascii="微软雅黑" w:eastAsia="微软雅黑"/>
          <w:b/>
          <w:sz w:val="21"/>
        </w:rPr>
      </w:pPr>
      <w:r>
        <w:rPr>
          <w:rFonts w:ascii="微软雅黑" w:eastAsia="微软雅黑"/>
          <w:b/>
          <w:spacing w:val="19"/>
          <w:sz w:val="21"/>
        </w:rPr>
        <w:t>或急性呼吸窘迫综</w:t>
      </w:r>
      <w:r>
        <w:rPr>
          <w:rFonts w:ascii="微软雅黑" w:eastAsia="微软雅黑"/>
          <w:b/>
          <w:spacing w:val="-2"/>
          <w:sz w:val="21"/>
        </w:rPr>
        <w:t>合征（</w:t>
      </w:r>
      <w:r>
        <w:rPr>
          <w:rFonts w:ascii="Times New Roman" w:eastAsia="Times New Roman"/>
          <w:b/>
          <w:spacing w:val="-2"/>
          <w:sz w:val="21"/>
        </w:rPr>
        <w:t>ARDS</w:t>
      </w:r>
      <w:r>
        <w:rPr>
          <w:rFonts w:ascii="微软雅黑" w:eastAsia="微软雅黑"/>
          <w:b/>
          <w:spacing w:val="-2"/>
          <w:sz w:val="21"/>
        </w:rPr>
        <w:t>）</w:t>
      </w:r>
    </w:p>
    <w:p>
      <w:pPr>
        <w:pStyle w:val="BodyText"/>
        <w:spacing w:line="242" w:lineRule="auto" w:before="100"/>
        <w:ind w:left="175" w:right="729"/>
      </w:pPr>
      <w:r>
        <w:rPr/>
        <w:br w:type="column"/>
      </w:r>
      <w:r>
        <w:rPr>
          <w:spacing w:val="-2"/>
        </w:rPr>
        <w:t>一种表现为无心脏衰竭的肺水肿，为创伤、脓毒血症等临床多种疾</w:t>
      </w:r>
      <w:r>
        <w:rPr>
          <w:spacing w:val="-2"/>
        </w:rPr>
        <w:t>病的并发症，造成多器官衰竭，死亡率高。</w:t>
      </w:r>
    </w:p>
    <w:p>
      <w:pPr>
        <w:pStyle w:val="BodyText"/>
        <w:spacing w:line="242" w:lineRule="auto" w:before="1"/>
        <w:ind w:left="175" w:right="729"/>
        <w:jc w:val="both"/>
      </w:pPr>
      <w:r>
        <w:rPr>
          <w:spacing w:val="-2"/>
        </w:rPr>
        <w:t>急性肺损伤或急性呼吸窘迫综合征必须由呼吸系统专科医师诊断，</w:t>
      </w:r>
      <w:r>
        <w:rPr>
          <w:spacing w:val="-2"/>
        </w:rPr>
        <w:t>被保险人确诊时年龄在二十五周岁以下，并有下列所有临床证据支</w:t>
      </w:r>
      <w:r>
        <w:rPr>
          <w:spacing w:val="-6"/>
        </w:rPr>
        <w:t>持：</w:t>
      </w:r>
    </w:p>
    <w:p>
      <w:pPr>
        <w:pStyle w:val="ListParagraph"/>
        <w:numPr>
          <w:ilvl w:val="0"/>
          <w:numId w:val="106"/>
        </w:numPr>
        <w:tabs>
          <w:tab w:pos="705" w:val="left" w:leader="none"/>
        </w:tabs>
        <w:spacing w:line="240" w:lineRule="auto" w:before="1" w:after="0"/>
        <w:ind w:left="704" w:right="0" w:hanging="530"/>
        <w:jc w:val="both"/>
        <w:rPr>
          <w:sz w:val="21"/>
        </w:rPr>
      </w:pPr>
      <w:r>
        <w:rPr>
          <w:sz w:val="21"/>
        </w:rPr>
        <w:t>急性发作（</w:t>
      </w:r>
      <w:r>
        <w:rPr>
          <w:spacing w:val="-7"/>
          <w:sz w:val="21"/>
        </w:rPr>
        <w:t>原发疾病起病后 </w:t>
      </w:r>
      <w:r>
        <w:rPr>
          <w:rFonts w:ascii="Times New Roman" w:eastAsia="Times New Roman"/>
          <w:sz w:val="21"/>
        </w:rPr>
        <w:t>6</w:t>
      </w:r>
      <w:r>
        <w:rPr>
          <w:rFonts w:ascii="Times New Roman" w:eastAsia="Times New Roman"/>
          <w:spacing w:val="-14"/>
          <w:sz w:val="21"/>
        </w:rPr>
        <w:t> </w:t>
      </w:r>
      <w:r>
        <w:rPr>
          <w:spacing w:val="-27"/>
          <w:sz w:val="21"/>
        </w:rPr>
        <w:t>至 </w:t>
      </w:r>
      <w:r>
        <w:rPr>
          <w:rFonts w:ascii="Times New Roman" w:eastAsia="Times New Roman"/>
          <w:sz w:val="21"/>
        </w:rPr>
        <w:t>72</w:t>
      </w:r>
      <w:r>
        <w:rPr>
          <w:rFonts w:ascii="Times New Roman" w:eastAsia="Times New Roman"/>
          <w:spacing w:val="-10"/>
          <w:sz w:val="21"/>
        </w:rPr>
        <w:t> </w:t>
      </w:r>
      <w:r>
        <w:rPr>
          <w:sz w:val="21"/>
        </w:rPr>
        <w:t>小时</w:t>
      </w:r>
      <w:r>
        <w:rPr>
          <w:spacing w:val="-113"/>
          <w:sz w:val="21"/>
        </w:rPr>
        <w:t>）</w:t>
      </w:r>
      <w:r>
        <w:rPr>
          <w:spacing w:val="-5"/>
          <w:sz w:val="21"/>
        </w:rPr>
        <w:t>；</w:t>
      </w:r>
    </w:p>
    <w:p>
      <w:pPr>
        <w:pStyle w:val="ListParagraph"/>
        <w:numPr>
          <w:ilvl w:val="0"/>
          <w:numId w:val="106"/>
        </w:numPr>
        <w:tabs>
          <w:tab w:pos="705" w:val="left" w:leader="none"/>
        </w:tabs>
        <w:spacing w:line="242" w:lineRule="auto" w:before="4" w:after="0"/>
        <w:ind w:left="701" w:right="732" w:hanging="526"/>
        <w:jc w:val="left"/>
        <w:rPr>
          <w:sz w:val="21"/>
        </w:rPr>
      </w:pPr>
      <w:r>
        <w:rPr>
          <w:spacing w:val="-2"/>
          <w:sz w:val="21"/>
        </w:rPr>
        <w:t>急性发作的临床症状体征，包括呼吸急促、呼吸困难、心动</w:t>
      </w:r>
      <w:r>
        <w:rPr>
          <w:spacing w:val="-4"/>
          <w:sz w:val="21"/>
        </w:rPr>
        <w:t>过速、大汗、面色苍白及辅助呼吸肌活动加强（点头呼吸、提</w:t>
      </w:r>
      <w:r>
        <w:rPr>
          <w:spacing w:val="-4"/>
          <w:sz w:val="21"/>
        </w:rPr>
        <w:t>肩呼吸</w:t>
      </w:r>
      <w:r>
        <w:rPr>
          <w:spacing w:val="-106"/>
          <w:sz w:val="21"/>
        </w:rPr>
        <w:t>）</w:t>
      </w:r>
      <w:r>
        <w:rPr>
          <w:sz w:val="21"/>
        </w:rPr>
        <w:t>；</w:t>
      </w:r>
    </w:p>
    <w:p>
      <w:pPr>
        <w:pStyle w:val="ListParagraph"/>
        <w:numPr>
          <w:ilvl w:val="0"/>
          <w:numId w:val="106"/>
        </w:numPr>
        <w:tabs>
          <w:tab w:pos="705" w:val="left" w:leader="none"/>
        </w:tabs>
        <w:spacing w:line="240" w:lineRule="auto" w:before="1" w:after="0"/>
        <w:ind w:left="704" w:right="0" w:hanging="530"/>
        <w:jc w:val="left"/>
        <w:rPr>
          <w:sz w:val="21"/>
        </w:rPr>
      </w:pPr>
      <w:r>
        <w:rPr>
          <w:spacing w:val="-4"/>
          <w:sz w:val="21"/>
        </w:rPr>
        <w:t>双肺浸润影；</w:t>
      </w:r>
    </w:p>
    <w:p>
      <w:pPr>
        <w:pStyle w:val="ListParagraph"/>
        <w:numPr>
          <w:ilvl w:val="0"/>
          <w:numId w:val="106"/>
        </w:numPr>
        <w:tabs>
          <w:tab w:pos="705" w:val="left" w:leader="none"/>
        </w:tabs>
        <w:spacing w:line="240" w:lineRule="auto" w:before="4" w:after="0"/>
        <w:ind w:left="704" w:right="0" w:hanging="530"/>
        <w:jc w:val="left"/>
        <w:rPr>
          <w:sz w:val="21"/>
        </w:rPr>
      </w:pPr>
      <w:r>
        <w:rPr>
          <w:rFonts w:ascii="Times New Roman" w:eastAsia="Times New Roman"/>
          <w:w w:val="95"/>
          <w:position w:val="2"/>
          <w:sz w:val="21"/>
        </w:rPr>
        <w:t>PaO</w:t>
      </w:r>
      <w:r>
        <w:rPr>
          <w:rFonts w:ascii="Times New Roman" w:eastAsia="Times New Roman"/>
          <w:w w:val="95"/>
          <w:sz w:val="14"/>
        </w:rPr>
        <w:t>2</w:t>
      </w:r>
      <w:r>
        <w:rPr>
          <w:rFonts w:ascii="Times New Roman" w:eastAsia="Times New Roman"/>
          <w:w w:val="95"/>
          <w:position w:val="2"/>
          <w:sz w:val="21"/>
        </w:rPr>
        <w:t>/FiO</w:t>
      </w:r>
      <w:r>
        <w:rPr>
          <w:rFonts w:ascii="Times New Roman" w:eastAsia="Times New Roman"/>
          <w:w w:val="95"/>
          <w:sz w:val="14"/>
        </w:rPr>
        <w:t>2</w:t>
      </w:r>
      <w:r>
        <w:rPr>
          <w:w w:val="95"/>
          <w:position w:val="2"/>
          <w:sz w:val="21"/>
        </w:rPr>
        <w:t>（</w:t>
      </w:r>
      <w:r>
        <w:rPr>
          <w:w w:val="95"/>
          <w:position w:val="2"/>
          <w:sz w:val="21"/>
        </w:rPr>
        <w:t>动</w:t>
      </w:r>
      <w:r>
        <w:rPr>
          <w:w w:val="95"/>
          <w:position w:val="2"/>
          <w:sz w:val="21"/>
        </w:rPr>
        <w:t>脉血</w:t>
      </w:r>
      <w:r>
        <w:rPr>
          <w:w w:val="95"/>
          <w:position w:val="2"/>
          <w:sz w:val="21"/>
        </w:rPr>
        <w:t>压</w:t>
      </w:r>
      <w:r>
        <w:rPr>
          <w:w w:val="95"/>
          <w:position w:val="2"/>
          <w:sz w:val="21"/>
        </w:rPr>
        <w:t>分</w:t>
      </w:r>
      <w:r>
        <w:rPr>
          <w:w w:val="95"/>
          <w:position w:val="2"/>
          <w:sz w:val="21"/>
        </w:rPr>
        <w:t>压</w:t>
      </w:r>
      <w:r>
        <w:rPr>
          <w:rFonts w:ascii="Times New Roman" w:eastAsia="Times New Roman"/>
          <w:w w:val="95"/>
          <w:position w:val="2"/>
          <w:sz w:val="21"/>
        </w:rPr>
        <w:t>/</w:t>
      </w:r>
      <w:r>
        <w:rPr>
          <w:w w:val="95"/>
          <w:position w:val="2"/>
          <w:sz w:val="21"/>
        </w:rPr>
        <w:t>吸入气氧分压）低于</w:t>
      </w:r>
      <w:r>
        <w:rPr>
          <w:spacing w:val="13"/>
          <w:position w:val="2"/>
          <w:sz w:val="21"/>
        </w:rPr>
        <w:t>  </w:t>
      </w:r>
      <w:r>
        <w:rPr>
          <w:rFonts w:ascii="Times New Roman" w:eastAsia="Times New Roman"/>
          <w:spacing w:val="-2"/>
          <w:w w:val="95"/>
          <w:position w:val="2"/>
          <w:sz w:val="21"/>
        </w:rPr>
        <w:t>200mmHg</w:t>
      </w:r>
      <w:r>
        <w:rPr>
          <w:spacing w:val="-2"/>
          <w:w w:val="95"/>
          <w:position w:val="2"/>
          <w:sz w:val="21"/>
        </w:rPr>
        <w:t>；</w:t>
      </w:r>
    </w:p>
    <w:p>
      <w:pPr>
        <w:pStyle w:val="ListParagraph"/>
        <w:numPr>
          <w:ilvl w:val="0"/>
          <w:numId w:val="106"/>
        </w:numPr>
        <w:tabs>
          <w:tab w:pos="705" w:val="left" w:leader="none"/>
        </w:tabs>
        <w:spacing w:line="240" w:lineRule="auto" w:before="3" w:after="0"/>
        <w:ind w:left="704" w:right="0" w:hanging="530"/>
        <w:jc w:val="left"/>
        <w:rPr>
          <w:sz w:val="21"/>
        </w:rPr>
      </w:pPr>
      <w:r>
        <w:rPr>
          <w:spacing w:val="-8"/>
          <w:sz w:val="21"/>
        </w:rPr>
        <w:t>肺动脉嵌入压低于 </w:t>
      </w:r>
      <w:r>
        <w:rPr>
          <w:rFonts w:ascii="Times New Roman" w:eastAsia="Times New Roman"/>
          <w:spacing w:val="-2"/>
          <w:sz w:val="21"/>
        </w:rPr>
        <w:t>18mmHg</w:t>
      </w:r>
      <w:r>
        <w:rPr>
          <w:spacing w:val="-2"/>
          <w:sz w:val="21"/>
        </w:rPr>
        <w:t>；</w:t>
      </w:r>
    </w:p>
    <w:p>
      <w:pPr>
        <w:pStyle w:val="ListParagraph"/>
        <w:numPr>
          <w:ilvl w:val="0"/>
          <w:numId w:val="106"/>
        </w:numPr>
        <w:tabs>
          <w:tab w:pos="705" w:val="left" w:leader="none"/>
        </w:tabs>
        <w:spacing w:line="240" w:lineRule="auto" w:before="5" w:after="0"/>
        <w:ind w:left="704" w:right="0" w:hanging="530"/>
        <w:jc w:val="left"/>
        <w:rPr>
          <w:sz w:val="21"/>
        </w:rPr>
      </w:pPr>
      <w:r>
        <w:rPr>
          <w:spacing w:val="-3"/>
          <w:sz w:val="21"/>
        </w:rPr>
        <w:t>临床无左房高压表现。</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3"/>
        <w:ind w:left="0"/>
        <w:rPr>
          <w:sz w:val="11"/>
        </w:rPr>
      </w:pPr>
    </w:p>
    <w:p>
      <w:pPr>
        <w:pStyle w:val="ListParagraph"/>
        <w:numPr>
          <w:ilvl w:val="1"/>
          <w:numId w:val="92"/>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溶血性尿毒综合</w:t>
      </w:r>
      <w:r>
        <w:rPr>
          <w:rFonts w:ascii="微软雅黑" w:eastAsia="微软雅黑"/>
          <w:b/>
          <w:spacing w:val="-10"/>
          <w:sz w:val="21"/>
        </w:rPr>
        <w:t>征</w:t>
      </w:r>
      <w:r>
        <w:rPr>
          <w:rFonts w:ascii="微软雅黑" w:eastAsia="微软雅黑"/>
          <w:b/>
          <w:sz w:val="21"/>
        </w:rPr>
        <w:tab/>
      </w:r>
      <w:r>
        <w:rPr>
          <w:spacing w:val="-2"/>
          <w:sz w:val="21"/>
        </w:rPr>
        <w:t>一</w:t>
      </w:r>
      <w:r>
        <w:rPr>
          <w:spacing w:val="-2"/>
          <w:sz w:val="21"/>
        </w:rPr>
        <w:t>种</w:t>
      </w:r>
      <w:r>
        <w:rPr>
          <w:spacing w:val="-2"/>
          <w:sz w:val="21"/>
        </w:rPr>
        <w:t>由</w:t>
      </w:r>
      <w:r>
        <w:rPr>
          <w:spacing w:val="-2"/>
          <w:sz w:val="21"/>
        </w:rPr>
        <w:t>于</w:t>
      </w:r>
      <w:r>
        <w:rPr>
          <w:spacing w:val="-2"/>
          <w:sz w:val="21"/>
        </w:rPr>
        <w:t>感</w:t>
      </w:r>
      <w:r>
        <w:rPr>
          <w:spacing w:val="-2"/>
          <w:sz w:val="21"/>
        </w:rPr>
        <w:t>染导致</w:t>
      </w:r>
      <w:r>
        <w:rPr>
          <w:spacing w:val="-2"/>
          <w:sz w:val="21"/>
        </w:rPr>
        <w:t>的</w:t>
      </w:r>
      <w:r>
        <w:rPr>
          <w:spacing w:val="-2"/>
          <w:sz w:val="21"/>
        </w:rPr>
        <w:t>急</w:t>
      </w:r>
      <w:r>
        <w:rPr>
          <w:spacing w:val="-2"/>
          <w:sz w:val="21"/>
        </w:rPr>
        <w:t>性</w:t>
      </w:r>
      <w:r>
        <w:rPr>
          <w:spacing w:val="-2"/>
          <w:sz w:val="21"/>
        </w:rPr>
        <w:t>综</w:t>
      </w:r>
      <w:r>
        <w:rPr>
          <w:spacing w:val="-2"/>
          <w:sz w:val="21"/>
        </w:rPr>
        <w:t>合</w:t>
      </w:r>
      <w:r>
        <w:rPr>
          <w:spacing w:val="-2"/>
          <w:sz w:val="21"/>
        </w:rPr>
        <w:t>征，</w:t>
      </w:r>
      <w:r>
        <w:rPr>
          <w:spacing w:val="-2"/>
          <w:sz w:val="21"/>
        </w:rPr>
        <w:t>引</w:t>
      </w:r>
      <w:r>
        <w:rPr>
          <w:spacing w:val="-2"/>
          <w:sz w:val="21"/>
        </w:rPr>
        <w:t>起红细</w:t>
      </w:r>
      <w:r>
        <w:rPr>
          <w:spacing w:val="-2"/>
          <w:sz w:val="21"/>
        </w:rPr>
        <w:t>胞</w:t>
      </w:r>
      <w:r>
        <w:rPr>
          <w:spacing w:val="-2"/>
          <w:sz w:val="21"/>
        </w:rPr>
        <w:t>溶</w:t>
      </w:r>
      <w:r>
        <w:rPr>
          <w:spacing w:val="-2"/>
          <w:sz w:val="21"/>
        </w:rPr>
        <w:t>血，</w:t>
      </w:r>
      <w:r>
        <w:rPr>
          <w:spacing w:val="-2"/>
          <w:sz w:val="21"/>
        </w:rPr>
        <w:t>肾</w:t>
      </w:r>
      <w:r>
        <w:rPr>
          <w:spacing w:val="-2"/>
          <w:sz w:val="21"/>
        </w:rPr>
        <w:t>功</w:t>
      </w:r>
      <w:r>
        <w:rPr>
          <w:spacing w:val="-2"/>
          <w:sz w:val="21"/>
        </w:rPr>
        <w:t>能</w:t>
      </w:r>
      <w:r>
        <w:rPr>
          <w:spacing w:val="-2"/>
          <w:sz w:val="21"/>
        </w:rPr>
        <w:t>衰</w:t>
      </w:r>
      <w:r>
        <w:rPr>
          <w:spacing w:val="-2"/>
          <w:sz w:val="21"/>
        </w:rPr>
        <w:t>竭</w:t>
      </w:r>
      <w:r>
        <w:rPr>
          <w:spacing w:val="-10"/>
          <w:sz w:val="21"/>
        </w:rPr>
        <w:t>及</w:t>
      </w:r>
    </w:p>
    <w:p>
      <w:pPr>
        <w:pStyle w:val="BodyText"/>
        <w:spacing w:line="245" w:lineRule="exact"/>
      </w:pPr>
      <w:r>
        <w:rPr>
          <w:spacing w:val="-3"/>
        </w:rPr>
        <w:t>尿毒症。溶血尿毒综合征必须由血液和肾脏专科医师诊断，被保险</w:t>
      </w:r>
    </w:p>
    <w:p>
      <w:pPr>
        <w:pStyle w:val="BodyText"/>
        <w:spacing w:before="5"/>
      </w:pPr>
      <w:r>
        <w:rPr>
          <w:spacing w:val="-3"/>
        </w:rPr>
        <w:t>人确诊时年龄在二十五周岁以下，并且满足下列所有条件：</w:t>
      </w:r>
    </w:p>
    <w:p>
      <w:pPr>
        <w:pStyle w:val="ListParagraph"/>
        <w:numPr>
          <w:ilvl w:val="0"/>
          <w:numId w:val="107"/>
        </w:numPr>
        <w:tabs>
          <w:tab w:pos="3682" w:val="left" w:leader="none"/>
        </w:tabs>
        <w:spacing w:line="244" w:lineRule="auto" w:before="2" w:after="0"/>
        <w:ind w:left="3678" w:right="842" w:hanging="526"/>
        <w:jc w:val="left"/>
        <w:rPr>
          <w:sz w:val="21"/>
        </w:rPr>
      </w:pPr>
      <w:r>
        <w:rPr>
          <w:spacing w:val="-2"/>
          <w:sz w:val="21"/>
        </w:rPr>
        <w:t>实验室检查确认有溶血性贫血、血尿、尿毒症、血小板减少</w:t>
      </w:r>
      <w:r>
        <w:rPr>
          <w:spacing w:val="-4"/>
          <w:sz w:val="21"/>
        </w:rPr>
        <w:t>性紫癜；</w:t>
      </w:r>
    </w:p>
    <w:p>
      <w:pPr>
        <w:pStyle w:val="ListParagraph"/>
        <w:numPr>
          <w:ilvl w:val="0"/>
          <w:numId w:val="107"/>
        </w:numPr>
        <w:tabs>
          <w:tab w:pos="3682" w:val="left" w:leader="none"/>
        </w:tabs>
        <w:spacing w:line="234" w:lineRule="exact" w:before="0" w:after="0"/>
        <w:ind w:left="3682" w:right="0" w:hanging="529"/>
        <w:jc w:val="left"/>
        <w:rPr>
          <w:sz w:val="21"/>
        </w:rPr>
      </w:pPr>
      <w:r>
        <w:rPr>
          <w:spacing w:val="-3"/>
          <w:sz w:val="21"/>
        </w:rPr>
        <w:t>因肾脏功能衰竭实施了肾脏透析治疗。</w:t>
      </w:r>
    </w:p>
    <w:p>
      <w:pPr>
        <w:spacing w:line="168" w:lineRule="auto" w:before="52"/>
        <w:ind w:left="3153" w:right="735" w:firstLine="0"/>
        <w:jc w:val="both"/>
        <w:rPr>
          <w:rFonts w:ascii="微软雅黑" w:eastAsia="微软雅黑"/>
          <w:b/>
          <w:sz w:val="21"/>
        </w:rPr>
      </w:pPr>
      <w:r>
        <w:rPr>
          <w:rFonts w:ascii="微软雅黑" w:eastAsia="微软雅黑"/>
          <w:b/>
          <w:spacing w:val="-2"/>
          <w:sz w:val="21"/>
        </w:rPr>
        <w:t>任何非因感染导致的溶血性贫血，如：自身免疫性溶血性贫血、与</w:t>
      </w:r>
      <w:r>
        <w:rPr>
          <w:rFonts w:ascii="微软雅黑" w:eastAsia="微软雅黑"/>
          <w:b/>
          <w:spacing w:val="-2"/>
          <w:sz w:val="21"/>
        </w:rPr>
        <w:t>红细胞末缺陷有关的溶血性贫血、红细胞酶病、血红蛋白病等，不</w:t>
      </w:r>
      <w:r>
        <w:rPr>
          <w:rFonts w:ascii="微软雅黑" w:eastAsia="微软雅黑"/>
          <w:b/>
          <w:spacing w:val="-2"/>
          <w:sz w:val="21"/>
        </w:rPr>
        <w:t>在保障范围内。</w:t>
      </w:r>
    </w:p>
    <w:p>
      <w:pPr>
        <w:pStyle w:val="ListParagraph"/>
        <w:numPr>
          <w:ilvl w:val="1"/>
          <w:numId w:val="92"/>
        </w:numPr>
        <w:tabs>
          <w:tab w:pos="1071" w:val="left" w:leader="none"/>
          <w:tab w:pos="1072" w:val="left" w:leader="none"/>
          <w:tab w:pos="3152" w:val="left" w:leader="none"/>
        </w:tabs>
        <w:spacing w:line="363" w:lineRule="exact" w:before="162" w:after="0"/>
        <w:ind w:left="1071" w:right="0" w:hanging="850"/>
        <w:jc w:val="left"/>
        <w:rPr>
          <w:sz w:val="21"/>
        </w:rPr>
      </w:pPr>
      <w:r>
        <w:rPr>
          <w:rFonts w:ascii="微软雅黑" w:hAnsi="微软雅黑" w:eastAsia="微软雅黑"/>
          <w:b/>
          <w:sz w:val="21"/>
        </w:rPr>
        <w:t>亚历山大</w:t>
      </w:r>
      <w:r>
        <w:rPr>
          <w:rFonts w:ascii="微软雅黑" w:hAnsi="微软雅黑" w:eastAsia="微软雅黑"/>
          <w:b/>
          <w:spacing w:val="-10"/>
          <w:sz w:val="21"/>
        </w:rPr>
        <w:t>病</w:t>
      </w:r>
      <w:r>
        <w:rPr>
          <w:rFonts w:ascii="微软雅黑" w:hAnsi="微软雅黑" w:eastAsia="微软雅黑"/>
          <w:b/>
          <w:sz w:val="21"/>
        </w:rPr>
        <w:tab/>
      </w:r>
      <w:r>
        <w:rPr>
          <w:spacing w:val="-4"/>
          <w:sz w:val="21"/>
        </w:rPr>
        <w:t>亚</w:t>
      </w:r>
      <w:r>
        <w:rPr>
          <w:spacing w:val="-4"/>
          <w:sz w:val="21"/>
        </w:rPr>
        <w:t>历</w:t>
      </w:r>
      <w:r>
        <w:rPr>
          <w:spacing w:val="-4"/>
          <w:sz w:val="21"/>
        </w:rPr>
        <w:t>山大病（</w:t>
      </w:r>
      <w:r>
        <w:rPr>
          <w:rFonts w:ascii="Times New Roman" w:hAnsi="Times New Roman" w:eastAsia="Times New Roman"/>
          <w:spacing w:val="-4"/>
          <w:sz w:val="21"/>
        </w:rPr>
        <w:t>Alexander’s</w:t>
      </w:r>
      <w:r>
        <w:rPr>
          <w:rFonts w:ascii="Times New Roman" w:hAnsi="Times New Roman" w:eastAsia="Times New Roman"/>
          <w:spacing w:val="60"/>
          <w:sz w:val="21"/>
        </w:rPr>
        <w:t> </w:t>
      </w:r>
      <w:r>
        <w:rPr>
          <w:rFonts w:ascii="Times New Roman" w:hAnsi="Times New Roman" w:eastAsia="Times New Roman"/>
          <w:spacing w:val="-4"/>
          <w:sz w:val="21"/>
        </w:rPr>
        <w:t>Disease</w:t>
      </w:r>
      <w:r>
        <w:rPr>
          <w:spacing w:val="-4"/>
          <w:sz w:val="21"/>
        </w:rPr>
        <w:t>）是一种遗传性中</w:t>
      </w:r>
      <w:r>
        <w:rPr>
          <w:spacing w:val="-4"/>
          <w:sz w:val="21"/>
        </w:rPr>
        <w:t>枢</w:t>
      </w:r>
      <w:r>
        <w:rPr>
          <w:spacing w:val="-4"/>
          <w:sz w:val="21"/>
        </w:rPr>
        <w:t>神</w:t>
      </w:r>
      <w:r>
        <w:rPr>
          <w:spacing w:val="-4"/>
          <w:sz w:val="21"/>
        </w:rPr>
        <w:t>经系统</w:t>
      </w:r>
      <w:r>
        <w:rPr>
          <w:spacing w:val="-4"/>
          <w:sz w:val="21"/>
        </w:rPr>
        <w:t>退</w:t>
      </w:r>
      <w:r>
        <w:rPr>
          <w:spacing w:val="-10"/>
          <w:sz w:val="21"/>
        </w:rPr>
        <w:t>行</w:t>
      </w:r>
    </w:p>
    <w:p>
      <w:pPr>
        <w:pStyle w:val="BodyText"/>
        <w:spacing w:line="245" w:lineRule="exact"/>
      </w:pPr>
      <w:r>
        <w:rPr>
          <w:spacing w:val="-3"/>
        </w:rPr>
        <w:t>性病变，特点为脑白质营养不良性。临床表现为惊厥发作、智力下</w:t>
      </w:r>
    </w:p>
    <w:p>
      <w:pPr>
        <w:pStyle w:val="BodyText"/>
        <w:spacing w:line="242" w:lineRule="auto" w:before="5"/>
        <w:ind w:right="729"/>
        <w:jc w:val="both"/>
      </w:pPr>
      <w:r>
        <w:rPr>
          <w:spacing w:val="-2"/>
        </w:rPr>
        <w:t>降、球麻痹、共济失调、痉性瘫痪。亚历山大病必须被明确诊断，</w:t>
      </w:r>
      <w:r>
        <w:rPr>
          <w:spacing w:val="-2"/>
        </w:rPr>
        <w:t>并且造成永久性神经系统功能障碍。被保险人自主生活能力完全丧</w:t>
      </w:r>
      <w:r>
        <w:rPr>
          <w:spacing w:val="-2"/>
        </w:rPr>
        <w:t>失，无法独立完成六项基本日常生活活动中的三项或三项以上，日</w:t>
      </w:r>
      <w:r>
        <w:rPr>
          <w:spacing w:val="-2"/>
        </w:rPr>
        <w:t>常生活必须持续受到他人护理。</w:t>
      </w:r>
    </w:p>
    <w:p>
      <w:pPr>
        <w:spacing w:line="323" w:lineRule="exact" w:before="0"/>
        <w:ind w:left="3153" w:right="0" w:firstLine="0"/>
        <w:jc w:val="left"/>
        <w:rPr>
          <w:rFonts w:ascii="微软雅黑" w:eastAsia="微软雅黑"/>
          <w:b/>
          <w:sz w:val="21"/>
        </w:rPr>
      </w:pPr>
      <w:r>
        <w:rPr>
          <w:rFonts w:ascii="微软雅黑" w:eastAsia="微软雅黑"/>
          <w:b/>
          <w:spacing w:val="-3"/>
          <w:sz w:val="21"/>
        </w:rPr>
        <w:t>未明确诊断的疑似病例除外。</w:t>
      </w:r>
    </w:p>
    <w:p>
      <w:pPr>
        <w:pStyle w:val="ListParagraph"/>
        <w:numPr>
          <w:ilvl w:val="1"/>
          <w:numId w:val="92"/>
        </w:numPr>
        <w:tabs>
          <w:tab w:pos="1071" w:val="left" w:leader="none"/>
          <w:tab w:pos="1072" w:val="left" w:leader="none"/>
          <w:tab w:pos="3152" w:val="left" w:leader="none"/>
        </w:tabs>
        <w:spacing w:line="363" w:lineRule="exact" w:before="126" w:after="0"/>
        <w:ind w:left="1071" w:right="0" w:hanging="850"/>
        <w:jc w:val="left"/>
        <w:rPr>
          <w:sz w:val="21"/>
        </w:rPr>
      </w:pPr>
      <w:r>
        <w:rPr>
          <w:rFonts w:ascii="微软雅黑" w:eastAsia="微软雅黑"/>
          <w:b/>
          <w:sz w:val="21"/>
        </w:rPr>
        <w:t>多发性骨髓</w:t>
      </w:r>
      <w:r>
        <w:rPr>
          <w:rFonts w:ascii="微软雅黑" w:eastAsia="微软雅黑"/>
          <w:b/>
          <w:spacing w:val="-10"/>
          <w:sz w:val="21"/>
        </w:rPr>
        <w:t>瘤</w:t>
      </w:r>
      <w:r>
        <w:rPr>
          <w:rFonts w:ascii="微软雅黑" w:eastAsia="微软雅黑"/>
          <w:b/>
          <w:sz w:val="21"/>
        </w:rPr>
        <w:tab/>
      </w:r>
      <w:r>
        <w:rPr>
          <w:spacing w:val="-2"/>
          <w:sz w:val="21"/>
        </w:rPr>
        <w:t>多</w:t>
      </w:r>
      <w:r>
        <w:rPr>
          <w:spacing w:val="-2"/>
          <w:sz w:val="21"/>
        </w:rPr>
        <w:t>发</w:t>
      </w:r>
      <w:r>
        <w:rPr>
          <w:spacing w:val="-2"/>
          <w:sz w:val="21"/>
        </w:rPr>
        <w:t>性</w:t>
      </w:r>
      <w:r>
        <w:rPr>
          <w:spacing w:val="-2"/>
          <w:sz w:val="21"/>
        </w:rPr>
        <w:t>骨</w:t>
      </w:r>
      <w:r>
        <w:rPr>
          <w:spacing w:val="-2"/>
          <w:sz w:val="21"/>
        </w:rPr>
        <w:t>髓</w:t>
      </w:r>
      <w:r>
        <w:rPr>
          <w:spacing w:val="-2"/>
          <w:sz w:val="21"/>
        </w:rPr>
        <w:t>瘤是浆</w:t>
      </w:r>
      <w:r>
        <w:rPr>
          <w:spacing w:val="-2"/>
          <w:sz w:val="21"/>
        </w:rPr>
        <w:t>细</w:t>
      </w:r>
      <w:r>
        <w:rPr>
          <w:spacing w:val="-2"/>
          <w:sz w:val="21"/>
        </w:rPr>
        <w:t>胞</w:t>
      </w:r>
      <w:r>
        <w:rPr>
          <w:spacing w:val="-2"/>
          <w:sz w:val="21"/>
        </w:rPr>
        <w:t>异</w:t>
      </w:r>
      <w:r>
        <w:rPr>
          <w:spacing w:val="-2"/>
          <w:sz w:val="21"/>
        </w:rPr>
        <w:t>常</w:t>
      </w:r>
      <w:r>
        <w:rPr>
          <w:spacing w:val="-2"/>
          <w:sz w:val="21"/>
        </w:rPr>
        <w:t>增</w:t>
      </w:r>
      <w:r>
        <w:rPr>
          <w:spacing w:val="-2"/>
          <w:sz w:val="21"/>
        </w:rPr>
        <w:t>生</w:t>
      </w:r>
      <w:r>
        <w:rPr>
          <w:spacing w:val="-2"/>
          <w:sz w:val="21"/>
        </w:rPr>
        <w:t>的</w:t>
      </w:r>
      <w:r>
        <w:rPr>
          <w:spacing w:val="-2"/>
          <w:sz w:val="21"/>
        </w:rPr>
        <w:t>恶</w:t>
      </w:r>
      <w:r>
        <w:rPr>
          <w:spacing w:val="-2"/>
          <w:sz w:val="21"/>
        </w:rPr>
        <w:t>性肿瘤</w:t>
      </w:r>
      <w:r>
        <w:rPr>
          <w:spacing w:val="-2"/>
          <w:sz w:val="21"/>
        </w:rPr>
        <w:t>。</w:t>
      </w:r>
      <w:r>
        <w:rPr>
          <w:spacing w:val="-2"/>
          <w:sz w:val="21"/>
        </w:rPr>
        <w:t>必</w:t>
      </w:r>
      <w:r>
        <w:rPr>
          <w:spacing w:val="-2"/>
          <w:sz w:val="21"/>
        </w:rPr>
        <w:t>须</w:t>
      </w:r>
      <w:r>
        <w:rPr>
          <w:spacing w:val="-2"/>
          <w:sz w:val="21"/>
        </w:rPr>
        <w:t>满</w:t>
      </w:r>
      <w:r>
        <w:rPr>
          <w:spacing w:val="-2"/>
          <w:sz w:val="21"/>
        </w:rPr>
        <w:t>足</w:t>
      </w:r>
      <w:r>
        <w:rPr>
          <w:spacing w:val="-2"/>
          <w:sz w:val="21"/>
        </w:rPr>
        <w:t>下</w:t>
      </w:r>
      <w:r>
        <w:rPr>
          <w:spacing w:val="-2"/>
          <w:sz w:val="21"/>
        </w:rPr>
        <w:t>列</w:t>
      </w:r>
      <w:r>
        <w:rPr>
          <w:spacing w:val="-2"/>
          <w:sz w:val="21"/>
        </w:rPr>
        <w:t>所</w:t>
      </w:r>
      <w:r>
        <w:rPr>
          <w:spacing w:val="-2"/>
          <w:sz w:val="21"/>
        </w:rPr>
        <w:t>有</w:t>
      </w:r>
      <w:r>
        <w:rPr>
          <w:spacing w:val="-10"/>
          <w:sz w:val="21"/>
        </w:rPr>
        <w:t>条</w:t>
      </w:r>
    </w:p>
    <w:p>
      <w:pPr>
        <w:pStyle w:val="BodyText"/>
        <w:spacing w:line="245" w:lineRule="exact"/>
      </w:pPr>
      <w:r>
        <w:rPr>
          <w:spacing w:val="-5"/>
        </w:rPr>
        <w:t>件：</w:t>
      </w:r>
    </w:p>
    <w:p>
      <w:pPr>
        <w:pStyle w:val="ListParagraph"/>
        <w:numPr>
          <w:ilvl w:val="0"/>
          <w:numId w:val="108"/>
        </w:numPr>
        <w:tabs>
          <w:tab w:pos="3682" w:val="left" w:leader="none"/>
        </w:tabs>
        <w:spacing w:line="240" w:lineRule="auto" w:before="5" w:after="0"/>
        <w:ind w:left="3682" w:right="0" w:hanging="529"/>
        <w:jc w:val="left"/>
        <w:rPr>
          <w:sz w:val="21"/>
        </w:rPr>
      </w:pPr>
      <w:r>
        <w:rPr>
          <w:spacing w:val="-3"/>
          <w:sz w:val="21"/>
        </w:rPr>
        <w:t>骨髓活组织检查符合多发性骨髓瘤的典型骨髓改变；</w:t>
      </w:r>
    </w:p>
    <w:p>
      <w:pPr>
        <w:spacing w:after="0" w:line="240" w:lineRule="auto"/>
        <w:jc w:val="left"/>
        <w:rPr>
          <w:sz w:val="21"/>
        </w:rPr>
        <w:sectPr>
          <w:type w:val="continuous"/>
          <w:pgSz w:w="11910" w:h="16840"/>
          <w:pgMar w:header="0" w:footer="878" w:top="160" w:bottom="280" w:left="1480" w:right="440"/>
        </w:sectPr>
      </w:pPr>
    </w:p>
    <w:p>
      <w:pPr>
        <w:pStyle w:val="ListParagraph"/>
        <w:numPr>
          <w:ilvl w:val="0"/>
          <w:numId w:val="108"/>
        </w:numPr>
        <w:tabs>
          <w:tab w:pos="3682" w:val="left" w:leader="none"/>
        </w:tabs>
        <w:spacing w:line="240" w:lineRule="auto" w:before="55" w:after="0"/>
        <w:ind w:left="3682" w:right="4414" w:hanging="3682"/>
        <w:jc w:val="right"/>
        <w:rPr>
          <w:sz w:val="21"/>
        </w:rPr>
      </w:pPr>
      <w:r>
        <w:rPr>
          <w:spacing w:val="-3"/>
          <w:sz w:val="21"/>
        </w:rPr>
        <w:t>至少存在下列一项：</w:t>
      </w:r>
    </w:p>
    <w:p>
      <w:pPr>
        <w:pStyle w:val="BodyText"/>
        <w:spacing w:before="5"/>
        <w:ind w:left="0" w:right="4414"/>
        <w:jc w:val="right"/>
      </w:pPr>
      <w:r>
        <w:rPr>
          <w:spacing w:val="-3"/>
        </w:rPr>
        <w:t>①异常球蛋白血症；</w:t>
      </w:r>
    </w:p>
    <w:p>
      <w:pPr>
        <w:pStyle w:val="BodyText"/>
        <w:spacing w:line="238" w:lineRule="exact" w:before="2"/>
        <w:ind w:left="1167" w:right="2325"/>
        <w:jc w:val="center"/>
      </w:pPr>
      <w:r>
        <w:rPr>
          <w:spacing w:val="-4"/>
        </w:rPr>
        <w:t>②溶骨性损害。</w:t>
      </w:r>
    </w:p>
    <w:p>
      <w:pPr>
        <w:spacing w:line="356" w:lineRule="exact" w:before="0"/>
        <w:ind w:left="3153" w:right="0" w:firstLine="0"/>
        <w:jc w:val="left"/>
        <w:rPr>
          <w:rFonts w:ascii="微软雅黑" w:eastAsia="微软雅黑"/>
          <w:b/>
          <w:sz w:val="21"/>
        </w:rPr>
      </w:pPr>
      <w:r>
        <w:rPr>
          <w:rFonts w:ascii="微软雅黑" w:eastAsia="微软雅黑"/>
          <w:b/>
          <w:spacing w:val="-3"/>
          <w:sz w:val="21"/>
        </w:rPr>
        <w:t>孤立性骨髓瘤不在保障范围内。</w:t>
      </w:r>
    </w:p>
    <w:p>
      <w:pPr>
        <w:spacing w:after="0" w:line="356" w:lineRule="exact"/>
        <w:jc w:val="left"/>
        <w:rPr>
          <w:rFonts w:ascii="微软雅黑" w:eastAsia="微软雅黑"/>
          <w:sz w:val="21"/>
        </w:rPr>
        <w:sectPr>
          <w:pgSz w:w="11910" w:h="16840"/>
          <w:pgMar w:header="0" w:footer="878" w:top="1060" w:bottom="1060" w:left="1480" w:right="440"/>
        </w:sectPr>
      </w:pPr>
    </w:p>
    <w:p>
      <w:pPr>
        <w:pStyle w:val="ListParagraph"/>
        <w:numPr>
          <w:ilvl w:val="1"/>
          <w:numId w:val="92"/>
        </w:numPr>
        <w:tabs>
          <w:tab w:pos="1071" w:val="left" w:leader="none"/>
          <w:tab w:pos="1072" w:val="left" w:leader="none"/>
        </w:tabs>
        <w:spacing w:line="329" w:lineRule="exact" w:before="127" w:after="0"/>
        <w:ind w:left="1071" w:right="0" w:hanging="850"/>
        <w:jc w:val="left"/>
        <w:rPr>
          <w:rFonts w:ascii="微软雅黑" w:eastAsia="微软雅黑"/>
          <w:b/>
          <w:sz w:val="21"/>
        </w:rPr>
      </w:pPr>
      <w:r>
        <w:rPr>
          <w:rFonts w:ascii="微软雅黑" w:eastAsia="微软雅黑"/>
          <w:b/>
          <w:spacing w:val="18"/>
          <w:sz w:val="21"/>
        </w:rPr>
        <w:t>左室室壁瘤切除手</w:t>
      </w:r>
    </w:p>
    <w:p>
      <w:pPr>
        <w:spacing w:line="329" w:lineRule="exact" w:before="0"/>
        <w:ind w:left="1071" w:right="0" w:firstLine="0"/>
        <w:jc w:val="left"/>
        <w:rPr>
          <w:rFonts w:ascii="微软雅黑" w:eastAsia="微软雅黑"/>
          <w:b/>
          <w:sz w:val="21"/>
        </w:rPr>
      </w:pPr>
      <w:r>
        <w:rPr>
          <w:rFonts w:ascii="微软雅黑" w:eastAsia="微软雅黑"/>
          <w:b/>
          <w:w w:val="100"/>
          <w:sz w:val="21"/>
        </w:rPr>
        <w:t>术</w:t>
      </w:r>
    </w:p>
    <w:p>
      <w:pPr>
        <w:spacing w:line="240" w:lineRule="auto" w:before="10"/>
        <w:rPr>
          <w:rFonts w:ascii="微软雅黑"/>
          <w:b/>
          <w:sz w:val="10"/>
        </w:rPr>
      </w:pPr>
      <w:r>
        <w:rPr/>
        <w:br w:type="column"/>
      </w:r>
      <w:r>
        <w:rPr>
          <w:rFonts w:ascii="微软雅黑"/>
          <w:b/>
          <w:sz w:val="10"/>
        </w:rPr>
      </w:r>
    </w:p>
    <w:p>
      <w:pPr>
        <w:pStyle w:val="BodyText"/>
        <w:spacing w:line="242" w:lineRule="auto"/>
        <w:ind w:left="175" w:right="729"/>
      </w:pPr>
      <w:r>
        <w:rPr>
          <w:spacing w:val="-2"/>
        </w:rPr>
        <w:t>被保险人被明确诊断为左室室壁瘤，并且实际接受了开胸开心进行</w:t>
      </w:r>
      <w:r>
        <w:rPr>
          <w:spacing w:val="-2"/>
        </w:rPr>
        <w:t>的室壁瘤切除手术治疗。</w:t>
      </w:r>
    </w:p>
    <w:p>
      <w:pPr>
        <w:spacing w:line="321" w:lineRule="exact" w:before="0"/>
        <w:ind w:left="175" w:right="0" w:firstLine="0"/>
        <w:jc w:val="left"/>
        <w:rPr>
          <w:rFonts w:ascii="微软雅黑" w:eastAsia="微软雅黑"/>
          <w:b/>
          <w:sz w:val="21"/>
        </w:rPr>
      </w:pPr>
      <w:r>
        <w:rPr>
          <w:rFonts w:ascii="微软雅黑" w:eastAsia="微软雅黑"/>
          <w:b/>
          <w:spacing w:val="-3"/>
          <w:sz w:val="21"/>
        </w:rPr>
        <w:t>经导管心室内成型手术治疗不在保障范围内。</w:t>
      </w:r>
    </w:p>
    <w:p>
      <w:pPr>
        <w:spacing w:after="0" w:line="321" w:lineRule="exact"/>
        <w:jc w:val="left"/>
        <w:rPr>
          <w:rFonts w:ascii="微软雅黑" w:eastAsia="微软雅黑"/>
          <w:sz w:val="21"/>
        </w:rPr>
        <w:sectPr>
          <w:type w:val="continuous"/>
          <w:pgSz w:w="11910" w:h="16840"/>
          <w:pgMar w:header="0" w:footer="878" w:top="160" w:bottom="280" w:left="1480" w:right="440"/>
          <w:cols w:num="2" w:equalWidth="0">
            <w:col w:w="2938" w:space="40"/>
            <w:col w:w="7012"/>
          </w:cols>
        </w:sectPr>
      </w:pPr>
    </w:p>
    <w:p>
      <w:pPr>
        <w:pStyle w:val="ListParagraph"/>
        <w:numPr>
          <w:ilvl w:val="1"/>
          <w:numId w:val="92"/>
        </w:numPr>
        <w:tabs>
          <w:tab w:pos="1071" w:val="left" w:leader="none"/>
          <w:tab w:pos="1072" w:val="left" w:leader="none"/>
          <w:tab w:pos="3152" w:val="left" w:leader="none"/>
        </w:tabs>
        <w:spacing w:line="364" w:lineRule="exact" w:before="126" w:after="0"/>
        <w:ind w:left="1071" w:right="0" w:hanging="850"/>
        <w:jc w:val="left"/>
        <w:rPr>
          <w:sz w:val="21"/>
        </w:rPr>
      </w:pPr>
      <w:r>
        <w:rPr>
          <w:rFonts w:ascii="Times New Roman" w:eastAsia="Times New Roman"/>
          <w:b/>
          <w:sz w:val="21"/>
        </w:rPr>
        <w:t>Brugada</w:t>
      </w:r>
      <w:r>
        <w:rPr>
          <w:rFonts w:ascii="Times New Roman" w:eastAsia="Times New Roman"/>
          <w:b/>
          <w:spacing w:val="47"/>
          <w:sz w:val="21"/>
        </w:rPr>
        <w:t> </w:t>
      </w:r>
      <w:r>
        <w:rPr>
          <w:rFonts w:ascii="微软雅黑" w:eastAsia="微软雅黑"/>
          <w:b/>
          <w:sz w:val="21"/>
        </w:rPr>
        <w:t>综合</w:t>
      </w:r>
      <w:r>
        <w:rPr>
          <w:rFonts w:ascii="微软雅黑" w:eastAsia="微软雅黑"/>
          <w:b/>
          <w:spacing w:val="-10"/>
          <w:sz w:val="21"/>
        </w:rPr>
        <w:t>征</w:t>
      </w:r>
      <w:r>
        <w:rPr>
          <w:rFonts w:ascii="微软雅黑" w:eastAsia="微软雅黑"/>
          <w:b/>
          <w:sz w:val="21"/>
        </w:rPr>
        <w:tab/>
      </w:r>
      <w:r>
        <w:rPr>
          <w:sz w:val="21"/>
        </w:rPr>
        <w:t>指由心脏专科医生诊断</w:t>
      </w:r>
      <w:r>
        <w:rPr>
          <w:spacing w:val="22"/>
          <w:sz w:val="21"/>
        </w:rPr>
        <w:t>为</w:t>
      </w:r>
      <w:r>
        <w:rPr>
          <w:rFonts w:ascii="Times New Roman" w:eastAsia="Times New Roman"/>
          <w:sz w:val="21"/>
        </w:rPr>
        <w:t>Brugada</w:t>
      </w:r>
      <w:r>
        <w:rPr>
          <w:rFonts w:ascii="Times New Roman" w:eastAsia="Times New Roman"/>
          <w:spacing w:val="-12"/>
          <w:sz w:val="21"/>
        </w:rPr>
        <w:t> </w:t>
      </w:r>
      <w:r>
        <w:rPr>
          <w:sz w:val="21"/>
        </w:rPr>
        <w:t>综合征，且满足下</w:t>
      </w:r>
      <w:r>
        <w:rPr>
          <w:sz w:val="21"/>
        </w:rPr>
        <w:t>列全部条件</w:t>
      </w:r>
      <w:r>
        <w:rPr>
          <w:spacing w:val="-10"/>
          <w:sz w:val="21"/>
        </w:rPr>
        <w:t>：</w:t>
      </w:r>
    </w:p>
    <w:p>
      <w:pPr>
        <w:pStyle w:val="ListParagraph"/>
        <w:numPr>
          <w:ilvl w:val="0"/>
          <w:numId w:val="109"/>
        </w:numPr>
        <w:tabs>
          <w:tab w:pos="3682" w:val="left" w:leader="none"/>
        </w:tabs>
        <w:spacing w:line="246" w:lineRule="exact" w:before="0" w:after="0"/>
        <w:ind w:left="3682" w:right="0" w:hanging="529"/>
        <w:jc w:val="left"/>
        <w:rPr>
          <w:sz w:val="21"/>
        </w:rPr>
      </w:pPr>
      <w:r>
        <w:rPr>
          <w:spacing w:val="-3"/>
          <w:sz w:val="21"/>
        </w:rPr>
        <w:t>有晕厥或心脏骤停病史，并提供完整的诊疗记录；</w:t>
      </w:r>
    </w:p>
    <w:p>
      <w:pPr>
        <w:pStyle w:val="ListParagraph"/>
        <w:numPr>
          <w:ilvl w:val="0"/>
          <w:numId w:val="109"/>
        </w:numPr>
        <w:tabs>
          <w:tab w:pos="3682" w:val="left" w:leader="none"/>
        </w:tabs>
        <w:spacing w:line="240" w:lineRule="auto" w:before="2" w:after="0"/>
        <w:ind w:left="3682" w:right="0" w:hanging="529"/>
        <w:jc w:val="left"/>
        <w:rPr>
          <w:sz w:val="21"/>
        </w:rPr>
      </w:pPr>
      <w:r>
        <w:rPr>
          <w:spacing w:val="-7"/>
          <w:sz w:val="21"/>
        </w:rPr>
        <w:t>心电图有典型的 </w:t>
      </w:r>
      <w:r>
        <w:rPr>
          <w:rFonts w:ascii="Times New Roman" w:eastAsia="Times New Roman"/>
          <w:sz w:val="21"/>
        </w:rPr>
        <w:t>I</w:t>
      </w:r>
      <w:r>
        <w:rPr>
          <w:rFonts w:ascii="Times New Roman" w:eastAsia="Times New Roman"/>
          <w:spacing w:val="40"/>
          <w:sz w:val="21"/>
        </w:rPr>
        <w:t> </w:t>
      </w:r>
      <w:r>
        <w:rPr>
          <w:spacing w:val="-27"/>
          <w:sz w:val="21"/>
        </w:rPr>
        <w:t>型 </w:t>
      </w:r>
      <w:r>
        <w:rPr>
          <w:rFonts w:ascii="Times New Roman" w:eastAsia="Times New Roman"/>
          <w:sz w:val="21"/>
        </w:rPr>
        <w:t>Brugada</w:t>
      </w:r>
      <w:r>
        <w:rPr>
          <w:rFonts w:ascii="Times New Roman" w:eastAsia="Times New Roman"/>
          <w:spacing w:val="46"/>
          <w:sz w:val="21"/>
        </w:rPr>
        <w:t> </w:t>
      </w:r>
      <w:r>
        <w:rPr>
          <w:spacing w:val="-5"/>
          <w:sz w:val="21"/>
        </w:rPr>
        <w:t>波；</w:t>
      </w:r>
    </w:p>
    <w:p>
      <w:pPr>
        <w:pStyle w:val="ListParagraph"/>
        <w:numPr>
          <w:ilvl w:val="0"/>
          <w:numId w:val="109"/>
        </w:numPr>
        <w:tabs>
          <w:tab w:pos="3682" w:val="left" w:leader="none"/>
        </w:tabs>
        <w:spacing w:line="240" w:lineRule="auto" w:before="3" w:after="0"/>
        <w:ind w:left="3682" w:right="0" w:hanging="529"/>
        <w:jc w:val="left"/>
        <w:rPr>
          <w:sz w:val="21"/>
        </w:rPr>
      </w:pPr>
      <w:r>
        <w:rPr>
          <w:spacing w:val="-3"/>
          <w:sz w:val="21"/>
        </w:rPr>
        <w:t>已经安装了永久性心脏起搏器。</w:t>
      </w:r>
    </w:p>
    <w:p>
      <w:pPr>
        <w:pStyle w:val="ListParagraph"/>
        <w:numPr>
          <w:ilvl w:val="1"/>
          <w:numId w:val="92"/>
        </w:numPr>
        <w:tabs>
          <w:tab w:pos="849" w:val="left" w:leader="none"/>
          <w:tab w:pos="1072" w:val="left" w:leader="none"/>
          <w:tab w:pos="2930" w:val="left" w:leader="none"/>
        </w:tabs>
        <w:spacing w:line="363" w:lineRule="exact" w:before="179" w:after="0"/>
        <w:ind w:left="1071" w:right="729" w:hanging="1072"/>
        <w:jc w:val="right"/>
        <w:rPr>
          <w:sz w:val="21"/>
        </w:rPr>
      </w:pPr>
      <w:r>
        <w:rPr>
          <w:rFonts w:ascii="微软雅黑" w:eastAsia="微软雅黑"/>
          <w:b/>
          <w:sz w:val="21"/>
        </w:rPr>
        <w:t>皮质基底节变</w:t>
      </w:r>
      <w:r>
        <w:rPr>
          <w:rFonts w:ascii="微软雅黑" w:eastAsia="微软雅黑"/>
          <w:b/>
          <w:spacing w:val="-10"/>
          <w:sz w:val="21"/>
        </w:rPr>
        <w:t>性</w:t>
      </w:r>
      <w:r>
        <w:rPr>
          <w:rFonts w:ascii="微软雅黑" w:eastAsia="微软雅黑"/>
          <w:b/>
          <w:sz w:val="21"/>
        </w:rPr>
        <w:tab/>
      </w:r>
      <w:r>
        <w:rPr>
          <w:spacing w:val="-2"/>
          <w:sz w:val="21"/>
        </w:rPr>
        <w:t>指</w:t>
      </w:r>
      <w:r>
        <w:rPr>
          <w:spacing w:val="-2"/>
          <w:sz w:val="21"/>
        </w:rPr>
        <w:t>一</w:t>
      </w:r>
      <w:r>
        <w:rPr>
          <w:spacing w:val="-2"/>
          <w:sz w:val="21"/>
        </w:rPr>
        <w:t>种</w:t>
      </w:r>
      <w:r>
        <w:rPr>
          <w:spacing w:val="-2"/>
          <w:sz w:val="21"/>
        </w:rPr>
        <w:t>慢</w:t>
      </w:r>
      <w:r>
        <w:rPr>
          <w:spacing w:val="-2"/>
          <w:sz w:val="21"/>
        </w:rPr>
        <w:t>性</w:t>
      </w:r>
      <w:r>
        <w:rPr>
          <w:spacing w:val="-2"/>
          <w:sz w:val="21"/>
        </w:rPr>
        <w:t>进展性</w:t>
      </w:r>
      <w:r>
        <w:rPr>
          <w:spacing w:val="-2"/>
          <w:sz w:val="21"/>
        </w:rPr>
        <w:t>神</w:t>
      </w:r>
      <w:r>
        <w:rPr>
          <w:spacing w:val="-2"/>
          <w:sz w:val="21"/>
        </w:rPr>
        <w:t>经</w:t>
      </w:r>
      <w:r>
        <w:rPr>
          <w:spacing w:val="-2"/>
          <w:sz w:val="21"/>
        </w:rPr>
        <w:t>变</w:t>
      </w:r>
      <w:r>
        <w:rPr>
          <w:spacing w:val="-2"/>
          <w:sz w:val="21"/>
        </w:rPr>
        <w:t>性</w:t>
      </w:r>
      <w:r>
        <w:rPr>
          <w:spacing w:val="-2"/>
          <w:sz w:val="21"/>
        </w:rPr>
        <w:t>疾</w:t>
      </w:r>
      <w:r>
        <w:rPr>
          <w:spacing w:val="-2"/>
          <w:sz w:val="21"/>
        </w:rPr>
        <w:t>病，</w:t>
      </w:r>
      <w:r>
        <w:rPr>
          <w:spacing w:val="-2"/>
          <w:sz w:val="21"/>
        </w:rPr>
        <w:t>以</w:t>
      </w:r>
      <w:r>
        <w:rPr>
          <w:spacing w:val="-2"/>
          <w:sz w:val="21"/>
        </w:rPr>
        <w:t>不对称</w:t>
      </w:r>
      <w:r>
        <w:rPr>
          <w:spacing w:val="-2"/>
          <w:sz w:val="21"/>
        </w:rPr>
        <w:t>发</w:t>
      </w:r>
      <w:r>
        <w:rPr>
          <w:spacing w:val="-2"/>
          <w:sz w:val="21"/>
        </w:rPr>
        <w:t>作</w:t>
      </w:r>
      <w:r>
        <w:rPr>
          <w:spacing w:val="-2"/>
          <w:sz w:val="21"/>
        </w:rPr>
        <w:t>的</w:t>
      </w:r>
      <w:r>
        <w:rPr>
          <w:spacing w:val="-2"/>
          <w:sz w:val="21"/>
        </w:rPr>
        <w:t>无</w:t>
      </w:r>
      <w:r>
        <w:rPr>
          <w:spacing w:val="-2"/>
          <w:sz w:val="21"/>
        </w:rPr>
        <w:t>动</w:t>
      </w:r>
      <w:r>
        <w:rPr>
          <w:spacing w:val="-2"/>
          <w:sz w:val="21"/>
        </w:rPr>
        <w:t>性</w:t>
      </w:r>
      <w:r>
        <w:rPr>
          <w:spacing w:val="-2"/>
          <w:sz w:val="21"/>
        </w:rPr>
        <w:t>强</w:t>
      </w:r>
      <w:r>
        <w:rPr>
          <w:spacing w:val="-2"/>
          <w:sz w:val="21"/>
        </w:rPr>
        <w:t>直</w:t>
      </w:r>
      <w:r>
        <w:rPr>
          <w:spacing w:val="-2"/>
          <w:sz w:val="21"/>
        </w:rPr>
        <w:t>综</w:t>
      </w:r>
      <w:r>
        <w:rPr>
          <w:spacing w:val="-10"/>
          <w:sz w:val="21"/>
        </w:rPr>
        <w:t>合</w:t>
      </w:r>
    </w:p>
    <w:p>
      <w:pPr>
        <w:pStyle w:val="BodyText"/>
        <w:spacing w:line="245" w:lineRule="exact"/>
        <w:ind w:left="0" w:right="729"/>
        <w:jc w:val="right"/>
      </w:pPr>
      <w:r>
        <w:rPr>
          <w:spacing w:val="-3"/>
        </w:rPr>
        <w:t>征、失用、肌张力障碍及姿势异常为其临床特征。须经临床医生明</w:t>
      </w:r>
    </w:p>
    <w:p>
      <w:pPr>
        <w:pStyle w:val="BodyText"/>
        <w:spacing w:line="242" w:lineRule="auto" w:before="5"/>
        <w:ind w:right="729"/>
        <w:jc w:val="both"/>
      </w:pPr>
      <w:r>
        <w:rPr>
          <w:spacing w:val="-2"/>
        </w:rPr>
        <w:t>确诊断，被保险人自主生活能力完全丧失，无法独立完成六项基本</w:t>
      </w:r>
      <w:r>
        <w:rPr>
          <w:spacing w:val="-2"/>
        </w:rPr>
        <w:t>日常生活活动中的三项或三项以上，日常生活必须持续受到他人监</w:t>
      </w:r>
      <w:r>
        <w:rPr>
          <w:spacing w:val="-6"/>
        </w:rPr>
        <w:t>护。</w:t>
      </w:r>
    </w:p>
    <w:p>
      <w:pPr>
        <w:pStyle w:val="ListParagraph"/>
        <w:numPr>
          <w:ilvl w:val="1"/>
          <w:numId w:val="92"/>
        </w:numPr>
        <w:tabs>
          <w:tab w:pos="1071" w:val="left" w:leader="none"/>
          <w:tab w:pos="1072" w:val="left" w:leader="none"/>
          <w:tab w:pos="3152" w:val="left" w:leader="none"/>
        </w:tabs>
        <w:spacing w:line="363" w:lineRule="exact" w:before="176" w:after="0"/>
        <w:ind w:left="1071" w:right="0" w:hanging="850"/>
        <w:jc w:val="left"/>
        <w:rPr>
          <w:sz w:val="21"/>
        </w:rPr>
      </w:pPr>
      <w:r>
        <w:rPr>
          <w:rFonts w:ascii="微软雅黑" w:eastAsia="微软雅黑"/>
          <w:b/>
          <w:sz w:val="21"/>
        </w:rPr>
        <w:t>脑型疟</w:t>
      </w:r>
      <w:r>
        <w:rPr>
          <w:rFonts w:ascii="微软雅黑" w:eastAsia="微软雅黑"/>
          <w:b/>
          <w:spacing w:val="-10"/>
          <w:sz w:val="21"/>
        </w:rPr>
        <w:t>疾</w:t>
      </w:r>
      <w:r>
        <w:rPr>
          <w:rFonts w:ascii="微软雅黑" w:eastAsia="微软雅黑"/>
          <w:b/>
          <w:sz w:val="21"/>
        </w:rPr>
        <w:tab/>
      </w:r>
      <w:r>
        <w:rPr>
          <w:spacing w:val="-2"/>
          <w:sz w:val="21"/>
        </w:rPr>
        <w:t>恶</w:t>
      </w:r>
      <w:r>
        <w:rPr>
          <w:spacing w:val="-2"/>
          <w:sz w:val="21"/>
        </w:rPr>
        <w:t>性</w:t>
      </w:r>
      <w:r>
        <w:rPr>
          <w:spacing w:val="-2"/>
          <w:sz w:val="21"/>
        </w:rPr>
        <w:t>疟</w:t>
      </w:r>
      <w:r>
        <w:rPr>
          <w:spacing w:val="-2"/>
          <w:sz w:val="21"/>
        </w:rPr>
        <w:t>原</w:t>
      </w:r>
      <w:r>
        <w:rPr>
          <w:spacing w:val="-2"/>
          <w:sz w:val="21"/>
        </w:rPr>
        <w:t>虫</w:t>
      </w:r>
      <w:r>
        <w:rPr>
          <w:spacing w:val="-2"/>
          <w:sz w:val="21"/>
        </w:rPr>
        <w:t>严重感</w:t>
      </w:r>
      <w:r>
        <w:rPr>
          <w:spacing w:val="-2"/>
          <w:sz w:val="21"/>
        </w:rPr>
        <w:t>染</w:t>
      </w:r>
      <w:r>
        <w:rPr>
          <w:spacing w:val="-2"/>
          <w:sz w:val="21"/>
        </w:rPr>
        <w:t>导</w:t>
      </w:r>
      <w:r>
        <w:rPr>
          <w:spacing w:val="-2"/>
          <w:sz w:val="21"/>
        </w:rPr>
        <w:t>致</w:t>
      </w:r>
      <w:r>
        <w:rPr>
          <w:spacing w:val="-2"/>
          <w:sz w:val="21"/>
        </w:rPr>
        <w:t>的</w:t>
      </w:r>
      <w:r>
        <w:rPr>
          <w:spacing w:val="-2"/>
          <w:sz w:val="21"/>
        </w:rPr>
        <w:t>脑</w:t>
      </w:r>
      <w:r>
        <w:rPr>
          <w:spacing w:val="-2"/>
          <w:sz w:val="21"/>
        </w:rPr>
        <w:t>病</w:t>
      </w:r>
      <w:r>
        <w:rPr>
          <w:spacing w:val="-2"/>
          <w:sz w:val="21"/>
        </w:rPr>
        <w:t>或</w:t>
      </w:r>
      <w:r>
        <w:rPr>
          <w:spacing w:val="-2"/>
          <w:sz w:val="21"/>
        </w:rPr>
        <w:t>脑</w:t>
      </w:r>
      <w:r>
        <w:rPr>
          <w:spacing w:val="-2"/>
          <w:sz w:val="21"/>
        </w:rPr>
        <w:t>型疟疾，</w:t>
      </w:r>
      <w:r>
        <w:rPr>
          <w:spacing w:val="-2"/>
          <w:sz w:val="21"/>
        </w:rPr>
        <w:t>以</w:t>
      </w:r>
      <w:r>
        <w:rPr>
          <w:spacing w:val="-2"/>
          <w:sz w:val="21"/>
        </w:rPr>
        <w:t>昏</w:t>
      </w:r>
      <w:r>
        <w:rPr>
          <w:spacing w:val="-2"/>
          <w:sz w:val="21"/>
        </w:rPr>
        <w:t>迷</w:t>
      </w:r>
      <w:r>
        <w:rPr>
          <w:spacing w:val="-2"/>
          <w:sz w:val="21"/>
        </w:rPr>
        <w:t>为</w:t>
      </w:r>
      <w:r>
        <w:rPr>
          <w:spacing w:val="-2"/>
          <w:sz w:val="21"/>
        </w:rPr>
        <w:t>主</w:t>
      </w:r>
      <w:r>
        <w:rPr>
          <w:spacing w:val="-2"/>
          <w:sz w:val="21"/>
        </w:rPr>
        <w:t>要</w:t>
      </w:r>
      <w:r>
        <w:rPr>
          <w:spacing w:val="-2"/>
          <w:sz w:val="21"/>
        </w:rPr>
        <w:t>特</w:t>
      </w:r>
      <w:r>
        <w:rPr>
          <w:spacing w:val="-2"/>
          <w:sz w:val="21"/>
        </w:rPr>
        <w:t>征</w:t>
      </w:r>
      <w:r>
        <w:rPr>
          <w:spacing w:val="-10"/>
          <w:sz w:val="21"/>
        </w:rPr>
        <w:t>。</w:t>
      </w:r>
    </w:p>
    <w:p>
      <w:pPr>
        <w:spacing w:line="194" w:lineRule="auto" w:before="16"/>
        <w:ind w:left="3153" w:right="626" w:firstLine="0"/>
        <w:jc w:val="left"/>
        <w:rPr>
          <w:rFonts w:ascii="微软雅黑" w:eastAsia="微软雅黑"/>
          <w:b/>
          <w:sz w:val="21"/>
        </w:rPr>
      </w:pPr>
      <w:r>
        <w:rPr>
          <w:spacing w:val="-9"/>
          <w:sz w:val="21"/>
        </w:rPr>
        <w:t>脑型疟疾的诊断须由注册医生确认，且外周血涂片存在恶性疟原虫。</w:t>
      </w:r>
      <w:r>
        <w:rPr>
          <w:rFonts w:ascii="微软雅黑" w:eastAsia="微软雅黑"/>
          <w:b/>
          <w:spacing w:val="-2"/>
          <w:sz w:val="21"/>
        </w:rPr>
        <w:t>其他明确病因导致的脑病不在保障范围内。</w:t>
      </w:r>
    </w:p>
    <w:p>
      <w:pPr>
        <w:pStyle w:val="ListParagraph"/>
        <w:numPr>
          <w:ilvl w:val="1"/>
          <w:numId w:val="92"/>
        </w:numPr>
        <w:tabs>
          <w:tab w:pos="1071" w:val="left" w:leader="none"/>
          <w:tab w:pos="1072" w:val="left" w:leader="none"/>
          <w:tab w:pos="3152" w:val="left" w:leader="none"/>
        </w:tabs>
        <w:spacing w:line="363" w:lineRule="exact" w:before="149" w:after="0"/>
        <w:ind w:left="1071" w:right="0" w:hanging="850"/>
        <w:jc w:val="left"/>
        <w:rPr>
          <w:sz w:val="21"/>
        </w:rPr>
      </w:pPr>
      <w:r>
        <w:rPr>
          <w:rFonts w:ascii="微软雅黑" w:eastAsia="微软雅黑"/>
          <w:b/>
          <w:sz w:val="21"/>
        </w:rPr>
        <w:t>脑囊虫</w:t>
      </w:r>
      <w:r>
        <w:rPr>
          <w:rFonts w:ascii="微软雅黑" w:eastAsia="微软雅黑"/>
          <w:b/>
          <w:spacing w:val="-10"/>
          <w:sz w:val="21"/>
        </w:rPr>
        <w:t>病</w:t>
      </w:r>
      <w:r>
        <w:rPr>
          <w:rFonts w:ascii="微软雅黑" w:eastAsia="微软雅黑"/>
          <w:b/>
          <w:sz w:val="21"/>
        </w:rPr>
        <w:tab/>
      </w:r>
      <w:r>
        <w:rPr>
          <w:spacing w:val="-2"/>
          <w:sz w:val="21"/>
        </w:rPr>
        <w:t>指</w:t>
      </w:r>
      <w:r>
        <w:rPr>
          <w:spacing w:val="-2"/>
          <w:sz w:val="21"/>
        </w:rPr>
        <w:t>因</w:t>
      </w:r>
      <w:r>
        <w:rPr>
          <w:spacing w:val="-2"/>
          <w:sz w:val="21"/>
        </w:rPr>
        <w:t>误</w:t>
      </w:r>
      <w:r>
        <w:rPr>
          <w:spacing w:val="-2"/>
          <w:sz w:val="21"/>
        </w:rPr>
        <w:t>食</w:t>
      </w:r>
      <w:r>
        <w:rPr>
          <w:spacing w:val="-2"/>
          <w:sz w:val="21"/>
        </w:rPr>
        <w:t>猪</w:t>
      </w:r>
      <w:r>
        <w:rPr>
          <w:spacing w:val="-2"/>
          <w:sz w:val="21"/>
        </w:rPr>
        <w:t>绦虫卵，</w:t>
      </w:r>
      <w:r>
        <w:rPr>
          <w:spacing w:val="-2"/>
          <w:sz w:val="21"/>
        </w:rPr>
        <w:t>囊</w:t>
      </w:r>
      <w:r>
        <w:rPr>
          <w:spacing w:val="-2"/>
          <w:sz w:val="21"/>
        </w:rPr>
        <w:t>尾</w:t>
      </w:r>
      <w:r>
        <w:rPr>
          <w:spacing w:val="-2"/>
          <w:sz w:val="21"/>
        </w:rPr>
        <w:t>蚴</w:t>
      </w:r>
      <w:r>
        <w:rPr>
          <w:spacing w:val="-2"/>
          <w:sz w:val="21"/>
        </w:rPr>
        <w:t>进</w:t>
      </w:r>
      <w:r>
        <w:rPr>
          <w:spacing w:val="-2"/>
          <w:sz w:val="21"/>
        </w:rPr>
        <w:t>入</w:t>
      </w:r>
      <w:r>
        <w:rPr>
          <w:spacing w:val="-2"/>
          <w:sz w:val="21"/>
        </w:rPr>
        <w:t>脑</w:t>
      </w:r>
      <w:r>
        <w:rPr>
          <w:spacing w:val="-2"/>
          <w:sz w:val="21"/>
        </w:rPr>
        <w:t>内</w:t>
      </w:r>
      <w:r>
        <w:rPr>
          <w:spacing w:val="-2"/>
          <w:sz w:val="21"/>
        </w:rPr>
        <w:t>形成数</w:t>
      </w:r>
      <w:r>
        <w:rPr>
          <w:spacing w:val="-2"/>
          <w:sz w:val="21"/>
        </w:rPr>
        <w:t>个</w:t>
      </w:r>
      <w:r>
        <w:rPr>
          <w:spacing w:val="-2"/>
          <w:sz w:val="21"/>
        </w:rPr>
        <w:t>到</w:t>
      </w:r>
      <w:r>
        <w:rPr>
          <w:spacing w:val="-2"/>
          <w:sz w:val="21"/>
        </w:rPr>
        <w:t>数</w:t>
      </w:r>
      <w:r>
        <w:rPr>
          <w:spacing w:val="-2"/>
          <w:sz w:val="21"/>
        </w:rPr>
        <w:t>百</w:t>
      </w:r>
      <w:r>
        <w:rPr>
          <w:spacing w:val="-2"/>
          <w:sz w:val="21"/>
        </w:rPr>
        <w:t>个</w:t>
      </w:r>
      <w:r>
        <w:rPr>
          <w:spacing w:val="-2"/>
          <w:sz w:val="21"/>
        </w:rPr>
        <w:t>囊</w:t>
      </w:r>
      <w:r>
        <w:rPr>
          <w:spacing w:val="-2"/>
          <w:sz w:val="21"/>
        </w:rPr>
        <w:t>泡</w:t>
      </w:r>
      <w:r>
        <w:rPr>
          <w:spacing w:val="-2"/>
          <w:sz w:val="21"/>
        </w:rPr>
        <w:t>，引</w:t>
      </w:r>
      <w:r>
        <w:rPr>
          <w:spacing w:val="-10"/>
          <w:sz w:val="21"/>
        </w:rPr>
        <w:t>起</w:t>
      </w:r>
    </w:p>
    <w:p>
      <w:pPr>
        <w:pStyle w:val="BodyText"/>
        <w:spacing w:line="245" w:lineRule="exact"/>
      </w:pPr>
      <w:r>
        <w:rPr>
          <w:spacing w:val="-3"/>
        </w:rPr>
        <w:t>神经系统功能损害，表现为癫痫、颅内压升高或脑膜脑炎。被保险</w:t>
      </w:r>
    </w:p>
    <w:p>
      <w:pPr>
        <w:pStyle w:val="BodyText"/>
        <w:spacing w:line="242" w:lineRule="auto" w:before="4"/>
        <w:ind w:right="729"/>
      </w:pPr>
      <w:r>
        <w:rPr>
          <w:spacing w:val="-2"/>
        </w:rPr>
        <w:t>人被明确诊断为脑囊虫病，并且由于颅内压升高实际接受了去骨瓣</w:t>
      </w:r>
      <w:r>
        <w:rPr>
          <w:spacing w:val="-2"/>
        </w:rPr>
        <w:t>减压术治疗。</w:t>
      </w:r>
    </w:p>
    <w:p>
      <w:pPr>
        <w:pStyle w:val="ListParagraph"/>
        <w:numPr>
          <w:ilvl w:val="1"/>
          <w:numId w:val="92"/>
        </w:numPr>
        <w:tabs>
          <w:tab w:pos="1071" w:val="left" w:leader="none"/>
          <w:tab w:pos="1072" w:val="left" w:leader="none"/>
          <w:tab w:pos="3152" w:val="left" w:leader="none"/>
        </w:tabs>
        <w:spacing w:line="364" w:lineRule="exact" w:before="174" w:after="0"/>
        <w:ind w:left="1071" w:right="0" w:hanging="850"/>
        <w:jc w:val="left"/>
        <w:rPr>
          <w:sz w:val="21"/>
        </w:rPr>
      </w:pPr>
      <w:r>
        <w:rPr>
          <w:rFonts w:ascii="微软雅黑" w:eastAsia="微软雅黑"/>
          <w:b/>
          <w:sz w:val="21"/>
        </w:rPr>
        <w:t>艾森曼格综合</w:t>
      </w:r>
      <w:r>
        <w:rPr>
          <w:rFonts w:ascii="微软雅黑" w:eastAsia="微软雅黑"/>
          <w:b/>
          <w:spacing w:val="-10"/>
          <w:sz w:val="21"/>
        </w:rPr>
        <w:t>征</w:t>
      </w:r>
      <w:r>
        <w:rPr>
          <w:rFonts w:ascii="微软雅黑" w:eastAsia="微软雅黑"/>
          <w:b/>
          <w:sz w:val="21"/>
        </w:rPr>
        <w:tab/>
      </w:r>
      <w:r>
        <w:rPr>
          <w:spacing w:val="-2"/>
          <w:sz w:val="21"/>
        </w:rPr>
        <w:t>因</w:t>
      </w:r>
      <w:r>
        <w:rPr>
          <w:spacing w:val="-2"/>
          <w:sz w:val="21"/>
        </w:rPr>
        <w:t>先</w:t>
      </w:r>
      <w:r>
        <w:rPr>
          <w:spacing w:val="-2"/>
          <w:sz w:val="21"/>
        </w:rPr>
        <w:t>天</w:t>
      </w:r>
      <w:r>
        <w:rPr>
          <w:spacing w:val="-2"/>
          <w:sz w:val="21"/>
        </w:rPr>
        <w:t>性</w:t>
      </w:r>
      <w:r>
        <w:rPr>
          <w:spacing w:val="-2"/>
          <w:sz w:val="21"/>
        </w:rPr>
        <w:t>心</w:t>
      </w:r>
      <w:r>
        <w:rPr>
          <w:spacing w:val="-2"/>
          <w:sz w:val="21"/>
        </w:rPr>
        <w:t>脏病而</w:t>
      </w:r>
      <w:r>
        <w:rPr>
          <w:spacing w:val="-2"/>
          <w:sz w:val="21"/>
        </w:rPr>
        <w:t>引</w:t>
      </w:r>
      <w:r>
        <w:rPr>
          <w:spacing w:val="-2"/>
          <w:sz w:val="21"/>
        </w:rPr>
        <w:t>起</w:t>
      </w:r>
      <w:r>
        <w:rPr>
          <w:spacing w:val="-2"/>
          <w:sz w:val="21"/>
        </w:rPr>
        <w:t>严</w:t>
      </w:r>
      <w:r>
        <w:rPr>
          <w:spacing w:val="-2"/>
          <w:sz w:val="21"/>
        </w:rPr>
        <w:t>重</w:t>
      </w:r>
      <w:r>
        <w:rPr>
          <w:spacing w:val="-2"/>
          <w:sz w:val="21"/>
        </w:rPr>
        <w:t>肺</w:t>
      </w:r>
      <w:r>
        <w:rPr>
          <w:spacing w:val="-2"/>
          <w:sz w:val="21"/>
        </w:rPr>
        <w:t>动</w:t>
      </w:r>
      <w:r>
        <w:rPr>
          <w:spacing w:val="-2"/>
          <w:sz w:val="21"/>
        </w:rPr>
        <w:t>脉</w:t>
      </w:r>
      <w:r>
        <w:rPr>
          <w:spacing w:val="-2"/>
          <w:sz w:val="21"/>
        </w:rPr>
        <w:t>高</w:t>
      </w:r>
      <w:r>
        <w:rPr>
          <w:spacing w:val="-2"/>
          <w:sz w:val="21"/>
        </w:rPr>
        <w:t>血压及</w:t>
      </w:r>
      <w:r>
        <w:rPr>
          <w:spacing w:val="-2"/>
          <w:sz w:val="21"/>
        </w:rPr>
        <w:t>右</w:t>
      </w:r>
      <w:r>
        <w:rPr>
          <w:spacing w:val="-2"/>
          <w:sz w:val="21"/>
        </w:rPr>
        <w:t>向</w:t>
      </w:r>
      <w:r>
        <w:rPr>
          <w:spacing w:val="-2"/>
          <w:sz w:val="21"/>
        </w:rPr>
        <w:t>左</w:t>
      </w:r>
      <w:r>
        <w:rPr>
          <w:spacing w:val="-2"/>
          <w:sz w:val="21"/>
        </w:rPr>
        <w:t>分</w:t>
      </w:r>
      <w:r>
        <w:rPr>
          <w:spacing w:val="-2"/>
          <w:sz w:val="21"/>
        </w:rPr>
        <w:t>流</w:t>
      </w:r>
      <w:r>
        <w:rPr>
          <w:spacing w:val="-2"/>
          <w:sz w:val="21"/>
        </w:rPr>
        <w:t>等</w:t>
      </w:r>
      <w:r>
        <w:rPr>
          <w:spacing w:val="-2"/>
          <w:sz w:val="21"/>
        </w:rPr>
        <w:t>异</w:t>
      </w:r>
      <w:r>
        <w:rPr>
          <w:spacing w:val="-2"/>
          <w:sz w:val="21"/>
        </w:rPr>
        <w:t>常</w:t>
      </w:r>
      <w:r>
        <w:rPr>
          <w:spacing w:val="-2"/>
          <w:sz w:val="21"/>
        </w:rPr>
        <w:t>。</w:t>
      </w:r>
      <w:r>
        <w:rPr>
          <w:spacing w:val="-10"/>
          <w:sz w:val="21"/>
        </w:rPr>
        <w:t>本</w:t>
      </w:r>
    </w:p>
    <w:p>
      <w:pPr>
        <w:pStyle w:val="BodyText"/>
        <w:spacing w:line="246" w:lineRule="exact"/>
      </w:pPr>
      <w:r>
        <w:rPr>
          <w:spacing w:val="-3"/>
        </w:rPr>
        <w:t>病的诊断必须由心脏科专科医生经超声波心动图和心导管等检查确</w:t>
      </w:r>
    </w:p>
    <w:p>
      <w:pPr>
        <w:pStyle w:val="BodyText"/>
        <w:spacing w:line="242" w:lineRule="auto" w:before="2"/>
        <w:ind w:right="624"/>
      </w:pPr>
      <w:r>
        <w:rPr>
          <w:spacing w:val="-2"/>
        </w:rPr>
        <w:t>诊，已经造成永久不可逆性的体力活动能力受限，达到美国纽约心</w:t>
      </w:r>
      <w:r>
        <w:rPr>
          <w:spacing w:val="-2"/>
        </w:rPr>
        <w:t>脏病学会（</w:t>
      </w:r>
      <w:r>
        <w:rPr>
          <w:rFonts w:ascii="Times New Roman" w:hAnsi="Times New Roman" w:eastAsia="Times New Roman"/>
          <w:spacing w:val="-2"/>
        </w:rPr>
        <w:t>New</w:t>
      </w:r>
      <w:r>
        <w:rPr>
          <w:rFonts w:ascii="Times New Roman" w:hAnsi="Times New Roman" w:eastAsia="Times New Roman"/>
          <w:spacing w:val="-7"/>
        </w:rPr>
        <w:t> </w:t>
      </w:r>
      <w:r>
        <w:rPr>
          <w:rFonts w:ascii="Times New Roman" w:hAnsi="Times New Roman" w:eastAsia="Times New Roman"/>
          <w:spacing w:val="-2"/>
        </w:rPr>
        <w:t>York Heart</w:t>
      </w:r>
      <w:r>
        <w:rPr>
          <w:rFonts w:ascii="Times New Roman" w:hAnsi="Times New Roman" w:eastAsia="Times New Roman"/>
          <w:spacing w:val="-9"/>
        </w:rPr>
        <w:t> </w:t>
      </w:r>
      <w:r>
        <w:rPr>
          <w:rFonts w:ascii="Times New Roman" w:hAnsi="Times New Roman" w:eastAsia="Times New Roman"/>
          <w:spacing w:val="-2"/>
        </w:rPr>
        <w:t>Association</w:t>
      </w:r>
      <w:r>
        <w:rPr>
          <w:spacing w:val="-2"/>
        </w:rPr>
        <w:t>，</w:t>
      </w:r>
      <w:r>
        <w:rPr>
          <w:rFonts w:ascii="Times New Roman" w:hAnsi="Times New Roman" w:eastAsia="Times New Roman"/>
          <w:spacing w:val="-2"/>
        </w:rPr>
        <w:t>NYHA</w:t>
      </w:r>
      <w:r>
        <w:rPr>
          <w:spacing w:val="-2"/>
        </w:rPr>
        <w:t>）</w:t>
      </w:r>
      <w:r>
        <w:rPr>
          <w:spacing w:val="-8"/>
        </w:rPr>
        <w:t>心功能状态分级 </w:t>
      </w:r>
      <w:r>
        <w:rPr>
          <w:rFonts w:ascii="Times New Roman" w:hAnsi="Times New Roman" w:eastAsia="Times New Roman"/>
          <w:spacing w:val="-2"/>
        </w:rPr>
        <w:t>IV</w:t>
      </w:r>
      <w:r>
        <w:rPr>
          <w:spacing w:val="-3"/>
        </w:rPr>
        <w:t>级，且静息状态下肺动脉平均压在 </w:t>
      </w:r>
      <w:r>
        <w:rPr>
          <w:rFonts w:ascii="Times New Roman" w:hAnsi="Times New Roman" w:eastAsia="Times New Roman"/>
        </w:rPr>
        <w:t>36mmHg</w:t>
      </w:r>
      <w:r>
        <w:rPr/>
        <w:t>（含）以上。本公司承</w:t>
      </w:r>
      <w:r>
        <w:rPr>
          <w:spacing w:val="-7"/>
        </w:rPr>
        <w:t>担本项疾病责任不受本合同责任免除中“遗传性疾病，先天性畸形、</w:t>
      </w:r>
      <w:r>
        <w:rPr>
          <w:spacing w:val="-2"/>
        </w:rPr>
        <w:t>变形或染色体异常”的限制。</w:t>
      </w:r>
    </w:p>
    <w:p>
      <w:pPr>
        <w:pStyle w:val="BodyText"/>
        <w:spacing w:before="4"/>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严重肺泡蛋白沉积</w:t>
      </w:r>
    </w:p>
    <w:p>
      <w:pPr>
        <w:spacing w:line="330" w:lineRule="exact" w:before="0"/>
        <w:ind w:left="1071" w:right="0" w:firstLine="0"/>
        <w:jc w:val="left"/>
        <w:rPr>
          <w:rFonts w:ascii="微软雅黑" w:eastAsia="微软雅黑"/>
          <w:b/>
          <w:sz w:val="21"/>
        </w:rPr>
      </w:pPr>
      <w:r>
        <w:rPr>
          <w:rFonts w:ascii="微软雅黑" w:eastAsia="微软雅黑"/>
          <w:b/>
          <w:w w:val="100"/>
          <w:sz w:val="21"/>
        </w:rPr>
        <w:t>症</w:t>
      </w:r>
    </w:p>
    <w:p>
      <w:pPr>
        <w:pStyle w:val="BodyText"/>
        <w:spacing w:line="242" w:lineRule="auto" w:before="100"/>
        <w:ind w:left="175" w:right="729"/>
        <w:jc w:val="both"/>
      </w:pPr>
      <w:r>
        <w:rPr/>
        <w:br w:type="column"/>
      </w:r>
      <w:r>
        <w:rPr>
          <w:spacing w:val="-2"/>
        </w:rPr>
        <w:t>肺泡蛋白质沉积症是一种弥漫性肺部疾病，其组织学特征为肺泡腔</w:t>
      </w:r>
      <w:r>
        <w:rPr>
          <w:spacing w:val="-2"/>
        </w:rPr>
        <w:t>内及终末细支气管内堆积过量的磷脂蛋白样物质。必须满足下列所</w:t>
      </w:r>
      <w:r>
        <w:rPr>
          <w:spacing w:val="-4"/>
        </w:rPr>
        <w:t>有条件：</w:t>
      </w:r>
    </w:p>
    <w:p>
      <w:pPr>
        <w:pStyle w:val="ListParagraph"/>
        <w:numPr>
          <w:ilvl w:val="0"/>
          <w:numId w:val="110"/>
        </w:numPr>
        <w:tabs>
          <w:tab w:pos="705" w:val="left" w:leader="none"/>
        </w:tabs>
        <w:spacing w:line="240" w:lineRule="auto" w:before="3" w:after="0"/>
        <w:ind w:left="704" w:right="0" w:hanging="530"/>
        <w:jc w:val="left"/>
        <w:rPr>
          <w:sz w:val="21"/>
        </w:rPr>
      </w:pPr>
      <w:r>
        <w:rPr>
          <w:spacing w:val="-3"/>
          <w:sz w:val="21"/>
        </w:rPr>
        <w:t>经组织病理学检查明确诊断；</w:t>
      </w:r>
    </w:p>
    <w:p>
      <w:pPr>
        <w:pStyle w:val="ListParagraph"/>
        <w:numPr>
          <w:ilvl w:val="0"/>
          <w:numId w:val="110"/>
        </w:numPr>
        <w:tabs>
          <w:tab w:pos="705" w:val="left" w:leader="none"/>
        </w:tabs>
        <w:spacing w:line="242" w:lineRule="auto" w:before="2" w:after="0"/>
        <w:ind w:left="701" w:right="729" w:hanging="526"/>
        <w:jc w:val="left"/>
        <w:rPr>
          <w:sz w:val="21"/>
        </w:rPr>
      </w:pPr>
      <w:r>
        <w:rPr>
          <w:spacing w:val="-2"/>
          <w:sz w:val="21"/>
        </w:rPr>
        <w:t>实际接受了三次（含）以上（每年至少一次）全身麻醉下的</w:t>
      </w:r>
      <w:r>
        <w:rPr>
          <w:spacing w:val="-2"/>
          <w:sz w:val="21"/>
        </w:rPr>
        <w:t>全肺灌洗术治疗；</w:t>
      </w:r>
    </w:p>
    <w:p>
      <w:pPr>
        <w:pStyle w:val="ListParagraph"/>
        <w:numPr>
          <w:ilvl w:val="0"/>
          <w:numId w:val="110"/>
        </w:numPr>
        <w:tabs>
          <w:tab w:pos="705" w:val="left" w:leader="none"/>
        </w:tabs>
        <w:spacing w:line="240" w:lineRule="auto" w:before="1" w:after="0"/>
        <w:ind w:left="701" w:right="626" w:hanging="526"/>
        <w:jc w:val="left"/>
        <w:rPr>
          <w:sz w:val="21"/>
        </w:rPr>
      </w:pPr>
      <w:r>
        <w:rPr>
          <w:spacing w:val="-2"/>
          <w:sz w:val="21"/>
        </w:rPr>
        <w:t>慢性呼吸功能衰竭，全肺灌洗术后仍然存在中重度缺氧，动脉</w:t>
      </w:r>
      <w:r>
        <w:rPr>
          <w:spacing w:val="-18"/>
          <w:position w:val="2"/>
          <w:sz w:val="21"/>
        </w:rPr>
        <w:t>血氧分压</w:t>
      </w:r>
      <w:r>
        <w:rPr>
          <w:spacing w:val="-4"/>
          <w:position w:val="2"/>
          <w:sz w:val="21"/>
        </w:rPr>
        <w:t>（</w:t>
      </w:r>
      <w:r>
        <w:rPr>
          <w:rFonts w:ascii="Times New Roman" w:eastAsia="Times New Roman"/>
          <w:spacing w:val="-4"/>
          <w:position w:val="2"/>
          <w:sz w:val="21"/>
        </w:rPr>
        <w:t>PaO</w:t>
      </w:r>
      <w:r>
        <w:rPr>
          <w:rFonts w:ascii="Times New Roman" w:eastAsia="Times New Roman"/>
          <w:spacing w:val="-4"/>
          <w:sz w:val="14"/>
        </w:rPr>
        <w:t>2</w:t>
      </w:r>
      <w:r>
        <w:rPr>
          <w:spacing w:val="-4"/>
          <w:position w:val="2"/>
          <w:sz w:val="21"/>
        </w:rPr>
        <w:t>）</w:t>
      </w:r>
      <w:r>
        <w:rPr>
          <w:rFonts w:ascii="Times New Roman" w:eastAsia="Times New Roman"/>
          <w:spacing w:val="-4"/>
          <w:position w:val="2"/>
          <w:sz w:val="21"/>
        </w:rPr>
        <w:t>&lt;60mmHg</w:t>
      </w:r>
      <w:r>
        <w:rPr>
          <w:rFonts w:ascii="Times New Roman" w:eastAsia="Times New Roman"/>
          <w:spacing w:val="-5"/>
          <w:position w:val="2"/>
          <w:sz w:val="21"/>
        </w:rPr>
        <w:t> </w:t>
      </w:r>
      <w:r>
        <w:rPr>
          <w:spacing w:val="-11"/>
          <w:position w:val="2"/>
          <w:sz w:val="21"/>
        </w:rPr>
        <w:t>和动脉血氧饱和度</w:t>
      </w:r>
      <w:r>
        <w:rPr>
          <w:spacing w:val="-4"/>
          <w:position w:val="2"/>
          <w:sz w:val="21"/>
        </w:rPr>
        <w:t>（</w:t>
      </w:r>
      <w:r>
        <w:rPr>
          <w:rFonts w:ascii="Times New Roman" w:eastAsia="Times New Roman"/>
          <w:spacing w:val="-4"/>
          <w:position w:val="2"/>
          <w:sz w:val="21"/>
        </w:rPr>
        <w:t>SaO</w:t>
      </w:r>
      <w:r>
        <w:rPr>
          <w:rFonts w:ascii="Times New Roman" w:eastAsia="Times New Roman"/>
          <w:spacing w:val="-4"/>
          <w:sz w:val="14"/>
        </w:rPr>
        <w:t>2</w:t>
      </w:r>
      <w:r>
        <w:rPr>
          <w:spacing w:val="-4"/>
          <w:position w:val="2"/>
          <w:sz w:val="21"/>
        </w:rPr>
        <w:t>）</w:t>
      </w:r>
      <w:r>
        <w:rPr>
          <w:rFonts w:ascii="Times New Roman" w:eastAsia="Times New Roman"/>
          <w:spacing w:val="-4"/>
          <w:position w:val="2"/>
          <w:sz w:val="21"/>
        </w:rPr>
        <w:t>&lt;85%</w:t>
      </w:r>
      <w:r>
        <w:rPr>
          <w:spacing w:val="-4"/>
          <w:position w:val="2"/>
          <w:sz w:val="21"/>
        </w:rPr>
        <w:t>。</w:t>
      </w:r>
    </w:p>
    <w:p>
      <w:pPr>
        <w:spacing w:after="0" w:line="240" w:lineRule="auto"/>
        <w:jc w:val="left"/>
        <w:rPr>
          <w:sz w:val="21"/>
        </w:rPr>
        <w:sectPr>
          <w:type w:val="continuous"/>
          <w:pgSz w:w="11910" w:h="16840"/>
          <w:pgMar w:header="0" w:footer="878" w:top="160" w:bottom="280" w:left="1480" w:right="440"/>
          <w:cols w:num="2" w:equalWidth="0">
            <w:col w:w="2938" w:space="40"/>
            <w:col w:w="7012"/>
          </w:cols>
        </w:sectPr>
      </w:pPr>
    </w:p>
    <w:p>
      <w:pPr>
        <w:pStyle w:val="BodyText"/>
        <w:spacing w:before="9"/>
        <w:ind w:left="0"/>
        <w:rPr>
          <w:sz w:val="11"/>
        </w:rPr>
      </w:pPr>
    </w:p>
    <w:p>
      <w:pPr>
        <w:pStyle w:val="ListParagraph"/>
        <w:numPr>
          <w:ilvl w:val="1"/>
          <w:numId w:val="92"/>
        </w:numPr>
        <w:tabs>
          <w:tab w:pos="1071" w:val="left" w:leader="none"/>
          <w:tab w:pos="1072" w:val="left" w:leader="none"/>
          <w:tab w:pos="3152" w:val="left" w:leader="none"/>
        </w:tabs>
        <w:spacing w:line="363" w:lineRule="exact" w:before="33" w:after="0"/>
        <w:ind w:left="1071" w:right="0" w:hanging="850"/>
        <w:jc w:val="left"/>
        <w:rPr>
          <w:sz w:val="21"/>
        </w:rPr>
      </w:pPr>
      <w:r>
        <w:rPr>
          <w:rFonts w:ascii="微软雅黑" w:eastAsia="微软雅黑"/>
          <w:b/>
          <w:sz w:val="21"/>
        </w:rPr>
        <w:t>严重气性坏</w:t>
      </w:r>
      <w:r>
        <w:rPr>
          <w:rFonts w:ascii="微软雅黑" w:eastAsia="微软雅黑"/>
          <w:b/>
          <w:spacing w:val="-10"/>
          <w:sz w:val="21"/>
        </w:rPr>
        <w:t>疽</w:t>
      </w:r>
      <w:r>
        <w:rPr>
          <w:rFonts w:ascii="微软雅黑" w:eastAsia="微软雅黑"/>
          <w:b/>
          <w:sz w:val="21"/>
        </w:rPr>
        <w:tab/>
      </w:r>
      <w:r>
        <w:rPr>
          <w:spacing w:val="-2"/>
          <w:sz w:val="21"/>
        </w:rPr>
        <w:t>指</w:t>
      </w:r>
      <w:r>
        <w:rPr>
          <w:spacing w:val="-2"/>
          <w:sz w:val="21"/>
        </w:rPr>
        <w:t>由</w:t>
      </w:r>
      <w:r>
        <w:rPr>
          <w:spacing w:val="-2"/>
          <w:sz w:val="21"/>
        </w:rPr>
        <w:t>梭</w:t>
      </w:r>
      <w:r>
        <w:rPr>
          <w:spacing w:val="-2"/>
          <w:sz w:val="21"/>
        </w:rPr>
        <w:t>状</w:t>
      </w:r>
      <w:r>
        <w:rPr>
          <w:spacing w:val="-2"/>
          <w:sz w:val="21"/>
        </w:rPr>
        <w:t>芽</w:t>
      </w:r>
      <w:r>
        <w:rPr>
          <w:spacing w:val="-2"/>
          <w:sz w:val="21"/>
        </w:rPr>
        <w:t>胞杆菌</w:t>
      </w:r>
      <w:r>
        <w:rPr>
          <w:spacing w:val="-2"/>
          <w:sz w:val="21"/>
        </w:rPr>
        <w:t>所</w:t>
      </w:r>
      <w:r>
        <w:rPr>
          <w:spacing w:val="-2"/>
          <w:sz w:val="21"/>
        </w:rPr>
        <w:t>致</w:t>
      </w:r>
      <w:r>
        <w:rPr>
          <w:spacing w:val="-2"/>
          <w:sz w:val="21"/>
        </w:rPr>
        <w:t>的</w:t>
      </w:r>
      <w:r>
        <w:rPr>
          <w:spacing w:val="-2"/>
          <w:sz w:val="21"/>
        </w:rPr>
        <w:t>肌</w:t>
      </w:r>
      <w:r>
        <w:rPr>
          <w:spacing w:val="-2"/>
          <w:sz w:val="21"/>
        </w:rPr>
        <w:t>坏</w:t>
      </w:r>
      <w:r>
        <w:rPr>
          <w:spacing w:val="-2"/>
          <w:sz w:val="21"/>
        </w:rPr>
        <w:t>死</w:t>
      </w:r>
      <w:r>
        <w:rPr>
          <w:spacing w:val="-2"/>
          <w:sz w:val="21"/>
        </w:rPr>
        <w:t>或</w:t>
      </w:r>
      <w:r>
        <w:rPr>
          <w:spacing w:val="-2"/>
          <w:sz w:val="21"/>
        </w:rPr>
        <w:t>肌</w:t>
      </w:r>
      <w:r>
        <w:rPr>
          <w:spacing w:val="-2"/>
          <w:sz w:val="21"/>
        </w:rPr>
        <w:t>炎。须</w:t>
      </w:r>
      <w:r>
        <w:rPr>
          <w:spacing w:val="-2"/>
          <w:sz w:val="21"/>
        </w:rPr>
        <w:t>经</w:t>
      </w:r>
      <w:r>
        <w:rPr>
          <w:spacing w:val="-2"/>
          <w:sz w:val="21"/>
        </w:rPr>
        <w:t>专</w:t>
      </w:r>
      <w:r>
        <w:rPr>
          <w:spacing w:val="-2"/>
          <w:sz w:val="21"/>
        </w:rPr>
        <w:t>科</w:t>
      </w:r>
      <w:r>
        <w:rPr>
          <w:spacing w:val="-2"/>
          <w:sz w:val="21"/>
        </w:rPr>
        <w:t>医</w:t>
      </w:r>
      <w:r>
        <w:rPr>
          <w:spacing w:val="-2"/>
          <w:sz w:val="21"/>
        </w:rPr>
        <w:t>生</w:t>
      </w:r>
      <w:r>
        <w:rPr>
          <w:spacing w:val="-2"/>
          <w:sz w:val="21"/>
        </w:rPr>
        <w:t>明</w:t>
      </w:r>
      <w:r>
        <w:rPr>
          <w:spacing w:val="-2"/>
          <w:sz w:val="21"/>
        </w:rPr>
        <w:t>确</w:t>
      </w:r>
      <w:r>
        <w:rPr>
          <w:spacing w:val="-2"/>
          <w:sz w:val="21"/>
        </w:rPr>
        <w:t>诊</w:t>
      </w:r>
      <w:r>
        <w:rPr>
          <w:spacing w:val="-2"/>
          <w:sz w:val="21"/>
        </w:rPr>
        <w:t>断</w:t>
      </w:r>
      <w:r>
        <w:rPr>
          <w:spacing w:val="-10"/>
          <w:sz w:val="21"/>
        </w:rPr>
        <w:t>，</w:t>
      </w:r>
    </w:p>
    <w:p>
      <w:pPr>
        <w:pStyle w:val="BodyText"/>
        <w:spacing w:line="245" w:lineRule="exact"/>
      </w:pPr>
      <w:r>
        <w:rPr>
          <w:spacing w:val="-3"/>
        </w:rPr>
        <w:t>且须同时符合下列要求：</w:t>
      </w:r>
    </w:p>
    <w:p>
      <w:pPr>
        <w:pStyle w:val="ListParagraph"/>
        <w:numPr>
          <w:ilvl w:val="0"/>
          <w:numId w:val="111"/>
        </w:numPr>
        <w:tabs>
          <w:tab w:pos="3682" w:val="left" w:leader="none"/>
        </w:tabs>
        <w:spacing w:line="240" w:lineRule="auto" w:before="2" w:after="0"/>
        <w:ind w:left="3682" w:right="0" w:hanging="529"/>
        <w:jc w:val="left"/>
        <w:rPr>
          <w:sz w:val="21"/>
        </w:rPr>
      </w:pPr>
      <w:r>
        <w:rPr>
          <w:spacing w:val="-3"/>
          <w:sz w:val="21"/>
        </w:rPr>
        <w:t>符合气性坏疽的一般临床表现；</w:t>
      </w:r>
    </w:p>
    <w:p>
      <w:pPr>
        <w:pStyle w:val="ListParagraph"/>
        <w:numPr>
          <w:ilvl w:val="0"/>
          <w:numId w:val="111"/>
        </w:numPr>
        <w:tabs>
          <w:tab w:pos="3682" w:val="left" w:leader="none"/>
        </w:tabs>
        <w:spacing w:line="240" w:lineRule="auto" w:before="5" w:after="0"/>
        <w:ind w:left="3682" w:right="0" w:hanging="529"/>
        <w:jc w:val="left"/>
        <w:rPr>
          <w:sz w:val="21"/>
        </w:rPr>
      </w:pPr>
      <w:r>
        <w:rPr>
          <w:spacing w:val="-3"/>
          <w:sz w:val="21"/>
        </w:rPr>
        <w:t>细菌培养检出致病菌；</w:t>
      </w:r>
    </w:p>
    <w:p>
      <w:pPr>
        <w:pStyle w:val="ListParagraph"/>
        <w:numPr>
          <w:ilvl w:val="0"/>
          <w:numId w:val="111"/>
        </w:numPr>
        <w:tabs>
          <w:tab w:pos="3682" w:val="left" w:leader="none"/>
        </w:tabs>
        <w:spacing w:line="244" w:lineRule="auto" w:before="2" w:after="0"/>
        <w:ind w:left="3678" w:right="842" w:hanging="526"/>
        <w:jc w:val="left"/>
        <w:rPr>
          <w:sz w:val="21"/>
        </w:rPr>
      </w:pPr>
      <w:r>
        <w:rPr>
          <w:spacing w:val="-2"/>
          <w:sz w:val="21"/>
        </w:rPr>
        <w:t>出现广泛性肌肉及组织坏死，并确实实施了坏死组织和筋膜</w:t>
      </w:r>
      <w:r>
        <w:rPr>
          <w:spacing w:val="-2"/>
          <w:sz w:val="21"/>
        </w:rPr>
        <w:t>以及肌肉的切除手术。</w:t>
      </w:r>
    </w:p>
    <w:p>
      <w:pPr>
        <w:spacing w:line="316" w:lineRule="exact" w:before="0"/>
        <w:ind w:left="3153" w:right="0" w:firstLine="0"/>
        <w:jc w:val="left"/>
        <w:rPr>
          <w:rFonts w:ascii="微软雅黑" w:eastAsia="微软雅黑"/>
          <w:b/>
          <w:sz w:val="21"/>
        </w:rPr>
      </w:pPr>
      <w:r>
        <w:rPr>
          <w:rFonts w:ascii="微软雅黑" w:eastAsia="微软雅黑"/>
          <w:b/>
          <w:spacing w:val="-3"/>
          <w:sz w:val="21"/>
        </w:rPr>
        <w:t>清创术不在保障范围内。</w:t>
      </w:r>
    </w:p>
    <w:p>
      <w:pPr>
        <w:spacing w:after="0" w:line="316" w:lineRule="exact"/>
        <w:jc w:val="left"/>
        <w:rPr>
          <w:rFonts w:ascii="微软雅黑" w:eastAsia="微软雅黑"/>
          <w:sz w:val="21"/>
        </w:rPr>
        <w:sectPr>
          <w:type w:val="continuous"/>
          <w:pgSz w:w="11910" w:h="16840"/>
          <w:pgMar w:header="0" w:footer="878" w:top="160" w:bottom="280" w:left="1480" w:right="440"/>
        </w:sectPr>
      </w:pPr>
    </w:p>
    <w:p>
      <w:pPr>
        <w:pStyle w:val="ListParagraph"/>
        <w:numPr>
          <w:ilvl w:val="1"/>
          <w:numId w:val="92"/>
        </w:numPr>
        <w:tabs>
          <w:tab w:pos="1071" w:val="left" w:leader="none"/>
          <w:tab w:pos="1072" w:val="left" w:leader="none"/>
          <w:tab w:pos="3152" w:val="left" w:leader="none"/>
        </w:tabs>
        <w:spacing w:line="364" w:lineRule="exact" w:before="8" w:after="0"/>
        <w:ind w:left="1071" w:right="0" w:hanging="850"/>
        <w:jc w:val="left"/>
        <w:rPr>
          <w:sz w:val="21"/>
        </w:rPr>
      </w:pPr>
      <w:r>
        <w:rPr>
          <w:rFonts w:ascii="微软雅黑" w:eastAsia="微软雅黑"/>
          <w:b/>
          <w:sz w:val="21"/>
        </w:rPr>
        <w:t>脊柱</w:t>
      </w:r>
      <w:r>
        <w:rPr>
          <w:rFonts w:ascii="微软雅黑" w:eastAsia="微软雅黑"/>
          <w:b/>
          <w:spacing w:val="-10"/>
          <w:sz w:val="21"/>
        </w:rPr>
        <w:t>裂</w:t>
      </w:r>
      <w:r>
        <w:rPr>
          <w:rFonts w:ascii="微软雅黑" w:eastAsia="微软雅黑"/>
          <w:b/>
          <w:sz w:val="21"/>
        </w:rPr>
        <w:tab/>
      </w:r>
      <w:r>
        <w:rPr>
          <w:spacing w:val="-2"/>
          <w:sz w:val="21"/>
        </w:rPr>
        <w:t>指</w:t>
      </w:r>
      <w:r>
        <w:rPr>
          <w:spacing w:val="-2"/>
          <w:sz w:val="21"/>
        </w:rPr>
        <w:t>脊</w:t>
      </w:r>
      <w:r>
        <w:rPr>
          <w:spacing w:val="-2"/>
          <w:sz w:val="21"/>
        </w:rPr>
        <w:t>椎</w:t>
      </w:r>
      <w:r>
        <w:rPr>
          <w:spacing w:val="-2"/>
          <w:sz w:val="21"/>
        </w:rPr>
        <w:t>或</w:t>
      </w:r>
      <w:r>
        <w:rPr>
          <w:spacing w:val="-2"/>
          <w:sz w:val="21"/>
        </w:rPr>
        <w:t>颅</w:t>
      </w:r>
      <w:r>
        <w:rPr>
          <w:spacing w:val="-2"/>
          <w:sz w:val="21"/>
        </w:rPr>
        <w:t>骨不完</w:t>
      </w:r>
      <w:r>
        <w:rPr>
          <w:spacing w:val="-2"/>
          <w:sz w:val="21"/>
        </w:rPr>
        <w:t>全</w:t>
      </w:r>
      <w:r>
        <w:rPr>
          <w:spacing w:val="-2"/>
          <w:sz w:val="21"/>
        </w:rPr>
        <w:t>闭</w:t>
      </w:r>
      <w:r>
        <w:rPr>
          <w:spacing w:val="-2"/>
          <w:sz w:val="21"/>
        </w:rPr>
        <w:t>合，</w:t>
      </w:r>
      <w:r>
        <w:rPr>
          <w:spacing w:val="-2"/>
          <w:sz w:val="21"/>
        </w:rPr>
        <w:t>导</w:t>
      </w:r>
      <w:r>
        <w:rPr>
          <w:spacing w:val="-2"/>
          <w:sz w:val="21"/>
        </w:rPr>
        <w:t>致</w:t>
      </w:r>
      <w:r>
        <w:rPr>
          <w:spacing w:val="-2"/>
          <w:sz w:val="21"/>
        </w:rPr>
        <w:t>脊</w:t>
      </w:r>
      <w:r>
        <w:rPr>
          <w:spacing w:val="-2"/>
          <w:sz w:val="21"/>
        </w:rPr>
        <w:t>髓</w:t>
      </w:r>
      <w:r>
        <w:rPr>
          <w:spacing w:val="-2"/>
          <w:sz w:val="21"/>
        </w:rPr>
        <w:t>脊膜突</w:t>
      </w:r>
      <w:r>
        <w:rPr>
          <w:spacing w:val="-2"/>
          <w:sz w:val="21"/>
        </w:rPr>
        <w:t>出</w:t>
      </w:r>
      <w:r>
        <w:rPr>
          <w:spacing w:val="-2"/>
          <w:sz w:val="21"/>
        </w:rPr>
        <w:t>，脑（</w:t>
      </w:r>
      <w:r>
        <w:rPr>
          <w:spacing w:val="-2"/>
          <w:sz w:val="21"/>
        </w:rPr>
        <w:t>脊</w:t>
      </w:r>
      <w:r>
        <w:rPr>
          <w:spacing w:val="-2"/>
          <w:sz w:val="21"/>
        </w:rPr>
        <w:t>）</w:t>
      </w:r>
      <w:r>
        <w:rPr>
          <w:spacing w:val="-2"/>
          <w:sz w:val="21"/>
        </w:rPr>
        <w:t>膜</w:t>
      </w:r>
      <w:r>
        <w:rPr>
          <w:spacing w:val="-2"/>
          <w:sz w:val="21"/>
        </w:rPr>
        <w:t>突</w:t>
      </w:r>
      <w:r>
        <w:rPr>
          <w:spacing w:val="-2"/>
          <w:sz w:val="21"/>
        </w:rPr>
        <w:t>出</w:t>
      </w:r>
      <w:r>
        <w:rPr>
          <w:spacing w:val="-10"/>
          <w:sz w:val="21"/>
        </w:rPr>
        <w:t>或</w:t>
      </w:r>
    </w:p>
    <w:p>
      <w:pPr>
        <w:pStyle w:val="BodyText"/>
        <w:spacing w:line="246" w:lineRule="exact"/>
      </w:pPr>
      <w:r>
        <w:rPr>
          <w:spacing w:val="-3"/>
        </w:rPr>
        <w:t>脑膨出，合并大小便失禁，部分或完全性下肢瘫痪或畸形等神经学</w:t>
      </w:r>
    </w:p>
    <w:p>
      <w:pPr>
        <w:pStyle w:val="BodyText"/>
        <w:spacing w:before="3"/>
      </w:pPr>
      <w:r>
        <w:rPr>
          <w:spacing w:val="-8"/>
        </w:rPr>
        <w:t>上的异常，但不包括由 </w:t>
      </w:r>
      <w:r>
        <w:rPr>
          <w:rFonts w:ascii="Times New Roman" w:eastAsia="Times New Roman"/>
          <w:spacing w:val="-4"/>
        </w:rPr>
        <w:t>X</w:t>
      </w:r>
      <w:r>
        <w:rPr>
          <w:rFonts w:ascii="Times New Roman" w:eastAsia="Times New Roman"/>
          <w:spacing w:val="19"/>
        </w:rPr>
        <w:t> </w:t>
      </w:r>
      <w:r>
        <w:rPr>
          <w:spacing w:val="-5"/>
        </w:rPr>
        <w:t>线摄片发现的没有合并脊椎脊膜突出或脑</w:t>
      </w:r>
    </w:p>
    <w:p>
      <w:pPr>
        <w:pStyle w:val="BodyText"/>
        <w:spacing w:before="4"/>
      </w:pPr>
      <w:r>
        <w:rPr>
          <w:spacing w:val="-2"/>
        </w:rPr>
        <w:t>（脊）</w:t>
      </w:r>
      <w:r>
        <w:rPr>
          <w:spacing w:val="-3"/>
        </w:rPr>
        <w:t>膜突出的隐形脊椎裂。</w:t>
      </w:r>
    </w:p>
    <w:p>
      <w:pPr>
        <w:pStyle w:val="BodyText"/>
        <w:spacing w:before="1"/>
        <w:ind w:left="0"/>
        <w:rPr>
          <w:sz w:val="18"/>
        </w:rPr>
      </w:pPr>
    </w:p>
    <w:p>
      <w:pPr>
        <w:pStyle w:val="Heading1"/>
        <w:numPr>
          <w:ilvl w:val="0"/>
          <w:numId w:val="112"/>
        </w:numPr>
        <w:tabs>
          <w:tab w:pos="1071" w:val="left" w:leader="none"/>
          <w:tab w:pos="1072" w:val="left" w:leader="none"/>
        </w:tabs>
        <w:spacing w:line="240" w:lineRule="auto" w:before="0" w:after="0"/>
        <w:ind w:left="1071" w:right="0" w:hanging="850"/>
        <w:jc w:val="left"/>
      </w:pPr>
      <w:r>
        <w:rPr/>
        <w:drawing>
          <wp:anchor distT="0" distB="0" distL="0" distR="0" allowOverlap="1" layoutInCell="1" locked="0" behindDoc="0" simplePos="0" relativeHeight="11">
            <wp:simplePos x="0" y="0"/>
            <wp:positionH relativeFrom="page">
              <wp:posOffset>1012240</wp:posOffset>
            </wp:positionH>
            <wp:positionV relativeFrom="paragraph">
              <wp:posOffset>288008</wp:posOffset>
            </wp:positionV>
            <wp:extent cx="5869766" cy="6096"/>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1" cstate="print"/>
                    <a:stretch>
                      <a:fillRect/>
                    </a:stretch>
                  </pic:blipFill>
                  <pic:spPr>
                    <a:xfrm>
                      <a:off x="0" y="0"/>
                      <a:ext cx="5869766" cy="6096"/>
                    </a:xfrm>
                    <a:prstGeom prst="rect">
                      <a:avLst/>
                    </a:prstGeom>
                  </pic:spPr>
                </pic:pic>
              </a:graphicData>
            </a:graphic>
          </wp:anchor>
        </w:drawing>
      </w:r>
      <w:r>
        <w:rPr>
          <w:spacing w:val="-2"/>
        </w:rPr>
        <w:t>其他需要关注的事项</w:t>
      </w:r>
    </w:p>
    <w:p>
      <w:pPr>
        <w:pStyle w:val="ListParagraph"/>
        <w:numPr>
          <w:ilvl w:val="1"/>
          <w:numId w:val="112"/>
        </w:numPr>
        <w:tabs>
          <w:tab w:pos="1071" w:val="left" w:leader="none"/>
          <w:tab w:pos="1072" w:val="left" w:leader="none"/>
          <w:tab w:pos="3152" w:val="left" w:leader="none"/>
        </w:tabs>
        <w:spacing w:line="363" w:lineRule="exact" w:before="176" w:after="0"/>
        <w:ind w:left="1071" w:right="0" w:hanging="850"/>
        <w:jc w:val="left"/>
        <w:rPr>
          <w:sz w:val="21"/>
        </w:rPr>
      </w:pPr>
      <w:r>
        <w:rPr>
          <w:rFonts w:ascii="微软雅黑" w:eastAsia="微软雅黑"/>
          <w:b/>
          <w:sz w:val="21"/>
        </w:rPr>
        <w:t>年龄错</w:t>
      </w:r>
      <w:r>
        <w:rPr>
          <w:rFonts w:ascii="微软雅黑" w:eastAsia="微软雅黑"/>
          <w:b/>
          <w:spacing w:val="-10"/>
          <w:sz w:val="21"/>
        </w:rPr>
        <w:t>误</w:t>
      </w:r>
      <w:r>
        <w:rPr>
          <w:rFonts w:ascii="微软雅黑" w:eastAsia="微软雅黑"/>
          <w:b/>
          <w:sz w:val="21"/>
        </w:rPr>
        <w:tab/>
      </w:r>
      <w:r>
        <w:rPr>
          <w:spacing w:val="-2"/>
          <w:sz w:val="21"/>
        </w:rPr>
        <w:t>本</w:t>
      </w:r>
      <w:r>
        <w:rPr>
          <w:spacing w:val="-2"/>
          <w:sz w:val="21"/>
        </w:rPr>
        <w:t>合</w:t>
      </w:r>
      <w:r>
        <w:rPr>
          <w:spacing w:val="-2"/>
          <w:sz w:val="21"/>
        </w:rPr>
        <w:t>同</w:t>
      </w:r>
      <w:r>
        <w:rPr>
          <w:spacing w:val="-2"/>
          <w:sz w:val="21"/>
        </w:rPr>
        <w:t>中</w:t>
      </w:r>
      <w:r>
        <w:rPr>
          <w:spacing w:val="-2"/>
          <w:sz w:val="21"/>
        </w:rPr>
        <w:t>被</w:t>
      </w:r>
      <w:r>
        <w:rPr>
          <w:spacing w:val="-2"/>
          <w:sz w:val="21"/>
        </w:rPr>
        <w:t>保险人</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和</w:t>
      </w:r>
      <w:r>
        <w:rPr>
          <w:spacing w:val="-2"/>
          <w:sz w:val="21"/>
        </w:rPr>
        <w:t>性</w:t>
      </w:r>
      <w:r>
        <w:rPr>
          <w:spacing w:val="-2"/>
          <w:sz w:val="21"/>
        </w:rPr>
        <w:t>别</w:t>
      </w:r>
      <w:r>
        <w:rPr>
          <w:spacing w:val="-2"/>
          <w:sz w:val="21"/>
        </w:rPr>
        <w:t>，以有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登</w:t>
      </w:r>
      <w:r>
        <w:rPr>
          <w:spacing w:val="-2"/>
          <w:sz w:val="21"/>
        </w:rPr>
        <w:t>记</w:t>
      </w:r>
      <w:r>
        <w:rPr>
          <w:spacing w:val="-2"/>
          <w:sz w:val="21"/>
        </w:rPr>
        <w:t>的</w:t>
      </w:r>
      <w:r>
        <w:rPr>
          <w:spacing w:val="-2"/>
          <w:sz w:val="21"/>
        </w:rPr>
        <w:t>周</w:t>
      </w:r>
      <w:r>
        <w:rPr>
          <w:spacing w:val="-10"/>
          <w:sz w:val="21"/>
        </w:rPr>
        <w:t>岁</w:t>
      </w:r>
    </w:p>
    <w:p>
      <w:pPr>
        <w:pStyle w:val="BodyText"/>
        <w:spacing w:line="245" w:lineRule="exact"/>
      </w:pPr>
      <w:r>
        <w:rPr>
          <w:spacing w:val="-3"/>
        </w:rPr>
        <w:t>年龄和性别为准，如果发生错误按照下列方式办理：</w:t>
      </w:r>
    </w:p>
    <w:p>
      <w:pPr>
        <w:pStyle w:val="BodyText"/>
        <w:spacing w:before="6"/>
        <w:ind w:left="0"/>
        <w:rPr>
          <w:sz w:val="19"/>
        </w:rPr>
      </w:pPr>
    </w:p>
    <w:p>
      <w:pPr>
        <w:pStyle w:val="ListParagraph"/>
        <w:numPr>
          <w:ilvl w:val="2"/>
          <w:numId w:val="112"/>
        </w:numPr>
        <w:tabs>
          <w:tab w:pos="3689" w:val="left" w:leader="none"/>
        </w:tabs>
        <w:spacing w:line="180" w:lineRule="auto" w:before="0" w:after="0"/>
        <w:ind w:left="3678" w:right="730" w:hanging="526"/>
        <w:jc w:val="both"/>
        <w:rPr>
          <w:sz w:val="21"/>
        </w:rPr>
      </w:pPr>
      <w:r>
        <w:rPr>
          <w:rFonts w:ascii="微软雅黑" w:hAnsi="微软雅黑" w:eastAsia="微软雅黑"/>
          <w:b/>
          <w:spacing w:val="-2"/>
          <w:sz w:val="21"/>
        </w:rPr>
        <w:t>您申报的被保险人年龄不真实，并且其真实年龄不符合本合同约定投保年龄限制的，我们有权解除合同，并向您退还本</w:t>
      </w:r>
      <w:r>
        <w:rPr>
          <w:rFonts w:ascii="微软雅黑" w:hAnsi="微软雅黑" w:eastAsia="微软雅黑"/>
          <w:b/>
          <w:spacing w:val="-2"/>
          <w:sz w:val="21"/>
        </w:rPr>
        <w:t>合同的现金价值。</w:t>
      </w:r>
      <w:r>
        <w:rPr>
          <w:spacing w:val="-2"/>
          <w:sz w:val="21"/>
        </w:rPr>
        <w:t>我们行使合同解除权适用</w:t>
      </w:r>
      <w:r>
        <w:rPr>
          <w:rFonts w:ascii="Times New Roman" w:hAnsi="Times New Roman" w:eastAsia="Times New Roman"/>
          <w:spacing w:val="-2"/>
          <w:sz w:val="21"/>
        </w:rPr>
        <w:t>“</w:t>
      </w:r>
      <w:r>
        <w:rPr>
          <w:spacing w:val="-2"/>
          <w:sz w:val="21"/>
        </w:rPr>
        <w:t>本公司合同解除</w:t>
      </w:r>
      <w:r>
        <w:rPr>
          <w:spacing w:val="-2"/>
          <w:sz w:val="21"/>
        </w:rPr>
        <w:t>权的限制</w:t>
      </w:r>
      <w:r>
        <w:rPr>
          <w:rFonts w:ascii="Times New Roman" w:hAnsi="Times New Roman" w:eastAsia="Times New Roman"/>
          <w:spacing w:val="-2"/>
          <w:sz w:val="21"/>
        </w:rPr>
        <w:t>”</w:t>
      </w:r>
      <w:r>
        <w:rPr>
          <w:spacing w:val="-2"/>
          <w:sz w:val="21"/>
        </w:rPr>
        <w:t>的规定；</w:t>
      </w:r>
    </w:p>
    <w:p>
      <w:pPr>
        <w:pStyle w:val="BodyText"/>
        <w:spacing w:before="1"/>
        <w:ind w:left="0"/>
        <w:rPr>
          <w:sz w:val="24"/>
        </w:rPr>
      </w:pPr>
    </w:p>
    <w:p>
      <w:pPr>
        <w:pStyle w:val="ListParagraph"/>
        <w:numPr>
          <w:ilvl w:val="2"/>
          <w:numId w:val="112"/>
        </w:numPr>
        <w:tabs>
          <w:tab w:pos="3682" w:val="left" w:leader="none"/>
        </w:tabs>
        <w:spacing w:line="177" w:lineRule="auto" w:before="1" w:after="0"/>
        <w:ind w:left="3678" w:right="732" w:hanging="526"/>
        <w:jc w:val="left"/>
        <w:rPr>
          <w:sz w:val="21"/>
        </w:rPr>
      </w:pPr>
      <w:r>
        <w:rPr>
          <w:spacing w:val="-2"/>
          <w:sz w:val="21"/>
        </w:rPr>
        <w:t>您申报的被保险人年龄不真实，致使您实付保险费少于应付</w:t>
      </w:r>
      <w:r>
        <w:rPr>
          <w:spacing w:val="-13"/>
          <w:sz w:val="21"/>
        </w:rPr>
        <w:t>保险费的，我们有权更正并要求您补付保险费。</w:t>
      </w:r>
      <w:r>
        <w:rPr>
          <w:rFonts w:ascii="微软雅黑" w:eastAsia="微软雅黑"/>
          <w:b/>
          <w:spacing w:val="-2"/>
          <w:sz w:val="21"/>
        </w:rPr>
        <w:t>若已经发生保</w:t>
      </w:r>
      <w:r>
        <w:rPr>
          <w:rFonts w:ascii="微软雅黑" w:eastAsia="微软雅黑"/>
          <w:b/>
          <w:spacing w:val="-2"/>
          <w:sz w:val="21"/>
        </w:rPr>
        <w:t>险事故，在给付保险金时按实付保险费和应付保险费的比例</w:t>
      </w:r>
      <w:r>
        <w:rPr>
          <w:rFonts w:ascii="微软雅黑" w:eastAsia="微软雅黑"/>
          <w:b/>
          <w:spacing w:val="-4"/>
          <w:sz w:val="21"/>
        </w:rPr>
        <w:t>给付</w:t>
      </w:r>
      <w:r>
        <w:rPr>
          <w:spacing w:val="-4"/>
          <w:sz w:val="21"/>
        </w:rPr>
        <w:t>；</w:t>
      </w:r>
    </w:p>
    <w:p>
      <w:pPr>
        <w:pStyle w:val="BodyText"/>
        <w:spacing w:before="1"/>
        <w:ind w:left="0"/>
        <w:rPr>
          <w:sz w:val="17"/>
        </w:rPr>
      </w:pPr>
    </w:p>
    <w:p>
      <w:pPr>
        <w:pStyle w:val="ListParagraph"/>
        <w:numPr>
          <w:ilvl w:val="2"/>
          <w:numId w:val="112"/>
        </w:numPr>
        <w:tabs>
          <w:tab w:pos="3682" w:val="left" w:leader="none"/>
        </w:tabs>
        <w:spacing w:line="242" w:lineRule="auto" w:before="0" w:after="0"/>
        <w:ind w:left="3678" w:right="842" w:hanging="526"/>
        <w:jc w:val="left"/>
        <w:rPr>
          <w:sz w:val="21"/>
        </w:rPr>
      </w:pPr>
      <w:r>
        <w:rPr>
          <w:spacing w:val="-2"/>
          <w:sz w:val="21"/>
        </w:rPr>
        <w:t>您申报的被保险人年龄不真实，致使您实付保险费多于应付</w:t>
      </w:r>
      <w:r>
        <w:rPr>
          <w:spacing w:val="-2"/>
          <w:sz w:val="21"/>
        </w:rPr>
        <w:t>保险费的，我们会将多收的保险费退还给您。</w:t>
      </w:r>
    </w:p>
    <w:p>
      <w:pPr>
        <w:pStyle w:val="ListParagraph"/>
        <w:numPr>
          <w:ilvl w:val="1"/>
          <w:numId w:val="112"/>
        </w:numPr>
        <w:tabs>
          <w:tab w:pos="1071" w:val="left" w:leader="none"/>
          <w:tab w:pos="1072" w:val="left" w:leader="none"/>
          <w:tab w:pos="3152" w:val="left" w:leader="none"/>
        </w:tabs>
        <w:spacing w:line="330" w:lineRule="exact" w:before="174" w:after="0"/>
        <w:ind w:left="1071" w:right="0" w:hanging="850"/>
        <w:jc w:val="left"/>
        <w:rPr>
          <w:rFonts w:ascii="微软雅黑" w:eastAsia="微软雅黑"/>
          <w:b/>
          <w:sz w:val="21"/>
        </w:rPr>
      </w:pPr>
      <w:r>
        <w:rPr>
          <w:rFonts w:ascii="微软雅黑" w:eastAsia="微软雅黑"/>
          <w:b/>
          <w:sz w:val="21"/>
        </w:rPr>
        <w:t>未还款</w:t>
      </w:r>
      <w:r>
        <w:rPr>
          <w:rFonts w:ascii="微软雅黑" w:eastAsia="微软雅黑"/>
          <w:b/>
          <w:spacing w:val="-10"/>
          <w:sz w:val="21"/>
        </w:rPr>
        <w:t>项</w:t>
      </w:r>
      <w:r>
        <w:rPr>
          <w:rFonts w:ascii="微软雅黑" w:eastAsia="微软雅黑"/>
          <w:b/>
          <w:sz w:val="21"/>
        </w:rPr>
        <w:tab/>
      </w:r>
      <w:r>
        <w:rPr>
          <w:rFonts w:ascii="微软雅黑" w:eastAsia="微软雅黑"/>
          <w:b/>
          <w:spacing w:val="-2"/>
          <w:sz w:val="21"/>
        </w:rPr>
        <w:t>我</w:t>
      </w:r>
      <w:r>
        <w:rPr>
          <w:rFonts w:ascii="微软雅黑" w:eastAsia="微软雅黑"/>
          <w:b/>
          <w:spacing w:val="-2"/>
          <w:sz w:val="21"/>
        </w:rPr>
        <w:t>们</w:t>
      </w:r>
      <w:r>
        <w:rPr>
          <w:rFonts w:ascii="微软雅黑" w:eastAsia="微软雅黑"/>
          <w:b/>
          <w:spacing w:val="-2"/>
          <w:sz w:val="21"/>
        </w:rPr>
        <w:t>在</w:t>
      </w:r>
      <w:r>
        <w:rPr>
          <w:rFonts w:ascii="微软雅黑" w:eastAsia="微软雅黑"/>
          <w:b/>
          <w:spacing w:val="-2"/>
          <w:sz w:val="21"/>
        </w:rPr>
        <w:t>给</w:t>
      </w:r>
      <w:r>
        <w:rPr>
          <w:rFonts w:ascii="微软雅黑" w:eastAsia="微软雅黑"/>
          <w:b/>
          <w:spacing w:val="-2"/>
          <w:sz w:val="21"/>
        </w:rPr>
        <w:t>付</w:t>
      </w:r>
      <w:r>
        <w:rPr>
          <w:rFonts w:ascii="微软雅黑" w:eastAsia="微软雅黑"/>
          <w:b/>
          <w:spacing w:val="-2"/>
          <w:sz w:val="21"/>
        </w:rPr>
        <w:t>各</w:t>
      </w:r>
      <w:r>
        <w:rPr>
          <w:rFonts w:ascii="微软雅黑" w:eastAsia="微软雅黑"/>
          <w:b/>
          <w:spacing w:val="-2"/>
          <w:sz w:val="21"/>
        </w:rPr>
        <w:t>项</w:t>
      </w:r>
      <w:r>
        <w:rPr>
          <w:rFonts w:ascii="微软雅黑" w:eastAsia="微软雅黑"/>
          <w:b/>
          <w:spacing w:val="-2"/>
          <w:sz w:val="21"/>
        </w:rPr>
        <w:t>保</w:t>
      </w:r>
      <w:r>
        <w:rPr>
          <w:rFonts w:ascii="微软雅黑" w:eastAsia="微软雅黑"/>
          <w:b/>
          <w:spacing w:val="-2"/>
          <w:sz w:val="21"/>
        </w:rPr>
        <w:t>险金、</w:t>
      </w:r>
      <w:r>
        <w:rPr>
          <w:rFonts w:ascii="微软雅黑" w:eastAsia="微软雅黑"/>
          <w:b/>
          <w:spacing w:val="-2"/>
          <w:sz w:val="21"/>
        </w:rPr>
        <w:t>退</w:t>
      </w:r>
      <w:r>
        <w:rPr>
          <w:rFonts w:ascii="微软雅黑" w:eastAsia="微软雅黑"/>
          <w:b/>
          <w:spacing w:val="-2"/>
          <w:sz w:val="21"/>
        </w:rPr>
        <w:t>还</w:t>
      </w:r>
      <w:r>
        <w:rPr>
          <w:rFonts w:ascii="微软雅黑" w:eastAsia="微软雅黑"/>
          <w:b/>
          <w:spacing w:val="-2"/>
          <w:sz w:val="21"/>
        </w:rPr>
        <w:t>现</w:t>
      </w:r>
      <w:r>
        <w:rPr>
          <w:rFonts w:ascii="微软雅黑" w:eastAsia="微软雅黑"/>
          <w:b/>
          <w:spacing w:val="-2"/>
          <w:sz w:val="21"/>
        </w:rPr>
        <w:t>金</w:t>
      </w:r>
      <w:r>
        <w:rPr>
          <w:rFonts w:ascii="微软雅黑" w:eastAsia="微软雅黑"/>
          <w:b/>
          <w:spacing w:val="-2"/>
          <w:sz w:val="21"/>
        </w:rPr>
        <w:t>价</w:t>
      </w:r>
      <w:r>
        <w:rPr>
          <w:rFonts w:ascii="微软雅黑" w:eastAsia="微软雅黑"/>
          <w:b/>
          <w:spacing w:val="-2"/>
          <w:sz w:val="21"/>
        </w:rPr>
        <w:t>值</w:t>
      </w:r>
      <w:r>
        <w:rPr>
          <w:rFonts w:ascii="微软雅黑" w:eastAsia="微软雅黑"/>
          <w:b/>
          <w:spacing w:val="-2"/>
          <w:sz w:val="21"/>
        </w:rPr>
        <w:t>或</w:t>
      </w:r>
      <w:r>
        <w:rPr>
          <w:rFonts w:ascii="微软雅黑" w:eastAsia="微软雅黑"/>
          <w:b/>
          <w:spacing w:val="-2"/>
          <w:sz w:val="21"/>
        </w:rPr>
        <w:t>返</w:t>
      </w:r>
      <w:r>
        <w:rPr>
          <w:rFonts w:ascii="微软雅黑" w:eastAsia="微软雅黑"/>
          <w:b/>
          <w:spacing w:val="-2"/>
          <w:sz w:val="21"/>
        </w:rPr>
        <w:t>还保险</w:t>
      </w:r>
      <w:r>
        <w:rPr>
          <w:rFonts w:ascii="微软雅黑" w:eastAsia="微软雅黑"/>
          <w:b/>
          <w:spacing w:val="-2"/>
          <w:sz w:val="21"/>
        </w:rPr>
        <w:t>费</w:t>
      </w:r>
      <w:r>
        <w:rPr>
          <w:rFonts w:ascii="微软雅黑" w:eastAsia="微软雅黑"/>
          <w:b/>
          <w:spacing w:val="-2"/>
          <w:sz w:val="21"/>
        </w:rPr>
        <w:t>时</w:t>
      </w:r>
      <w:r>
        <w:rPr>
          <w:rFonts w:ascii="微软雅黑" w:eastAsia="微软雅黑"/>
          <w:b/>
          <w:spacing w:val="-2"/>
          <w:sz w:val="21"/>
        </w:rPr>
        <w:t>，</w:t>
      </w:r>
      <w:r>
        <w:rPr>
          <w:rFonts w:ascii="微软雅黑" w:eastAsia="微软雅黑"/>
          <w:b/>
          <w:spacing w:val="-2"/>
          <w:sz w:val="21"/>
        </w:rPr>
        <w:t>如</w:t>
      </w:r>
      <w:r>
        <w:rPr>
          <w:rFonts w:ascii="微软雅黑" w:eastAsia="微软雅黑"/>
          <w:b/>
          <w:spacing w:val="-2"/>
          <w:sz w:val="21"/>
        </w:rPr>
        <w:t>果</w:t>
      </w:r>
      <w:r>
        <w:rPr>
          <w:rFonts w:ascii="微软雅黑" w:eastAsia="微软雅黑"/>
          <w:b/>
          <w:spacing w:val="-2"/>
          <w:sz w:val="21"/>
        </w:rPr>
        <w:t>您</w:t>
      </w:r>
      <w:r>
        <w:rPr>
          <w:rFonts w:ascii="微软雅黑" w:eastAsia="微软雅黑"/>
          <w:b/>
          <w:spacing w:val="-10"/>
          <w:sz w:val="21"/>
        </w:rPr>
        <w:t>有</w:t>
      </w:r>
    </w:p>
    <w:p>
      <w:pPr>
        <w:spacing w:line="168" w:lineRule="auto" w:before="27"/>
        <w:ind w:left="3153" w:right="732" w:firstLine="0"/>
        <w:jc w:val="left"/>
        <w:rPr>
          <w:rFonts w:ascii="微软雅黑" w:eastAsia="微软雅黑"/>
          <w:b/>
          <w:sz w:val="21"/>
        </w:rPr>
      </w:pPr>
      <w:r>
        <w:rPr>
          <w:rFonts w:ascii="微软雅黑" w:eastAsia="微软雅黑"/>
          <w:b/>
          <w:spacing w:val="-2"/>
          <w:sz w:val="21"/>
        </w:rPr>
        <w:t>欠付的保险费、保单贷款、利息或其他未还款项，我们会在扣除上</w:t>
      </w:r>
      <w:r>
        <w:rPr>
          <w:rFonts w:ascii="微软雅黑" w:eastAsia="微软雅黑"/>
          <w:b/>
          <w:spacing w:val="-2"/>
          <w:sz w:val="21"/>
        </w:rPr>
        <w:t>述欠款后给付。</w:t>
      </w:r>
    </w:p>
    <w:p>
      <w:pPr>
        <w:pStyle w:val="BodyText"/>
        <w:spacing w:before="16"/>
        <w:ind w:left="0"/>
        <w:rPr>
          <w:rFonts w:ascii="微软雅黑"/>
          <w:b/>
          <w:sz w:val="6"/>
        </w:rPr>
      </w:pPr>
    </w:p>
    <w:p>
      <w:pPr>
        <w:spacing w:after="0"/>
        <w:rPr>
          <w:rFonts w:ascii="微软雅黑"/>
          <w:sz w:val="6"/>
        </w:rPr>
        <w:sectPr>
          <w:pgSz w:w="11910" w:h="16840"/>
          <w:pgMar w:header="0" w:footer="878" w:top="1040" w:bottom="1060" w:left="1480" w:right="440"/>
        </w:sectPr>
      </w:pPr>
    </w:p>
    <w:p>
      <w:pPr>
        <w:pStyle w:val="ListParagraph"/>
        <w:numPr>
          <w:ilvl w:val="1"/>
          <w:numId w:val="112"/>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18"/>
          <w:sz w:val="21"/>
        </w:rPr>
        <w:t>基本保险金额的变</w:t>
      </w:r>
    </w:p>
    <w:p>
      <w:pPr>
        <w:spacing w:line="330" w:lineRule="exact" w:before="0"/>
        <w:ind w:left="1071" w:right="0" w:firstLine="0"/>
        <w:jc w:val="left"/>
        <w:rPr>
          <w:rFonts w:ascii="微软雅黑" w:eastAsia="微软雅黑"/>
          <w:b/>
          <w:sz w:val="21"/>
        </w:rPr>
      </w:pPr>
      <w:r>
        <w:rPr>
          <w:rFonts w:ascii="微软雅黑" w:eastAsia="微软雅黑"/>
          <w:b/>
          <w:w w:val="100"/>
          <w:sz w:val="21"/>
        </w:rPr>
        <w:t>更</w:t>
      </w:r>
    </w:p>
    <w:p>
      <w:pPr>
        <w:pStyle w:val="BodyText"/>
        <w:spacing w:line="244" w:lineRule="auto" w:before="100"/>
        <w:ind w:left="175" w:right="729"/>
      </w:pPr>
      <w:r>
        <w:rPr/>
        <w:br w:type="column"/>
      </w:r>
      <w:r>
        <w:rPr>
          <w:spacing w:val="-2"/>
        </w:rPr>
        <w:t>在本合同有效期内，您可以以书面形式申请减少本合同的基本保险</w:t>
      </w:r>
      <w:r>
        <w:rPr>
          <w:spacing w:val="-2"/>
        </w:rPr>
        <w:t>金额，经我们同意并在本合同上批注后生效。</w:t>
      </w:r>
    </w:p>
    <w:p>
      <w:pPr>
        <w:pStyle w:val="BodyText"/>
        <w:spacing w:line="242" w:lineRule="auto"/>
        <w:ind w:left="175" w:right="729"/>
        <w:jc w:val="both"/>
      </w:pPr>
      <w:r>
        <w:rPr>
          <w:spacing w:val="-2"/>
        </w:rPr>
        <w:t>减额后的基本保险金额不得低于申请减额时我们规定的最低基本保</w:t>
      </w:r>
      <w:r>
        <w:rPr>
          <w:spacing w:val="-2"/>
        </w:rPr>
        <w:t>险金额。对于基本保险金额的减少部分，我们将退还对应的现金价</w:t>
      </w:r>
      <w:r>
        <w:rPr>
          <w:spacing w:val="-6"/>
        </w:rPr>
        <w:t>值。</w:t>
      </w:r>
    </w:p>
    <w:p>
      <w:pPr>
        <w:spacing w:after="0" w:line="242" w:lineRule="auto"/>
        <w:jc w:val="both"/>
        <w:sectPr>
          <w:type w:val="continuous"/>
          <w:pgSz w:w="11910" w:h="16840"/>
          <w:pgMar w:header="0" w:footer="878" w:top="160" w:bottom="280" w:left="1480" w:right="440"/>
          <w:cols w:num="2" w:equalWidth="0">
            <w:col w:w="2938" w:space="40"/>
            <w:col w:w="7012"/>
          </w:cols>
        </w:sectPr>
      </w:pPr>
    </w:p>
    <w:p>
      <w:pPr>
        <w:pStyle w:val="BodyText"/>
        <w:spacing w:before="12"/>
        <w:ind w:left="0"/>
        <w:rPr>
          <w:sz w:val="10"/>
        </w:rPr>
      </w:pPr>
    </w:p>
    <w:p>
      <w:pPr>
        <w:pStyle w:val="ListParagraph"/>
        <w:numPr>
          <w:ilvl w:val="1"/>
          <w:numId w:val="112"/>
        </w:numPr>
        <w:tabs>
          <w:tab w:pos="1071" w:val="left" w:leader="none"/>
          <w:tab w:pos="1072" w:val="left" w:leader="none"/>
          <w:tab w:pos="3152" w:val="left" w:leader="none"/>
        </w:tabs>
        <w:spacing w:line="364" w:lineRule="exact" w:before="32" w:after="0"/>
        <w:ind w:left="1071" w:right="0" w:hanging="850"/>
        <w:jc w:val="left"/>
        <w:rPr>
          <w:sz w:val="21"/>
        </w:rPr>
      </w:pPr>
      <w:r>
        <w:rPr>
          <w:rFonts w:ascii="微软雅黑" w:eastAsia="微软雅黑"/>
          <w:b/>
          <w:sz w:val="21"/>
        </w:rPr>
        <w:t>合同内容变</w:t>
      </w:r>
      <w:r>
        <w:rPr>
          <w:rFonts w:ascii="微软雅黑" w:eastAsia="微软雅黑"/>
          <w:b/>
          <w:spacing w:val="-10"/>
          <w:sz w:val="21"/>
        </w:rPr>
        <w:t>更</w:t>
      </w:r>
      <w:r>
        <w:rPr>
          <w:rFonts w:ascii="微软雅黑" w:eastAsia="微软雅黑"/>
          <w:b/>
          <w:sz w:val="21"/>
        </w:rPr>
        <w:tab/>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效期内，</w:t>
      </w:r>
      <w:r>
        <w:rPr>
          <w:spacing w:val="-2"/>
          <w:sz w:val="21"/>
        </w:rPr>
        <w:t>经</w:t>
      </w:r>
      <w:r>
        <w:rPr>
          <w:spacing w:val="-2"/>
          <w:sz w:val="21"/>
        </w:rPr>
        <w:t>您</w:t>
      </w:r>
      <w:r>
        <w:rPr>
          <w:spacing w:val="-2"/>
          <w:sz w:val="21"/>
        </w:rPr>
        <w:t>与</w:t>
      </w:r>
      <w:r>
        <w:rPr>
          <w:spacing w:val="-2"/>
          <w:sz w:val="21"/>
        </w:rPr>
        <w:t>我</w:t>
      </w:r>
      <w:r>
        <w:rPr>
          <w:spacing w:val="-2"/>
          <w:sz w:val="21"/>
        </w:rPr>
        <w:t>们</w:t>
      </w:r>
      <w:r>
        <w:rPr>
          <w:spacing w:val="-2"/>
          <w:sz w:val="21"/>
        </w:rPr>
        <w:t>协</w:t>
      </w:r>
      <w:r>
        <w:rPr>
          <w:spacing w:val="-2"/>
          <w:sz w:val="21"/>
        </w:rPr>
        <w:t>商</w:t>
      </w:r>
      <w:r>
        <w:rPr>
          <w:spacing w:val="-2"/>
          <w:sz w:val="21"/>
        </w:rPr>
        <w:t>一致，</w:t>
      </w:r>
      <w:r>
        <w:rPr>
          <w:spacing w:val="-2"/>
          <w:sz w:val="21"/>
        </w:rPr>
        <w:t>可</w:t>
      </w:r>
      <w:r>
        <w:rPr>
          <w:spacing w:val="-2"/>
          <w:sz w:val="21"/>
        </w:rPr>
        <w:t>以</w:t>
      </w:r>
      <w:r>
        <w:rPr>
          <w:spacing w:val="-2"/>
          <w:sz w:val="21"/>
        </w:rPr>
        <w:t>变</w:t>
      </w:r>
      <w:r>
        <w:rPr>
          <w:spacing w:val="-2"/>
          <w:sz w:val="21"/>
        </w:rPr>
        <w:t>更</w:t>
      </w:r>
      <w:r>
        <w:rPr>
          <w:spacing w:val="-2"/>
          <w:sz w:val="21"/>
        </w:rPr>
        <w:t>本</w:t>
      </w:r>
      <w:r>
        <w:rPr>
          <w:spacing w:val="-2"/>
          <w:sz w:val="21"/>
        </w:rPr>
        <w:t>合</w:t>
      </w:r>
      <w:r>
        <w:rPr>
          <w:spacing w:val="-2"/>
          <w:sz w:val="21"/>
        </w:rPr>
        <w:t>同</w:t>
      </w:r>
      <w:r>
        <w:rPr>
          <w:spacing w:val="-2"/>
          <w:sz w:val="21"/>
        </w:rPr>
        <w:t>的</w:t>
      </w:r>
      <w:r>
        <w:rPr>
          <w:spacing w:val="-2"/>
          <w:sz w:val="21"/>
        </w:rPr>
        <w:t>有</w:t>
      </w:r>
      <w:r>
        <w:rPr>
          <w:spacing w:val="-10"/>
          <w:sz w:val="21"/>
        </w:rPr>
        <w:t>关</w:t>
      </w:r>
    </w:p>
    <w:p>
      <w:pPr>
        <w:pStyle w:val="BodyText"/>
        <w:spacing w:line="246" w:lineRule="exact"/>
      </w:pPr>
      <w:r>
        <w:rPr>
          <w:spacing w:val="-3"/>
        </w:rPr>
        <w:t>内容。变更本合同的，应当由我们在保险单或者其他保险凭证上批</w:t>
      </w:r>
    </w:p>
    <w:p>
      <w:pPr>
        <w:pStyle w:val="BodyText"/>
        <w:spacing w:before="2"/>
      </w:pPr>
      <w:r>
        <w:rPr>
          <w:spacing w:val="-3"/>
        </w:rPr>
        <w:t>注或者附贴批单，或者由您与我们订立书面的变更协议。</w:t>
      </w:r>
    </w:p>
    <w:p>
      <w:pPr>
        <w:pStyle w:val="ListParagraph"/>
        <w:numPr>
          <w:ilvl w:val="1"/>
          <w:numId w:val="112"/>
        </w:numPr>
        <w:tabs>
          <w:tab w:pos="1071" w:val="left" w:leader="none"/>
          <w:tab w:pos="1072" w:val="left" w:leader="none"/>
          <w:tab w:pos="3152" w:val="left" w:leader="none"/>
        </w:tabs>
        <w:spacing w:line="330" w:lineRule="exact" w:before="178" w:after="0"/>
        <w:ind w:left="1071" w:right="0" w:hanging="850"/>
        <w:jc w:val="left"/>
        <w:rPr>
          <w:sz w:val="21"/>
        </w:rPr>
      </w:pPr>
      <w:r>
        <w:rPr>
          <w:rFonts w:ascii="微软雅黑" w:eastAsia="微软雅黑"/>
          <w:b/>
          <w:sz w:val="21"/>
        </w:rPr>
        <w:t>联系方式变</w:t>
      </w:r>
      <w:r>
        <w:rPr>
          <w:rFonts w:ascii="微软雅黑" w:eastAsia="微软雅黑"/>
          <w:b/>
          <w:spacing w:val="-10"/>
          <w:sz w:val="21"/>
        </w:rPr>
        <w:t>更</w:t>
      </w:r>
      <w:r>
        <w:rPr>
          <w:rFonts w:ascii="微软雅黑" w:eastAsia="微软雅黑"/>
          <w:b/>
          <w:sz w:val="21"/>
        </w:rPr>
        <w:tab/>
      </w:r>
      <w:r>
        <w:rPr>
          <w:spacing w:val="-2"/>
          <w:sz w:val="21"/>
        </w:rPr>
        <w:t>为</w:t>
      </w:r>
      <w:r>
        <w:rPr>
          <w:spacing w:val="-2"/>
          <w:sz w:val="21"/>
        </w:rPr>
        <w:t>了</w:t>
      </w:r>
      <w:r>
        <w:rPr>
          <w:spacing w:val="-2"/>
          <w:sz w:val="21"/>
        </w:rPr>
        <w:t>保</w:t>
      </w:r>
      <w:r>
        <w:rPr>
          <w:spacing w:val="-2"/>
          <w:sz w:val="21"/>
        </w:rPr>
        <w:t>障</w:t>
      </w:r>
      <w:r>
        <w:rPr>
          <w:spacing w:val="-2"/>
          <w:sz w:val="21"/>
        </w:rPr>
        <w:t>您</w:t>
      </w:r>
      <w:r>
        <w:rPr>
          <w:spacing w:val="-2"/>
          <w:sz w:val="21"/>
        </w:rPr>
        <w:t>的合法</w:t>
      </w:r>
      <w:r>
        <w:rPr>
          <w:spacing w:val="-2"/>
          <w:sz w:val="21"/>
        </w:rPr>
        <w:t>权</w:t>
      </w:r>
      <w:r>
        <w:rPr>
          <w:spacing w:val="-2"/>
          <w:sz w:val="21"/>
        </w:rPr>
        <w:t>益</w:t>
      </w:r>
      <w:r>
        <w:rPr>
          <w:spacing w:val="-2"/>
          <w:sz w:val="21"/>
        </w:rPr>
        <w:t>，</w:t>
      </w:r>
      <w:r>
        <w:rPr>
          <w:spacing w:val="-2"/>
          <w:sz w:val="21"/>
        </w:rPr>
        <w:t>您</w:t>
      </w:r>
      <w:r>
        <w:rPr>
          <w:spacing w:val="-2"/>
          <w:sz w:val="21"/>
        </w:rPr>
        <w:t>的</w:t>
      </w:r>
      <w:r>
        <w:rPr>
          <w:spacing w:val="-2"/>
          <w:sz w:val="21"/>
        </w:rPr>
        <w:t>住</w:t>
      </w:r>
      <w:r>
        <w:rPr>
          <w:spacing w:val="-2"/>
          <w:sz w:val="21"/>
        </w:rPr>
        <w:t>所</w:t>
      </w:r>
      <w:r>
        <w:rPr>
          <w:spacing w:val="-2"/>
          <w:sz w:val="21"/>
        </w:rPr>
        <w:t>、</w:t>
      </w:r>
      <w:r>
        <w:rPr>
          <w:spacing w:val="-2"/>
          <w:sz w:val="21"/>
        </w:rPr>
        <w:t>通讯地址、电</w:t>
      </w:r>
      <w:r>
        <w:rPr>
          <w:spacing w:val="-2"/>
          <w:sz w:val="21"/>
        </w:rPr>
        <w:t>子</w:t>
      </w:r>
      <w:r>
        <w:rPr>
          <w:spacing w:val="-2"/>
          <w:sz w:val="21"/>
        </w:rPr>
        <w:t>邮</w:t>
      </w:r>
      <w:r>
        <w:rPr>
          <w:spacing w:val="-2"/>
          <w:sz w:val="21"/>
        </w:rPr>
        <w:t>件</w:t>
      </w:r>
      <w:r>
        <w:rPr>
          <w:spacing w:val="-2"/>
          <w:sz w:val="21"/>
        </w:rPr>
        <w:t>或</w:t>
      </w:r>
      <w:r>
        <w:rPr>
          <w:spacing w:val="-2"/>
          <w:sz w:val="21"/>
        </w:rPr>
        <w:t>电</w:t>
      </w:r>
      <w:r>
        <w:rPr>
          <w:spacing w:val="-2"/>
          <w:sz w:val="21"/>
        </w:rPr>
        <w:t>话</w:t>
      </w:r>
      <w:r>
        <w:rPr>
          <w:spacing w:val="-10"/>
          <w:sz w:val="21"/>
        </w:rPr>
        <w:t>变</w:t>
      </w:r>
    </w:p>
    <w:p>
      <w:pPr>
        <w:spacing w:line="168" w:lineRule="auto" w:before="26"/>
        <w:ind w:left="3153" w:right="732" w:firstLine="0"/>
        <w:jc w:val="both"/>
        <w:rPr>
          <w:rFonts w:ascii="微软雅黑" w:eastAsia="微软雅黑"/>
          <w:b/>
          <w:sz w:val="21"/>
        </w:rPr>
      </w:pPr>
      <w:r>
        <w:rPr>
          <w:spacing w:val="-2"/>
          <w:sz w:val="21"/>
        </w:rPr>
        <w:t>更时，请及时以书面形式或双方认可的其他形式通知我们。</w:t>
      </w:r>
      <w:r>
        <w:rPr>
          <w:rFonts w:ascii="微软雅黑" w:eastAsia="微软雅黑"/>
          <w:b/>
          <w:spacing w:val="-2"/>
          <w:sz w:val="21"/>
        </w:rPr>
        <w:t>否则我</w:t>
      </w:r>
      <w:r>
        <w:rPr>
          <w:rFonts w:ascii="微软雅黑" w:eastAsia="微软雅黑"/>
          <w:b/>
          <w:spacing w:val="-2"/>
          <w:sz w:val="21"/>
        </w:rPr>
        <w:t>们按本合同载明的最后住所、通讯地址、电子邮件或电话发送的有</w:t>
      </w:r>
      <w:r>
        <w:rPr>
          <w:rFonts w:ascii="微软雅黑" w:eastAsia="微软雅黑"/>
          <w:b/>
          <w:spacing w:val="-2"/>
          <w:sz w:val="21"/>
        </w:rPr>
        <w:t>关通知，均视为已送达给您。</w:t>
      </w:r>
    </w:p>
    <w:p>
      <w:pPr>
        <w:pStyle w:val="ListParagraph"/>
        <w:numPr>
          <w:ilvl w:val="1"/>
          <w:numId w:val="112"/>
        </w:numPr>
        <w:tabs>
          <w:tab w:pos="1071" w:val="left" w:leader="none"/>
          <w:tab w:pos="1072" w:val="left" w:leader="none"/>
          <w:tab w:pos="3152" w:val="left" w:leader="none"/>
        </w:tabs>
        <w:spacing w:line="363" w:lineRule="exact" w:before="163" w:after="0"/>
        <w:ind w:left="1071" w:right="0" w:hanging="850"/>
        <w:jc w:val="left"/>
        <w:rPr>
          <w:sz w:val="21"/>
        </w:rPr>
      </w:pPr>
      <w:r>
        <w:rPr>
          <w:rFonts w:ascii="微软雅黑" w:eastAsia="微软雅黑"/>
          <w:b/>
          <w:sz w:val="21"/>
        </w:rPr>
        <w:t>争议处</w:t>
      </w:r>
      <w:r>
        <w:rPr>
          <w:rFonts w:ascii="微软雅黑" w:eastAsia="微软雅黑"/>
          <w:b/>
          <w:spacing w:val="-10"/>
          <w:sz w:val="21"/>
        </w:rPr>
        <w:t>理</w:t>
      </w:r>
      <w:r>
        <w:rPr>
          <w:rFonts w:ascii="微软雅黑" w:eastAsia="微软雅黑"/>
          <w:b/>
          <w:sz w:val="21"/>
        </w:rPr>
        <w:tab/>
      </w:r>
      <w:r>
        <w:rPr>
          <w:spacing w:val="-2"/>
          <w:sz w:val="21"/>
        </w:rPr>
        <w:t>本</w:t>
      </w:r>
      <w:r>
        <w:rPr>
          <w:spacing w:val="-2"/>
          <w:sz w:val="21"/>
        </w:rPr>
        <w:t>合</w:t>
      </w:r>
      <w:r>
        <w:rPr>
          <w:spacing w:val="-2"/>
          <w:sz w:val="21"/>
        </w:rPr>
        <w:t>同争议解决方式由当</w:t>
      </w:r>
      <w:r>
        <w:rPr>
          <w:spacing w:val="-2"/>
          <w:sz w:val="21"/>
        </w:rPr>
        <w:t>事</w:t>
      </w:r>
      <w:r>
        <w:rPr>
          <w:spacing w:val="-2"/>
          <w:sz w:val="21"/>
        </w:rPr>
        <w:t>人</w:t>
      </w:r>
      <w:r>
        <w:rPr>
          <w:spacing w:val="-2"/>
          <w:sz w:val="21"/>
        </w:rPr>
        <w:t>约定从下列二种方式</w:t>
      </w:r>
      <w:r>
        <w:rPr>
          <w:spacing w:val="-2"/>
          <w:sz w:val="21"/>
        </w:rPr>
        <w:t>中</w:t>
      </w:r>
      <w:r>
        <w:rPr>
          <w:spacing w:val="-2"/>
          <w:sz w:val="21"/>
        </w:rPr>
        <w:t>选</w:t>
      </w:r>
      <w:r>
        <w:rPr>
          <w:spacing w:val="-2"/>
          <w:sz w:val="21"/>
        </w:rPr>
        <w:t>择一种</w:t>
      </w:r>
      <w:r>
        <w:rPr>
          <w:spacing w:val="-10"/>
          <w:sz w:val="21"/>
        </w:rPr>
        <w:t>：</w:t>
      </w:r>
    </w:p>
    <w:p>
      <w:pPr>
        <w:pStyle w:val="ListParagraph"/>
        <w:numPr>
          <w:ilvl w:val="0"/>
          <w:numId w:val="113"/>
        </w:numPr>
        <w:tabs>
          <w:tab w:pos="3682" w:val="left" w:leader="none"/>
        </w:tabs>
        <w:spacing w:line="245" w:lineRule="exact" w:before="0" w:after="0"/>
        <w:ind w:left="3682" w:right="0" w:hanging="529"/>
        <w:jc w:val="left"/>
        <w:rPr>
          <w:sz w:val="21"/>
        </w:rPr>
      </w:pPr>
      <w:r>
        <w:rPr>
          <w:spacing w:val="-3"/>
          <w:sz w:val="21"/>
        </w:rPr>
        <w:t>因履行本合同发生的争议，由当事人协商解决，协商不成的，</w:t>
      </w:r>
    </w:p>
    <w:p>
      <w:pPr>
        <w:pStyle w:val="BodyText"/>
        <w:spacing w:before="5"/>
        <w:ind w:left="3678"/>
      </w:pPr>
      <w:r>
        <w:rPr>
          <w:spacing w:val="-3"/>
        </w:rPr>
        <w:t>提交双方共同选择的仲裁委员会仲裁；</w:t>
      </w:r>
    </w:p>
    <w:p>
      <w:pPr>
        <w:pStyle w:val="ListParagraph"/>
        <w:numPr>
          <w:ilvl w:val="0"/>
          <w:numId w:val="113"/>
        </w:numPr>
        <w:tabs>
          <w:tab w:pos="3682" w:val="left" w:leader="none"/>
        </w:tabs>
        <w:spacing w:line="244" w:lineRule="auto" w:before="2" w:after="0"/>
        <w:ind w:left="3678" w:right="633" w:hanging="526"/>
        <w:jc w:val="left"/>
        <w:rPr>
          <w:sz w:val="21"/>
        </w:rPr>
      </w:pPr>
      <w:r>
        <w:rPr>
          <w:spacing w:val="-2"/>
          <w:sz w:val="21"/>
        </w:rPr>
        <w:t>因履行本合同发生的争议，由当事人协商解决，协商不成的，</w:t>
      </w:r>
      <w:r>
        <w:rPr>
          <w:spacing w:val="-2"/>
          <w:sz w:val="21"/>
        </w:rPr>
        <w:t>依法向人民法院起诉。</w:t>
      </w:r>
    </w:p>
    <w:p>
      <w:pPr>
        <w:pStyle w:val="BodyText"/>
        <w:spacing w:before="5"/>
        <w:ind w:left="0"/>
        <w:rPr>
          <w:sz w:val="25"/>
        </w:r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8"/>
        <w:gridCol w:w="1704"/>
        <w:gridCol w:w="6824"/>
      </w:tblGrid>
      <w:tr>
        <w:trPr>
          <w:trHeight w:val="352" w:hRule="atLeast"/>
        </w:trPr>
        <w:tc>
          <w:tcPr>
            <w:tcW w:w="718" w:type="dxa"/>
            <w:tcBorders>
              <w:bottom w:val="single" w:sz="4" w:space="0" w:color="000000"/>
            </w:tcBorders>
          </w:tcPr>
          <w:p>
            <w:pPr>
              <w:pStyle w:val="TableParagraph"/>
              <w:spacing w:line="266" w:lineRule="exact"/>
              <w:ind w:left="108"/>
              <w:rPr>
                <w:rFonts w:ascii="Times New Roman"/>
                <w:b/>
                <w:sz w:val="24"/>
              </w:rPr>
            </w:pPr>
            <w:r>
              <w:rPr>
                <w:rFonts w:ascii="Times New Roman"/>
                <w:b/>
                <w:spacing w:val="-5"/>
                <w:sz w:val="24"/>
              </w:rPr>
              <w:t>14</w:t>
            </w:r>
          </w:p>
        </w:tc>
        <w:tc>
          <w:tcPr>
            <w:tcW w:w="1704" w:type="dxa"/>
            <w:tcBorders>
              <w:bottom w:val="single" w:sz="4" w:space="0" w:color="000000"/>
            </w:tcBorders>
          </w:tcPr>
          <w:p>
            <w:pPr>
              <w:pStyle w:val="TableParagraph"/>
              <w:spacing w:line="333" w:lineRule="exact"/>
              <w:ind w:left="239"/>
              <w:rPr>
                <w:rFonts w:ascii="微软雅黑" w:eastAsia="微软雅黑"/>
                <w:b/>
                <w:sz w:val="24"/>
              </w:rPr>
            </w:pPr>
            <w:r>
              <w:rPr>
                <w:rFonts w:ascii="微软雅黑" w:eastAsia="微软雅黑"/>
                <w:b/>
                <w:spacing w:val="-5"/>
                <w:sz w:val="24"/>
              </w:rPr>
              <w:t>释义</w:t>
            </w:r>
          </w:p>
        </w:tc>
        <w:tc>
          <w:tcPr>
            <w:tcW w:w="6824" w:type="dxa"/>
            <w:tcBorders>
              <w:bottom w:val="single" w:sz="4" w:space="0" w:color="000000"/>
            </w:tcBorders>
          </w:tcPr>
          <w:p>
            <w:pPr>
              <w:pStyle w:val="TableParagraph"/>
              <w:rPr>
                <w:rFonts w:ascii="Times New Roman"/>
                <w:sz w:val="20"/>
              </w:rPr>
            </w:pPr>
          </w:p>
        </w:tc>
      </w:tr>
      <w:tr>
        <w:trPr>
          <w:trHeight w:val="754" w:hRule="atLeast"/>
        </w:trPr>
        <w:tc>
          <w:tcPr>
            <w:tcW w:w="718" w:type="dxa"/>
            <w:tcBorders>
              <w:top w:val="single" w:sz="4" w:space="0" w:color="000000"/>
            </w:tcBorders>
          </w:tcPr>
          <w:p>
            <w:pPr>
              <w:pStyle w:val="TableParagraph"/>
              <w:spacing w:before="5"/>
              <w:rPr>
                <w:sz w:val="18"/>
              </w:rPr>
            </w:pPr>
          </w:p>
          <w:p>
            <w:pPr>
              <w:pStyle w:val="TableParagraph"/>
              <w:ind w:left="108"/>
              <w:rPr>
                <w:rFonts w:ascii="Times New Roman"/>
                <w:sz w:val="21"/>
              </w:rPr>
            </w:pPr>
            <w:r>
              <w:rPr>
                <w:rFonts w:ascii="Times New Roman"/>
                <w:spacing w:val="-4"/>
                <w:sz w:val="21"/>
              </w:rPr>
              <w:t>14.1</w:t>
            </w:r>
          </w:p>
        </w:tc>
        <w:tc>
          <w:tcPr>
            <w:tcW w:w="1704" w:type="dxa"/>
            <w:tcBorders>
              <w:top w:val="single" w:sz="4" w:space="0" w:color="000000"/>
            </w:tcBorders>
          </w:tcPr>
          <w:p>
            <w:pPr>
              <w:pStyle w:val="TableParagraph"/>
              <w:spacing w:before="176"/>
              <w:ind w:left="239"/>
              <w:rPr>
                <w:rFonts w:ascii="微软雅黑" w:eastAsia="微软雅黑"/>
                <w:b/>
                <w:sz w:val="21"/>
              </w:rPr>
            </w:pPr>
            <w:r>
              <w:rPr>
                <w:rFonts w:ascii="微软雅黑" w:eastAsia="微软雅黑"/>
                <w:b/>
                <w:spacing w:val="-3"/>
                <w:sz w:val="21"/>
              </w:rPr>
              <w:t>保单年度</w:t>
            </w:r>
          </w:p>
        </w:tc>
        <w:tc>
          <w:tcPr>
            <w:tcW w:w="6824" w:type="dxa"/>
            <w:tcBorders>
              <w:top w:val="single" w:sz="4" w:space="0" w:color="000000"/>
            </w:tcBorders>
          </w:tcPr>
          <w:p>
            <w:pPr>
              <w:pStyle w:val="TableParagraph"/>
              <w:spacing w:before="4"/>
              <w:rPr>
                <w:sz w:val="17"/>
              </w:rPr>
            </w:pPr>
          </w:p>
          <w:p>
            <w:pPr>
              <w:pStyle w:val="TableParagraph"/>
              <w:spacing w:line="270" w:lineRule="atLeast"/>
              <w:ind w:left="616" w:right="103"/>
              <w:rPr>
                <w:sz w:val="21"/>
              </w:rPr>
            </w:pPr>
            <w:r>
              <w:rPr>
                <w:spacing w:val="-2"/>
                <w:sz w:val="21"/>
              </w:rPr>
              <w:t>从保险合同生效日或生效对应日的零时起至下一年度保险合同生效</w:t>
            </w:r>
            <w:r>
              <w:rPr>
                <w:spacing w:val="-2"/>
                <w:sz w:val="21"/>
              </w:rPr>
              <w:t>对应日零时止为一个保单年度。</w:t>
            </w:r>
          </w:p>
        </w:tc>
      </w:tr>
    </w:tbl>
    <w:p>
      <w:pPr>
        <w:spacing w:after="0" w:line="270" w:lineRule="atLeast"/>
        <w:rPr>
          <w:sz w:val="21"/>
        </w:rPr>
        <w:sectPr>
          <w:type w:val="continuous"/>
          <w:pgSz w:w="11910" w:h="16840"/>
          <w:pgMar w:header="0" w:footer="878" w:top="160" w:bottom="280" w:left="1480" w:right="440"/>
        </w:sectPr>
      </w:pPr>
    </w:p>
    <w:p>
      <w:pPr>
        <w:pStyle w:val="ListParagraph"/>
        <w:numPr>
          <w:ilvl w:val="1"/>
          <w:numId w:val="114"/>
        </w:numPr>
        <w:tabs>
          <w:tab w:pos="849" w:val="left" w:leader="none"/>
          <w:tab w:pos="850" w:val="left" w:leader="none"/>
          <w:tab w:pos="2930" w:val="left" w:leader="none"/>
        </w:tabs>
        <w:spacing w:line="364" w:lineRule="exact" w:before="8" w:after="0"/>
        <w:ind w:left="849" w:right="624" w:hanging="850"/>
        <w:jc w:val="right"/>
        <w:rPr>
          <w:sz w:val="21"/>
        </w:rPr>
      </w:pPr>
      <w:r>
        <w:rPr>
          <w:rFonts w:ascii="微软雅黑" w:eastAsia="微软雅黑"/>
          <w:b/>
          <w:sz w:val="21"/>
        </w:rPr>
        <w:t>保险费约定支付</w:t>
      </w:r>
      <w:r>
        <w:rPr>
          <w:rFonts w:ascii="微软雅黑" w:eastAsia="微软雅黑"/>
          <w:b/>
          <w:spacing w:val="-10"/>
          <w:sz w:val="21"/>
        </w:rPr>
        <w:t>日</w:t>
      </w:r>
      <w:r>
        <w:rPr>
          <w:rFonts w:ascii="微软雅黑" w:eastAsia="微软雅黑"/>
          <w:b/>
          <w:sz w:val="21"/>
        </w:rPr>
        <w:tab/>
      </w:r>
      <w:r>
        <w:rPr>
          <w:spacing w:val="-6"/>
          <w:sz w:val="21"/>
        </w:rPr>
        <w:t>保</w:t>
      </w:r>
      <w:r>
        <w:rPr>
          <w:spacing w:val="-6"/>
          <w:sz w:val="21"/>
        </w:rPr>
        <w:t>险</w:t>
      </w:r>
      <w:r>
        <w:rPr>
          <w:spacing w:val="-6"/>
          <w:sz w:val="21"/>
        </w:rPr>
        <w:t>合同生效日在每月、</w:t>
      </w:r>
      <w:r>
        <w:rPr>
          <w:spacing w:val="-6"/>
          <w:sz w:val="21"/>
        </w:rPr>
        <w:t>每</w:t>
      </w:r>
      <w:r>
        <w:rPr>
          <w:spacing w:val="-6"/>
          <w:sz w:val="21"/>
        </w:rPr>
        <w:t>季</w:t>
      </w:r>
      <w:r>
        <w:rPr>
          <w:spacing w:val="-6"/>
          <w:sz w:val="21"/>
        </w:rPr>
        <w:t>、每半年或每年（根据</w:t>
      </w:r>
      <w:r>
        <w:rPr>
          <w:spacing w:val="-6"/>
          <w:sz w:val="21"/>
        </w:rPr>
        <w:t>支</w:t>
      </w:r>
      <w:r>
        <w:rPr>
          <w:spacing w:val="-6"/>
          <w:sz w:val="21"/>
        </w:rPr>
        <w:t>付</w:t>
      </w:r>
      <w:r>
        <w:rPr>
          <w:spacing w:val="-6"/>
          <w:sz w:val="21"/>
        </w:rPr>
        <w:t>方式确</w:t>
      </w:r>
      <w:r>
        <w:rPr>
          <w:spacing w:val="-6"/>
          <w:sz w:val="21"/>
        </w:rPr>
        <w:t>定</w:t>
      </w:r>
      <w:r>
        <w:rPr>
          <w:spacing w:val="-10"/>
          <w:sz w:val="21"/>
        </w:rPr>
        <w:t>）</w:t>
      </w:r>
    </w:p>
    <w:p>
      <w:pPr>
        <w:pStyle w:val="BodyText"/>
        <w:spacing w:line="246" w:lineRule="exact"/>
        <w:ind w:left="0" w:right="626"/>
        <w:jc w:val="right"/>
      </w:pPr>
      <w:r>
        <w:rPr>
          <w:spacing w:val="-13"/>
        </w:rPr>
        <w:t>的对应日。如果当月无对应的同一日，则以该月最后一日为对应日。</w:t>
      </w:r>
    </w:p>
    <w:p>
      <w:pPr>
        <w:pStyle w:val="ListParagraph"/>
        <w:numPr>
          <w:ilvl w:val="1"/>
          <w:numId w:val="114"/>
        </w:numPr>
        <w:tabs>
          <w:tab w:pos="1071" w:val="left" w:leader="none"/>
          <w:tab w:pos="1072" w:val="left" w:leader="none"/>
          <w:tab w:pos="3152" w:val="left" w:leader="none"/>
        </w:tabs>
        <w:spacing w:line="364" w:lineRule="exact" w:before="178" w:after="0"/>
        <w:ind w:left="1071" w:right="0" w:hanging="850"/>
        <w:jc w:val="left"/>
        <w:rPr>
          <w:sz w:val="21"/>
        </w:rPr>
      </w:pPr>
      <w:r>
        <w:rPr>
          <w:rFonts w:ascii="微软雅黑" w:eastAsia="微软雅黑"/>
          <w:b/>
          <w:sz w:val="21"/>
        </w:rPr>
        <w:t>周</w:t>
      </w:r>
      <w:r>
        <w:rPr>
          <w:rFonts w:ascii="微软雅黑" w:eastAsia="微软雅黑"/>
          <w:b/>
          <w:spacing w:val="-10"/>
          <w:sz w:val="21"/>
        </w:rPr>
        <w:t>岁</w:t>
      </w:r>
      <w:r>
        <w:rPr>
          <w:rFonts w:ascii="微软雅黑" w:eastAsia="微软雅黑"/>
          <w:b/>
          <w:sz w:val="21"/>
        </w:rPr>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份证件</w:t>
      </w:r>
      <w:r>
        <w:rPr>
          <w:spacing w:val="-2"/>
          <w:sz w:val="21"/>
        </w:rPr>
        <w:t>文</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日期计</w:t>
      </w:r>
      <w:r>
        <w:rPr>
          <w:spacing w:val="-2"/>
          <w:sz w:val="21"/>
        </w:rPr>
        <w:t>算</w:t>
      </w:r>
      <w:r>
        <w:rPr>
          <w:spacing w:val="-2"/>
          <w:sz w:val="21"/>
        </w:rPr>
        <w:t>的</w:t>
      </w:r>
      <w:r>
        <w:rPr>
          <w:spacing w:val="-2"/>
          <w:sz w:val="21"/>
        </w:rPr>
        <w:t>年</w:t>
      </w:r>
      <w:r>
        <w:rPr>
          <w:spacing w:val="-2"/>
          <w:sz w:val="21"/>
        </w:rPr>
        <w:t>龄</w:t>
      </w:r>
      <w:r>
        <w:rPr>
          <w:spacing w:val="-2"/>
          <w:sz w:val="21"/>
        </w:rPr>
        <w:t>，自</w:t>
      </w:r>
      <w:r>
        <w:rPr>
          <w:spacing w:val="-2"/>
          <w:sz w:val="21"/>
        </w:rPr>
        <w:t>出</w:t>
      </w:r>
      <w:r>
        <w:rPr>
          <w:spacing w:val="-2"/>
          <w:sz w:val="21"/>
        </w:rPr>
        <w:t>生</w:t>
      </w:r>
      <w:r>
        <w:rPr>
          <w:spacing w:val="-2"/>
          <w:sz w:val="21"/>
        </w:rPr>
        <w:t>之</w:t>
      </w:r>
      <w:r>
        <w:rPr>
          <w:spacing w:val="-10"/>
          <w:sz w:val="21"/>
        </w:rPr>
        <w:t>日</w:t>
      </w:r>
    </w:p>
    <w:p>
      <w:pPr>
        <w:pStyle w:val="BodyText"/>
        <w:spacing w:line="246" w:lineRule="exact"/>
      </w:pPr>
      <w:r>
        <w:rPr>
          <w:spacing w:val="-2"/>
        </w:rPr>
        <w:t>起为零周岁，每经过</w:t>
      </w:r>
      <w:r>
        <w:rPr>
          <w:rFonts w:ascii="Times New Roman" w:eastAsia="Times New Roman"/>
          <w:spacing w:val="-2"/>
        </w:rPr>
        <w:t>1</w:t>
      </w:r>
      <w:r>
        <w:rPr>
          <w:spacing w:val="-2"/>
        </w:rPr>
        <w:t>年增加</w:t>
      </w:r>
      <w:r>
        <w:rPr>
          <w:rFonts w:ascii="Times New Roman" w:eastAsia="Times New Roman"/>
          <w:spacing w:val="-2"/>
        </w:rPr>
        <w:t>1</w:t>
      </w:r>
      <w:r>
        <w:rPr>
          <w:spacing w:val="-2"/>
        </w:rPr>
        <w:t>岁，不足</w:t>
      </w:r>
      <w:r>
        <w:rPr>
          <w:rFonts w:ascii="Times New Roman" w:eastAsia="Times New Roman"/>
          <w:spacing w:val="-2"/>
        </w:rPr>
        <w:t>1</w:t>
      </w:r>
      <w:r>
        <w:rPr>
          <w:spacing w:val="-4"/>
        </w:rPr>
        <w:t>年的不计。</w:t>
      </w:r>
    </w:p>
    <w:p>
      <w:pPr>
        <w:pStyle w:val="ListParagraph"/>
        <w:numPr>
          <w:ilvl w:val="1"/>
          <w:numId w:val="114"/>
        </w:numPr>
        <w:tabs>
          <w:tab w:pos="1071" w:val="left" w:leader="none"/>
          <w:tab w:pos="1072" w:val="left" w:leader="none"/>
          <w:tab w:pos="3152" w:val="left" w:leader="none"/>
        </w:tabs>
        <w:spacing w:line="363" w:lineRule="exact" w:before="177" w:after="0"/>
        <w:ind w:left="1071" w:right="0" w:hanging="850"/>
        <w:jc w:val="left"/>
        <w:rPr>
          <w:sz w:val="21"/>
        </w:rPr>
      </w:pPr>
      <w:r>
        <w:rPr>
          <w:rFonts w:ascii="微软雅黑" w:eastAsia="微软雅黑"/>
          <w:b/>
          <w:sz w:val="21"/>
        </w:rPr>
        <w:t>有效身份证</w:t>
      </w:r>
      <w:r>
        <w:rPr>
          <w:rFonts w:ascii="微软雅黑" w:eastAsia="微软雅黑"/>
          <w:b/>
          <w:spacing w:val="-10"/>
          <w:sz w:val="21"/>
        </w:rPr>
        <w:t>件</w:t>
      </w:r>
      <w:r>
        <w:rPr>
          <w:rFonts w:ascii="微软雅黑" w:eastAsia="微软雅黑"/>
          <w:b/>
          <w:sz w:val="21"/>
        </w:rPr>
        <w:tab/>
      </w:r>
      <w:r>
        <w:rPr>
          <w:spacing w:val="-2"/>
          <w:sz w:val="21"/>
        </w:rPr>
        <w:t>指</w:t>
      </w:r>
      <w:r>
        <w:rPr>
          <w:spacing w:val="-2"/>
          <w:sz w:val="21"/>
        </w:rPr>
        <w:t>依</w:t>
      </w:r>
      <w:r>
        <w:rPr>
          <w:spacing w:val="-2"/>
          <w:sz w:val="21"/>
        </w:rPr>
        <w:t>据法律规定</w:t>
      </w:r>
      <w:r>
        <w:rPr>
          <w:spacing w:val="-51"/>
          <w:sz w:val="21"/>
        </w:rPr>
        <w:t>，</w:t>
      </w:r>
      <w:r>
        <w:rPr>
          <w:spacing w:val="-2"/>
          <w:sz w:val="21"/>
        </w:rPr>
        <w:t>由有权</w:t>
      </w:r>
      <w:r>
        <w:rPr>
          <w:spacing w:val="-2"/>
          <w:sz w:val="21"/>
        </w:rPr>
        <w:t>机</w:t>
      </w:r>
      <w:r>
        <w:rPr>
          <w:spacing w:val="-2"/>
          <w:sz w:val="21"/>
        </w:rPr>
        <w:t>构</w:t>
      </w:r>
      <w:r>
        <w:rPr>
          <w:spacing w:val="-2"/>
          <w:sz w:val="21"/>
        </w:rPr>
        <w:t>制作颁发的证明身份</w:t>
      </w:r>
      <w:r>
        <w:rPr>
          <w:spacing w:val="-2"/>
          <w:sz w:val="21"/>
        </w:rPr>
        <w:t>的</w:t>
      </w:r>
      <w:r>
        <w:rPr>
          <w:spacing w:val="-2"/>
          <w:sz w:val="21"/>
        </w:rPr>
        <w:t>证</w:t>
      </w:r>
      <w:r>
        <w:rPr>
          <w:spacing w:val="-2"/>
          <w:sz w:val="21"/>
        </w:rPr>
        <w:t>件</w:t>
      </w:r>
      <w:r>
        <w:rPr>
          <w:spacing w:val="-51"/>
          <w:sz w:val="21"/>
        </w:rPr>
        <w:t>、</w:t>
      </w:r>
      <w:r>
        <w:rPr>
          <w:spacing w:val="-2"/>
          <w:sz w:val="21"/>
        </w:rPr>
        <w:t>文</w:t>
      </w:r>
      <w:r>
        <w:rPr>
          <w:spacing w:val="-2"/>
          <w:sz w:val="21"/>
        </w:rPr>
        <w:t>件</w:t>
      </w:r>
      <w:r>
        <w:rPr>
          <w:spacing w:val="-2"/>
          <w:sz w:val="21"/>
        </w:rPr>
        <w:t>等</w:t>
      </w:r>
      <w:r>
        <w:rPr>
          <w:spacing w:val="-10"/>
          <w:sz w:val="21"/>
        </w:rPr>
        <w:t>，</w:t>
      </w:r>
    </w:p>
    <w:p>
      <w:pPr>
        <w:pStyle w:val="BodyText"/>
        <w:spacing w:line="245" w:lineRule="exact"/>
      </w:pPr>
      <w:r>
        <w:rPr>
          <w:spacing w:val="-3"/>
        </w:rPr>
        <w:t>如：居民身份证、户口簿、护照、军人证等。</w:t>
      </w:r>
    </w:p>
    <w:p>
      <w:pPr>
        <w:pStyle w:val="ListParagraph"/>
        <w:numPr>
          <w:ilvl w:val="1"/>
          <w:numId w:val="114"/>
        </w:numPr>
        <w:tabs>
          <w:tab w:pos="1071" w:val="left" w:leader="none"/>
          <w:tab w:pos="1072" w:val="left" w:leader="none"/>
          <w:tab w:pos="3152" w:val="left" w:leader="none"/>
        </w:tabs>
        <w:spacing w:line="330" w:lineRule="exact" w:before="178" w:after="0"/>
        <w:ind w:left="1071" w:right="0" w:hanging="850"/>
        <w:jc w:val="left"/>
        <w:rPr>
          <w:sz w:val="21"/>
        </w:rPr>
      </w:pPr>
      <w:r>
        <w:rPr>
          <w:rFonts w:ascii="微软雅黑" w:eastAsia="微软雅黑"/>
          <w:b/>
          <w:sz w:val="21"/>
        </w:rPr>
        <w:t>意外伤</w:t>
      </w:r>
      <w:r>
        <w:rPr>
          <w:rFonts w:ascii="微软雅黑" w:eastAsia="微软雅黑"/>
          <w:b/>
          <w:spacing w:val="-10"/>
          <w:sz w:val="21"/>
        </w:rPr>
        <w:t>害</w:t>
      </w:r>
      <w:r>
        <w:rPr>
          <w:rFonts w:ascii="微软雅黑" w:eastAsia="微软雅黑"/>
          <w:b/>
          <w:sz w:val="21"/>
        </w:rPr>
        <w:tab/>
      </w:r>
      <w:r>
        <w:rPr>
          <w:spacing w:val="-2"/>
          <w:sz w:val="21"/>
        </w:rPr>
        <w:t>指</w:t>
      </w:r>
      <w:r>
        <w:rPr>
          <w:spacing w:val="-2"/>
          <w:sz w:val="21"/>
        </w:rPr>
        <w:t>遭</w:t>
      </w:r>
      <w:r>
        <w:rPr>
          <w:spacing w:val="-2"/>
          <w:sz w:val="21"/>
        </w:rPr>
        <w:t>受</w:t>
      </w:r>
      <w:r>
        <w:rPr>
          <w:spacing w:val="-2"/>
          <w:sz w:val="21"/>
        </w:rPr>
        <w:t>外</w:t>
      </w:r>
      <w:r>
        <w:rPr>
          <w:spacing w:val="-2"/>
          <w:sz w:val="21"/>
        </w:rPr>
        <w:t>来</w:t>
      </w:r>
      <w:r>
        <w:rPr>
          <w:spacing w:val="-2"/>
          <w:sz w:val="21"/>
        </w:rPr>
        <w:t>的、突</w:t>
      </w:r>
      <w:r>
        <w:rPr>
          <w:spacing w:val="-2"/>
          <w:sz w:val="21"/>
        </w:rPr>
        <w:t>发</w:t>
      </w:r>
      <w:r>
        <w:rPr>
          <w:spacing w:val="-2"/>
          <w:sz w:val="21"/>
        </w:rPr>
        <w:t>的</w:t>
      </w:r>
      <w:r>
        <w:rPr>
          <w:spacing w:val="-2"/>
          <w:sz w:val="21"/>
        </w:rPr>
        <w:t>、</w:t>
      </w:r>
      <w:r>
        <w:rPr>
          <w:spacing w:val="-2"/>
          <w:sz w:val="21"/>
        </w:rPr>
        <w:t>非</w:t>
      </w:r>
      <w:r>
        <w:rPr>
          <w:spacing w:val="-2"/>
          <w:sz w:val="21"/>
        </w:rPr>
        <w:t>本</w:t>
      </w:r>
      <w:r>
        <w:rPr>
          <w:spacing w:val="-2"/>
          <w:sz w:val="21"/>
        </w:rPr>
        <w:t>意</w:t>
      </w:r>
      <w:r>
        <w:rPr>
          <w:spacing w:val="-2"/>
          <w:sz w:val="21"/>
        </w:rPr>
        <w:t>的</w:t>
      </w:r>
      <w:r>
        <w:rPr>
          <w:spacing w:val="-2"/>
          <w:sz w:val="21"/>
        </w:rPr>
        <w:t>、</w:t>
      </w:r>
      <w:r>
        <w:rPr>
          <w:spacing w:val="-2"/>
          <w:sz w:val="21"/>
        </w:rPr>
        <w:t>非疾病</w:t>
      </w:r>
      <w:r>
        <w:rPr>
          <w:spacing w:val="-2"/>
          <w:sz w:val="21"/>
        </w:rPr>
        <w:t>的</w:t>
      </w:r>
      <w:r>
        <w:rPr>
          <w:spacing w:val="-2"/>
          <w:sz w:val="21"/>
        </w:rPr>
        <w:t>客</w:t>
      </w:r>
      <w:r>
        <w:rPr>
          <w:spacing w:val="-2"/>
          <w:sz w:val="21"/>
        </w:rPr>
        <w:t>观</w:t>
      </w:r>
      <w:r>
        <w:rPr>
          <w:spacing w:val="-2"/>
          <w:sz w:val="21"/>
        </w:rPr>
        <w:t>事</w:t>
      </w:r>
      <w:r>
        <w:rPr>
          <w:spacing w:val="-2"/>
          <w:sz w:val="21"/>
        </w:rPr>
        <w:t>件</w:t>
      </w:r>
      <w:r>
        <w:rPr>
          <w:spacing w:val="-2"/>
          <w:sz w:val="21"/>
        </w:rPr>
        <w:t>直</w:t>
      </w:r>
      <w:r>
        <w:rPr>
          <w:spacing w:val="-2"/>
          <w:sz w:val="21"/>
        </w:rPr>
        <w:t>接</w:t>
      </w:r>
      <w:r>
        <w:rPr>
          <w:spacing w:val="-2"/>
          <w:sz w:val="21"/>
        </w:rPr>
        <w:t>致</w:t>
      </w:r>
      <w:r>
        <w:rPr>
          <w:spacing w:val="-2"/>
          <w:sz w:val="21"/>
        </w:rPr>
        <w:t>使</w:t>
      </w:r>
      <w:r>
        <w:rPr>
          <w:spacing w:val="-10"/>
          <w:sz w:val="21"/>
        </w:rPr>
        <w:t>身</w:t>
      </w:r>
    </w:p>
    <w:p>
      <w:pPr>
        <w:spacing w:line="330" w:lineRule="exact" w:before="0"/>
        <w:ind w:left="3153" w:right="0" w:firstLine="0"/>
        <w:jc w:val="left"/>
        <w:rPr>
          <w:sz w:val="21"/>
        </w:rPr>
      </w:pPr>
      <w:r>
        <w:rPr>
          <w:spacing w:val="-2"/>
          <w:sz w:val="21"/>
        </w:rPr>
        <w:t>体受到的伤害，</w:t>
      </w:r>
      <w:r>
        <w:rPr>
          <w:rFonts w:ascii="微软雅黑" w:eastAsia="微软雅黑"/>
          <w:b/>
          <w:spacing w:val="-2"/>
          <w:sz w:val="21"/>
        </w:rPr>
        <w:t>猝死不属于意外伤害</w:t>
      </w:r>
      <w:r>
        <w:rPr>
          <w:spacing w:val="-10"/>
          <w:sz w:val="21"/>
        </w:rPr>
        <w:t>。</w:t>
      </w:r>
    </w:p>
    <w:p>
      <w:pPr>
        <w:pStyle w:val="ListParagraph"/>
        <w:numPr>
          <w:ilvl w:val="1"/>
          <w:numId w:val="114"/>
        </w:numPr>
        <w:tabs>
          <w:tab w:pos="1071" w:val="left" w:leader="none"/>
          <w:tab w:pos="1072" w:val="left" w:leader="none"/>
          <w:tab w:pos="3152" w:val="left" w:leader="none"/>
        </w:tabs>
        <w:spacing w:line="363" w:lineRule="exact" w:before="126" w:after="0"/>
        <w:ind w:left="1071" w:right="0" w:hanging="850"/>
        <w:jc w:val="left"/>
        <w:rPr>
          <w:sz w:val="21"/>
        </w:rPr>
      </w:pPr>
      <w:r>
        <w:rPr>
          <w:rFonts w:ascii="微软雅黑" w:eastAsia="微软雅黑"/>
          <w:b/>
          <w:sz w:val="21"/>
        </w:rPr>
        <w:t>专科医</w:t>
      </w:r>
      <w:r>
        <w:rPr>
          <w:rFonts w:ascii="微软雅黑" w:eastAsia="微软雅黑"/>
          <w:b/>
          <w:spacing w:val="-10"/>
          <w:sz w:val="21"/>
        </w:rPr>
        <w:t>生</w:t>
      </w:r>
      <w:r>
        <w:rPr>
          <w:rFonts w:ascii="微软雅黑" w:eastAsia="微软雅黑"/>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2"/>
          <w:numId w:val="114"/>
        </w:numPr>
        <w:tabs>
          <w:tab w:pos="3682" w:val="left" w:leader="none"/>
        </w:tabs>
        <w:spacing w:line="245" w:lineRule="exact" w:before="0" w:after="0"/>
        <w:ind w:left="3682" w:right="0" w:hanging="529"/>
        <w:jc w:val="left"/>
        <w:rPr>
          <w:sz w:val="21"/>
        </w:rPr>
      </w:pPr>
      <w:r>
        <w:rPr>
          <w:spacing w:val="-9"/>
          <w:sz w:val="21"/>
        </w:rPr>
        <w:t>具有有效的中华人民共和国《医师资格证书》；</w:t>
      </w:r>
    </w:p>
    <w:p>
      <w:pPr>
        <w:pStyle w:val="ListParagraph"/>
        <w:numPr>
          <w:ilvl w:val="2"/>
          <w:numId w:val="114"/>
        </w:numPr>
        <w:tabs>
          <w:tab w:pos="3682" w:val="left" w:leader="none"/>
        </w:tabs>
        <w:spacing w:line="242" w:lineRule="auto" w:before="5" w:after="0"/>
        <w:ind w:left="3664" w:right="732" w:hanging="512"/>
        <w:jc w:val="left"/>
        <w:rPr>
          <w:sz w:val="21"/>
        </w:rPr>
      </w:pPr>
      <w:r>
        <w:rPr>
          <w:spacing w:val="-8"/>
          <w:sz w:val="21"/>
        </w:rPr>
        <w:t>具有有效的中华人民共和国《医师执业证书》，并按期到相关</w:t>
      </w:r>
      <w:r>
        <w:rPr>
          <w:spacing w:val="-2"/>
          <w:sz w:val="21"/>
        </w:rPr>
        <w:t>部门登记注册；</w:t>
      </w:r>
    </w:p>
    <w:p>
      <w:pPr>
        <w:pStyle w:val="ListParagraph"/>
        <w:numPr>
          <w:ilvl w:val="2"/>
          <w:numId w:val="114"/>
        </w:numPr>
        <w:tabs>
          <w:tab w:pos="3682" w:val="left" w:leader="none"/>
        </w:tabs>
        <w:spacing w:line="240" w:lineRule="auto" w:before="2" w:after="0"/>
        <w:ind w:left="3682" w:right="0" w:hanging="529"/>
        <w:jc w:val="left"/>
        <w:rPr>
          <w:sz w:val="21"/>
        </w:rPr>
      </w:pPr>
      <w:r>
        <w:rPr>
          <w:spacing w:val="-1"/>
          <w:sz w:val="21"/>
        </w:rPr>
        <w:t>具有有效的中华人民共和国主治医师或主治医师以上职称的</w:t>
      </w:r>
    </w:p>
    <w:p>
      <w:pPr>
        <w:pStyle w:val="BodyText"/>
        <w:spacing w:before="2"/>
        <w:ind w:left="3664"/>
      </w:pPr>
      <w:r>
        <w:rPr>
          <w:spacing w:val="-15"/>
        </w:rPr>
        <w:t>《医师职称证书》；</w:t>
      </w:r>
    </w:p>
    <w:p>
      <w:pPr>
        <w:pStyle w:val="ListParagraph"/>
        <w:numPr>
          <w:ilvl w:val="2"/>
          <w:numId w:val="114"/>
        </w:numPr>
        <w:tabs>
          <w:tab w:pos="3682" w:val="left" w:leader="none"/>
        </w:tabs>
        <w:spacing w:line="242" w:lineRule="auto" w:before="4" w:after="0"/>
        <w:ind w:left="3664" w:right="729" w:hanging="512"/>
        <w:jc w:val="left"/>
        <w:rPr>
          <w:sz w:val="21"/>
        </w:rPr>
      </w:pPr>
      <w:r>
        <w:rPr>
          <w:spacing w:val="-14"/>
          <w:sz w:val="21"/>
        </w:rPr>
        <w:t>在国家《医院分级管理标准》二级或二级以上医院的相应科室</w:t>
      </w:r>
      <w:r>
        <w:rPr>
          <w:spacing w:val="-2"/>
          <w:sz w:val="21"/>
        </w:rPr>
        <w:t>从事临床工作三年以上。</w:t>
      </w:r>
    </w:p>
    <w:p>
      <w:pPr>
        <w:pStyle w:val="ListParagraph"/>
        <w:numPr>
          <w:ilvl w:val="1"/>
          <w:numId w:val="114"/>
        </w:numPr>
        <w:tabs>
          <w:tab w:pos="1071" w:val="left" w:leader="none"/>
          <w:tab w:pos="1072" w:val="left" w:leader="none"/>
          <w:tab w:pos="3152" w:val="left" w:leader="none"/>
        </w:tabs>
        <w:spacing w:line="330" w:lineRule="exact" w:before="174" w:after="0"/>
        <w:ind w:left="1071" w:right="0" w:hanging="850"/>
        <w:jc w:val="left"/>
        <w:rPr>
          <w:sz w:val="21"/>
        </w:rPr>
      </w:pPr>
      <w:r>
        <w:rPr>
          <w:rFonts w:ascii="微软雅黑" w:eastAsia="微软雅黑"/>
          <w:b/>
          <w:sz w:val="21"/>
        </w:rPr>
        <w:t>首次确</w:t>
      </w:r>
      <w:r>
        <w:rPr>
          <w:rFonts w:ascii="微软雅黑" w:eastAsia="微软雅黑"/>
          <w:b/>
          <w:spacing w:val="-10"/>
          <w:sz w:val="21"/>
        </w:rPr>
        <w:t>诊</w:t>
      </w:r>
      <w:r>
        <w:rPr>
          <w:rFonts w:ascii="微软雅黑" w:eastAsia="微软雅黑"/>
          <w:b/>
          <w:sz w:val="21"/>
        </w:rPr>
        <w:tab/>
      </w:r>
      <w:r>
        <w:rPr>
          <w:spacing w:val="-2"/>
          <w:sz w:val="21"/>
        </w:rPr>
        <w:t>指</w:t>
      </w:r>
      <w:r>
        <w:rPr>
          <w:spacing w:val="-2"/>
          <w:sz w:val="21"/>
        </w:rPr>
        <w:t>自</w:t>
      </w:r>
      <w:r>
        <w:rPr>
          <w:spacing w:val="-2"/>
          <w:sz w:val="21"/>
        </w:rPr>
        <w:t>被</w:t>
      </w:r>
      <w:r>
        <w:rPr>
          <w:spacing w:val="-2"/>
          <w:sz w:val="21"/>
        </w:rPr>
        <w:t>保</w:t>
      </w:r>
      <w:r>
        <w:rPr>
          <w:spacing w:val="-2"/>
          <w:sz w:val="21"/>
        </w:rPr>
        <w:t>险</w:t>
      </w:r>
      <w:r>
        <w:rPr>
          <w:spacing w:val="-2"/>
          <w:sz w:val="21"/>
        </w:rPr>
        <w:t>人出生</w:t>
      </w:r>
      <w:r>
        <w:rPr>
          <w:spacing w:val="-2"/>
          <w:sz w:val="21"/>
        </w:rPr>
        <w:t>之</w:t>
      </w:r>
      <w:r>
        <w:rPr>
          <w:spacing w:val="-2"/>
          <w:sz w:val="21"/>
        </w:rPr>
        <w:t>日</w:t>
      </w:r>
      <w:r>
        <w:rPr>
          <w:spacing w:val="-2"/>
          <w:sz w:val="21"/>
        </w:rPr>
        <w:t>起</w:t>
      </w:r>
      <w:r>
        <w:rPr>
          <w:spacing w:val="-2"/>
          <w:sz w:val="21"/>
        </w:rPr>
        <w:t>第</w:t>
      </w:r>
      <w:r>
        <w:rPr>
          <w:spacing w:val="-2"/>
          <w:sz w:val="21"/>
        </w:rPr>
        <w:t>一</w:t>
      </w:r>
      <w:r>
        <w:rPr>
          <w:spacing w:val="-2"/>
          <w:sz w:val="21"/>
        </w:rPr>
        <w:t>次</w:t>
      </w:r>
      <w:r>
        <w:rPr>
          <w:spacing w:val="-2"/>
          <w:sz w:val="21"/>
        </w:rPr>
        <w:t>经</w:t>
      </w:r>
      <w:r>
        <w:rPr>
          <w:spacing w:val="-2"/>
          <w:sz w:val="21"/>
        </w:rPr>
        <w:t>医</w:t>
      </w:r>
      <w:r>
        <w:rPr>
          <w:spacing w:val="-2"/>
          <w:sz w:val="21"/>
        </w:rPr>
        <w:t>院确诊</w:t>
      </w:r>
      <w:r>
        <w:rPr>
          <w:spacing w:val="-2"/>
          <w:sz w:val="21"/>
        </w:rPr>
        <w:t>患</w:t>
      </w:r>
      <w:r>
        <w:rPr>
          <w:spacing w:val="-2"/>
          <w:sz w:val="21"/>
        </w:rPr>
        <w:t>有</w:t>
      </w:r>
      <w:r>
        <w:rPr>
          <w:spacing w:val="-2"/>
          <w:sz w:val="21"/>
        </w:rPr>
        <w:t>本</w:t>
      </w:r>
      <w:r>
        <w:rPr>
          <w:spacing w:val="-2"/>
          <w:sz w:val="21"/>
        </w:rPr>
        <w:t>合</w:t>
      </w:r>
      <w:r>
        <w:rPr>
          <w:spacing w:val="-2"/>
          <w:sz w:val="21"/>
        </w:rPr>
        <w:t>同</w:t>
      </w:r>
      <w:r>
        <w:rPr>
          <w:spacing w:val="-2"/>
          <w:sz w:val="21"/>
        </w:rPr>
        <w:t>所</w:t>
      </w:r>
      <w:r>
        <w:rPr>
          <w:spacing w:val="-2"/>
          <w:sz w:val="21"/>
        </w:rPr>
        <w:t>约</w:t>
      </w:r>
      <w:r>
        <w:rPr>
          <w:spacing w:val="-2"/>
          <w:sz w:val="21"/>
        </w:rPr>
        <w:t>定</w:t>
      </w:r>
      <w:r>
        <w:rPr>
          <w:spacing w:val="-2"/>
          <w:sz w:val="21"/>
        </w:rPr>
        <w:t>的</w:t>
      </w:r>
      <w:r>
        <w:rPr>
          <w:spacing w:val="-10"/>
          <w:sz w:val="21"/>
        </w:rPr>
        <w:t>某</w:t>
      </w:r>
    </w:p>
    <w:p>
      <w:pPr>
        <w:spacing w:line="168" w:lineRule="auto" w:before="27"/>
        <w:ind w:left="3153" w:right="732" w:firstLine="0"/>
        <w:jc w:val="left"/>
        <w:rPr>
          <w:rFonts w:ascii="微软雅黑" w:eastAsia="微软雅黑"/>
          <w:b/>
          <w:sz w:val="21"/>
        </w:rPr>
      </w:pPr>
      <w:r>
        <w:rPr>
          <w:spacing w:val="-2"/>
          <w:sz w:val="21"/>
        </w:rPr>
        <w:t>种疾病，</w:t>
      </w:r>
      <w:r>
        <w:rPr>
          <w:rFonts w:ascii="微软雅黑" w:eastAsia="微软雅黑"/>
          <w:b/>
          <w:spacing w:val="-2"/>
          <w:sz w:val="21"/>
        </w:rPr>
        <w:t>而不是指自本合同生效、复效之后第一次经医院确诊患有</w:t>
      </w:r>
      <w:r>
        <w:rPr>
          <w:rFonts w:ascii="微软雅黑" w:eastAsia="微软雅黑"/>
          <w:b/>
          <w:spacing w:val="-2"/>
          <w:sz w:val="21"/>
        </w:rPr>
        <w:t>本合同所约定的某种疾病。</w:t>
      </w:r>
    </w:p>
    <w:p>
      <w:pPr>
        <w:pStyle w:val="BodyText"/>
        <w:spacing w:before="14"/>
        <w:ind w:left="0"/>
        <w:rPr>
          <w:rFonts w:ascii="微软雅黑"/>
          <w:b/>
          <w:sz w:val="10"/>
        </w:rPr>
      </w:pPr>
    </w:p>
    <w:p>
      <w:pPr>
        <w:pStyle w:val="ListParagraph"/>
        <w:numPr>
          <w:ilvl w:val="1"/>
          <w:numId w:val="114"/>
        </w:numPr>
        <w:tabs>
          <w:tab w:pos="1071" w:val="left" w:leader="none"/>
          <w:tab w:pos="1072" w:val="left" w:leader="none"/>
          <w:tab w:pos="3152" w:val="left" w:leader="none"/>
        </w:tabs>
        <w:spacing w:line="206" w:lineRule="auto" w:before="0" w:after="0"/>
        <w:ind w:left="3153" w:right="729" w:hanging="2931"/>
        <w:jc w:val="left"/>
        <w:rPr>
          <w:sz w:val="21"/>
        </w:rPr>
      </w:pPr>
      <w:r>
        <w:rPr>
          <w:rFonts w:ascii="微软雅黑" w:eastAsia="微软雅黑"/>
          <w:b/>
          <w:spacing w:val="-4"/>
          <w:sz w:val="21"/>
        </w:rPr>
        <w:t>现</w:t>
      </w:r>
      <w:r>
        <w:rPr>
          <w:rFonts w:ascii="微软雅黑" w:eastAsia="微软雅黑"/>
          <w:b/>
          <w:spacing w:val="-4"/>
          <w:sz w:val="21"/>
        </w:rPr>
        <w:t>金</w:t>
      </w:r>
      <w:r>
        <w:rPr>
          <w:rFonts w:ascii="微软雅黑" w:eastAsia="微软雅黑"/>
          <w:b/>
          <w:spacing w:val="-4"/>
          <w:sz w:val="21"/>
        </w:rPr>
        <w:t>价</w:t>
      </w:r>
      <w:r>
        <w:rPr>
          <w:rFonts w:ascii="微软雅黑" w:eastAsia="微软雅黑"/>
          <w:b/>
          <w:spacing w:val="-4"/>
          <w:sz w:val="21"/>
        </w:rPr>
        <w:t>值</w:t>
      </w:r>
      <w:r>
        <w:rPr>
          <w:rFonts w:ascii="微软雅黑" w:eastAsia="微软雅黑"/>
          <w:b/>
          <w:sz w:val="21"/>
        </w:rPr>
        <w:tab/>
      </w:r>
      <w:r>
        <w:rPr>
          <w:spacing w:val="-2"/>
          <w:sz w:val="21"/>
        </w:rPr>
        <w:t>指</w:t>
      </w:r>
      <w:r>
        <w:rPr>
          <w:spacing w:val="-2"/>
          <w:sz w:val="21"/>
        </w:rPr>
        <w:t>保</w:t>
      </w:r>
      <w:r>
        <w:rPr>
          <w:spacing w:val="-2"/>
          <w:sz w:val="21"/>
        </w:rPr>
        <w:t>险</w:t>
      </w:r>
      <w:r>
        <w:rPr>
          <w:spacing w:val="-2"/>
          <w:sz w:val="21"/>
        </w:rPr>
        <w:t>单</w:t>
      </w:r>
      <w:r>
        <w:rPr>
          <w:spacing w:val="-2"/>
          <w:sz w:val="21"/>
        </w:rPr>
        <w:t>所</w:t>
      </w:r>
      <w:r>
        <w:rPr>
          <w:spacing w:val="-2"/>
          <w:sz w:val="21"/>
        </w:rPr>
        <w:t>具有的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解除合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理计</w:t>
      </w:r>
      <w:r>
        <w:rPr>
          <w:spacing w:val="-2"/>
          <w:sz w:val="21"/>
        </w:rPr>
        <w:t>算</w:t>
      </w:r>
      <w:r>
        <w:rPr>
          <w:spacing w:val="-2"/>
          <w:sz w:val="21"/>
        </w:rPr>
        <w:t>的</w:t>
      </w:r>
      <w:r>
        <w:rPr>
          <w:spacing w:val="-2"/>
          <w:sz w:val="21"/>
        </w:rPr>
        <w:t>，由我们退还的那部</w:t>
      </w:r>
      <w:r>
        <w:rPr>
          <w:spacing w:val="-2"/>
          <w:sz w:val="21"/>
        </w:rPr>
        <w:t>分</w:t>
      </w:r>
      <w:r>
        <w:rPr>
          <w:spacing w:val="-2"/>
          <w:sz w:val="21"/>
        </w:rPr>
        <w:t>金</w:t>
      </w:r>
      <w:r>
        <w:rPr>
          <w:spacing w:val="-2"/>
          <w:sz w:val="21"/>
        </w:rPr>
        <w:t>额。</w:t>
      </w:r>
    </w:p>
    <w:p>
      <w:pPr>
        <w:pStyle w:val="BodyText"/>
        <w:spacing w:before="5"/>
        <w:ind w:left="0"/>
        <w:rPr>
          <w:sz w:val="14"/>
        </w:rPr>
      </w:pPr>
    </w:p>
    <w:p>
      <w:pPr>
        <w:pStyle w:val="ListParagraph"/>
        <w:numPr>
          <w:ilvl w:val="1"/>
          <w:numId w:val="114"/>
        </w:numPr>
        <w:tabs>
          <w:tab w:pos="1071" w:val="left" w:leader="none"/>
          <w:tab w:pos="1072" w:val="left" w:leader="none"/>
          <w:tab w:pos="3152" w:val="left" w:leader="none"/>
        </w:tabs>
        <w:spacing w:line="329" w:lineRule="exact" w:before="0" w:after="0"/>
        <w:ind w:left="1071" w:right="0" w:hanging="850"/>
        <w:jc w:val="left"/>
        <w:rPr>
          <w:sz w:val="21"/>
        </w:rPr>
      </w:pPr>
      <w:r>
        <w:rPr>
          <w:rFonts w:ascii="微软雅黑" w:eastAsia="微软雅黑"/>
          <w:b/>
          <w:sz w:val="21"/>
        </w:rPr>
        <w:t>全</w:t>
      </w:r>
      <w:r>
        <w:rPr>
          <w:rFonts w:ascii="微软雅黑" w:eastAsia="微软雅黑"/>
          <w:b/>
          <w:spacing w:val="-10"/>
          <w:sz w:val="21"/>
        </w:rPr>
        <w:t>残</w:t>
      </w:r>
      <w:r>
        <w:rPr>
          <w:rFonts w:ascii="微软雅黑" w:eastAsia="微软雅黑"/>
          <w:b/>
          <w:sz w:val="21"/>
        </w:rPr>
        <w:tab/>
      </w:r>
      <w:r>
        <w:rPr>
          <w:spacing w:val="-2"/>
          <w:sz w:val="21"/>
        </w:rPr>
        <w:t>指</w:t>
      </w:r>
      <w:r>
        <w:rPr>
          <w:spacing w:val="-2"/>
          <w:sz w:val="21"/>
        </w:rPr>
        <w:t>被</w:t>
      </w:r>
      <w:r>
        <w:rPr>
          <w:spacing w:val="-2"/>
          <w:sz w:val="21"/>
        </w:rPr>
        <w:t>保险人在本合同有效</w:t>
      </w:r>
      <w:r>
        <w:rPr>
          <w:spacing w:val="-2"/>
          <w:sz w:val="21"/>
        </w:rPr>
        <w:t>期</w:t>
      </w:r>
      <w:r>
        <w:rPr>
          <w:spacing w:val="-2"/>
          <w:sz w:val="21"/>
        </w:rPr>
        <w:t>内</w:t>
      </w:r>
      <w:r>
        <w:rPr>
          <w:spacing w:val="-2"/>
          <w:sz w:val="21"/>
        </w:rPr>
        <w:t>，发生下列情况之一</w:t>
      </w:r>
      <w:r>
        <w:rPr>
          <w:spacing w:val="-2"/>
          <w:sz w:val="21"/>
        </w:rPr>
        <w:t>者</w:t>
      </w:r>
      <w:r>
        <w:rPr>
          <w:spacing w:val="-10"/>
          <w:sz w:val="21"/>
        </w:rPr>
        <w:t>：</w:t>
      </w:r>
    </w:p>
    <w:p>
      <w:pPr>
        <w:pStyle w:val="ListParagraph"/>
        <w:numPr>
          <w:ilvl w:val="0"/>
          <w:numId w:val="115"/>
        </w:numPr>
        <w:tabs>
          <w:tab w:pos="3682" w:val="left" w:leader="none"/>
        </w:tabs>
        <w:spacing w:line="306" w:lineRule="exact" w:before="0" w:after="0"/>
        <w:ind w:left="3682" w:right="0" w:hanging="529"/>
        <w:jc w:val="left"/>
        <w:rPr>
          <w:sz w:val="21"/>
        </w:rPr>
      </w:pPr>
      <w:r>
        <w:rPr>
          <w:spacing w:val="-2"/>
          <w:sz w:val="21"/>
        </w:rPr>
        <w:t>双目</w:t>
      </w:r>
      <w:r>
        <w:rPr>
          <w:rFonts w:ascii="微软雅黑" w:hAnsi="微软雅黑" w:eastAsia="微软雅黑"/>
          <w:b/>
          <w:spacing w:val="-2"/>
          <w:sz w:val="21"/>
        </w:rPr>
        <w:t>永久不可逆</w:t>
      </w:r>
      <w:r>
        <w:rPr>
          <w:spacing w:val="-2"/>
          <w:sz w:val="21"/>
        </w:rPr>
        <w:t>（注①）</w:t>
      </w:r>
      <w:r>
        <w:rPr>
          <w:rFonts w:ascii="微软雅黑" w:hAnsi="微软雅黑" w:eastAsia="微软雅黑"/>
          <w:b/>
          <w:spacing w:val="-2"/>
          <w:sz w:val="21"/>
        </w:rPr>
        <w:t>失明</w:t>
      </w:r>
      <w:r>
        <w:rPr>
          <w:spacing w:val="-2"/>
          <w:sz w:val="21"/>
        </w:rPr>
        <w:t>（</w:t>
      </w:r>
      <w:r>
        <w:rPr>
          <w:spacing w:val="14"/>
          <w:sz w:val="21"/>
        </w:rPr>
        <w:t>注②</w:t>
      </w:r>
      <w:r>
        <w:rPr>
          <w:spacing w:val="-77"/>
          <w:sz w:val="21"/>
        </w:rPr>
        <w:t>）</w:t>
      </w:r>
      <w:r>
        <w:rPr>
          <w:spacing w:val="31"/>
          <w:sz w:val="21"/>
        </w:rPr>
        <w:t>；</w:t>
      </w:r>
    </w:p>
    <w:p>
      <w:pPr>
        <w:pStyle w:val="ListParagraph"/>
        <w:numPr>
          <w:ilvl w:val="0"/>
          <w:numId w:val="115"/>
        </w:numPr>
        <w:tabs>
          <w:tab w:pos="3682" w:val="left" w:leader="none"/>
        </w:tabs>
        <w:spacing w:line="246" w:lineRule="exact" w:before="0" w:after="0"/>
        <w:ind w:left="3682" w:right="0" w:hanging="529"/>
        <w:jc w:val="left"/>
        <w:rPr>
          <w:sz w:val="21"/>
        </w:rPr>
      </w:pPr>
      <w:r>
        <w:rPr>
          <w:spacing w:val="-3"/>
          <w:sz w:val="21"/>
        </w:rPr>
        <w:t>两上肢腕关节以上或两下肢踝关节以上缺失；</w:t>
      </w:r>
    </w:p>
    <w:p>
      <w:pPr>
        <w:pStyle w:val="ListParagraph"/>
        <w:numPr>
          <w:ilvl w:val="0"/>
          <w:numId w:val="115"/>
        </w:numPr>
        <w:tabs>
          <w:tab w:pos="3682" w:val="left" w:leader="none"/>
        </w:tabs>
        <w:spacing w:line="240" w:lineRule="auto" w:before="2" w:after="0"/>
        <w:ind w:left="3682" w:right="0" w:hanging="529"/>
        <w:jc w:val="left"/>
        <w:rPr>
          <w:sz w:val="21"/>
        </w:rPr>
      </w:pPr>
      <w:r>
        <w:rPr>
          <w:spacing w:val="-3"/>
          <w:sz w:val="21"/>
        </w:rPr>
        <w:t>一上肢腕关节以上及一下肢踝关节以上缺失；</w:t>
      </w:r>
    </w:p>
    <w:p>
      <w:pPr>
        <w:pStyle w:val="ListParagraph"/>
        <w:numPr>
          <w:ilvl w:val="0"/>
          <w:numId w:val="115"/>
        </w:numPr>
        <w:tabs>
          <w:tab w:pos="3682" w:val="left" w:leader="none"/>
        </w:tabs>
        <w:spacing w:line="240" w:lineRule="auto" w:before="5" w:after="0"/>
        <w:ind w:left="3682" w:right="0" w:hanging="529"/>
        <w:jc w:val="left"/>
        <w:rPr>
          <w:sz w:val="21"/>
        </w:rPr>
      </w:pPr>
      <w:r>
        <w:rPr>
          <w:spacing w:val="-3"/>
          <w:sz w:val="21"/>
        </w:rPr>
        <w:t>一目永久不可逆失明及一上肢腕关节以上缺失；</w:t>
      </w:r>
    </w:p>
    <w:p>
      <w:pPr>
        <w:pStyle w:val="ListParagraph"/>
        <w:numPr>
          <w:ilvl w:val="0"/>
          <w:numId w:val="115"/>
        </w:numPr>
        <w:tabs>
          <w:tab w:pos="3682" w:val="left" w:leader="none"/>
        </w:tabs>
        <w:spacing w:line="238" w:lineRule="exact" w:before="2" w:after="0"/>
        <w:ind w:left="3682" w:right="0" w:hanging="529"/>
        <w:jc w:val="left"/>
        <w:rPr>
          <w:sz w:val="21"/>
        </w:rPr>
      </w:pPr>
      <w:r>
        <w:rPr>
          <w:spacing w:val="-3"/>
          <w:sz w:val="21"/>
        </w:rPr>
        <w:t>一目永久不可逆失明及一下肢踝关节以上缺失；</w:t>
      </w:r>
    </w:p>
    <w:p>
      <w:pPr>
        <w:pStyle w:val="ListParagraph"/>
        <w:numPr>
          <w:ilvl w:val="0"/>
          <w:numId w:val="115"/>
        </w:numPr>
        <w:tabs>
          <w:tab w:pos="3682" w:val="left" w:leader="none"/>
        </w:tabs>
        <w:spacing w:line="298" w:lineRule="exact" w:before="0" w:after="0"/>
        <w:ind w:left="3682" w:right="0" w:hanging="529"/>
        <w:jc w:val="left"/>
        <w:rPr>
          <w:sz w:val="21"/>
        </w:rPr>
      </w:pPr>
      <w:r>
        <w:rPr>
          <w:spacing w:val="-2"/>
          <w:sz w:val="21"/>
        </w:rPr>
        <w:t>四肢</w:t>
      </w:r>
      <w:r>
        <w:rPr>
          <w:rFonts w:ascii="微软雅黑" w:hAnsi="微软雅黑" w:eastAsia="微软雅黑"/>
          <w:b/>
          <w:spacing w:val="-2"/>
          <w:sz w:val="21"/>
        </w:rPr>
        <w:t>关节机能永久不可逆丧失</w:t>
      </w:r>
      <w:r>
        <w:rPr>
          <w:spacing w:val="-2"/>
          <w:sz w:val="21"/>
        </w:rPr>
        <w:t>（</w:t>
      </w:r>
      <w:r>
        <w:rPr>
          <w:spacing w:val="14"/>
          <w:sz w:val="21"/>
        </w:rPr>
        <w:t>注③</w:t>
      </w:r>
      <w:r>
        <w:rPr>
          <w:spacing w:val="-77"/>
          <w:sz w:val="21"/>
        </w:rPr>
        <w:t>）</w:t>
      </w:r>
      <w:r>
        <w:rPr>
          <w:spacing w:val="31"/>
          <w:sz w:val="21"/>
        </w:rPr>
        <w:t>；</w:t>
      </w:r>
    </w:p>
    <w:p>
      <w:pPr>
        <w:pStyle w:val="ListParagraph"/>
        <w:numPr>
          <w:ilvl w:val="0"/>
          <w:numId w:val="115"/>
        </w:numPr>
        <w:tabs>
          <w:tab w:pos="3682" w:val="left" w:leader="none"/>
        </w:tabs>
        <w:spacing w:line="306" w:lineRule="exact" w:before="0" w:after="0"/>
        <w:ind w:left="3682" w:right="0" w:hanging="529"/>
        <w:jc w:val="left"/>
        <w:rPr>
          <w:sz w:val="21"/>
        </w:rPr>
      </w:pPr>
      <w:r>
        <w:rPr>
          <w:rFonts w:ascii="微软雅黑" w:hAnsi="微软雅黑" w:eastAsia="微软雅黑"/>
          <w:b/>
          <w:spacing w:val="-2"/>
          <w:sz w:val="21"/>
        </w:rPr>
        <w:t>咀嚼、吞咽机能永久不可逆丧失</w:t>
      </w:r>
      <w:r>
        <w:rPr>
          <w:spacing w:val="-2"/>
          <w:sz w:val="21"/>
        </w:rPr>
        <w:t>（</w:t>
      </w:r>
      <w:r>
        <w:rPr>
          <w:spacing w:val="14"/>
          <w:sz w:val="21"/>
        </w:rPr>
        <w:t>注④</w:t>
      </w:r>
      <w:r>
        <w:rPr>
          <w:spacing w:val="-77"/>
          <w:sz w:val="21"/>
        </w:rPr>
        <w:t>）</w:t>
      </w:r>
      <w:r>
        <w:rPr>
          <w:spacing w:val="31"/>
          <w:sz w:val="21"/>
        </w:rPr>
        <w:t>；</w:t>
      </w:r>
    </w:p>
    <w:p>
      <w:pPr>
        <w:pStyle w:val="ListParagraph"/>
        <w:numPr>
          <w:ilvl w:val="0"/>
          <w:numId w:val="115"/>
        </w:numPr>
        <w:tabs>
          <w:tab w:pos="3682" w:val="left" w:leader="none"/>
        </w:tabs>
        <w:spacing w:line="180" w:lineRule="auto" w:before="29" w:after="0"/>
        <w:ind w:left="3678" w:right="828" w:hanging="526"/>
        <w:jc w:val="both"/>
        <w:rPr>
          <w:sz w:val="21"/>
        </w:rPr>
      </w:pPr>
      <w:r>
        <w:rPr>
          <w:spacing w:val="-2"/>
          <w:sz w:val="21"/>
        </w:rPr>
        <w:t>中枢神经系统机能或胸、腹部脏器机能极度障碍，终身不能</w:t>
      </w:r>
      <w:r>
        <w:rPr>
          <w:spacing w:val="-2"/>
          <w:sz w:val="21"/>
        </w:rPr>
        <w:t>从事任何工作，为</w:t>
      </w:r>
      <w:r>
        <w:rPr>
          <w:rFonts w:ascii="微软雅黑" w:hAnsi="微软雅黑" w:eastAsia="微软雅黑"/>
          <w:b/>
          <w:spacing w:val="-2"/>
          <w:sz w:val="21"/>
        </w:rPr>
        <w:t>维持生命必要的日常生活活动，全需他人</w:t>
      </w:r>
      <w:r>
        <w:rPr>
          <w:rFonts w:ascii="微软雅黑" w:hAnsi="微软雅黑" w:eastAsia="微软雅黑"/>
          <w:b/>
          <w:spacing w:val="-4"/>
          <w:sz w:val="21"/>
        </w:rPr>
        <w:t>扶助</w:t>
      </w:r>
      <w:r>
        <w:rPr>
          <w:spacing w:val="-4"/>
          <w:sz w:val="21"/>
        </w:rPr>
        <w:t>（</w:t>
      </w:r>
      <w:r>
        <w:rPr>
          <w:spacing w:val="-2"/>
          <w:sz w:val="21"/>
        </w:rPr>
        <w:t>注⑤</w:t>
      </w:r>
      <w:r>
        <w:rPr>
          <w:spacing w:val="-108"/>
          <w:sz w:val="21"/>
        </w:rPr>
        <w:t>）</w:t>
      </w:r>
      <w:r>
        <w:rPr>
          <w:spacing w:val="-4"/>
          <w:sz w:val="21"/>
        </w:rPr>
        <w:t>。</w:t>
      </w:r>
    </w:p>
    <w:p>
      <w:pPr>
        <w:pStyle w:val="BodyText"/>
        <w:spacing w:line="251" w:lineRule="exact"/>
      </w:pPr>
      <w:r>
        <w:rPr>
          <w:spacing w:val="-5"/>
        </w:rPr>
        <w:t>注：</w:t>
      </w:r>
    </w:p>
    <w:p>
      <w:pPr>
        <w:pStyle w:val="BodyText"/>
        <w:spacing w:line="242" w:lineRule="auto" w:before="4"/>
        <w:ind w:right="729"/>
      </w:pPr>
      <w:r>
        <w:rPr>
          <w:spacing w:val="-2"/>
        </w:rPr>
        <w:t>①永久不可逆是指自疾病确诊或意外伤害发生之日起，经过积极治疗</w:t>
      </w:r>
      <w:r>
        <w:rPr>
          <w:rFonts w:ascii="Times New Roman" w:hAnsi="Times New Roman" w:eastAsia="Times New Roman"/>
          <w:spacing w:val="-2"/>
        </w:rPr>
        <w:t>180</w:t>
      </w:r>
      <w:r>
        <w:rPr>
          <w:spacing w:val="-2"/>
        </w:rPr>
        <w:t>天后，仍无法通过现有医疗手段恢复。</w:t>
      </w:r>
    </w:p>
    <w:p>
      <w:pPr>
        <w:pStyle w:val="BodyText"/>
        <w:spacing w:line="242" w:lineRule="auto"/>
        <w:ind w:right="624"/>
      </w:pPr>
      <w:r>
        <w:rPr>
          <w:spacing w:val="-2"/>
        </w:rPr>
        <w:t>②失明包括眼球缺失或摘除、或不能辨别明暗、或仅能辨别眼前手</w:t>
      </w:r>
      <w:r>
        <w:rPr>
          <w:spacing w:val="-13"/>
        </w:rPr>
        <w:t>动者。最佳矫正视力低于国际标准视力表</w:t>
      </w:r>
      <w:r>
        <w:rPr>
          <w:rFonts w:ascii="Times New Roman" w:hAnsi="Times New Roman" w:eastAsia="Times New Roman"/>
          <w:spacing w:val="-4"/>
        </w:rPr>
        <w:t>0.02</w:t>
      </w:r>
      <w:r>
        <w:rPr>
          <w:spacing w:val="-4"/>
        </w:rPr>
        <w:t>，或视野半径小于</w:t>
      </w:r>
      <w:r>
        <w:rPr>
          <w:rFonts w:ascii="Times New Roman" w:hAnsi="Times New Roman" w:eastAsia="Times New Roman"/>
          <w:spacing w:val="-4"/>
        </w:rPr>
        <w:t>5</w:t>
      </w:r>
      <w:r>
        <w:rPr>
          <w:spacing w:val="-4"/>
        </w:rPr>
        <w:t>度，</w:t>
      </w:r>
      <w:r>
        <w:rPr>
          <w:spacing w:val="-2"/>
        </w:rPr>
        <w:t>并由三级或以上医院的眼科医师出具医疗诊断证明。</w:t>
      </w:r>
    </w:p>
    <w:p>
      <w:pPr>
        <w:pStyle w:val="BodyText"/>
        <w:spacing w:line="242" w:lineRule="auto" w:before="3"/>
        <w:ind w:right="729"/>
      </w:pPr>
      <w:r>
        <w:rPr>
          <w:spacing w:val="-2"/>
        </w:rPr>
        <w:t>③关节机能的丧失是指关节永久完全僵硬、或麻痹、或关节不能随</w:t>
      </w:r>
      <w:r>
        <w:rPr>
          <w:spacing w:val="-2"/>
        </w:rPr>
        <w:t>意识活动。</w:t>
      </w:r>
    </w:p>
    <w:p>
      <w:pPr>
        <w:pStyle w:val="BodyText"/>
        <w:spacing w:line="242" w:lineRule="auto" w:before="1"/>
        <w:ind w:right="729"/>
        <w:jc w:val="both"/>
      </w:pPr>
      <w:r>
        <w:rPr>
          <w:spacing w:val="-2"/>
        </w:rPr>
        <w:t>④咀嚼、吞咽机能的丧失是指由于牙齿以外的原因引起器质性障碍</w:t>
      </w:r>
      <w:r>
        <w:rPr>
          <w:spacing w:val="-2"/>
        </w:rPr>
        <w:t>或机能障碍，以致不能做咀嚼、吞咽运动，除流质食物外不能摄取</w:t>
      </w:r>
      <w:r>
        <w:rPr>
          <w:spacing w:val="-2"/>
        </w:rPr>
        <w:t>或吞咽的状态。</w:t>
      </w:r>
    </w:p>
    <w:p>
      <w:pPr>
        <w:pStyle w:val="BodyText"/>
        <w:spacing w:line="170" w:lineRule="auto" w:before="14"/>
        <w:ind w:right="734"/>
      </w:pPr>
      <w:r>
        <w:rPr>
          <w:spacing w:val="-2"/>
        </w:rPr>
        <w:t>⑤为维持生命必要的日常生活活动，全需他人扶助是指以下</w:t>
      </w:r>
      <w:r>
        <w:rPr>
          <w:rFonts w:ascii="微软雅黑" w:hAnsi="微软雅黑" w:eastAsia="微软雅黑"/>
          <w:b/>
          <w:spacing w:val="-2"/>
        </w:rPr>
        <w:t>六项基</w:t>
      </w:r>
      <w:r>
        <w:rPr>
          <w:rFonts w:ascii="微软雅黑" w:hAnsi="微软雅黑" w:eastAsia="微软雅黑"/>
          <w:b/>
          <w:spacing w:val="-2"/>
        </w:rPr>
        <w:t>本日常生活</w:t>
      </w:r>
      <w:r>
        <w:rPr>
          <w:spacing w:val="-2"/>
        </w:rPr>
        <w:t>活动，均不能自理，需要他人帮助：</w:t>
      </w:r>
    </w:p>
    <w:p>
      <w:pPr>
        <w:pStyle w:val="ListParagraph"/>
        <w:numPr>
          <w:ilvl w:val="0"/>
          <w:numId w:val="116"/>
        </w:numPr>
        <w:tabs>
          <w:tab w:pos="3682" w:val="left" w:leader="none"/>
        </w:tabs>
        <w:spacing w:line="251" w:lineRule="exact" w:before="0" w:after="0"/>
        <w:ind w:left="3682" w:right="0" w:hanging="529"/>
        <w:jc w:val="left"/>
        <w:rPr>
          <w:sz w:val="21"/>
        </w:rPr>
      </w:pPr>
      <w:r>
        <w:rPr>
          <w:spacing w:val="-3"/>
          <w:sz w:val="21"/>
        </w:rPr>
        <w:t>穿衣：自己能够穿衣及脱衣；</w:t>
      </w:r>
    </w:p>
    <w:p>
      <w:pPr>
        <w:pStyle w:val="ListParagraph"/>
        <w:numPr>
          <w:ilvl w:val="0"/>
          <w:numId w:val="116"/>
        </w:numPr>
        <w:tabs>
          <w:tab w:pos="3682" w:val="left" w:leader="none"/>
        </w:tabs>
        <w:spacing w:line="240" w:lineRule="auto" w:before="5" w:after="0"/>
        <w:ind w:left="3682" w:right="0" w:hanging="529"/>
        <w:jc w:val="left"/>
        <w:rPr>
          <w:sz w:val="21"/>
        </w:rPr>
      </w:pPr>
      <w:r>
        <w:rPr>
          <w:spacing w:val="-3"/>
          <w:sz w:val="21"/>
        </w:rPr>
        <w:t>移动：自己从一个房间到另一个房间；</w:t>
      </w:r>
    </w:p>
    <w:p>
      <w:pPr>
        <w:spacing w:after="0" w:line="240" w:lineRule="auto"/>
        <w:jc w:val="left"/>
        <w:rPr>
          <w:sz w:val="21"/>
        </w:rPr>
        <w:sectPr>
          <w:pgSz w:w="11910" w:h="16840"/>
          <w:pgMar w:header="0" w:footer="878" w:top="1040" w:bottom="1060" w:left="1480" w:right="440"/>
        </w:sectPr>
      </w:pPr>
    </w:p>
    <w:tbl>
      <w:tblPr>
        <w:tblW w:w="0" w:type="auto"/>
        <w:jc w:val="left"/>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12"/>
        <w:gridCol w:w="2161"/>
        <w:gridCol w:w="6364"/>
      </w:tblGrid>
      <w:tr>
        <w:trPr>
          <w:trHeight w:val="1181" w:hRule="atLeast"/>
        </w:trPr>
        <w:tc>
          <w:tcPr>
            <w:tcW w:w="2873" w:type="dxa"/>
            <w:gridSpan w:val="2"/>
          </w:tcPr>
          <w:p>
            <w:pPr>
              <w:pStyle w:val="TableParagraph"/>
              <w:rPr>
                <w:rFonts w:ascii="Times New Roman"/>
                <w:sz w:val="20"/>
              </w:rPr>
            </w:pPr>
          </w:p>
        </w:tc>
        <w:tc>
          <w:tcPr>
            <w:tcW w:w="6364" w:type="dxa"/>
          </w:tcPr>
          <w:p>
            <w:pPr>
              <w:pStyle w:val="TableParagraph"/>
              <w:numPr>
                <w:ilvl w:val="0"/>
                <w:numId w:val="117"/>
              </w:numPr>
              <w:tabs>
                <w:tab w:pos="637" w:val="left" w:leader="none"/>
              </w:tabs>
              <w:spacing w:line="245" w:lineRule="exact" w:before="0" w:after="0"/>
              <w:ind w:left="636" w:right="0" w:hanging="530"/>
              <w:jc w:val="left"/>
              <w:rPr>
                <w:sz w:val="21"/>
              </w:rPr>
            </w:pPr>
            <w:r>
              <w:rPr>
                <w:spacing w:val="-3"/>
                <w:sz w:val="21"/>
              </w:rPr>
              <w:t>行动：自己上下床或上下轮椅；</w:t>
            </w:r>
          </w:p>
          <w:p>
            <w:pPr>
              <w:pStyle w:val="TableParagraph"/>
              <w:numPr>
                <w:ilvl w:val="0"/>
                <w:numId w:val="117"/>
              </w:numPr>
              <w:tabs>
                <w:tab w:pos="637" w:val="left" w:leader="none"/>
              </w:tabs>
              <w:spacing w:line="240" w:lineRule="auto" w:before="4" w:after="0"/>
              <w:ind w:left="636" w:right="0" w:hanging="530"/>
              <w:jc w:val="left"/>
              <w:rPr>
                <w:sz w:val="21"/>
              </w:rPr>
            </w:pPr>
            <w:r>
              <w:rPr>
                <w:spacing w:val="-3"/>
                <w:sz w:val="21"/>
              </w:rPr>
              <w:t>如厕：自己控制进行大小便；</w:t>
            </w:r>
          </w:p>
          <w:p>
            <w:pPr>
              <w:pStyle w:val="TableParagraph"/>
              <w:numPr>
                <w:ilvl w:val="0"/>
                <w:numId w:val="117"/>
              </w:numPr>
              <w:tabs>
                <w:tab w:pos="637" w:val="left" w:leader="none"/>
              </w:tabs>
              <w:spacing w:line="240" w:lineRule="auto" w:before="3" w:after="0"/>
              <w:ind w:left="636" w:right="0" w:hanging="530"/>
              <w:jc w:val="left"/>
              <w:rPr>
                <w:sz w:val="21"/>
              </w:rPr>
            </w:pPr>
            <w:r>
              <w:rPr>
                <w:spacing w:val="-3"/>
                <w:sz w:val="21"/>
              </w:rPr>
              <w:t>进食：自己从已准备好的碗或碟中取食物放入口中；</w:t>
            </w:r>
          </w:p>
          <w:p>
            <w:pPr>
              <w:pStyle w:val="TableParagraph"/>
              <w:numPr>
                <w:ilvl w:val="0"/>
                <w:numId w:val="117"/>
              </w:numPr>
              <w:tabs>
                <w:tab w:pos="637" w:val="left" w:leader="none"/>
              </w:tabs>
              <w:spacing w:line="240" w:lineRule="auto" w:before="4" w:after="0"/>
              <w:ind w:left="636" w:right="0" w:hanging="530"/>
              <w:jc w:val="left"/>
              <w:rPr>
                <w:sz w:val="21"/>
              </w:rPr>
            </w:pPr>
            <w:r>
              <w:rPr>
                <w:spacing w:val="-3"/>
                <w:sz w:val="21"/>
              </w:rPr>
              <w:t>洗澡：自己进行淋浴或盆浴。</w:t>
            </w:r>
          </w:p>
        </w:tc>
      </w:tr>
      <w:tr>
        <w:trPr>
          <w:trHeight w:val="398" w:hRule="atLeast"/>
        </w:trPr>
        <w:tc>
          <w:tcPr>
            <w:tcW w:w="712" w:type="dxa"/>
          </w:tcPr>
          <w:p>
            <w:pPr>
              <w:pStyle w:val="TableParagraph"/>
              <w:spacing w:before="118"/>
              <w:ind w:left="50"/>
              <w:rPr>
                <w:rFonts w:ascii="Times New Roman"/>
                <w:sz w:val="21"/>
              </w:rPr>
            </w:pPr>
            <w:r>
              <w:rPr>
                <w:rFonts w:ascii="Times New Roman"/>
                <w:spacing w:val="-2"/>
                <w:sz w:val="21"/>
              </w:rPr>
              <w:t>14.10</w:t>
            </w:r>
          </w:p>
        </w:tc>
        <w:tc>
          <w:tcPr>
            <w:tcW w:w="2161" w:type="dxa"/>
          </w:tcPr>
          <w:p>
            <w:pPr>
              <w:pStyle w:val="TableParagraph"/>
              <w:spacing w:line="319" w:lineRule="exact" w:before="59"/>
              <w:ind w:left="187"/>
              <w:rPr>
                <w:rFonts w:ascii="微软雅黑" w:eastAsia="微软雅黑"/>
                <w:b/>
                <w:sz w:val="21"/>
              </w:rPr>
            </w:pPr>
            <w:r>
              <w:rPr>
                <w:rFonts w:ascii="微软雅黑" w:eastAsia="微软雅黑"/>
                <w:b/>
                <w:spacing w:val="-5"/>
                <w:sz w:val="21"/>
              </w:rPr>
              <w:t>毒品</w:t>
            </w:r>
          </w:p>
        </w:tc>
        <w:tc>
          <w:tcPr>
            <w:tcW w:w="6364" w:type="dxa"/>
          </w:tcPr>
          <w:p>
            <w:pPr>
              <w:pStyle w:val="TableParagraph"/>
              <w:spacing w:line="252" w:lineRule="exact" w:before="126"/>
              <w:ind w:left="107"/>
              <w:rPr>
                <w:sz w:val="21"/>
              </w:rPr>
            </w:pPr>
            <w:r>
              <w:rPr>
                <w:spacing w:val="-2"/>
                <w:sz w:val="21"/>
              </w:rPr>
              <w:t>指《中华人民共和国刑法》规定的鸦片、海洛因、甲基苯丙胺（</w:t>
            </w:r>
            <w:r>
              <w:rPr>
                <w:spacing w:val="-10"/>
                <w:sz w:val="21"/>
              </w:rPr>
              <w:t>冰</w:t>
            </w:r>
          </w:p>
        </w:tc>
      </w:tr>
      <w:tr>
        <w:trPr>
          <w:trHeight w:val="272"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252" w:lineRule="exact"/>
              <w:ind w:left="107"/>
              <w:rPr>
                <w:sz w:val="21"/>
              </w:rPr>
            </w:pPr>
            <w:r>
              <w:rPr>
                <w:spacing w:val="-6"/>
                <w:sz w:val="21"/>
              </w:rPr>
              <w:t>毒</w:t>
            </w:r>
            <w:r>
              <w:rPr>
                <w:spacing w:val="-106"/>
                <w:sz w:val="21"/>
              </w:rPr>
              <w:t>）</w:t>
            </w:r>
            <w:r>
              <w:rPr>
                <w:spacing w:val="-7"/>
                <w:sz w:val="21"/>
              </w:rPr>
              <w:t>、吗啡、大麻、可卡因以及国家规定管制的其他能够使人形成瘾</w:t>
            </w:r>
          </w:p>
        </w:tc>
      </w:tr>
      <w:tr>
        <w:trPr>
          <w:trHeight w:val="272"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252" w:lineRule="exact"/>
              <w:ind w:left="107"/>
              <w:rPr>
                <w:sz w:val="21"/>
              </w:rPr>
            </w:pPr>
            <w:r>
              <w:rPr>
                <w:spacing w:val="-3"/>
                <w:sz w:val="21"/>
              </w:rPr>
              <w:t>癖的麻醉药品和精神药品，但不包括由医师开具并遵医嘱使用的用</w:t>
            </w:r>
          </w:p>
        </w:tc>
      </w:tr>
      <w:tr>
        <w:trPr>
          <w:trHeight w:val="379"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268" w:lineRule="exact"/>
              <w:ind w:left="107"/>
              <w:rPr>
                <w:sz w:val="21"/>
              </w:rPr>
            </w:pPr>
            <w:r>
              <w:rPr>
                <w:spacing w:val="-3"/>
                <w:sz w:val="21"/>
              </w:rPr>
              <w:t>于治疗疾病但含有毒品成分的处方药品。</w:t>
            </w:r>
          </w:p>
        </w:tc>
      </w:tr>
      <w:tr>
        <w:trPr>
          <w:trHeight w:val="407" w:hRule="atLeast"/>
        </w:trPr>
        <w:tc>
          <w:tcPr>
            <w:tcW w:w="712" w:type="dxa"/>
          </w:tcPr>
          <w:p>
            <w:pPr>
              <w:pStyle w:val="TableParagraph"/>
              <w:spacing w:before="127"/>
              <w:ind w:left="50"/>
              <w:rPr>
                <w:rFonts w:ascii="Times New Roman"/>
                <w:sz w:val="21"/>
              </w:rPr>
            </w:pPr>
            <w:r>
              <w:rPr>
                <w:rFonts w:ascii="Times New Roman"/>
                <w:spacing w:val="-2"/>
                <w:sz w:val="21"/>
              </w:rPr>
              <w:t>14.11</w:t>
            </w:r>
          </w:p>
        </w:tc>
        <w:tc>
          <w:tcPr>
            <w:tcW w:w="2161" w:type="dxa"/>
          </w:tcPr>
          <w:p>
            <w:pPr>
              <w:pStyle w:val="TableParagraph"/>
              <w:spacing w:line="319" w:lineRule="exact" w:before="68"/>
              <w:ind w:left="187"/>
              <w:rPr>
                <w:rFonts w:ascii="微软雅黑" w:eastAsia="微软雅黑"/>
                <w:b/>
                <w:sz w:val="21"/>
              </w:rPr>
            </w:pPr>
            <w:r>
              <w:rPr>
                <w:rFonts w:ascii="微软雅黑" w:eastAsia="微软雅黑"/>
                <w:b/>
                <w:spacing w:val="-3"/>
                <w:sz w:val="21"/>
              </w:rPr>
              <w:t>酒后驾驶</w:t>
            </w:r>
          </w:p>
        </w:tc>
        <w:tc>
          <w:tcPr>
            <w:tcW w:w="6364" w:type="dxa"/>
          </w:tcPr>
          <w:p>
            <w:pPr>
              <w:pStyle w:val="TableParagraph"/>
              <w:spacing w:line="252" w:lineRule="exact" w:before="135"/>
              <w:ind w:left="107"/>
              <w:rPr>
                <w:sz w:val="21"/>
              </w:rPr>
            </w:pPr>
            <w:r>
              <w:rPr>
                <w:spacing w:val="-3"/>
                <w:sz w:val="21"/>
              </w:rPr>
              <w:t>指经检测或鉴定，发生事故时车辆驾驶人员每百毫升血液中的酒精</w:t>
            </w:r>
          </w:p>
        </w:tc>
      </w:tr>
      <w:tr>
        <w:trPr>
          <w:trHeight w:val="271"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251" w:lineRule="exact"/>
              <w:ind w:left="107"/>
              <w:rPr>
                <w:sz w:val="21"/>
              </w:rPr>
            </w:pPr>
            <w:r>
              <w:rPr>
                <w:spacing w:val="-3"/>
                <w:sz w:val="21"/>
              </w:rPr>
              <w:t>含量达到或超过一定的标准，公安机关交通管理部门依据《道路交</w:t>
            </w:r>
          </w:p>
        </w:tc>
      </w:tr>
      <w:tr>
        <w:trPr>
          <w:trHeight w:val="272"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252" w:lineRule="exact"/>
              <w:ind w:left="107"/>
              <w:rPr>
                <w:sz w:val="21"/>
              </w:rPr>
            </w:pPr>
            <w:r>
              <w:rPr>
                <w:spacing w:val="-3"/>
                <w:sz w:val="21"/>
              </w:rPr>
              <w:t>通安全法》及其他相关法律法规的规定认定为饮酒后驾驶或醉酒后</w:t>
            </w:r>
          </w:p>
        </w:tc>
      </w:tr>
      <w:tr>
        <w:trPr>
          <w:trHeight w:val="379"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ind w:left="107"/>
              <w:rPr>
                <w:sz w:val="21"/>
              </w:rPr>
            </w:pPr>
            <w:r>
              <w:rPr>
                <w:spacing w:val="-4"/>
                <w:sz w:val="21"/>
              </w:rPr>
              <w:t>驾驶。</w:t>
            </w:r>
          </w:p>
        </w:tc>
      </w:tr>
      <w:tr>
        <w:trPr>
          <w:trHeight w:val="404" w:hRule="atLeast"/>
        </w:trPr>
        <w:tc>
          <w:tcPr>
            <w:tcW w:w="712" w:type="dxa"/>
          </w:tcPr>
          <w:p>
            <w:pPr>
              <w:pStyle w:val="TableParagraph"/>
              <w:spacing w:before="126"/>
              <w:ind w:left="50"/>
              <w:rPr>
                <w:rFonts w:ascii="Times New Roman"/>
                <w:sz w:val="21"/>
              </w:rPr>
            </w:pPr>
            <w:r>
              <w:rPr>
                <w:rFonts w:ascii="Times New Roman"/>
                <w:spacing w:val="-2"/>
                <w:sz w:val="21"/>
              </w:rPr>
              <w:t>14.12</w:t>
            </w:r>
          </w:p>
        </w:tc>
        <w:tc>
          <w:tcPr>
            <w:tcW w:w="2161" w:type="dxa"/>
          </w:tcPr>
          <w:p>
            <w:pPr>
              <w:pStyle w:val="TableParagraph"/>
              <w:spacing w:line="318" w:lineRule="exact" w:before="67"/>
              <w:ind w:left="187"/>
              <w:rPr>
                <w:rFonts w:ascii="微软雅黑" w:eastAsia="微软雅黑"/>
                <w:b/>
                <w:sz w:val="21"/>
              </w:rPr>
            </w:pPr>
            <w:r>
              <w:rPr>
                <w:rFonts w:ascii="微软雅黑" w:eastAsia="微软雅黑"/>
                <w:b/>
                <w:spacing w:val="18"/>
                <w:sz w:val="21"/>
              </w:rPr>
              <w:t>无合法有效驾驶证</w:t>
            </w:r>
          </w:p>
        </w:tc>
        <w:tc>
          <w:tcPr>
            <w:tcW w:w="6364" w:type="dxa"/>
          </w:tcPr>
          <w:p>
            <w:pPr>
              <w:pStyle w:val="TableParagraph"/>
              <w:spacing w:line="250" w:lineRule="exact" w:before="134"/>
              <w:ind w:left="107"/>
              <w:rPr>
                <w:sz w:val="21"/>
              </w:rPr>
            </w:pPr>
            <w:r>
              <w:rPr>
                <w:spacing w:val="-4"/>
                <w:sz w:val="21"/>
              </w:rPr>
              <w:t>指下列情形之一：</w:t>
            </w:r>
          </w:p>
        </w:tc>
      </w:tr>
      <w:tr>
        <w:trPr>
          <w:trHeight w:val="1333" w:hRule="atLeast"/>
        </w:trPr>
        <w:tc>
          <w:tcPr>
            <w:tcW w:w="712" w:type="dxa"/>
          </w:tcPr>
          <w:p>
            <w:pPr>
              <w:pStyle w:val="TableParagraph"/>
              <w:rPr>
                <w:rFonts w:ascii="Times New Roman"/>
                <w:sz w:val="20"/>
              </w:rPr>
            </w:pPr>
          </w:p>
        </w:tc>
        <w:tc>
          <w:tcPr>
            <w:tcW w:w="2161" w:type="dxa"/>
          </w:tcPr>
          <w:p>
            <w:pPr>
              <w:pStyle w:val="TableParagraph"/>
              <w:spacing w:line="324" w:lineRule="exact"/>
              <w:ind w:left="187"/>
              <w:rPr>
                <w:rFonts w:ascii="微软雅黑" w:eastAsia="微软雅黑"/>
                <w:b/>
                <w:sz w:val="21"/>
              </w:rPr>
            </w:pPr>
            <w:r>
              <w:rPr>
                <w:rFonts w:ascii="微软雅黑" w:eastAsia="微软雅黑"/>
                <w:b/>
                <w:spacing w:val="-5"/>
                <w:sz w:val="21"/>
              </w:rPr>
              <w:t>驾驶</w:t>
            </w:r>
          </w:p>
        </w:tc>
        <w:tc>
          <w:tcPr>
            <w:tcW w:w="6364" w:type="dxa"/>
          </w:tcPr>
          <w:p>
            <w:pPr>
              <w:pStyle w:val="TableParagraph"/>
              <w:numPr>
                <w:ilvl w:val="0"/>
                <w:numId w:val="118"/>
              </w:numPr>
              <w:tabs>
                <w:tab w:pos="637" w:val="left" w:leader="none"/>
              </w:tabs>
              <w:spacing w:line="240" w:lineRule="auto" w:before="3" w:after="0"/>
              <w:ind w:left="636" w:right="0" w:hanging="530"/>
              <w:jc w:val="left"/>
              <w:rPr>
                <w:sz w:val="21"/>
              </w:rPr>
            </w:pPr>
            <w:r>
              <w:rPr>
                <w:spacing w:val="-3"/>
                <w:sz w:val="21"/>
              </w:rPr>
              <w:t>没有取得驾驶资格或被吊销驾驶证；</w:t>
            </w:r>
          </w:p>
          <w:p>
            <w:pPr>
              <w:pStyle w:val="TableParagraph"/>
              <w:numPr>
                <w:ilvl w:val="0"/>
                <w:numId w:val="118"/>
              </w:numPr>
              <w:tabs>
                <w:tab w:pos="637" w:val="left" w:leader="none"/>
              </w:tabs>
              <w:spacing w:line="240" w:lineRule="auto" w:before="3" w:after="0"/>
              <w:ind w:left="636" w:right="0" w:hanging="530"/>
              <w:jc w:val="left"/>
              <w:rPr>
                <w:sz w:val="21"/>
              </w:rPr>
            </w:pPr>
            <w:r>
              <w:rPr>
                <w:spacing w:val="-3"/>
                <w:sz w:val="21"/>
              </w:rPr>
              <w:t>驾驶与驾驶证准驾车型不相符合的车辆；</w:t>
            </w:r>
          </w:p>
          <w:p>
            <w:pPr>
              <w:pStyle w:val="TableParagraph"/>
              <w:numPr>
                <w:ilvl w:val="0"/>
                <w:numId w:val="118"/>
              </w:numPr>
              <w:tabs>
                <w:tab w:pos="637" w:val="left" w:leader="none"/>
              </w:tabs>
              <w:spacing w:line="240" w:lineRule="auto" w:before="2" w:after="0"/>
              <w:ind w:left="636" w:right="0" w:hanging="530"/>
              <w:jc w:val="left"/>
              <w:rPr>
                <w:sz w:val="21"/>
              </w:rPr>
            </w:pPr>
            <w:r>
              <w:rPr>
                <w:spacing w:val="-3"/>
                <w:sz w:val="21"/>
              </w:rPr>
              <w:t>持审验不合格的驾驶证驾驶；</w:t>
            </w:r>
          </w:p>
          <w:p>
            <w:pPr>
              <w:pStyle w:val="TableParagraph"/>
              <w:numPr>
                <w:ilvl w:val="0"/>
                <w:numId w:val="118"/>
              </w:numPr>
              <w:tabs>
                <w:tab w:pos="637" w:val="left" w:leader="none"/>
              </w:tabs>
              <w:spacing w:line="270" w:lineRule="atLeast" w:before="0" w:after="0"/>
              <w:ind w:left="633" w:right="265" w:hanging="526"/>
              <w:jc w:val="left"/>
              <w:rPr>
                <w:sz w:val="21"/>
              </w:rPr>
            </w:pPr>
            <w:r>
              <w:rPr>
                <w:spacing w:val="-2"/>
                <w:sz w:val="21"/>
              </w:rPr>
              <w:t>持学习驾驶证学习驾车时，无教练员随车指导，或不按指定</w:t>
            </w:r>
            <w:r>
              <w:rPr>
                <w:spacing w:val="-2"/>
                <w:sz w:val="21"/>
              </w:rPr>
              <w:t>时间、路线学习驾车；</w:t>
            </w:r>
          </w:p>
        </w:tc>
      </w:tr>
      <w:tr>
        <w:trPr>
          <w:trHeight w:val="413"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before="9"/>
              <w:ind w:left="107"/>
              <w:rPr>
                <w:sz w:val="21"/>
              </w:rPr>
            </w:pPr>
            <w:r>
              <w:rPr>
                <w:spacing w:val="-2"/>
                <w:sz w:val="21"/>
              </w:rPr>
              <w:t>（</w:t>
            </w:r>
            <w:r>
              <w:rPr>
                <w:rFonts w:ascii="Times New Roman" w:eastAsia="Times New Roman"/>
                <w:spacing w:val="-2"/>
                <w:sz w:val="21"/>
              </w:rPr>
              <w:t>5</w:t>
            </w:r>
            <w:r>
              <w:rPr>
                <w:spacing w:val="-2"/>
                <w:sz w:val="21"/>
              </w:rPr>
              <w:t>）</w:t>
            </w:r>
            <w:r>
              <w:rPr>
                <w:spacing w:val="-3"/>
                <w:sz w:val="21"/>
              </w:rPr>
              <w:t>其他公安交通管理部门规定的属于无有效驾驶证的情况。</w:t>
            </w:r>
          </w:p>
        </w:tc>
      </w:tr>
      <w:tr>
        <w:trPr>
          <w:trHeight w:val="413" w:hRule="atLeast"/>
        </w:trPr>
        <w:tc>
          <w:tcPr>
            <w:tcW w:w="712" w:type="dxa"/>
          </w:tcPr>
          <w:p>
            <w:pPr>
              <w:pStyle w:val="TableParagraph"/>
              <w:spacing w:before="135"/>
              <w:ind w:left="50"/>
              <w:rPr>
                <w:rFonts w:ascii="Times New Roman"/>
                <w:sz w:val="21"/>
              </w:rPr>
            </w:pPr>
            <w:r>
              <w:rPr>
                <w:rFonts w:ascii="Times New Roman"/>
                <w:spacing w:val="-2"/>
                <w:sz w:val="21"/>
              </w:rPr>
              <w:t>14.13</w:t>
            </w:r>
          </w:p>
        </w:tc>
        <w:tc>
          <w:tcPr>
            <w:tcW w:w="2161" w:type="dxa"/>
          </w:tcPr>
          <w:p>
            <w:pPr>
              <w:pStyle w:val="TableParagraph"/>
              <w:spacing w:line="317" w:lineRule="exact" w:before="76"/>
              <w:ind w:left="187"/>
              <w:rPr>
                <w:rFonts w:ascii="微软雅黑" w:eastAsia="微软雅黑"/>
                <w:b/>
                <w:sz w:val="21"/>
              </w:rPr>
            </w:pPr>
            <w:r>
              <w:rPr>
                <w:rFonts w:ascii="微软雅黑" w:eastAsia="微软雅黑"/>
                <w:b/>
                <w:spacing w:val="-2"/>
                <w:sz w:val="21"/>
              </w:rPr>
              <w:t>无合法有效行驶证</w:t>
            </w:r>
          </w:p>
        </w:tc>
        <w:tc>
          <w:tcPr>
            <w:tcW w:w="6364" w:type="dxa"/>
          </w:tcPr>
          <w:p>
            <w:pPr>
              <w:pStyle w:val="TableParagraph"/>
              <w:spacing w:line="250" w:lineRule="exact" w:before="143"/>
              <w:ind w:left="107"/>
              <w:rPr>
                <w:sz w:val="21"/>
              </w:rPr>
            </w:pPr>
            <w:r>
              <w:rPr>
                <w:spacing w:val="-4"/>
                <w:sz w:val="21"/>
              </w:rPr>
              <w:t>指下列情形之一：</w:t>
            </w:r>
          </w:p>
        </w:tc>
      </w:tr>
      <w:tr>
        <w:trPr>
          <w:trHeight w:val="935"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numPr>
                <w:ilvl w:val="0"/>
                <w:numId w:val="119"/>
              </w:numPr>
              <w:tabs>
                <w:tab w:pos="637" w:val="left" w:leader="none"/>
              </w:tabs>
              <w:spacing w:line="240" w:lineRule="auto" w:before="3" w:after="0"/>
              <w:ind w:left="636" w:right="0" w:hanging="530"/>
              <w:jc w:val="left"/>
              <w:rPr>
                <w:sz w:val="21"/>
              </w:rPr>
            </w:pPr>
            <w:r>
              <w:rPr>
                <w:spacing w:val="-4"/>
                <w:sz w:val="21"/>
              </w:rPr>
              <w:t>未取得行驶证；</w:t>
            </w:r>
          </w:p>
          <w:p>
            <w:pPr>
              <w:pStyle w:val="TableParagraph"/>
              <w:numPr>
                <w:ilvl w:val="0"/>
                <w:numId w:val="119"/>
              </w:numPr>
              <w:tabs>
                <w:tab w:pos="637" w:val="left" w:leader="none"/>
              </w:tabs>
              <w:spacing w:line="240" w:lineRule="auto" w:before="2" w:after="0"/>
              <w:ind w:left="636" w:right="0" w:hanging="530"/>
              <w:jc w:val="left"/>
              <w:rPr>
                <w:sz w:val="21"/>
              </w:rPr>
            </w:pPr>
            <w:r>
              <w:rPr>
                <w:spacing w:val="-3"/>
                <w:sz w:val="21"/>
              </w:rPr>
              <w:t>机动车被依法注销登记的；</w:t>
            </w:r>
          </w:p>
          <w:p>
            <w:pPr>
              <w:pStyle w:val="TableParagraph"/>
              <w:numPr>
                <w:ilvl w:val="0"/>
                <w:numId w:val="119"/>
              </w:numPr>
              <w:tabs>
                <w:tab w:pos="637" w:val="left" w:leader="none"/>
              </w:tabs>
              <w:spacing w:line="240" w:lineRule="auto" w:before="5" w:after="0"/>
              <w:ind w:left="636" w:right="0" w:hanging="530"/>
              <w:jc w:val="left"/>
              <w:rPr>
                <w:sz w:val="21"/>
              </w:rPr>
            </w:pPr>
            <w:r>
              <w:rPr>
                <w:spacing w:val="-3"/>
                <w:sz w:val="21"/>
              </w:rPr>
              <w:t>未依法按时进行或者未通过机动车安全技术检验的。</w:t>
            </w:r>
          </w:p>
        </w:tc>
      </w:tr>
      <w:tr>
        <w:trPr>
          <w:trHeight w:val="398" w:hRule="atLeast"/>
        </w:trPr>
        <w:tc>
          <w:tcPr>
            <w:tcW w:w="712" w:type="dxa"/>
          </w:tcPr>
          <w:p>
            <w:pPr>
              <w:pStyle w:val="TableParagraph"/>
              <w:spacing w:before="118"/>
              <w:ind w:left="50"/>
              <w:rPr>
                <w:rFonts w:ascii="Times New Roman"/>
                <w:sz w:val="21"/>
              </w:rPr>
            </w:pPr>
            <w:r>
              <w:rPr>
                <w:rFonts w:ascii="Times New Roman"/>
                <w:spacing w:val="-2"/>
                <w:sz w:val="21"/>
              </w:rPr>
              <w:t>14.14</w:t>
            </w:r>
          </w:p>
        </w:tc>
        <w:tc>
          <w:tcPr>
            <w:tcW w:w="2161" w:type="dxa"/>
          </w:tcPr>
          <w:p>
            <w:pPr>
              <w:pStyle w:val="TableParagraph"/>
              <w:spacing w:line="319" w:lineRule="exact" w:before="59"/>
              <w:ind w:left="187"/>
              <w:rPr>
                <w:rFonts w:ascii="微软雅黑" w:eastAsia="微软雅黑"/>
                <w:b/>
                <w:sz w:val="21"/>
              </w:rPr>
            </w:pPr>
            <w:r>
              <w:rPr>
                <w:rFonts w:ascii="微软雅黑" w:eastAsia="微软雅黑"/>
                <w:b/>
                <w:spacing w:val="-4"/>
                <w:sz w:val="21"/>
              </w:rPr>
              <w:t>机动车</w:t>
            </w:r>
          </w:p>
        </w:tc>
        <w:tc>
          <w:tcPr>
            <w:tcW w:w="6364" w:type="dxa"/>
          </w:tcPr>
          <w:p>
            <w:pPr>
              <w:pStyle w:val="TableParagraph"/>
              <w:spacing w:line="252" w:lineRule="exact" w:before="126"/>
              <w:ind w:left="107"/>
              <w:rPr>
                <w:sz w:val="21"/>
              </w:rPr>
            </w:pPr>
            <w:r>
              <w:rPr>
                <w:spacing w:val="-3"/>
                <w:sz w:val="21"/>
              </w:rPr>
              <w:t>指以动力装置驱动或者牵引，上道路行驶的供人员乘用或者用于运</w:t>
            </w:r>
          </w:p>
        </w:tc>
      </w:tr>
      <w:tr>
        <w:trPr>
          <w:trHeight w:val="378"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268" w:lineRule="exact"/>
              <w:ind w:left="107"/>
              <w:rPr>
                <w:sz w:val="21"/>
              </w:rPr>
            </w:pPr>
            <w:r>
              <w:rPr>
                <w:spacing w:val="-3"/>
                <w:sz w:val="21"/>
              </w:rPr>
              <w:t>送物品以及进行工程专项作业的轮式车辆。</w:t>
            </w:r>
          </w:p>
        </w:tc>
      </w:tr>
      <w:tr>
        <w:trPr>
          <w:trHeight w:val="952" w:hRule="atLeast"/>
        </w:trPr>
        <w:tc>
          <w:tcPr>
            <w:tcW w:w="712" w:type="dxa"/>
          </w:tcPr>
          <w:p>
            <w:pPr>
              <w:pStyle w:val="TableParagraph"/>
              <w:spacing w:before="126"/>
              <w:ind w:left="50"/>
              <w:rPr>
                <w:rFonts w:ascii="Times New Roman"/>
                <w:sz w:val="21"/>
              </w:rPr>
            </w:pPr>
            <w:r>
              <w:rPr>
                <w:rFonts w:ascii="Times New Roman"/>
                <w:spacing w:val="-2"/>
                <w:sz w:val="21"/>
              </w:rPr>
              <w:t>14.15</w:t>
            </w:r>
          </w:p>
        </w:tc>
        <w:tc>
          <w:tcPr>
            <w:tcW w:w="2161" w:type="dxa"/>
          </w:tcPr>
          <w:p>
            <w:pPr>
              <w:pStyle w:val="TableParagraph"/>
              <w:spacing w:line="170" w:lineRule="auto" w:before="147"/>
              <w:ind w:left="187" w:right="105"/>
              <w:rPr>
                <w:rFonts w:ascii="微软雅黑" w:eastAsia="微软雅黑"/>
                <w:b/>
                <w:sz w:val="21"/>
              </w:rPr>
            </w:pPr>
            <w:r>
              <w:rPr>
                <w:rFonts w:ascii="微软雅黑" w:eastAsia="微软雅黑"/>
                <w:b/>
                <w:spacing w:val="19"/>
                <w:sz w:val="21"/>
              </w:rPr>
              <w:t>感染艾滋病病毒或</w:t>
            </w:r>
            <w:r>
              <w:rPr>
                <w:rFonts w:ascii="微软雅黑" w:eastAsia="微软雅黑"/>
                <w:b/>
                <w:spacing w:val="-4"/>
                <w:sz w:val="21"/>
              </w:rPr>
              <w:t>患艾滋病</w:t>
            </w:r>
          </w:p>
        </w:tc>
        <w:tc>
          <w:tcPr>
            <w:tcW w:w="6364" w:type="dxa"/>
          </w:tcPr>
          <w:p>
            <w:pPr>
              <w:pStyle w:val="TableParagraph"/>
              <w:spacing w:before="134"/>
              <w:ind w:left="107"/>
              <w:rPr>
                <w:sz w:val="21"/>
              </w:rPr>
            </w:pPr>
            <w:r>
              <w:rPr>
                <w:sz w:val="21"/>
              </w:rPr>
              <w:t>艾滋病病毒指人类免疫缺陷病毒，英文缩写为</w:t>
            </w:r>
            <w:r>
              <w:rPr>
                <w:rFonts w:ascii="Times New Roman" w:eastAsia="Times New Roman"/>
                <w:sz w:val="21"/>
              </w:rPr>
              <w:t>HIV</w:t>
            </w:r>
            <w:r>
              <w:rPr>
                <w:spacing w:val="-2"/>
                <w:sz w:val="21"/>
              </w:rPr>
              <w:t>。艾滋病指人类</w:t>
            </w:r>
          </w:p>
          <w:p>
            <w:pPr>
              <w:pStyle w:val="TableParagraph"/>
              <w:spacing w:line="270" w:lineRule="atLeast"/>
              <w:ind w:left="107" w:right="152"/>
              <w:rPr>
                <w:sz w:val="21"/>
              </w:rPr>
            </w:pPr>
            <w:r>
              <w:rPr>
                <w:spacing w:val="-3"/>
                <w:w w:val="100"/>
                <w:sz w:val="21"/>
              </w:rPr>
              <w:t>免疫缺陷病毒引起的获得性免疫缺陷综合征，英文缩写为</w:t>
            </w:r>
            <w:r>
              <w:rPr>
                <w:rFonts w:ascii="Times New Roman" w:eastAsia="Times New Roman"/>
                <w:w w:val="100"/>
                <w:sz w:val="21"/>
              </w:rPr>
              <w:t>A</w:t>
            </w:r>
            <w:r>
              <w:rPr>
                <w:rFonts w:ascii="Times New Roman" w:eastAsia="Times New Roman"/>
                <w:spacing w:val="-4"/>
                <w:w w:val="100"/>
                <w:sz w:val="21"/>
              </w:rPr>
              <w:t>I</w:t>
            </w:r>
            <w:r>
              <w:rPr>
                <w:rFonts w:ascii="Times New Roman" w:eastAsia="Times New Roman"/>
                <w:w w:val="100"/>
                <w:sz w:val="21"/>
              </w:rPr>
              <w:t>D</w:t>
            </w:r>
            <w:r>
              <w:rPr>
                <w:rFonts w:ascii="Times New Roman" w:eastAsia="Times New Roman"/>
                <w:spacing w:val="-2"/>
                <w:w w:val="100"/>
                <w:sz w:val="21"/>
              </w:rPr>
              <w:t>S</w:t>
            </w:r>
            <w:r>
              <w:rPr>
                <w:w w:val="100"/>
                <w:sz w:val="21"/>
              </w:rPr>
              <w:t>。</w:t>
            </w:r>
            <w:r>
              <w:rPr>
                <w:spacing w:val="-3"/>
                <w:w w:val="100"/>
                <w:sz w:val="21"/>
              </w:rPr>
              <w:t>在人体血液或其他样本中检测到艾滋病病毒或其抗体呈阳性，没有</w:t>
            </w:r>
          </w:p>
        </w:tc>
      </w:tr>
      <w:tr>
        <w:trPr>
          <w:trHeight w:val="272"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252" w:lineRule="exact"/>
              <w:ind w:left="107"/>
              <w:rPr>
                <w:sz w:val="21"/>
              </w:rPr>
            </w:pPr>
            <w:r>
              <w:rPr>
                <w:spacing w:val="-3"/>
                <w:sz w:val="21"/>
              </w:rPr>
              <w:t>出现临床症状或体征的，为感染艾滋病病毒；如果同时出现了明显</w:t>
            </w:r>
          </w:p>
        </w:tc>
      </w:tr>
      <w:tr>
        <w:trPr>
          <w:trHeight w:val="378"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268" w:lineRule="exact"/>
              <w:ind w:left="107"/>
              <w:rPr>
                <w:sz w:val="21"/>
              </w:rPr>
            </w:pPr>
            <w:r>
              <w:rPr>
                <w:spacing w:val="-3"/>
                <w:sz w:val="21"/>
              </w:rPr>
              <w:t>临床症状或体征的，为患艾滋病。</w:t>
            </w:r>
          </w:p>
        </w:tc>
      </w:tr>
      <w:tr>
        <w:trPr>
          <w:trHeight w:val="407" w:hRule="atLeast"/>
        </w:trPr>
        <w:tc>
          <w:tcPr>
            <w:tcW w:w="712" w:type="dxa"/>
          </w:tcPr>
          <w:p>
            <w:pPr>
              <w:pStyle w:val="TableParagraph"/>
              <w:spacing w:before="126"/>
              <w:ind w:left="50"/>
              <w:rPr>
                <w:rFonts w:ascii="Times New Roman"/>
                <w:sz w:val="21"/>
              </w:rPr>
            </w:pPr>
            <w:r>
              <w:rPr>
                <w:rFonts w:ascii="Times New Roman"/>
                <w:spacing w:val="-2"/>
                <w:sz w:val="21"/>
              </w:rPr>
              <w:t>14.16</w:t>
            </w:r>
          </w:p>
        </w:tc>
        <w:tc>
          <w:tcPr>
            <w:tcW w:w="2161" w:type="dxa"/>
          </w:tcPr>
          <w:p>
            <w:pPr>
              <w:pStyle w:val="TableParagraph"/>
              <w:spacing w:line="321" w:lineRule="exact" w:before="67"/>
              <w:ind w:left="187"/>
              <w:rPr>
                <w:rFonts w:ascii="微软雅黑" w:eastAsia="微软雅黑"/>
                <w:b/>
                <w:sz w:val="21"/>
              </w:rPr>
            </w:pPr>
            <w:r>
              <w:rPr>
                <w:rFonts w:ascii="微软雅黑" w:eastAsia="微软雅黑"/>
                <w:b/>
                <w:spacing w:val="-2"/>
                <w:sz w:val="21"/>
              </w:rPr>
              <w:t>遗传性疾病</w:t>
            </w:r>
          </w:p>
        </w:tc>
        <w:tc>
          <w:tcPr>
            <w:tcW w:w="6364" w:type="dxa"/>
          </w:tcPr>
          <w:p>
            <w:pPr>
              <w:pStyle w:val="TableParagraph"/>
              <w:spacing w:line="254" w:lineRule="exact" w:before="134"/>
              <w:ind w:left="107"/>
              <w:rPr>
                <w:sz w:val="21"/>
              </w:rPr>
            </w:pPr>
            <w:r>
              <w:rPr>
                <w:spacing w:val="-2"/>
                <w:sz w:val="21"/>
              </w:rPr>
              <w:t>指生殖细胞或受精卵的遗传物质（染色体和基因）</w:t>
            </w:r>
            <w:r>
              <w:rPr>
                <w:spacing w:val="-4"/>
                <w:sz w:val="21"/>
              </w:rPr>
              <w:t>发生突变或畸变</w:t>
            </w:r>
          </w:p>
        </w:tc>
      </w:tr>
      <w:tr>
        <w:trPr>
          <w:trHeight w:val="379"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ind w:left="107"/>
              <w:rPr>
                <w:sz w:val="21"/>
              </w:rPr>
            </w:pPr>
            <w:r>
              <w:rPr>
                <w:spacing w:val="-3"/>
                <w:sz w:val="21"/>
              </w:rPr>
              <w:t>所引起的疾病，通常具有由亲代传至后代的垂直传递的特征。</w:t>
            </w:r>
          </w:p>
        </w:tc>
      </w:tr>
      <w:tr>
        <w:trPr>
          <w:trHeight w:val="407" w:hRule="atLeast"/>
        </w:trPr>
        <w:tc>
          <w:tcPr>
            <w:tcW w:w="712" w:type="dxa"/>
          </w:tcPr>
          <w:p>
            <w:pPr>
              <w:pStyle w:val="TableParagraph"/>
              <w:spacing w:before="126"/>
              <w:ind w:left="50"/>
              <w:rPr>
                <w:rFonts w:ascii="Times New Roman"/>
                <w:sz w:val="21"/>
              </w:rPr>
            </w:pPr>
            <w:r>
              <w:rPr>
                <w:rFonts w:ascii="Times New Roman"/>
                <w:spacing w:val="-2"/>
                <w:sz w:val="21"/>
              </w:rPr>
              <w:t>14.17</w:t>
            </w:r>
          </w:p>
        </w:tc>
        <w:tc>
          <w:tcPr>
            <w:tcW w:w="2161" w:type="dxa"/>
          </w:tcPr>
          <w:p>
            <w:pPr>
              <w:pStyle w:val="TableParagraph"/>
              <w:spacing w:line="321" w:lineRule="exact" w:before="67"/>
              <w:ind w:left="187"/>
              <w:rPr>
                <w:rFonts w:ascii="微软雅黑" w:eastAsia="微软雅黑"/>
                <w:b/>
                <w:sz w:val="21"/>
              </w:rPr>
            </w:pPr>
            <w:r>
              <w:rPr>
                <w:rFonts w:ascii="微软雅黑" w:eastAsia="微软雅黑"/>
                <w:b/>
                <w:spacing w:val="-7"/>
                <w:sz w:val="21"/>
              </w:rPr>
              <w:t>先天性畸形、变形或</w:t>
            </w:r>
          </w:p>
        </w:tc>
        <w:tc>
          <w:tcPr>
            <w:tcW w:w="6364" w:type="dxa"/>
          </w:tcPr>
          <w:p>
            <w:pPr>
              <w:pStyle w:val="TableParagraph"/>
              <w:spacing w:line="254" w:lineRule="exact" w:before="134"/>
              <w:ind w:left="107"/>
              <w:rPr>
                <w:sz w:val="21"/>
              </w:rPr>
            </w:pPr>
            <w:r>
              <w:rPr>
                <w:spacing w:val="-9"/>
                <w:sz w:val="21"/>
              </w:rPr>
              <w:t>指被保险人出生时就具有的畸形、变形或染色体异常。先天性畸形、</w:t>
            </w:r>
          </w:p>
        </w:tc>
      </w:tr>
      <w:tr>
        <w:trPr>
          <w:trHeight w:val="269" w:hRule="atLeast"/>
        </w:trPr>
        <w:tc>
          <w:tcPr>
            <w:tcW w:w="712" w:type="dxa"/>
          </w:tcPr>
          <w:p>
            <w:pPr>
              <w:pStyle w:val="TableParagraph"/>
              <w:rPr>
                <w:rFonts w:ascii="Times New Roman"/>
                <w:sz w:val="18"/>
              </w:rPr>
            </w:pPr>
          </w:p>
        </w:tc>
        <w:tc>
          <w:tcPr>
            <w:tcW w:w="2161" w:type="dxa"/>
          </w:tcPr>
          <w:p>
            <w:pPr>
              <w:pStyle w:val="TableParagraph"/>
              <w:spacing w:line="249" w:lineRule="exact"/>
              <w:ind w:left="187"/>
              <w:rPr>
                <w:rFonts w:ascii="微软雅黑" w:eastAsia="微软雅黑"/>
                <w:b/>
                <w:sz w:val="21"/>
              </w:rPr>
            </w:pPr>
            <w:r>
              <w:rPr>
                <w:rFonts w:ascii="微软雅黑" w:eastAsia="微软雅黑"/>
                <w:b/>
                <w:spacing w:val="-2"/>
                <w:sz w:val="21"/>
              </w:rPr>
              <w:t>染色体异常</w:t>
            </w:r>
          </w:p>
        </w:tc>
        <w:tc>
          <w:tcPr>
            <w:tcW w:w="6364" w:type="dxa"/>
          </w:tcPr>
          <w:p>
            <w:pPr>
              <w:pStyle w:val="TableParagraph"/>
              <w:spacing w:line="249" w:lineRule="exact"/>
              <w:ind w:left="107"/>
              <w:rPr>
                <w:sz w:val="21"/>
              </w:rPr>
            </w:pPr>
            <w:r>
              <w:rPr>
                <w:spacing w:val="-3"/>
                <w:sz w:val="21"/>
              </w:rPr>
              <w:t>变形和染色体异常依照世界卫生组织《疾病和有关健康问题的国际</w:t>
            </w:r>
          </w:p>
        </w:tc>
      </w:tr>
      <w:tr>
        <w:trPr>
          <w:trHeight w:val="389"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before="2"/>
              <w:ind w:left="107"/>
              <w:rPr>
                <w:sz w:val="21"/>
              </w:rPr>
            </w:pPr>
            <w:r>
              <w:rPr>
                <w:spacing w:val="-2"/>
                <w:sz w:val="21"/>
              </w:rPr>
              <w:t>统计分类》第十次修订版（</w:t>
            </w:r>
            <w:r>
              <w:rPr>
                <w:rFonts w:ascii="Times New Roman" w:eastAsia="Times New Roman"/>
                <w:spacing w:val="-2"/>
                <w:sz w:val="21"/>
              </w:rPr>
              <w:t>ICD-10</w:t>
            </w:r>
            <w:r>
              <w:rPr>
                <w:spacing w:val="-2"/>
                <w:sz w:val="21"/>
              </w:rPr>
              <w:t>）</w:t>
            </w:r>
            <w:r>
              <w:rPr>
                <w:spacing w:val="-5"/>
                <w:sz w:val="21"/>
              </w:rPr>
              <w:t>确定。</w:t>
            </w:r>
          </w:p>
        </w:tc>
      </w:tr>
      <w:tr>
        <w:trPr>
          <w:trHeight w:val="400" w:hRule="atLeast"/>
        </w:trPr>
        <w:tc>
          <w:tcPr>
            <w:tcW w:w="712" w:type="dxa"/>
          </w:tcPr>
          <w:p>
            <w:pPr>
              <w:pStyle w:val="TableParagraph"/>
              <w:spacing w:before="118"/>
              <w:ind w:left="50"/>
              <w:rPr>
                <w:rFonts w:ascii="Times New Roman"/>
                <w:sz w:val="21"/>
              </w:rPr>
            </w:pPr>
            <w:r>
              <w:rPr>
                <w:rFonts w:ascii="Times New Roman"/>
                <w:spacing w:val="-2"/>
                <w:sz w:val="21"/>
              </w:rPr>
              <w:t>14.18</w:t>
            </w:r>
          </w:p>
        </w:tc>
        <w:tc>
          <w:tcPr>
            <w:tcW w:w="2161" w:type="dxa"/>
          </w:tcPr>
          <w:p>
            <w:pPr>
              <w:pStyle w:val="TableParagraph"/>
              <w:spacing w:line="321" w:lineRule="exact" w:before="59"/>
              <w:ind w:left="187"/>
              <w:rPr>
                <w:rFonts w:ascii="微软雅黑" w:eastAsia="微软雅黑"/>
                <w:b/>
                <w:sz w:val="21"/>
              </w:rPr>
            </w:pPr>
            <w:r>
              <w:rPr>
                <w:rFonts w:ascii="微软雅黑" w:eastAsia="微软雅黑"/>
                <w:b/>
                <w:spacing w:val="-5"/>
                <w:sz w:val="21"/>
              </w:rPr>
              <w:t>医院</w:t>
            </w:r>
          </w:p>
        </w:tc>
        <w:tc>
          <w:tcPr>
            <w:tcW w:w="6364" w:type="dxa"/>
          </w:tcPr>
          <w:p>
            <w:pPr>
              <w:pStyle w:val="TableParagraph"/>
              <w:spacing w:line="254" w:lineRule="exact" w:before="127"/>
              <w:ind w:left="107"/>
              <w:rPr>
                <w:sz w:val="21"/>
              </w:rPr>
            </w:pPr>
            <w:r>
              <w:rPr>
                <w:spacing w:val="-3"/>
                <w:sz w:val="21"/>
              </w:rPr>
              <w:t>指具备由政府卫生行政管理部门颁发的、合法有效的医疗机构执业</w:t>
            </w:r>
          </w:p>
        </w:tc>
      </w:tr>
      <w:tr>
        <w:trPr>
          <w:trHeight w:val="269" w:hRule="atLeast"/>
        </w:trPr>
        <w:tc>
          <w:tcPr>
            <w:tcW w:w="712" w:type="dxa"/>
          </w:tcPr>
          <w:p>
            <w:pPr>
              <w:pStyle w:val="TableParagraph"/>
              <w:rPr>
                <w:rFonts w:ascii="Times New Roman"/>
                <w:sz w:val="18"/>
              </w:rPr>
            </w:pPr>
          </w:p>
        </w:tc>
        <w:tc>
          <w:tcPr>
            <w:tcW w:w="2161" w:type="dxa"/>
          </w:tcPr>
          <w:p>
            <w:pPr>
              <w:pStyle w:val="TableParagraph"/>
              <w:rPr>
                <w:rFonts w:ascii="Times New Roman"/>
                <w:sz w:val="18"/>
              </w:rPr>
            </w:pPr>
          </w:p>
        </w:tc>
        <w:tc>
          <w:tcPr>
            <w:tcW w:w="6364" w:type="dxa"/>
          </w:tcPr>
          <w:p>
            <w:pPr>
              <w:pStyle w:val="TableParagraph"/>
              <w:spacing w:line="249" w:lineRule="exact"/>
              <w:ind w:left="107"/>
              <w:rPr>
                <w:sz w:val="21"/>
              </w:rPr>
            </w:pPr>
            <w:r>
              <w:rPr>
                <w:spacing w:val="-3"/>
                <w:sz w:val="21"/>
              </w:rPr>
              <w:t>许可证并符合下列条件之一的公立或基本医疗保险定点医疗机构：</w:t>
            </w:r>
          </w:p>
        </w:tc>
      </w:tr>
      <w:tr>
        <w:trPr>
          <w:trHeight w:val="789" w:hRule="atLeast"/>
        </w:trPr>
        <w:tc>
          <w:tcPr>
            <w:tcW w:w="712" w:type="dxa"/>
          </w:tcPr>
          <w:p>
            <w:pPr>
              <w:pStyle w:val="TableParagraph"/>
              <w:rPr>
                <w:rFonts w:ascii="Times New Roman"/>
                <w:sz w:val="20"/>
              </w:rPr>
            </w:pPr>
          </w:p>
        </w:tc>
        <w:tc>
          <w:tcPr>
            <w:tcW w:w="2161" w:type="dxa"/>
          </w:tcPr>
          <w:p>
            <w:pPr>
              <w:pStyle w:val="TableParagraph"/>
              <w:rPr>
                <w:rFonts w:ascii="Times New Roman"/>
                <w:sz w:val="20"/>
              </w:rPr>
            </w:pPr>
          </w:p>
        </w:tc>
        <w:tc>
          <w:tcPr>
            <w:tcW w:w="6364" w:type="dxa"/>
          </w:tcPr>
          <w:p>
            <w:pPr>
              <w:pStyle w:val="TableParagraph"/>
              <w:spacing w:line="194" w:lineRule="auto" w:before="42"/>
              <w:ind w:left="633" w:right="152" w:hanging="526"/>
              <w:rPr>
                <w:rFonts w:ascii="微软雅黑" w:eastAsia="微软雅黑"/>
                <w:b/>
                <w:sz w:val="21"/>
              </w:rPr>
            </w:pPr>
            <w:r>
              <w:rPr>
                <w:spacing w:val="-4"/>
                <w:sz w:val="21"/>
              </w:rPr>
              <w:t>（</w:t>
            </w:r>
            <w:r>
              <w:rPr>
                <w:rFonts w:ascii="Times New Roman" w:eastAsia="Times New Roman"/>
                <w:spacing w:val="-4"/>
                <w:sz w:val="21"/>
              </w:rPr>
              <w:t>1</w:t>
            </w:r>
            <w:r>
              <w:rPr>
                <w:spacing w:val="-4"/>
                <w:sz w:val="21"/>
              </w:rPr>
              <w:t>）二级或二级以上的医院、二级或二级以上的妇幼保健院、住院</w:t>
            </w:r>
            <w:r>
              <w:rPr>
                <w:spacing w:val="-2"/>
                <w:sz w:val="21"/>
              </w:rPr>
              <w:t>床位在</w:t>
            </w:r>
            <w:r>
              <w:rPr>
                <w:rFonts w:ascii="Times New Roman" w:eastAsia="Times New Roman"/>
                <w:spacing w:val="-2"/>
                <w:sz w:val="21"/>
              </w:rPr>
              <w:t>100</w:t>
            </w:r>
            <w:r>
              <w:rPr>
                <w:spacing w:val="-2"/>
                <w:sz w:val="21"/>
              </w:rPr>
              <w:t>张及以上的医院，</w:t>
            </w:r>
            <w:r>
              <w:rPr>
                <w:rFonts w:ascii="微软雅黑" w:eastAsia="微软雅黑"/>
                <w:b/>
                <w:spacing w:val="-3"/>
                <w:sz w:val="21"/>
              </w:rPr>
              <w:t>但不包括精神病医院、皮肤病医</w:t>
            </w:r>
          </w:p>
          <w:p>
            <w:pPr>
              <w:pStyle w:val="TableParagraph"/>
              <w:spacing w:line="196" w:lineRule="exact"/>
              <w:ind w:left="633"/>
              <w:rPr>
                <w:rFonts w:ascii="微软雅黑" w:eastAsia="微软雅黑"/>
                <w:b/>
                <w:sz w:val="21"/>
              </w:rPr>
            </w:pPr>
            <w:r>
              <w:rPr>
                <w:rFonts w:ascii="微软雅黑" w:eastAsia="微软雅黑"/>
                <w:b/>
                <w:spacing w:val="-3"/>
                <w:sz w:val="21"/>
              </w:rPr>
              <w:t>院、整形外科医院、美容医院、康复医院和疗养院；</w:t>
            </w:r>
          </w:p>
        </w:tc>
      </w:tr>
    </w:tbl>
    <w:p>
      <w:pPr>
        <w:pStyle w:val="BodyText"/>
        <w:spacing w:line="244" w:lineRule="auto" w:before="41"/>
        <w:ind w:left="3678" w:right="842" w:hanging="526"/>
      </w:pPr>
      <w:r>
        <w:rPr>
          <w:spacing w:val="-2"/>
        </w:rPr>
        <w:t>（</w:t>
      </w:r>
      <w:r>
        <w:rPr>
          <w:rFonts w:ascii="Times New Roman" w:eastAsia="Times New Roman"/>
          <w:spacing w:val="-2"/>
        </w:rPr>
        <w:t>2</w:t>
      </w:r>
      <w:r>
        <w:rPr>
          <w:spacing w:val="-2"/>
        </w:rPr>
        <w:t>）我们认可的、为受伤者和患病者提供全日</w:t>
      </w:r>
      <w:r>
        <w:rPr>
          <w:rFonts w:ascii="Times New Roman" w:eastAsia="Times New Roman"/>
          <w:spacing w:val="-2"/>
        </w:rPr>
        <w:t>24</w:t>
      </w:r>
      <w:r>
        <w:rPr>
          <w:spacing w:val="-2"/>
        </w:rPr>
        <w:t>小时诊断和治疗</w:t>
      </w:r>
      <w:r>
        <w:rPr>
          <w:spacing w:val="-2"/>
        </w:rPr>
        <w:t>服务的医疗机构。</w:t>
      </w:r>
    </w:p>
    <w:p>
      <w:pPr>
        <w:pStyle w:val="ListParagraph"/>
        <w:numPr>
          <w:ilvl w:val="1"/>
          <w:numId w:val="120"/>
        </w:numPr>
        <w:tabs>
          <w:tab w:pos="849" w:val="left" w:leader="none"/>
          <w:tab w:pos="850" w:val="left" w:leader="none"/>
          <w:tab w:pos="2930" w:val="left" w:leader="none"/>
        </w:tabs>
        <w:spacing w:line="364" w:lineRule="exact" w:before="171" w:after="0"/>
        <w:ind w:left="849" w:right="729" w:hanging="850"/>
        <w:jc w:val="right"/>
        <w:rPr>
          <w:sz w:val="21"/>
        </w:rPr>
      </w:pPr>
      <w:r>
        <w:rPr>
          <w:rFonts w:ascii="微软雅黑" w:eastAsia="微软雅黑"/>
          <w:b/>
          <w:sz w:val="21"/>
        </w:rPr>
        <w:t>组织病理学检</w:t>
      </w:r>
      <w:r>
        <w:rPr>
          <w:rFonts w:ascii="微软雅黑" w:eastAsia="微软雅黑"/>
          <w:b/>
          <w:spacing w:val="-10"/>
          <w:sz w:val="21"/>
        </w:rPr>
        <w:t>查</w:t>
      </w:r>
      <w:r>
        <w:rPr>
          <w:rFonts w:ascii="微软雅黑" w:eastAsia="微软雅黑"/>
          <w:b/>
          <w:sz w:val="21"/>
        </w:rPr>
        <w:tab/>
      </w:r>
      <w:r>
        <w:rPr>
          <w:spacing w:val="-2"/>
          <w:sz w:val="21"/>
        </w:rPr>
        <w:t>组</w:t>
      </w:r>
      <w:r>
        <w:rPr>
          <w:spacing w:val="-2"/>
          <w:sz w:val="21"/>
        </w:rPr>
        <w:t>织</w:t>
      </w:r>
      <w:r>
        <w:rPr>
          <w:spacing w:val="-2"/>
          <w:sz w:val="21"/>
        </w:rPr>
        <w:t>病</w:t>
      </w:r>
      <w:r>
        <w:rPr>
          <w:spacing w:val="-2"/>
          <w:sz w:val="21"/>
        </w:rPr>
        <w:t>理</w:t>
      </w:r>
      <w:r>
        <w:rPr>
          <w:spacing w:val="-2"/>
          <w:sz w:val="21"/>
        </w:rPr>
        <w:t>学</w:t>
      </w:r>
      <w:r>
        <w:rPr>
          <w:spacing w:val="-2"/>
          <w:sz w:val="21"/>
        </w:rPr>
        <w:t>检查是</w:t>
      </w:r>
      <w:r>
        <w:rPr>
          <w:spacing w:val="-2"/>
          <w:sz w:val="21"/>
        </w:rPr>
        <w:t>通</w:t>
      </w:r>
      <w:r>
        <w:rPr>
          <w:spacing w:val="-2"/>
          <w:sz w:val="21"/>
        </w:rPr>
        <w:t>过</w:t>
      </w:r>
      <w:r>
        <w:rPr>
          <w:spacing w:val="-2"/>
          <w:sz w:val="21"/>
        </w:rPr>
        <w:t>局</w:t>
      </w:r>
      <w:r>
        <w:rPr>
          <w:spacing w:val="-2"/>
          <w:sz w:val="21"/>
        </w:rPr>
        <w:t>部</w:t>
      </w:r>
      <w:r>
        <w:rPr>
          <w:spacing w:val="-2"/>
          <w:sz w:val="21"/>
        </w:rPr>
        <w:t>切</w:t>
      </w:r>
      <w:r>
        <w:rPr>
          <w:spacing w:val="-2"/>
          <w:sz w:val="21"/>
        </w:rPr>
        <w:t>除</w:t>
      </w:r>
      <w:r>
        <w:rPr>
          <w:spacing w:val="-2"/>
          <w:sz w:val="21"/>
        </w:rPr>
        <w:t>、</w:t>
      </w:r>
      <w:r>
        <w:rPr>
          <w:spacing w:val="-2"/>
          <w:sz w:val="21"/>
        </w:rPr>
        <w:t>钳</w:t>
      </w:r>
      <w:r>
        <w:rPr>
          <w:spacing w:val="-2"/>
          <w:sz w:val="21"/>
        </w:rPr>
        <w:t>取、穿</w:t>
      </w:r>
      <w:r>
        <w:rPr>
          <w:spacing w:val="-2"/>
          <w:sz w:val="21"/>
        </w:rPr>
        <w:t>刺</w:t>
      </w:r>
      <w:r>
        <w:rPr>
          <w:spacing w:val="-2"/>
          <w:sz w:val="21"/>
        </w:rPr>
        <w:t>等</w:t>
      </w:r>
      <w:r>
        <w:rPr>
          <w:spacing w:val="-2"/>
          <w:sz w:val="21"/>
        </w:rPr>
        <w:t>手</w:t>
      </w:r>
      <w:r>
        <w:rPr>
          <w:spacing w:val="-2"/>
          <w:sz w:val="21"/>
        </w:rPr>
        <w:t>术</w:t>
      </w:r>
      <w:r>
        <w:rPr>
          <w:spacing w:val="-2"/>
          <w:sz w:val="21"/>
        </w:rPr>
        <w:t>方</w:t>
      </w:r>
      <w:r>
        <w:rPr>
          <w:spacing w:val="-2"/>
          <w:sz w:val="21"/>
        </w:rPr>
        <w:t>法，</w:t>
      </w:r>
      <w:r>
        <w:rPr>
          <w:spacing w:val="-2"/>
          <w:sz w:val="21"/>
        </w:rPr>
        <w:t>从</w:t>
      </w:r>
      <w:r>
        <w:rPr>
          <w:spacing w:val="-2"/>
          <w:sz w:val="21"/>
        </w:rPr>
        <w:t>患</w:t>
      </w:r>
      <w:r>
        <w:rPr>
          <w:spacing w:val="-10"/>
          <w:sz w:val="21"/>
        </w:rPr>
        <w:t>者</w:t>
      </w:r>
    </w:p>
    <w:p>
      <w:pPr>
        <w:pStyle w:val="BodyText"/>
        <w:spacing w:line="246" w:lineRule="exact"/>
        <w:ind w:left="0" w:right="734"/>
        <w:jc w:val="right"/>
      </w:pPr>
      <w:r>
        <w:rPr>
          <w:spacing w:val="-3"/>
        </w:rPr>
        <w:t>机体采取病变组织块，经过包埋、切片后，进行病理检查的方法。</w:t>
      </w:r>
    </w:p>
    <w:p>
      <w:pPr>
        <w:spacing w:after="0" w:line="246" w:lineRule="exact"/>
        <w:jc w:val="right"/>
        <w:sectPr>
          <w:pgSz w:w="11910" w:h="16840"/>
          <w:pgMar w:header="0" w:footer="878" w:top="1140" w:bottom="1060" w:left="1480" w:right="440"/>
        </w:sectPr>
      </w:pPr>
    </w:p>
    <w:p>
      <w:pPr>
        <w:spacing w:line="168" w:lineRule="auto" w:before="71"/>
        <w:ind w:left="3153" w:right="626" w:firstLine="0"/>
        <w:jc w:val="left"/>
        <w:rPr>
          <w:rFonts w:ascii="微软雅黑" w:eastAsia="微软雅黑"/>
          <w:b/>
          <w:sz w:val="21"/>
        </w:rPr>
      </w:pPr>
      <w:r>
        <w:rPr>
          <w:rFonts w:ascii="微软雅黑" w:eastAsia="微软雅黑"/>
          <w:b/>
          <w:spacing w:val="-2"/>
          <w:sz w:val="21"/>
        </w:rPr>
        <w:t>通过采集病变部位脱落细胞、细针吸取病变部位细胞、体腔积液分</w:t>
      </w:r>
      <w:r>
        <w:rPr>
          <w:rFonts w:ascii="微软雅黑" w:eastAsia="微软雅黑"/>
          <w:b/>
          <w:spacing w:val="-10"/>
          <w:sz w:val="21"/>
        </w:rPr>
        <w:t>离病变细胞等方式获取病变细胞，制成涂片，进行病理检查的方法，</w:t>
      </w:r>
      <w:r>
        <w:rPr>
          <w:rFonts w:ascii="微软雅黑" w:eastAsia="微软雅黑"/>
          <w:b/>
          <w:spacing w:val="-2"/>
          <w:sz w:val="21"/>
        </w:rPr>
        <w:t>属于细胞病理学检查，不属于组织病理学检查。</w:t>
      </w:r>
    </w:p>
    <w:p>
      <w:pPr>
        <w:pStyle w:val="BodyText"/>
        <w:spacing w:before="5"/>
        <w:ind w:left="0"/>
        <w:rPr>
          <w:rFonts w:ascii="微软雅黑"/>
          <w:b/>
          <w:sz w:val="12"/>
        </w:rPr>
      </w:pPr>
    </w:p>
    <w:p>
      <w:pPr>
        <w:pStyle w:val="ListParagraph"/>
        <w:numPr>
          <w:ilvl w:val="1"/>
          <w:numId w:val="120"/>
        </w:numPr>
        <w:tabs>
          <w:tab w:pos="1071" w:val="left" w:leader="none"/>
          <w:tab w:pos="1072" w:val="left" w:leader="none"/>
          <w:tab w:pos="3152" w:val="left" w:leader="none"/>
        </w:tabs>
        <w:spacing w:line="240" w:lineRule="auto" w:before="0" w:after="0"/>
        <w:ind w:left="1071" w:right="0" w:hanging="850"/>
        <w:jc w:val="left"/>
        <w:rPr>
          <w:sz w:val="21"/>
        </w:rPr>
      </w:pPr>
      <w:r>
        <w:rPr>
          <w:rFonts w:ascii="Times New Roman" w:eastAsia="Times New Roman"/>
          <w:b/>
          <w:spacing w:val="-2"/>
          <w:position w:val="2"/>
          <w:sz w:val="21"/>
        </w:rPr>
        <w:t>ICD-</w:t>
      </w:r>
      <w:r>
        <w:rPr>
          <w:rFonts w:ascii="Times New Roman" w:eastAsia="Times New Roman"/>
          <w:b/>
          <w:spacing w:val="-5"/>
          <w:position w:val="2"/>
          <w:sz w:val="21"/>
        </w:rPr>
        <w:t>10</w:t>
      </w:r>
      <w:r>
        <w:rPr>
          <w:rFonts w:ascii="Times New Roman" w:eastAsia="Times New Roman"/>
          <w:b/>
          <w:position w:val="2"/>
          <w:sz w:val="21"/>
        </w:rPr>
        <w:tab/>
      </w:r>
      <w:r>
        <w:rPr>
          <w:spacing w:val="-2"/>
          <w:sz w:val="21"/>
        </w:rPr>
        <w:t>《疾病和有关健康问题的国际统计分类》第十次修订版（</w:t>
      </w:r>
      <w:r>
        <w:rPr>
          <w:rFonts w:ascii="Times New Roman" w:eastAsia="Times New Roman"/>
          <w:spacing w:val="-2"/>
          <w:sz w:val="21"/>
        </w:rPr>
        <w:t>ICD-</w:t>
      </w:r>
      <w:r>
        <w:rPr>
          <w:rFonts w:ascii="Times New Roman" w:eastAsia="Times New Roman"/>
          <w:spacing w:val="-4"/>
          <w:sz w:val="21"/>
        </w:rPr>
        <w:t>10</w:t>
      </w:r>
      <w:r>
        <w:rPr>
          <w:spacing w:val="-110"/>
          <w:sz w:val="21"/>
        </w:rPr>
        <w:t>），</w:t>
      </w:r>
    </w:p>
    <w:p>
      <w:pPr>
        <w:pStyle w:val="BodyText"/>
        <w:spacing w:before="3"/>
      </w:pPr>
      <w:r>
        <w:rPr>
          <w:spacing w:val="-2"/>
        </w:rPr>
        <w:t>是世界卫生组织（</w:t>
      </w:r>
      <w:r>
        <w:rPr>
          <w:rFonts w:ascii="Times New Roman" w:eastAsia="Times New Roman"/>
          <w:spacing w:val="-2"/>
        </w:rPr>
        <w:t>WHO</w:t>
      </w:r>
      <w:r>
        <w:rPr>
          <w:spacing w:val="-2"/>
        </w:rPr>
        <w:t>）</w:t>
      </w:r>
      <w:r>
        <w:rPr>
          <w:spacing w:val="-3"/>
        </w:rPr>
        <w:t>发布的国际通用的疾病分类方法。</w:t>
      </w:r>
    </w:p>
    <w:p>
      <w:pPr>
        <w:pStyle w:val="BodyText"/>
        <w:spacing w:before="7"/>
        <w:ind w:left="0"/>
        <w:rPr>
          <w:sz w:val="18"/>
        </w:rPr>
      </w:pPr>
    </w:p>
    <w:p>
      <w:pPr>
        <w:pStyle w:val="ListParagraph"/>
        <w:numPr>
          <w:ilvl w:val="1"/>
          <w:numId w:val="120"/>
        </w:numPr>
        <w:tabs>
          <w:tab w:pos="1071" w:val="left" w:leader="none"/>
          <w:tab w:pos="1072" w:val="left" w:leader="none"/>
          <w:tab w:pos="3152" w:val="left" w:leader="none"/>
        </w:tabs>
        <w:spacing w:line="240" w:lineRule="auto" w:before="0" w:after="0"/>
        <w:ind w:left="1071" w:right="0" w:hanging="850"/>
        <w:jc w:val="left"/>
        <w:rPr>
          <w:sz w:val="21"/>
        </w:rPr>
      </w:pPr>
      <w:r>
        <w:rPr>
          <w:rFonts w:ascii="Times New Roman" w:eastAsia="Times New Roman"/>
          <w:b/>
          <w:spacing w:val="-2"/>
          <w:position w:val="2"/>
          <w:sz w:val="21"/>
        </w:rPr>
        <w:t>ICD-O-</w:t>
      </w:r>
      <w:r>
        <w:rPr>
          <w:rFonts w:ascii="Times New Roman" w:eastAsia="Times New Roman"/>
          <w:b/>
          <w:spacing w:val="-10"/>
          <w:position w:val="2"/>
          <w:sz w:val="21"/>
        </w:rPr>
        <w:t>3</w:t>
      </w:r>
      <w:r>
        <w:rPr>
          <w:rFonts w:ascii="Times New Roman" w:eastAsia="Times New Roman"/>
          <w:b/>
          <w:position w:val="2"/>
          <w:sz w:val="21"/>
        </w:rPr>
        <w:tab/>
      </w:r>
      <w:r>
        <w:rPr>
          <w:spacing w:val="-8"/>
          <w:sz w:val="21"/>
        </w:rPr>
        <w:t>《国际疾病分类肿瘤学专辑》第三版（</w:t>
      </w:r>
      <w:r>
        <w:rPr>
          <w:rFonts w:ascii="Times New Roman" w:eastAsia="Times New Roman"/>
          <w:spacing w:val="-8"/>
          <w:sz w:val="21"/>
        </w:rPr>
        <w:t>ICD-O-</w:t>
      </w:r>
      <w:r>
        <w:rPr>
          <w:rFonts w:ascii="Times New Roman" w:eastAsia="Times New Roman"/>
          <w:spacing w:val="38"/>
          <w:sz w:val="21"/>
        </w:rPr>
        <w:t>3</w:t>
      </w:r>
      <w:r>
        <w:rPr>
          <w:spacing w:val="-68"/>
          <w:sz w:val="21"/>
        </w:rPr>
        <w:t>）</w:t>
      </w:r>
      <w:r>
        <w:rPr>
          <w:spacing w:val="-2"/>
          <w:sz w:val="21"/>
        </w:rPr>
        <w:t>，是</w:t>
      </w:r>
      <w:r>
        <w:rPr>
          <w:rFonts w:ascii="Times New Roman" w:eastAsia="Times New Roman"/>
          <w:spacing w:val="-8"/>
          <w:sz w:val="21"/>
        </w:rPr>
        <w:t>WHO</w:t>
      </w:r>
      <w:r>
        <w:rPr>
          <w:spacing w:val="-9"/>
          <w:sz w:val="21"/>
        </w:rPr>
        <w:t>发布的针</w:t>
      </w:r>
    </w:p>
    <w:p>
      <w:pPr>
        <w:pStyle w:val="BodyText"/>
        <w:spacing w:line="242" w:lineRule="auto" w:before="5"/>
        <w:ind w:right="626"/>
      </w:pPr>
      <w:r>
        <w:rPr>
          <w:spacing w:val="-2"/>
        </w:rPr>
        <w:t>对</w:t>
      </w:r>
      <w:r>
        <w:rPr>
          <w:rFonts w:ascii="Times New Roman" w:eastAsia="Times New Roman"/>
          <w:spacing w:val="-2"/>
        </w:rPr>
        <w:t>ICD</w:t>
      </w:r>
      <w:r>
        <w:rPr>
          <w:spacing w:val="-2"/>
        </w:rPr>
        <w:t>中肿瘤形态学组织学细胞类型、动态、分化程度的补充编码。</w:t>
      </w:r>
      <w:r>
        <w:rPr>
          <w:spacing w:val="-2"/>
        </w:rPr>
        <w:t>其中形态学编码：</w:t>
      </w:r>
      <w:r>
        <w:rPr>
          <w:rFonts w:ascii="Times New Roman" w:eastAsia="Times New Roman"/>
          <w:spacing w:val="-2"/>
        </w:rPr>
        <w:t>0</w:t>
      </w:r>
      <w:r>
        <w:rPr>
          <w:spacing w:val="-2"/>
        </w:rPr>
        <w:t>代表良性肿瘤；</w:t>
      </w:r>
      <w:r>
        <w:rPr>
          <w:rFonts w:ascii="Times New Roman" w:eastAsia="Times New Roman"/>
          <w:spacing w:val="-2"/>
        </w:rPr>
        <w:t>1</w:t>
      </w:r>
      <w:r>
        <w:rPr>
          <w:spacing w:val="-2"/>
        </w:rPr>
        <w:t>代表动态未定性肿瘤；</w:t>
      </w:r>
      <w:r>
        <w:rPr>
          <w:rFonts w:ascii="Times New Roman" w:eastAsia="Times New Roman"/>
          <w:spacing w:val="-2"/>
        </w:rPr>
        <w:t>2</w:t>
      </w:r>
      <w:r>
        <w:rPr>
          <w:spacing w:val="-2"/>
        </w:rPr>
        <w:t>代表原</w:t>
      </w:r>
      <w:r>
        <w:rPr>
          <w:spacing w:val="-4"/>
        </w:rPr>
        <w:t>位癌和非侵袭性癌；</w:t>
      </w:r>
      <w:r>
        <w:rPr>
          <w:rFonts w:ascii="Times New Roman" w:eastAsia="Times New Roman"/>
          <w:spacing w:val="-4"/>
        </w:rPr>
        <w:t>3</w:t>
      </w:r>
      <w:r>
        <w:rPr>
          <w:spacing w:val="-4"/>
        </w:rPr>
        <w:t>代表恶性肿瘤（原发性</w:t>
      </w:r>
      <w:r>
        <w:rPr>
          <w:spacing w:val="-66"/>
        </w:rPr>
        <w:t>）</w:t>
      </w:r>
      <w:r>
        <w:rPr>
          <w:spacing w:val="13"/>
        </w:rPr>
        <w:t>；</w:t>
      </w:r>
      <w:r>
        <w:rPr>
          <w:rFonts w:ascii="Times New Roman" w:eastAsia="Times New Roman"/>
          <w:spacing w:val="40"/>
        </w:rPr>
        <w:t>6</w:t>
      </w:r>
      <w:r>
        <w:rPr>
          <w:spacing w:val="-4"/>
        </w:rPr>
        <w:t>代表恶性肿瘤（转</w:t>
      </w:r>
      <w:r>
        <w:rPr>
          <w:spacing w:val="-4"/>
        </w:rPr>
        <w:t>移性</w:t>
      </w:r>
      <w:r>
        <w:rPr>
          <w:spacing w:val="-63"/>
        </w:rPr>
        <w:t>）</w:t>
      </w:r>
      <w:r>
        <w:rPr>
          <w:spacing w:val="8"/>
        </w:rPr>
        <w:t>；</w:t>
      </w:r>
      <w:r>
        <w:rPr>
          <w:rFonts w:ascii="Times New Roman" w:eastAsia="Times New Roman"/>
          <w:spacing w:val="42"/>
        </w:rPr>
        <w:t>9</w:t>
      </w:r>
      <w:r>
        <w:rPr>
          <w:spacing w:val="-4"/>
        </w:rPr>
        <w:t>代表恶性肿瘤（原发性或转移性未肯定</w:t>
      </w:r>
      <w:r>
        <w:rPr>
          <w:spacing w:val="-108"/>
        </w:rPr>
        <w:t>）</w:t>
      </w:r>
      <w:r>
        <w:rPr>
          <w:spacing w:val="-4"/>
        </w:rPr>
        <w:t>。如果出现</w:t>
      </w:r>
      <w:r>
        <w:rPr>
          <w:rFonts w:ascii="Times New Roman" w:eastAsia="Times New Roman"/>
          <w:spacing w:val="-4"/>
        </w:rPr>
        <w:t>ICD-10</w:t>
      </w:r>
      <w:r>
        <w:rPr>
          <w:spacing w:val="-2"/>
        </w:rPr>
        <w:t>与</w:t>
      </w:r>
      <w:r>
        <w:rPr>
          <w:rFonts w:ascii="Times New Roman" w:eastAsia="Times New Roman"/>
          <w:spacing w:val="-2"/>
        </w:rPr>
        <w:t>ICD-O-3</w:t>
      </w:r>
      <w:r>
        <w:rPr>
          <w:spacing w:val="-2"/>
        </w:rPr>
        <w:t>不一致的情况，以</w:t>
      </w:r>
      <w:r>
        <w:rPr>
          <w:rFonts w:ascii="Times New Roman" w:eastAsia="Times New Roman"/>
          <w:spacing w:val="-2"/>
        </w:rPr>
        <w:t>ICD-O-3</w:t>
      </w:r>
      <w:r>
        <w:rPr>
          <w:spacing w:val="-2"/>
        </w:rPr>
        <w:t>为准。</w:t>
      </w:r>
    </w:p>
    <w:p>
      <w:pPr>
        <w:pStyle w:val="ListParagraph"/>
        <w:numPr>
          <w:ilvl w:val="1"/>
          <w:numId w:val="120"/>
        </w:numPr>
        <w:tabs>
          <w:tab w:pos="1071" w:val="left" w:leader="none"/>
          <w:tab w:pos="1072" w:val="left" w:leader="none"/>
          <w:tab w:pos="3152" w:val="left" w:leader="none"/>
        </w:tabs>
        <w:spacing w:line="363" w:lineRule="exact" w:before="177" w:after="0"/>
        <w:ind w:left="1071" w:right="0" w:hanging="850"/>
        <w:jc w:val="left"/>
        <w:rPr>
          <w:sz w:val="21"/>
        </w:rPr>
      </w:pPr>
      <w:r>
        <w:rPr>
          <w:rFonts w:ascii="Times New Roman" w:eastAsia="Times New Roman"/>
          <w:b/>
          <w:spacing w:val="-2"/>
          <w:sz w:val="21"/>
        </w:rPr>
        <w:t>TNM</w:t>
      </w:r>
      <w:r>
        <w:rPr>
          <w:rFonts w:ascii="微软雅黑" w:eastAsia="微软雅黑"/>
          <w:b/>
          <w:spacing w:val="-2"/>
          <w:sz w:val="21"/>
        </w:rPr>
        <w:t>分</w:t>
      </w:r>
      <w:r>
        <w:rPr>
          <w:rFonts w:ascii="微软雅黑" w:eastAsia="微软雅黑"/>
          <w:b/>
          <w:spacing w:val="-10"/>
          <w:sz w:val="21"/>
        </w:rPr>
        <w:t>期</w:t>
      </w:r>
      <w:r>
        <w:rPr>
          <w:rFonts w:ascii="微软雅黑" w:eastAsia="微软雅黑"/>
          <w:b/>
          <w:sz w:val="21"/>
        </w:rPr>
        <w:tab/>
      </w:r>
      <w:r>
        <w:rPr>
          <w:rFonts w:ascii="Times New Roman" w:eastAsia="Times New Roman"/>
          <w:sz w:val="21"/>
        </w:rPr>
        <w:t>TNM</w:t>
      </w:r>
      <w:r>
        <w:rPr>
          <w:sz w:val="21"/>
        </w:rPr>
        <w:t>分</w:t>
      </w:r>
      <w:r>
        <w:rPr>
          <w:sz w:val="21"/>
        </w:rPr>
        <w:t>期</w:t>
      </w:r>
      <w:r>
        <w:rPr>
          <w:sz w:val="21"/>
        </w:rPr>
        <w:t>采</w:t>
      </w:r>
      <w:r>
        <w:rPr>
          <w:sz w:val="21"/>
        </w:rPr>
        <w:t>用</w:t>
      </w:r>
      <w:r>
        <w:rPr>
          <w:rFonts w:ascii="Times New Roman" w:eastAsia="Times New Roman"/>
          <w:sz w:val="21"/>
        </w:rPr>
        <w:t>AJCC</w:t>
      </w:r>
      <w:r>
        <w:rPr>
          <w:sz w:val="21"/>
        </w:rPr>
        <w:t>癌症分期手册标准。该标</w:t>
      </w:r>
      <w:r>
        <w:rPr>
          <w:sz w:val="21"/>
        </w:rPr>
        <w:t>准由美国癌症联</w:t>
      </w:r>
      <w:r>
        <w:rPr>
          <w:sz w:val="21"/>
        </w:rPr>
        <w:t>合</w:t>
      </w:r>
      <w:r>
        <w:rPr>
          <w:spacing w:val="-10"/>
          <w:sz w:val="21"/>
        </w:rPr>
        <w:t>委</w:t>
      </w:r>
    </w:p>
    <w:p>
      <w:pPr>
        <w:pStyle w:val="BodyText"/>
        <w:spacing w:line="245" w:lineRule="exact"/>
      </w:pPr>
      <w:r>
        <w:rPr>
          <w:spacing w:val="-4"/>
        </w:rPr>
        <w:t>员会与国际抗癌联合会</w:t>
      </w:r>
      <w:r>
        <w:rPr>
          <w:rFonts w:ascii="Times New Roman" w:eastAsia="Times New Roman"/>
          <w:spacing w:val="-4"/>
        </w:rPr>
        <w:t>TNM</w:t>
      </w:r>
      <w:r>
        <w:rPr>
          <w:spacing w:val="-5"/>
        </w:rPr>
        <w:t>委员会联合制定，是目前肿瘤医学分期</w:t>
      </w:r>
    </w:p>
    <w:p>
      <w:pPr>
        <w:pStyle w:val="BodyText"/>
        <w:spacing w:line="242" w:lineRule="auto" w:before="5"/>
        <w:ind w:right="732"/>
      </w:pPr>
      <w:r>
        <w:rPr>
          <w:spacing w:val="-4"/>
        </w:rPr>
        <w:t>的国际通用标准。</w:t>
      </w:r>
      <w:r>
        <w:rPr>
          <w:rFonts w:ascii="Times New Roman" w:eastAsia="Times New Roman"/>
          <w:spacing w:val="-4"/>
        </w:rPr>
        <w:t>T</w:t>
      </w:r>
      <w:r>
        <w:rPr>
          <w:spacing w:val="-4"/>
        </w:rPr>
        <w:t>指原发肿瘤的大小、形态等；</w:t>
      </w:r>
      <w:r>
        <w:rPr>
          <w:rFonts w:ascii="Times New Roman" w:eastAsia="Times New Roman"/>
          <w:spacing w:val="-4"/>
        </w:rPr>
        <w:t>N</w:t>
      </w:r>
      <w:r>
        <w:rPr>
          <w:spacing w:val="-4"/>
        </w:rPr>
        <w:t>指淋巴结的转移</w:t>
      </w:r>
      <w:r>
        <w:rPr>
          <w:spacing w:val="-2"/>
        </w:rPr>
        <w:t>情况；</w:t>
      </w:r>
      <w:r>
        <w:rPr>
          <w:rFonts w:ascii="Times New Roman" w:eastAsia="Times New Roman"/>
          <w:spacing w:val="-2"/>
        </w:rPr>
        <w:t>M</w:t>
      </w:r>
      <w:r>
        <w:rPr>
          <w:spacing w:val="-2"/>
        </w:rPr>
        <w:t>指有无其他脏器的转移情况。</w:t>
      </w:r>
    </w:p>
    <w:p>
      <w:pPr>
        <w:pStyle w:val="BodyText"/>
        <w:spacing w:before="11"/>
        <w:ind w:left="0"/>
        <w:rPr>
          <w:sz w:val="18"/>
        </w:rPr>
      </w:pPr>
    </w:p>
    <w:p>
      <w:pPr>
        <w:pStyle w:val="BodyText"/>
        <w:spacing w:line="242" w:lineRule="auto"/>
        <w:ind w:right="623"/>
      </w:pPr>
      <w:r>
        <w:rPr>
          <w:spacing w:val="1"/>
          <w:w w:val="100"/>
        </w:rPr>
        <w:t>甲状腺癌的</w:t>
      </w:r>
      <w:r>
        <w:rPr>
          <w:rFonts w:ascii="Times New Roman" w:eastAsia="Times New Roman"/>
          <w:w w:val="100"/>
        </w:rPr>
        <w:t>T</w:t>
      </w:r>
      <w:r>
        <w:rPr>
          <w:rFonts w:ascii="Times New Roman" w:eastAsia="Times New Roman"/>
          <w:spacing w:val="1"/>
          <w:w w:val="100"/>
        </w:rPr>
        <w:t>N</w:t>
      </w:r>
      <w:r>
        <w:rPr>
          <w:rFonts w:ascii="Times New Roman" w:eastAsia="Times New Roman"/>
          <w:spacing w:val="-1"/>
          <w:w w:val="100"/>
        </w:rPr>
        <w:t>M</w:t>
      </w:r>
      <w:r>
        <w:rPr>
          <w:spacing w:val="1"/>
          <w:w w:val="100"/>
        </w:rPr>
        <w:t>分期采用目前现行的</w:t>
      </w:r>
      <w:r>
        <w:rPr>
          <w:rFonts w:ascii="Times New Roman" w:eastAsia="Times New Roman"/>
          <w:spacing w:val="-2"/>
          <w:w w:val="100"/>
        </w:rPr>
        <w:t>A</w:t>
      </w:r>
      <w:r>
        <w:rPr>
          <w:rFonts w:ascii="Times New Roman" w:eastAsia="Times New Roman"/>
          <w:w w:val="100"/>
        </w:rPr>
        <w:t>JC</w:t>
      </w:r>
      <w:r>
        <w:rPr>
          <w:rFonts w:ascii="Times New Roman" w:eastAsia="Times New Roman"/>
          <w:spacing w:val="3"/>
          <w:w w:val="100"/>
        </w:rPr>
        <w:t>C</w:t>
      </w:r>
      <w:r>
        <w:rPr>
          <w:w w:val="100"/>
        </w:rPr>
        <w:t>第八版定义标准，我国</w:t>
      </w:r>
      <w:r>
        <w:rPr>
          <w:spacing w:val="-3"/>
          <w:w w:val="100"/>
        </w:rPr>
        <w:t>国家卫生健康委员会</w:t>
      </w:r>
      <w:r>
        <w:rPr>
          <w:rFonts w:ascii="Times New Roman" w:eastAsia="Times New Roman"/>
          <w:w w:val="100"/>
        </w:rPr>
        <w:t>201</w:t>
      </w:r>
      <w:r>
        <w:rPr>
          <w:rFonts w:ascii="Times New Roman" w:eastAsia="Times New Roman"/>
          <w:spacing w:val="-2"/>
          <w:w w:val="100"/>
        </w:rPr>
        <w:t>8</w:t>
      </w:r>
      <w:r>
        <w:rPr>
          <w:spacing w:val="-20"/>
          <w:w w:val="100"/>
        </w:rPr>
        <w:t>年发布的《甲状腺癌诊疗规范</w:t>
      </w:r>
      <w:r>
        <w:rPr>
          <w:w w:val="100"/>
        </w:rPr>
        <w:t>（</w:t>
      </w:r>
      <w:r>
        <w:rPr>
          <w:rFonts w:ascii="Times New Roman" w:eastAsia="Times New Roman"/>
          <w:w w:val="100"/>
        </w:rPr>
        <w:t>201</w:t>
      </w:r>
      <w:r>
        <w:rPr>
          <w:rFonts w:ascii="Times New Roman" w:eastAsia="Times New Roman"/>
          <w:spacing w:val="-3"/>
          <w:w w:val="100"/>
        </w:rPr>
        <w:t>8</w:t>
      </w:r>
      <w:r>
        <w:rPr>
          <w:spacing w:val="-2"/>
          <w:w w:val="100"/>
        </w:rPr>
        <w:t>年版</w:t>
      </w:r>
      <w:r>
        <w:rPr>
          <w:spacing w:val="-106"/>
          <w:w w:val="100"/>
        </w:rPr>
        <w:t>）</w:t>
      </w:r>
      <w:r>
        <w:rPr>
          <w:w w:val="100"/>
        </w:rPr>
        <w:t>》</w:t>
      </w:r>
      <w:r>
        <w:rPr>
          <w:spacing w:val="-3"/>
          <w:w w:val="100"/>
        </w:rPr>
        <w:t>也采用此定义标准，具体见下：</w:t>
      </w:r>
    </w:p>
    <w:p>
      <w:pPr>
        <w:pStyle w:val="BodyText"/>
        <w:spacing w:before="1"/>
      </w:pPr>
      <w:r>
        <w:rPr>
          <w:spacing w:val="-2"/>
        </w:rPr>
        <w:t>甲状腺乳头状癌、滤泡癌、低分化癌、</w:t>
      </w:r>
      <w:r>
        <w:rPr>
          <w:rFonts w:ascii="Times New Roman" w:hAnsi="Times New Roman" w:eastAsia="Times New Roman"/>
          <w:spacing w:val="-2"/>
        </w:rPr>
        <w:t>H</w:t>
      </w:r>
      <w:r>
        <w:rPr>
          <w:rFonts w:ascii="Times New Roman" w:hAnsi="Times New Roman" w:eastAsia="Times New Roman"/>
          <w:spacing w:val="-2"/>
          <w:sz w:val="24"/>
        </w:rPr>
        <w:t>ü</w:t>
      </w:r>
      <w:r>
        <w:rPr>
          <w:rFonts w:ascii="Times New Roman" w:hAnsi="Times New Roman" w:eastAsia="Times New Roman"/>
          <w:spacing w:val="-2"/>
        </w:rPr>
        <w:t>rthle</w:t>
      </w:r>
      <w:r>
        <w:rPr>
          <w:spacing w:val="-4"/>
        </w:rPr>
        <w:t>细胞癌和未分化癌</w:t>
      </w:r>
    </w:p>
    <w:p>
      <w:pPr>
        <w:pStyle w:val="BodyText"/>
        <w:spacing w:line="244" w:lineRule="auto" w:before="1"/>
        <w:ind w:right="3943"/>
      </w:pPr>
      <w:r>
        <w:rPr>
          <w:rFonts w:ascii="Times New Roman" w:eastAsia="Times New Roman"/>
          <w:spacing w:val="-2"/>
          <w:position w:val="2"/>
        </w:rPr>
        <w:t>pT</w:t>
      </w:r>
      <w:r>
        <w:rPr>
          <w:rFonts w:ascii="Times New Roman" w:eastAsia="Times New Roman"/>
          <w:spacing w:val="-2"/>
          <w:sz w:val="14"/>
        </w:rPr>
        <w:t>X</w:t>
      </w:r>
      <w:r>
        <w:rPr>
          <w:spacing w:val="-2"/>
          <w:position w:val="2"/>
        </w:rPr>
        <w:t>：原发肿瘤不能评估； </w:t>
      </w:r>
      <w:r>
        <w:rPr>
          <w:rFonts w:ascii="Times New Roman" w:eastAsia="Times New Roman"/>
          <w:spacing w:val="-2"/>
          <w:position w:val="2"/>
        </w:rPr>
        <w:t>pT</w:t>
      </w:r>
      <w:r>
        <w:rPr>
          <w:rFonts w:ascii="Times New Roman" w:eastAsia="Times New Roman"/>
          <w:spacing w:val="-2"/>
          <w:sz w:val="14"/>
        </w:rPr>
        <w:t>0</w:t>
      </w:r>
      <w:r>
        <w:rPr>
          <w:spacing w:val="-2"/>
          <w:position w:val="2"/>
        </w:rPr>
        <w:t>：无肿瘤证据；</w:t>
      </w:r>
    </w:p>
    <w:p>
      <w:pPr>
        <w:pStyle w:val="BodyText"/>
        <w:spacing w:line="242" w:lineRule="auto"/>
        <w:ind w:left="3678" w:right="2592" w:hanging="526"/>
      </w:pPr>
      <w:r>
        <w:rPr>
          <w:rFonts w:ascii="Times New Roman" w:hAnsi="Times New Roman" w:eastAsia="Times New Roman"/>
          <w:spacing w:val="-2"/>
          <w:position w:val="2"/>
        </w:rPr>
        <w:t>pT</w:t>
      </w:r>
      <w:r>
        <w:rPr>
          <w:rFonts w:ascii="Times New Roman" w:hAnsi="Times New Roman" w:eastAsia="Times New Roman"/>
          <w:spacing w:val="-2"/>
          <w:sz w:val="14"/>
        </w:rPr>
        <w:t>1</w:t>
      </w:r>
      <w:r>
        <w:rPr>
          <w:spacing w:val="-2"/>
          <w:position w:val="2"/>
        </w:rPr>
        <w:t>：肿瘤局限在甲状腺内，最大径</w:t>
      </w:r>
      <w:r>
        <w:rPr>
          <w:spacing w:val="-2"/>
          <w:position w:val="2"/>
          <w:sz w:val="24"/>
        </w:rPr>
        <w:t>≤</w:t>
      </w:r>
      <w:r>
        <w:rPr>
          <w:rFonts w:ascii="Times New Roman" w:hAnsi="Times New Roman" w:eastAsia="Times New Roman"/>
          <w:spacing w:val="-2"/>
          <w:position w:val="2"/>
        </w:rPr>
        <w:t>2cm</w:t>
      </w:r>
      <w:r>
        <w:rPr>
          <w:spacing w:val="-2"/>
          <w:position w:val="2"/>
        </w:rPr>
        <w:t>； </w:t>
      </w:r>
      <w:r>
        <w:rPr>
          <w:rFonts w:ascii="Times New Roman" w:hAnsi="Times New Roman" w:eastAsia="Times New Roman"/>
          <w:spacing w:val="-2"/>
          <w:position w:val="2"/>
        </w:rPr>
        <w:t>T</w:t>
      </w:r>
      <w:r>
        <w:rPr>
          <w:rFonts w:ascii="Times New Roman" w:hAnsi="Times New Roman" w:eastAsia="Times New Roman"/>
          <w:spacing w:val="-2"/>
          <w:sz w:val="14"/>
        </w:rPr>
        <w:t>1a</w:t>
      </w:r>
      <w:r>
        <w:rPr>
          <w:spacing w:val="-2"/>
          <w:position w:val="2"/>
        </w:rPr>
        <w:t>肿瘤最大径</w:t>
      </w:r>
      <w:r>
        <w:rPr>
          <w:spacing w:val="-2"/>
          <w:position w:val="2"/>
          <w:sz w:val="24"/>
        </w:rPr>
        <w:t>≤</w:t>
      </w:r>
      <w:r>
        <w:rPr>
          <w:rFonts w:ascii="Times New Roman" w:hAnsi="Times New Roman" w:eastAsia="Times New Roman"/>
          <w:spacing w:val="-2"/>
          <w:position w:val="2"/>
        </w:rPr>
        <w:t>1cm</w:t>
      </w:r>
      <w:r>
        <w:rPr>
          <w:spacing w:val="-2"/>
          <w:position w:val="2"/>
        </w:rPr>
        <w:t>；</w:t>
      </w:r>
    </w:p>
    <w:p>
      <w:pPr>
        <w:pStyle w:val="BodyText"/>
        <w:spacing w:line="242" w:lineRule="auto"/>
        <w:ind w:right="2951" w:firstLine="525"/>
      </w:pPr>
      <w:r>
        <w:rPr>
          <w:rFonts w:ascii="Times New Roman" w:hAnsi="Times New Roman" w:eastAsia="Times New Roman"/>
          <w:spacing w:val="-2"/>
          <w:position w:val="2"/>
        </w:rPr>
        <w:t>T</w:t>
      </w:r>
      <w:r>
        <w:rPr>
          <w:rFonts w:ascii="Times New Roman" w:hAnsi="Times New Roman" w:eastAsia="Times New Roman"/>
          <w:spacing w:val="-2"/>
          <w:sz w:val="14"/>
        </w:rPr>
        <w:t>1b</w:t>
      </w:r>
      <w:r>
        <w:rPr>
          <w:spacing w:val="-2"/>
          <w:position w:val="2"/>
        </w:rPr>
        <w:t>肿瘤最大径＞</w:t>
      </w:r>
      <w:r>
        <w:rPr>
          <w:rFonts w:ascii="Times New Roman" w:hAnsi="Times New Roman" w:eastAsia="Times New Roman"/>
          <w:spacing w:val="-2"/>
          <w:position w:val="2"/>
        </w:rPr>
        <w:t>1cm</w:t>
      </w:r>
      <w:r>
        <w:rPr>
          <w:spacing w:val="-2"/>
          <w:position w:val="2"/>
        </w:rPr>
        <w:t>，</w:t>
      </w:r>
      <w:r>
        <w:rPr>
          <w:spacing w:val="-2"/>
          <w:position w:val="2"/>
          <w:sz w:val="24"/>
        </w:rPr>
        <w:t>≤</w:t>
      </w:r>
      <w:r>
        <w:rPr>
          <w:rFonts w:ascii="Times New Roman" w:hAnsi="Times New Roman" w:eastAsia="Times New Roman"/>
          <w:spacing w:val="-2"/>
          <w:position w:val="2"/>
        </w:rPr>
        <w:t>2cm</w:t>
      </w:r>
      <w:r>
        <w:rPr>
          <w:spacing w:val="-2"/>
          <w:position w:val="2"/>
        </w:rPr>
        <w:t>； </w:t>
      </w:r>
      <w:r>
        <w:rPr>
          <w:rFonts w:ascii="Times New Roman" w:hAnsi="Times New Roman" w:eastAsia="Times New Roman"/>
          <w:spacing w:val="-2"/>
          <w:position w:val="2"/>
        </w:rPr>
        <w:t>pT</w:t>
      </w:r>
      <w:r>
        <w:rPr>
          <w:rFonts w:ascii="Times New Roman" w:hAnsi="Times New Roman" w:eastAsia="Times New Roman"/>
          <w:spacing w:val="-2"/>
          <w:sz w:val="14"/>
        </w:rPr>
        <w:t>2</w:t>
      </w:r>
      <w:r>
        <w:rPr>
          <w:spacing w:val="-2"/>
          <w:position w:val="2"/>
        </w:rPr>
        <w:t>：肿瘤</w:t>
      </w:r>
      <w:r>
        <w:rPr>
          <w:rFonts w:ascii="Times New Roman" w:hAnsi="Times New Roman" w:eastAsia="Times New Roman"/>
          <w:spacing w:val="-2"/>
          <w:position w:val="2"/>
        </w:rPr>
        <w:t>2</w:t>
      </w:r>
      <w:r>
        <w:rPr>
          <w:spacing w:val="-2"/>
          <w:position w:val="2"/>
        </w:rPr>
        <w:t>～</w:t>
      </w:r>
      <w:r>
        <w:rPr>
          <w:rFonts w:ascii="Times New Roman" w:hAnsi="Times New Roman" w:eastAsia="Times New Roman"/>
          <w:spacing w:val="-2"/>
          <w:position w:val="2"/>
        </w:rPr>
        <w:t>4cm</w:t>
      </w:r>
      <w:r>
        <w:rPr>
          <w:spacing w:val="-2"/>
          <w:position w:val="2"/>
        </w:rPr>
        <w:t>；</w:t>
      </w:r>
    </w:p>
    <w:p>
      <w:pPr>
        <w:pStyle w:val="BodyText"/>
        <w:spacing w:line="242" w:lineRule="auto"/>
        <w:ind w:right="627"/>
      </w:pPr>
      <w:r>
        <w:rPr>
          <w:rFonts w:ascii="Times New Roman" w:eastAsia="Times New Roman"/>
          <w:spacing w:val="-2"/>
          <w:position w:val="2"/>
        </w:rPr>
        <w:t>pT</w:t>
      </w:r>
      <w:r>
        <w:rPr>
          <w:rFonts w:ascii="Times New Roman" w:eastAsia="Times New Roman"/>
          <w:spacing w:val="-2"/>
          <w:sz w:val="14"/>
        </w:rPr>
        <w:t>3</w:t>
      </w:r>
      <w:r>
        <w:rPr>
          <w:spacing w:val="-2"/>
          <w:position w:val="2"/>
        </w:rPr>
        <w:t>：肿瘤</w:t>
      </w:r>
      <w:r>
        <w:rPr>
          <w:rFonts w:ascii="Times New Roman" w:eastAsia="Times New Roman"/>
          <w:spacing w:val="-2"/>
          <w:position w:val="2"/>
        </w:rPr>
        <w:t>&gt;4cm</w:t>
      </w:r>
      <w:r>
        <w:rPr>
          <w:spacing w:val="-2"/>
          <w:position w:val="2"/>
        </w:rPr>
        <w:t>，局限于甲状腺内或大体侵犯甲状腺外带状肌； </w:t>
      </w:r>
      <w:r>
        <w:rPr>
          <w:rFonts w:ascii="Times New Roman" w:eastAsia="Times New Roman"/>
          <w:spacing w:val="-2"/>
          <w:position w:val="2"/>
        </w:rPr>
        <w:t>pT</w:t>
      </w:r>
      <w:r>
        <w:rPr>
          <w:rFonts w:ascii="Times New Roman" w:eastAsia="Times New Roman"/>
          <w:spacing w:val="-2"/>
          <w:sz w:val="14"/>
        </w:rPr>
        <w:t>3a</w:t>
      </w:r>
      <w:r>
        <w:rPr>
          <w:spacing w:val="-2"/>
          <w:position w:val="2"/>
        </w:rPr>
        <w:t>：肿瘤</w:t>
      </w:r>
      <w:r>
        <w:rPr>
          <w:rFonts w:ascii="Times New Roman" w:eastAsia="Times New Roman"/>
          <w:spacing w:val="-2"/>
          <w:position w:val="2"/>
        </w:rPr>
        <w:t>&gt;4cm</w:t>
      </w:r>
      <w:r>
        <w:rPr>
          <w:spacing w:val="-2"/>
          <w:position w:val="2"/>
        </w:rPr>
        <w:t>，局限于甲状腺内；</w:t>
      </w:r>
    </w:p>
    <w:p>
      <w:pPr>
        <w:pStyle w:val="BodyText"/>
        <w:spacing w:before="2"/>
      </w:pPr>
      <w:r>
        <w:rPr>
          <w:rFonts w:ascii="Times New Roman" w:eastAsia="Times New Roman"/>
          <w:w w:val="95"/>
          <w:position w:val="2"/>
        </w:rPr>
        <w:t>pT</w:t>
      </w:r>
      <w:r>
        <w:rPr>
          <w:rFonts w:ascii="Times New Roman" w:eastAsia="Times New Roman"/>
          <w:w w:val="95"/>
          <w:sz w:val="14"/>
        </w:rPr>
        <w:t>3b</w:t>
      </w:r>
      <w:r>
        <w:rPr>
          <w:w w:val="95"/>
          <w:position w:val="2"/>
        </w:rPr>
        <w:t>：大体侵犯甲状</w:t>
      </w:r>
      <w:r>
        <w:rPr>
          <w:w w:val="95"/>
          <w:position w:val="2"/>
        </w:rPr>
        <w:t>腺</w:t>
      </w:r>
      <w:r>
        <w:rPr>
          <w:w w:val="95"/>
          <w:position w:val="2"/>
        </w:rPr>
        <w:t>外</w:t>
      </w:r>
      <w:r>
        <w:rPr>
          <w:w w:val="95"/>
          <w:position w:val="2"/>
        </w:rPr>
        <w:t>带</w:t>
      </w:r>
      <w:r>
        <w:rPr>
          <w:w w:val="95"/>
          <w:position w:val="2"/>
        </w:rPr>
        <w:t>状</w:t>
      </w:r>
      <w:r>
        <w:rPr>
          <w:w w:val="95"/>
          <w:position w:val="2"/>
        </w:rPr>
        <w:t>肌，无论肿瘤大</w:t>
      </w:r>
      <w:r>
        <w:rPr>
          <w:w w:val="95"/>
          <w:position w:val="2"/>
        </w:rPr>
        <w:t>小</w:t>
      </w:r>
      <w:r>
        <w:rPr>
          <w:spacing w:val="-10"/>
          <w:w w:val="95"/>
          <w:position w:val="2"/>
        </w:rPr>
        <w:t>；</w:t>
      </w:r>
    </w:p>
    <w:p>
      <w:pPr>
        <w:pStyle w:val="BodyText"/>
        <w:spacing w:line="244" w:lineRule="auto" w:before="3"/>
        <w:ind w:left="3678" w:right="1152"/>
      </w:pPr>
      <w:r>
        <w:rPr>
          <w:spacing w:val="-6"/>
        </w:rPr>
        <w:t>带状肌包括：胸骨舌骨肌、胸骨甲状肌、甲状舌骨肌、肩</w:t>
      </w:r>
      <w:r>
        <w:rPr>
          <w:spacing w:val="-2"/>
        </w:rPr>
        <w:t>胛舌骨肌；</w:t>
      </w:r>
    </w:p>
    <w:p>
      <w:pPr>
        <w:pStyle w:val="BodyText"/>
        <w:spacing w:line="264" w:lineRule="exact"/>
      </w:pPr>
      <w:r>
        <w:rPr>
          <w:rFonts w:ascii="Times New Roman" w:eastAsia="Times New Roman"/>
          <w:w w:val="95"/>
          <w:position w:val="2"/>
        </w:rPr>
        <w:t>pT</w:t>
      </w:r>
      <w:r>
        <w:rPr>
          <w:rFonts w:ascii="Times New Roman" w:eastAsia="Times New Roman"/>
          <w:w w:val="95"/>
          <w:sz w:val="14"/>
        </w:rPr>
        <w:t>4</w:t>
      </w:r>
      <w:r>
        <w:rPr>
          <w:w w:val="95"/>
          <w:position w:val="2"/>
        </w:rPr>
        <w:t>：大体侵犯甲状腺</w:t>
      </w:r>
      <w:r>
        <w:rPr>
          <w:w w:val="95"/>
          <w:position w:val="2"/>
        </w:rPr>
        <w:t>外</w:t>
      </w:r>
      <w:r>
        <w:rPr>
          <w:w w:val="95"/>
          <w:position w:val="2"/>
        </w:rPr>
        <w:t>带</w:t>
      </w:r>
      <w:r>
        <w:rPr>
          <w:w w:val="95"/>
          <w:position w:val="2"/>
        </w:rPr>
        <w:t>状</w:t>
      </w:r>
      <w:r>
        <w:rPr>
          <w:w w:val="95"/>
          <w:position w:val="2"/>
        </w:rPr>
        <w:t>肌</w:t>
      </w:r>
      <w:r>
        <w:rPr>
          <w:spacing w:val="-5"/>
          <w:w w:val="95"/>
          <w:position w:val="2"/>
        </w:rPr>
        <w:t>外；</w:t>
      </w:r>
    </w:p>
    <w:p>
      <w:pPr>
        <w:pStyle w:val="BodyText"/>
        <w:spacing w:line="242" w:lineRule="auto" w:before="4"/>
        <w:ind w:right="1841"/>
      </w:pPr>
      <w:r>
        <w:rPr>
          <w:rFonts w:ascii="Times New Roman" w:eastAsia="Times New Roman"/>
          <w:spacing w:val="-2"/>
          <w:position w:val="2"/>
        </w:rPr>
        <w:t>pT</w:t>
      </w:r>
      <w:r>
        <w:rPr>
          <w:rFonts w:ascii="Times New Roman" w:eastAsia="Times New Roman"/>
          <w:spacing w:val="-2"/>
          <w:sz w:val="14"/>
        </w:rPr>
        <w:t>4a</w:t>
      </w:r>
      <w:r>
        <w:rPr>
          <w:spacing w:val="-2"/>
          <w:position w:val="2"/>
        </w:rPr>
        <w:t>：侵犯喉、气管、食管、喉反神经及皮下软组织； </w:t>
      </w:r>
      <w:r>
        <w:rPr>
          <w:rFonts w:ascii="Times New Roman" w:eastAsia="Times New Roman"/>
          <w:spacing w:val="-2"/>
          <w:position w:val="2"/>
        </w:rPr>
        <w:t>pT</w:t>
      </w:r>
      <w:r>
        <w:rPr>
          <w:rFonts w:ascii="Times New Roman" w:eastAsia="Times New Roman"/>
          <w:spacing w:val="-2"/>
          <w:sz w:val="14"/>
        </w:rPr>
        <w:t>4b</w:t>
      </w:r>
      <w:r>
        <w:rPr>
          <w:spacing w:val="-2"/>
          <w:position w:val="2"/>
        </w:rPr>
        <w:t>：侵犯椎前筋膜，或包裹颈动脉、纵隔血管。</w:t>
      </w:r>
    </w:p>
    <w:p>
      <w:pPr>
        <w:pStyle w:val="BodyText"/>
        <w:spacing w:before="2"/>
      </w:pPr>
      <w:r>
        <w:rPr>
          <w:spacing w:val="-4"/>
        </w:rPr>
        <w:t>甲状腺髓样癌</w:t>
      </w:r>
    </w:p>
    <w:p>
      <w:pPr>
        <w:pStyle w:val="BodyText"/>
        <w:spacing w:line="242" w:lineRule="auto" w:before="2"/>
        <w:ind w:right="3943"/>
      </w:pPr>
      <w:r>
        <w:rPr>
          <w:rFonts w:ascii="Times New Roman" w:eastAsia="Times New Roman"/>
          <w:spacing w:val="-2"/>
          <w:position w:val="2"/>
        </w:rPr>
        <w:t>pT</w:t>
      </w:r>
      <w:r>
        <w:rPr>
          <w:rFonts w:ascii="Times New Roman" w:eastAsia="Times New Roman"/>
          <w:spacing w:val="-2"/>
          <w:sz w:val="14"/>
        </w:rPr>
        <w:t>X</w:t>
      </w:r>
      <w:r>
        <w:rPr>
          <w:spacing w:val="-2"/>
          <w:position w:val="2"/>
        </w:rPr>
        <w:t>：原发肿瘤不能评估； </w:t>
      </w:r>
      <w:r>
        <w:rPr>
          <w:rFonts w:ascii="Times New Roman" w:eastAsia="Times New Roman"/>
          <w:spacing w:val="-2"/>
          <w:position w:val="2"/>
        </w:rPr>
        <w:t>pT</w:t>
      </w:r>
      <w:r>
        <w:rPr>
          <w:rFonts w:ascii="Times New Roman" w:eastAsia="Times New Roman"/>
          <w:spacing w:val="-2"/>
          <w:sz w:val="14"/>
        </w:rPr>
        <w:t>0</w:t>
      </w:r>
      <w:r>
        <w:rPr>
          <w:spacing w:val="-2"/>
          <w:position w:val="2"/>
        </w:rPr>
        <w:t>：无肿瘤证据；</w:t>
      </w:r>
    </w:p>
    <w:p>
      <w:pPr>
        <w:pStyle w:val="BodyText"/>
        <w:spacing w:line="242" w:lineRule="auto"/>
        <w:ind w:left="3678" w:right="2592" w:hanging="526"/>
      </w:pPr>
      <w:r>
        <w:rPr>
          <w:rFonts w:ascii="Times New Roman" w:hAnsi="Times New Roman" w:eastAsia="Times New Roman"/>
          <w:spacing w:val="-2"/>
          <w:position w:val="2"/>
        </w:rPr>
        <w:t>pT</w:t>
      </w:r>
      <w:r>
        <w:rPr>
          <w:rFonts w:ascii="Times New Roman" w:hAnsi="Times New Roman" w:eastAsia="Times New Roman"/>
          <w:spacing w:val="-2"/>
          <w:sz w:val="14"/>
        </w:rPr>
        <w:t>1</w:t>
      </w:r>
      <w:r>
        <w:rPr>
          <w:spacing w:val="-2"/>
          <w:position w:val="2"/>
        </w:rPr>
        <w:t>：肿瘤局限在甲状腺内，最大径</w:t>
      </w:r>
      <w:r>
        <w:rPr>
          <w:spacing w:val="-2"/>
          <w:position w:val="2"/>
          <w:sz w:val="24"/>
        </w:rPr>
        <w:t>≤</w:t>
      </w:r>
      <w:r>
        <w:rPr>
          <w:rFonts w:ascii="Times New Roman" w:hAnsi="Times New Roman" w:eastAsia="Times New Roman"/>
          <w:spacing w:val="-2"/>
          <w:position w:val="2"/>
        </w:rPr>
        <w:t>2cm</w:t>
      </w:r>
      <w:r>
        <w:rPr>
          <w:spacing w:val="-2"/>
          <w:position w:val="2"/>
        </w:rPr>
        <w:t>； </w:t>
      </w:r>
      <w:r>
        <w:rPr>
          <w:rFonts w:ascii="Times New Roman" w:hAnsi="Times New Roman" w:eastAsia="Times New Roman"/>
          <w:spacing w:val="-2"/>
          <w:position w:val="2"/>
        </w:rPr>
        <w:t>T</w:t>
      </w:r>
      <w:r>
        <w:rPr>
          <w:rFonts w:ascii="Times New Roman" w:hAnsi="Times New Roman" w:eastAsia="Times New Roman"/>
          <w:spacing w:val="-2"/>
          <w:sz w:val="14"/>
        </w:rPr>
        <w:t>1a</w:t>
      </w:r>
      <w:r>
        <w:rPr>
          <w:spacing w:val="-2"/>
          <w:position w:val="2"/>
        </w:rPr>
        <w:t>肿瘤最大径</w:t>
      </w:r>
      <w:r>
        <w:rPr>
          <w:spacing w:val="-2"/>
          <w:position w:val="2"/>
          <w:sz w:val="24"/>
        </w:rPr>
        <w:t>≤</w:t>
      </w:r>
      <w:r>
        <w:rPr>
          <w:rFonts w:ascii="Times New Roman" w:hAnsi="Times New Roman" w:eastAsia="Times New Roman"/>
          <w:spacing w:val="-2"/>
          <w:position w:val="2"/>
        </w:rPr>
        <w:t>1cm</w:t>
      </w:r>
      <w:r>
        <w:rPr>
          <w:spacing w:val="-2"/>
          <w:position w:val="2"/>
        </w:rPr>
        <w:t>；</w:t>
      </w:r>
    </w:p>
    <w:p>
      <w:pPr>
        <w:pStyle w:val="BodyText"/>
        <w:spacing w:line="244" w:lineRule="auto"/>
        <w:ind w:right="2951" w:firstLine="525"/>
      </w:pPr>
      <w:r>
        <w:rPr>
          <w:rFonts w:ascii="Times New Roman" w:hAnsi="Times New Roman" w:eastAsia="Times New Roman"/>
          <w:spacing w:val="-2"/>
          <w:position w:val="2"/>
        </w:rPr>
        <w:t>T</w:t>
      </w:r>
      <w:r>
        <w:rPr>
          <w:rFonts w:ascii="Times New Roman" w:hAnsi="Times New Roman" w:eastAsia="Times New Roman"/>
          <w:spacing w:val="-2"/>
          <w:sz w:val="14"/>
        </w:rPr>
        <w:t>1b</w:t>
      </w:r>
      <w:r>
        <w:rPr>
          <w:spacing w:val="-2"/>
          <w:position w:val="2"/>
        </w:rPr>
        <w:t>肿瘤最大径＞</w:t>
      </w:r>
      <w:r>
        <w:rPr>
          <w:rFonts w:ascii="Times New Roman" w:hAnsi="Times New Roman" w:eastAsia="Times New Roman"/>
          <w:spacing w:val="-2"/>
          <w:position w:val="2"/>
        </w:rPr>
        <w:t>1cm</w:t>
      </w:r>
      <w:r>
        <w:rPr>
          <w:spacing w:val="-2"/>
          <w:position w:val="2"/>
        </w:rPr>
        <w:t>，</w:t>
      </w:r>
      <w:r>
        <w:rPr>
          <w:spacing w:val="-2"/>
          <w:position w:val="2"/>
          <w:sz w:val="24"/>
        </w:rPr>
        <w:t>≤</w:t>
      </w:r>
      <w:r>
        <w:rPr>
          <w:rFonts w:ascii="Times New Roman" w:hAnsi="Times New Roman" w:eastAsia="Times New Roman"/>
          <w:spacing w:val="-2"/>
          <w:position w:val="2"/>
        </w:rPr>
        <w:t>2cm</w:t>
      </w:r>
      <w:r>
        <w:rPr>
          <w:spacing w:val="-2"/>
          <w:position w:val="2"/>
        </w:rPr>
        <w:t>； </w:t>
      </w:r>
      <w:r>
        <w:rPr>
          <w:rFonts w:ascii="Times New Roman" w:hAnsi="Times New Roman" w:eastAsia="Times New Roman"/>
          <w:spacing w:val="-2"/>
          <w:position w:val="2"/>
        </w:rPr>
        <w:t>pT</w:t>
      </w:r>
      <w:r>
        <w:rPr>
          <w:rFonts w:ascii="Times New Roman" w:hAnsi="Times New Roman" w:eastAsia="Times New Roman"/>
          <w:spacing w:val="-2"/>
          <w:sz w:val="14"/>
        </w:rPr>
        <w:t>2</w:t>
      </w:r>
      <w:r>
        <w:rPr>
          <w:spacing w:val="-2"/>
          <w:position w:val="2"/>
        </w:rPr>
        <w:t>：肿瘤</w:t>
      </w:r>
      <w:r>
        <w:rPr>
          <w:rFonts w:ascii="Times New Roman" w:hAnsi="Times New Roman" w:eastAsia="Times New Roman"/>
          <w:spacing w:val="-2"/>
          <w:position w:val="2"/>
        </w:rPr>
        <w:t>2</w:t>
      </w:r>
      <w:r>
        <w:rPr>
          <w:spacing w:val="-2"/>
          <w:position w:val="2"/>
        </w:rPr>
        <w:t>～</w:t>
      </w:r>
      <w:r>
        <w:rPr>
          <w:rFonts w:ascii="Times New Roman" w:hAnsi="Times New Roman" w:eastAsia="Times New Roman"/>
          <w:spacing w:val="-2"/>
          <w:position w:val="2"/>
        </w:rPr>
        <w:t>4cm</w:t>
      </w:r>
      <w:r>
        <w:rPr>
          <w:spacing w:val="-2"/>
          <w:position w:val="2"/>
        </w:rPr>
        <w:t>；</w:t>
      </w:r>
    </w:p>
    <w:p>
      <w:pPr>
        <w:pStyle w:val="BodyText"/>
        <w:spacing w:line="244" w:lineRule="auto"/>
        <w:ind w:right="627"/>
      </w:pPr>
      <w:r>
        <w:rPr>
          <w:rFonts w:ascii="Times New Roman" w:eastAsia="Times New Roman"/>
          <w:spacing w:val="-2"/>
          <w:position w:val="2"/>
        </w:rPr>
        <w:t>pT</w:t>
      </w:r>
      <w:r>
        <w:rPr>
          <w:rFonts w:ascii="Times New Roman" w:eastAsia="Times New Roman"/>
          <w:spacing w:val="-2"/>
          <w:sz w:val="14"/>
        </w:rPr>
        <w:t>3</w:t>
      </w:r>
      <w:r>
        <w:rPr>
          <w:spacing w:val="-2"/>
          <w:position w:val="2"/>
        </w:rPr>
        <w:t>：肿瘤</w:t>
      </w:r>
      <w:r>
        <w:rPr>
          <w:rFonts w:ascii="Times New Roman" w:eastAsia="Times New Roman"/>
          <w:spacing w:val="-2"/>
          <w:position w:val="2"/>
        </w:rPr>
        <w:t>&gt;4cm</w:t>
      </w:r>
      <w:r>
        <w:rPr>
          <w:spacing w:val="-2"/>
          <w:position w:val="2"/>
        </w:rPr>
        <w:t>，局限于甲状腺内或大体侵犯甲状腺外带状肌； </w:t>
      </w:r>
      <w:r>
        <w:rPr>
          <w:rFonts w:ascii="Times New Roman" w:eastAsia="Times New Roman"/>
          <w:spacing w:val="-2"/>
          <w:position w:val="2"/>
        </w:rPr>
        <w:t>pT</w:t>
      </w:r>
      <w:r>
        <w:rPr>
          <w:rFonts w:ascii="Times New Roman" w:eastAsia="Times New Roman"/>
          <w:spacing w:val="-2"/>
          <w:sz w:val="14"/>
        </w:rPr>
        <w:t>3a</w:t>
      </w:r>
      <w:r>
        <w:rPr>
          <w:spacing w:val="-2"/>
          <w:position w:val="2"/>
        </w:rPr>
        <w:t>：肿瘤</w:t>
      </w:r>
      <w:r>
        <w:rPr>
          <w:rFonts w:ascii="Times New Roman" w:eastAsia="Times New Roman"/>
          <w:spacing w:val="-2"/>
          <w:position w:val="2"/>
        </w:rPr>
        <w:t>&gt;4cm</w:t>
      </w:r>
      <w:r>
        <w:rPr>
          <w:spacing w:val="-2"/>
          <w:position w:val="2"/>
        </w:rPr>
        <w:t>，局限于甲状腺内；</w:t>
      </w:r>
    </w:p>
    <w:p>
      <w:pPr>
        <w:pStyle w:val="BodyText"/>
        <w:spacing w:line="265" w:lineRule="exact"/>
      </w:pPr>
      <w:r>
        <w:rPr>
          <w:rFonts w:ascii="Times New Roman" w:eastAsia="Times New Roman"/>
          <w:w w:val="95"/>
          <w:position w:val="2"/>
        </w:rPr>
        <w:t>pT</w:t>
      </w:r>
      <w:r>
        <w:rPr>
          <w:rFonts w:ascii="Times New Roman" w:eastAsia="Times New Roman"/>
          <w:w w:val="95"/>
          <w:sz w:val="14"/>
        </w:rPr>
        <w:t>3b</w:t>
      </w:r>
      <w:r>
        <w:rPr>
          <w:w w:val="95"/>
          <w:position w:val="2"/>
        </w:rPr>
        <w:t>：大体侵犯甲状</w:t>
      </w:r>
      <w:r>
        <w:rPr>
          <w:w w:val="95"/>
          <w:position w:val="2"/>
        </w:rPr>
        <w:t>腺</w:t>
      </w:r>
      <w:r>
        <w:rPr>
          <w:w w:val="95"/>
          <w:position w:val="2"/>
        </w:rPr>
        <w:t>外</w:t>
      </w:r>
      <w:r>
        <w:rPr>
          <w:w w:val="95"/>
          <w:position w:val="2"/>
        </w:rPr>
        <w:t>带</w:t>
      </w:r>
      <w:r>
        <w:rPr>
          <w:w w:val="95"/>
          <w:position w:val="2"/>
        </w:rPr>
        <w:t>状</w:t>
      </w:r>
      <w:r>
        <w:rPr>
          <w:w w:val="95"/>
          <w:position w:val="2"/>
        </w:rPr>
        <w:t>肌，无论肿瘤大</w:t>
      </w:r>
      <w:r>
        <w:rPr>
          <w:w w:val="95"/>
          <w:position w:val="2"/>
        </w:rPr>
        <w:t>小</w:t>
      </w:r>
      <w:r>
        <w:rPr>
          <w:spacing w:val="-10"/>
          <w:w w:val="95"/>
          <w:position w:val="2"/>
        </w:rPr>
        <w:t>；</w:t>
      </w:r>
    </w:p>
    <w:p>
      <w:pPr>
        <w:pStyle w:val="BodyText"/>
        <w:spacing w:line="242" w:lineRule="auto" w:before="2"/>
        <w:ind w:left="3678" w:right="732"/>
      </w:pPr>
      <w:r>
        <w:rPr>
          <w:spacing w:val="-4"/>
        </w:rPr>
        <w:t>带状肌包括：胸骨舌骨肌、胸骨甲状肌、甲状舌骨肌、肩胛舌</w:t>
      </w:r>
      <w:r>
        <w:rPr>
          <w:spacing w:val="-4"/>
        </w:rPr>
        <w:t>骨肌；</w:t>
      </w:r>
    </w:p>
    <w:p>
      <w:pPr>
        <w:pStyle w:val="BodyText"/>
        <w:spacing w:before="1"/>
      </w:pPr>
      <w:r>
        <w:rPr>
          <w:rFonts w:ascii="Times New Roman" w:eastAsia="Times New Roman"/>
          <w:w w:val="95"/>
          <w:position w:val="2"/>
        </w:rPr>
        <w:t>pT</w:t>
      </w:r>
      <w:r>
        <w:rPr>
          <w:rFonts w:ascii="Times New Roman" w:eastAsia="Times New Roman"/>
          <w:w w:val="95"/>
          <w:sz w:val="14"/>
        </w:rPr>
        <w:t>4</w:t>
      </w:r>
      <w:r>
        <w:rPr>
          <w:w w:val="95"/>
          <w:position w:val="2"/>
        </w:rPr>
        <w:t>：进展期病</w:t>
      </w:r>
      <w:r>
        <w:rPr>
          <w:w w:val="95"/>
          <w:position w:val="2"/>
        </w:rPr>
        <w:t>变</w:t>
      </w:r>
      <w:r>
        <w:rPr>
          <w:spacing w:val="-10"/>
          <w:w w:val="95"/>
          <w:position w:val="2"/>
        </w:rPr>
        <w:t>；</w:t>
      </w:r>
    </w:p>
    <w:p>
      <w:pPr>
        <w:pStyle w:val="BodyText"/>
        <w:spacing w:line="244" w:lineRule="auto" w:before="2"/>
        <w:ind w:left="3678" w:right="789" w:hanging="526"/>
      </w:pPr>
      <w:r>
        <w:rPr>
          <w:rFonts w:ascii="Times New Roman" w:eastAsia="Times New Roman"/>
          <w:spacing w:val="-2"/>
          <w:position w:val="2"/>
        </w:rPr>
        <w:t>pT</w:t>
      </w:r>
      <w:r>
        <w:rPr>
          <w:rFonts w:ascii="Times New Roman" w:eastAsia="Times New Roman"/>
          <w:spacing w:val="-2"/>
          <w:sz w:val="14"/>
        </w:rPr>
        <w:t>4a</w:t>
      </w:r>
      <w:r>
        <w:rPr>
          <w:spacing w:val="-2"/>
          <w:position w:val="2"/>
        </w:rPr>
        <w:t>：中度进展，任何大小的肿瘤，侵犯甲状腺外颈部周围器官和</w:t>
      </w:r>
      <w:r>
        <w:rPr>
          <w:spacing w:val="-2"/>
        </w:rPr>
        <w:t>软组织，如喉、气管、食管、喉反神经及皮下软组织；</w:t>
      </w:r>
    </w:p>
    <w:p>
      <w:pPr>
        <w:pStyle w:val="BodyText"/>
        <w:spacing w:line="265" w:lineRule="exact"/>
      </w:pPr>
      <w:r>
        <w:rPr>
          <w:rFonts w:ascii="Times New Roman" w:eastAsia="Times New Roman"/>
          <w:w w:val="95"/>
          <w:position w:val="2"/>
        </w:rPr>
        <w:t>pT</w:t>
      </w:r>
      <w:r>
        <w:rPr>
          <w:rFonts w:ascii="Times New Roman" w:eastAsia="Times New Roman"/>
          <w:w w:val="95"/>
          <w:sz w:val="14"/>
        </w:rPr>
        <w:t>4b</w:t>
      </w:r>
      <w:r>
        <w:rPr>
          <w:w w:val="95"/>
          <w:position w:val="2"/>
        </w:rPr>
        <w:t>：重度进展，任何大小</w:t>
      </w:r>
      <w:r>
        <w:rPr>
          <w:w w:val="95"/>
          <w:position w:val="2"/>
        </w:rPr>
        <w:t>的</w:t>
      </w:r>
      <w:r>
        <w:rPr>
          <w:w w:val="95"/>
          <w:position w:val="2"/>
        </w:rPr>
        <w:t>肿</w:t>
      </w:r>
      <w:r>
        <w:rPr>
          <w:w w:val="95"/>
          <w:position w:val="2"/>
        </w:rPr>
        <w:t>瘤，侵犯椎前筋膜，</w:t>
      </w:r>
      <w:r>
        <w:rPr>
          <w:w w:val="95"/>
          <w:position w:val="2"/>
        </w:rPr>
        <w:t>或</w:t>
      </w:r>
      <w:r>
        <w:rPr>
          <w:w w:val="95"/>
          <w:position w:val="2"/>
        </w:rPr>
        <w:t>包</w:t>
      </w:r>
      <w:r>
        <w:rPr>
          <w:w w:val="95"/>
          <w:position w:val="2"/>
        </w:rPr>
        <w:t>裹颈</w:t>
      </w:r>
      <w:r>
        <w:rPr>
          <w:w w:val="95"/>
          <w:position w:val="2"/>
        </w:rPr>
        <w:t>动</w:t>
      </w:r>
      <w:r>
        <w:rPr>
          <w:w w:val="95"/>
          <w:position w:val="2"/>
        </w:rPr>
        <w:t>脉</w:t>
      </w:r>
      <w:r>
        <w:rPr>
          <w:spacing w:val="-10"/>
          <w:w w:val="95"/>
          <w:position w:val="2"/>
        </w:rPr>
        <w:t>、</w:t>
      </w:r>
    </w:p>
    <w:p>
      <w:pPr>
        <w:spacing w:after="0" w:line="265" w:lineRule="exact"/>
        <w:sectPr>
          <w:pgSz w:w="11910" w:h="16840"/>
          <w:pgMar w:header="0" w:footer="878" w:top="1060" w:bottom="1060" w:left="1480" w:right="440"/>
        </w:sectPr>
      </w:pPr>
    </w:p>
    <w:p>
      <w:pPr>
        <w:pStyle w:val="BodyText"/>
        <w:spacing w:before="55"/>
        <w:ind w:left="3678"/>
      </w:pPr>
      <w:r>
        <w:rPr>
          <w:spacing w:val="-4"/>
        </w:rPr>
        <w:t>纵隔血管。</w:t>
      </w:r>
    </w:p>
    <w:p>
      <w:pPr>
        <w:pStyle w:val="BodyText"/>
        <w:spacing w:line="242" w:lineRule="auto" w:before="5"/>
        <w:ind w:right="3677"/>
      </w:pPr>
      <w:r>
        <w:rPr>
          <w:spacing w:val="-2"/>
        </w:rPr>
        <w:t>区域淋巴结：适用于所有甲状腺癌 </w:t>
      </w:r>
      <w:r>
        <w:rPr>
          <w:rFonts w:ascii="Times New Roman" w:eastAsia="Times New Roman"/>
          <w:spacing w:val="-2"/>
          <w:position w:val="2"/>
        </w:rPr>
        <w:t>pN</w:t>
      </w:r>
      <w:r>
        <w:rPr>
          <w:rFonts w:ascii="Times New Roman" w:eastAsia="Times New Roman"/>
          <w:spacing w:val="-2"/>
          <w:sz w:val="14"/>
        </w:rPr>
        <w:t>x</w:t>
      </w:r>
      <w:r>
        <w:rPr>
          <w:spacing w:val="-2"/>
          <w:position w:val="2"/>
        </w:rPr>
        <w:t>：区域淋巴结无法评估； </w:t>
      </w:r>
      <w:r>
        <w:rPr>
          <w:rFonts w:ascii="Times New Roman" w:eastAsia="Times New Roman"/>
          <w:spacing w:val="-2"/>
          <w:position w:val="2"/>
        </w:rPr>
        <w:t>pN</w:t>
      </w:r>
      <w:r>
        <w:rPr>
          <w:rFonts w:ascii="Times New Roman" w:eastAsia="Times New Roman"/>
          <w:spacing w:val="-2"/>
          <w:sz w:val="14"/>
        </w:rPr>
        <w:t>0</w:t>
      </w:r>
      <w:r>
        <w:rPr>
          <w:spacing w:val="-2"/>
          <w:position w:val="2"/>
        </w:rPr>
        <w:t>：无淋巴结转移证据；</w:t>
      </w:r>
    </w:p>
    <w:p>
      <w:pPr>
        <w:pStyle w:val="BodyText"/>
      </w:pPr>
      <w:r>
        <w:rPr>
          <w:rFonts w:ascii="Times New Roman" w:eastAsia="Times New Roman"/>
          <w:w w:val="95"/>
          <w:position w:val="2"/>
        </w:rPr>
        <w:t>pN</w:t>
      </w:r>
      <w:r>
        <w:rPr>
          <w:rFonts w:ascii="Times New Roman" w:eastAsia="Times New Roman"/>
          <w:w w:val="95"/>
          <w:sz w:val="14"/>
        </w:rPr>
        <w:t>1</w:t>
      </w:r>
      <w:r>
        <w:rPr>
          <w:w w:val="95"/>
          <w:position w:val="2"/>
        </w:rPr>
        <w:t>：区域淋巴结转</w:t>
      </w:r>
      <w:r>
        <w:rPr>
          <w:w w:val="95"/>
          <w:position w:val="2"/>
        </w:rPr>
        <w:t>移</w:t>
      </w:r>
      <w:r>
        <w:rPr>
          <w:spacing w:val="-10"/>
          <w:w w:val="95"/>
          <w:position w:val="2"/>
        </w:rPr>
        <w:t>；</w:t>
      </w:r>
    </w:p>
    <w:p>
      <w:pPr>
        <w:pStyle w:val="BodyText"/>
        <w:spacing w:line="242" w:lineRule="auto" w:before="5"/>
        <w:ind w:left="3678" w:right="732" w:hanging="526"/>
      </w:pPr>
      <w:r>
        <w:rPr>
          <w:rFonts w:ascii="Times New Roman" w:eastAsia="Times New Roman"/>
          <w:spacing w:val="-2"/>
          <w:position w:val="2"/>
        </w:rPr>
        <w:t>pN</w:t>
      </w:r>
      <w:r>
        <w:rPr>
          <w:rFonts w:ascii="Times New Roman" w:eastAsia="Times New Roman"/>
          <w:spacing w:val="-2"/>
          <w:sz w:val="14"/>
        </w:rPr>
        <w:t>1a</w:t>
      </w:r>
      <w:r>
        <w:rPr>
          <w:spacing w:val="-2"/>
          <w:position w:val="2"/>
        </w:rPr>
        <w:t>：转移至</w:t>
      </w:r>
      <w:r>
        <w:rPr>
          <w:rFonts w:ascii="Times New Roman" w:eastAsia="Times New Roman"/>
          <w:spacing w:val="-2"/>
          <w:position w:val="2"/>
        </w:rPr>
        <w:t>VI</w:t>
      </w:r>
      <w:r>
        <w:rPr>
          <w:spacing w:val="-2"/>
          <w:position w:val="2"/>
        </w:rPr>
        <w:t>、</w:t>
      </w:r>
      <w:r>
        <w:rPr>
          <w:rFonts w:ascii="Times New Roman" w:eastAsia="Times New Roman"/>
          <w:spacing w:val="-2"/>
          <w:position w:val="2"/>
        </w:rPr>
        <w:t>VII</w:t>
      </w:r>
      <w:r>
        <w:rPr>
          <w:spacing w:val="-2"/>
          <w:position w:val="2"/>
        </w:rPr>
        <w:t>区（包括气管旁、气管前、喉前</w:t>
      </w:r>
      <w:r>
        <w:rPr>
          <w:rFonts w:ascii="Times New Roman" w:eastAsia="Times New Roman"/>
          <w:spacing w:val="-2"/>
          <w:position w:val="2"/>
        </w:rPr>
        <w:t>/Delphian</w:t>
      </w:r>
      <w:r>
        <w:rPr>
          <w:spacing w:val="-2"/>
          <w:position w:val="2"/>
        </w:rPr>
        <w:t>或上</w:t>
      </w:r>
      <w:r>
        <w:rPr>
          <w:spacing w:val="-2"/>
        </w:rPr>
        <w:t>纵隔）淋巴结，可以为单侧或双侧；</w:t>
      </w:r>
    </w:p>
    <w:p>
      <w:pPr>
        <w:pStyle w:val="BodyText"/>
        <w:spacing w:line="242" w:lineRule="auto" w:before="1"/>
        <w:ind w:left="3784" w:right="758" w:hanging="632"/>
      </w:pPr>
      <w:r>
        <w:rPr>
          <w:rFonts w:ascii="Times New Roman" w:hAnsi="Times New Roman" w:eastAsia="Times New Roman"/>
          <w:spacing w:val="-2"/>
          <w:position w:val="2"/>
        </w:rPr>
        <w:t>pN</w:t>
      </w:r>
      <w:r>
        <w:rPr>
          <w:rFonts w:ascii="Times New Roman" w:hAnsi="Times New Roman" w:eastAsia="Times New Roman"/>
          <w:spacing w:val="-2"/>
          <w:sz w:val="14"/>
        </w:rPr>
        <w:t>1b</w:t>
      </w:r>
      <w:r>
        <w:rPr>
          <w:spacing w:val="-2"/>
          <w:position w:val="2"/>
        </w:rPr>
        <w:t>：单侧、双侧或对侧颈淋巴结转移（包括Ⅰ、Ⅱ、Ⅲ、Ⅳ或Ⅴ</w:t>
      </w:r>
      <w:r>
        <w:rPr>
          <w:spacing w:val="-2"/>
        </w:rPr>
        <w:t>区）淋巴结或咽后淋巴结转移。</w:t>
      </w:r>
    </w:p>
    <w:p>
      <w:pPr>
        <w:pStyle w:val="BodyText"/>
        <w:spacing w:before="2"/>
      </w:pPr>
      <w:r>
        <w:rPr>
          <w:spacing w:val="-3"/>
        </w:rPr>
        <w:t>远处转移：适用于所有甲状腺癌</w:t>
      </w:r>
    </w:p>
    <w:p>
      <w:pPr>
        <w:pStyle w:val="BodyText"/>
        <w:spacing w:line="244" w:lineRule="auto" w:before="1"/>
        <w:ind w:right="4704"/>
      </w:pPr>
      <w:r>
        <w:rPr>
          <w:rFonts w:ascii="Times New Roman" w:eastAsia="Times New Roman"/>
          <w:spacing w:val="-2"/>
          <w:position w:val="2"/>
        </w:rPr>
        <w:t>M</w:t>
      </w:r>
      <w:r>
        <w:rPr>
          <w:rFonts w:ascii="Times New Roman" w:eastAsia="Times New Roman"/>
          <w:spacing w:val="-2"/>
          <w:sz w:val="14"/>
        </w:rPr>
        <w:t>0</w:t>
      </w:r>
      <w:r>
        <w:rPr>
          <w:spacing w:val="-2"/>
          <w:position w:val="2"/>
        </w:rPr>
        <w:t>：无远处转移； </w:t>
      </w:r>
      <w:r>
        <w:rPr>
          <w:rFonts w:ascii="Times New Roman" w:eastAsia="Times New Roman"/>
          <w:w w:val="95"/>
          <w:position w:val="2"/>
        </w:rPr>
        <w:t>M</w:t>
      </w:r>
      <w:r>
        <w:rPr>
          <w:rFonts w:ascii="Times New Roman" w:eastAsia="Times New Roman"/>
          <w:w w:val="95"/>
          <w:sz w:val="14"/>
        </w:rPr>
        <w:t>1</w:t>
      </w:r>
      <w:r>
        <w:rPr>
          <w:w w:val="95"/>
          <w:position w:val="2"/>
        </w:rPr>
        <w:t>：有</w:t>
      </w:r>
      <w:r>
        <w:rPr>
          <w:w w:val="95"/>
          <w:position w:val="2"/>
        </w:rPr>
        <w:t>远</w:t>
      </w:r>
      <w:r>
        <w:rPr>
          <w:w w:val="95"/>
          <w:position w:val="2"/>
        </w:rPr>
        <w:t>处</w:t>
      </w:r>
      <w:r>
        <w:rPr>
          <w:spacing w:val="-4"/>
          <w:w w:val="95"/>
          <w:position w:val="2"/>
        </w:rPr>
        <w:t>转移；</w:t>
      </w:r>
    </w:p>
    <w:tbl>
      <w:tblPr>
        <w:tblW w:w="0" w:type="auto"/>
        <w:jc w:val="left"/>
        <w:tblInd w:w="31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90"/>
        <w:gridCol w:w="1493"/>
        <w:gridCol w:w="1490"/>
        <w:gridCol w:w="1491"/>
      </w:tblGrid>
      <w:tr>
        <w:trPr>
          <w:trHeight w:val="273" w:hRule="atLeast"/>
        </w:trPr>
        <w:tc>
          <w:tcPr>
            <w:tcW w:w="5964" w:type="dxa"/>
            <w:gridSpan w:val="4"/>
          </w:tcPr>
          <w:p>
            <w:pPr>
              <w:pStyle w:val="TableParagraph"/>
              <w:spacing w:line="253" w:lineRule="exact"/>
              <w:ind w:left="107"/>
              <w:rPr>
                <w:sz w:val="21"/>
              </w:rPr>
            </w:pPr>
            <w:r>
              <w:rPr>
                <w:spacing w:val="-2"/>
                <w:sz w:val="21"/>
              </w:rPr>
              <w:t>乳头状或滤泡状癌（分化型</w:t>
            </w:r>
            <w:r>
              <w:rPr>
                <w:spacing w:val="-10"/>
                <w:sz w:val="21"/>
              </w:rPr>
              <w:t>）</w:t>
            </w:r>
          </w:p>
        </w:tc>
      </w:tr>
      <w:tr>
        <w:trPr>
          <w:trHeight w:val="273" w:hRule="atLeast"/>
        </w:trPr>
        <w:tc>
          <w:tcPr>
            <w:tcW w:w="5964" w:type="dxa"/>
            <w:gridSpan w:val="4"/>
          </w:tcPr>
          <w:p>
            <w:pPr>
              <w:pStyle w:val="TableParagraph"/>
              <w:spacing w:line="253" w:lineRule="exact"/>
              <w:ind w:left="107"/>
              <w:rPr>
                <w:sz w:val="21"/>
              </w:rPr>
            </w:pPr>
            <w:r>
              <w:rPr>
                <w:spacing w:val="-2"/>
                <w:sz w:val="21"/>
              </w:rPr>
              <w:t>年龄＜</w:t>
            </w:r>
            <w:r>
              <w:rPr>
                <w:rFonts w:ascii="Times New Roman" w:eastAsia="Times New Roman"/>
                <w:spacing w:val="-2"/>
                <w:sz w:val="21"/>
              </w:rPr>
              <w:t>55</w:t>
            </w:r>
            <w:r>
              <w:rPr>
                <w:spacing w:val="-10"/>
                <w:sz w:val="21"/>
              </w:rPr>
              <w:t>岁</w:t>
            </w:r>
          </w:p>
        </w:tc>
      </w:tr>
      <w:tr>
        <w:trPr>
          <w:trHeight w:val="242" w:hRule="atLeast"/>
        </w:trPr>
        <w:tc>
          <w:tcPr>
            <w:tcW w:w="1490" w:type="dxa"/>
          </w:tcPr>
          <w:p>
            <w:pPr>
              <w:pStyle w:val="TableParagraph"/>
              <w:rPr>
                <w:rFonts w:ascii="Times New Roman"/>
                <w:sz w:val="16"/>
              </w:rPr>
            </w:pPr>
          </w:p>
        </w:tc>
        <w:tc>
          <w:tcPr>
            <w:tcW w:w="1493" w:type="dxa"/>
          </w:tcPr>
          <w:p>
            <w:pPr>
              <w:pStyle w:val="TableParagraph"/>
              <w:spacing w:line="222" w:lineRule="exact"/>
              <w:ind w:left="108"/>
              <w:rPr>
                <w:rFonts w:ascii="Times New Roman"/>
                <w:sz w:val="21"/>
              </w:rPr>
            </w:pPr>
            <w:r>
              <w:rPr>
                <w:rFonts w:ascii="Times New Roman"/>
                <w:w w:val="100"/>
                <w:sz w:val="21"/>
              </w:rPr>
              <w:t>T</w:t>
            </w:r>
          </w:p>
        </w:tc>
        <w:tc>
          <w:tcPr>
            <w:tcW w:w="1490" w:type="dxa"/>
          </w:tcPr>
          <w:p>
            <w:pPr>
              <w:pStyle w:val="TableParagraph"/>
              <w:spacing w:line="222" w:lineRule="exact"/>
              <w:ind w:left="108"/>
              <w:rPr>
                <w:rFonts w:ascii="Times New Roman"/>
                <w:sz w:val="21"/>
              </w:rPr>
            </w:pPr>
            <w:r>
              <w:rPr>
                <w:rFonts w:ascii="Times New Roman"/>
                <w:w w:val="100"/>
                <w:sz w:val="21"/>
              </w:rPr>
              <w:t>N</w:t>
            </w:r>
          </w:p>
        </w:tc>
        <w:tc>
          <w:tcPr>
            <w:tcW w:w="1491" w:type="dxa"/>
          </w:tcPr>
          <w:p>
            <w:pPr>
              <w:pStyle w:val="TableParagraph"/>
              <w:spacing w:line="222" w:lineRule="exact"/>
              <w:ind w:left="108"/>
              <w:rPr>
                <w:rFonts w:ascii="Times New Roman"/>
                <w:sz w:val="21"/>
              </w:rPr>
            </w:pPr>
            <w:r>
              <w:rPr>
                <w:rFonts w:ascii="Times New Roman"/>
                <w:w w:val="100"/>
                <w:sz w:val="21"/>
              </w:rPr>
              <w:t>M</w:t>
            </w:r>
          </w:p>
        </w:tc>
      </w:tr>
      <w:tr>
        <w:trPr>
          <w:trHeight w:val="273" w:hRule="atLeast"/>
        </w:trPr>
        <w:tc>
          <w:tcPr>
            <w:tcW w:w="1490" w:type="dxa"/>
          </w:tcPr>
          <w:p>
            <w:pPr>
              <w:pStyle w:val="TableParagraph"/>
              <w:spacing w:line="253" w:lineRule="exact"/>
              <w:ind w:left="107"/>
              <w:rPr>
                <w:sz w:val="21"/>
              </w:rPr>
            </w:pPr>
            <w:r>
              <w:rPr>
                <w:rFonts w:ascii="Times New Roman" w:eastAsia="Times New Roman"/>
                <w:spacing w:val="-4"/>
                <w:sz w:val="21"/>
              </w:rPr>
              <w:t>I</w:t>
            </w:r>
            <w:r>
              <w:rPr>
                <w:spacing w:val="-10"/>
                <w:sz w:val="21"/>
              </w:rPr>
              <w:t>期</w:t>
            </w:r>
          </w:p>
        </w:tc>
        <w:tc>
          <w:tcPr>
            <w:tcW w:w="1493" w:type="dxa"/>
          </w:tcPr>
          <w:p>
            <w:pPr>
              <w:pStyle w:val="TableParagraph"/>
              <w:spacing w:line="253" w:lineRule="exact"/>
              <w:ind w:left="108"/>
              <w:rPr>
                <w:sz w:val="21"/>
              </w:rPr>
            </w:pPr>
            <w:r>
              <w:rPr>
                <w:spacing w:val="-5"/>
                <w:sz w:val="21"/>
              </w:rPr>
              <w:t>任何</w:t>
            </w:r>
          </w:p>
        </w:tc>
        <w:tc>
          <w:tcPr>
            <w:tcW w:w="1490" w:type="dxa"/>
          </w:tcPr>
          <w:p>
            <w:pPr>
              <w:pStyle w:val="TableParagraph"/>
              <w:spacing w:line="253" w:lineRule="exact"/>
              <w:ind w:left="108"/>
              <w:rPr>
                <w:sz w:val="21"/>
              </w:rPr>
            </w:pPr>
            <w:r>
              <w:rPr>
                <w:spacing w:val="-5"/>
                <w:sz w:val="21"/>
              </w:rPr>
              <w:t>任何</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4" w:lineRule="exact"/>
              <w:ind w:left="107"/>
              <w:rPr>
                <w:sz w:val="21"/>
              </w:rPr>
            </w:pPr>
            <w:r>
              <w:rPr>
                <w:rFonts w:ascii="Times New Roman" w:eastAsia="Times New Roman"/>
                <w:spacing w:val="-4"/>
                <w:sz w:val="21"/>
              </w:rPr>
              <w:t>II</w:t>
            </w:r>
            <w:r>
              <w:rPr>
                <w:spacing w:val="-10"/>
                <w:sz w:val="21"/>
              </w:rPr>
              <w:t>期</w:t>
            </w:r>
          </w:p>
        </w:tc>
        <w:tc>
          <w:tcPr>
            <w:tcW w:w="1493" w:type="dxa"/>
          </w:tcPr>
          <w:p>
            <w:pPr>
              <w:pStyle w:val="TableParagraph"/>
              <w:spacing w:line="254" w:lineRule="exact"/>
              <w:ind w:left="108"/>
              <w:rPr>
                <w:sz w:val="21"/>
              </w:rPr>
            </w:pPr>
            <w:r>
              <w:rPr>
                <w:spacing w:val="-5"/>
                <w:sz w:val="21"/>
              </w:rPr>
              <w:t>任何</w:t>
            </w:r>
          </w:p>
        </w:tc>
        <w:tc>
          <w:tcPr>
            <w:tcW w:w="1490" w:type="dxa"/>
          </w:tcPr>
          <w:p>
            <w:pPr>
              <w:pStyle w:val="TableParagraph"/>
              <w:spacing w:line="254" w:lineRule="exact"/>
              <w:ind w:left="108"/>
              <w:rPr>
                <w:sz w:val="21"/>
              </w:rPr>
            </w:pPr>
            <w:r>
              <w:rPr>
                <w:spacing w:val="-5"/>
                <w:sz w:val="21"/>
              </w:rPr>
              <w:t>任何</w:t>
            </w:r>
          </w:p>
        </w:tc>
        <w:tc>
          <w:tcPr>
            <w:tcW w:w="1491" w:type="dxa"/>
          </w:tcPr>
          <w:p>
            <w:pPr>
              <w:pStyle w:val="TableParagraph"/>
              <w:spacing w:before="7"/>
              <w:ind w:left="108"/>
              <w:rPr>
                <w:rFonts w:ascii="Times New Roman"/>
                <w:sz w:val="21"/>
              </w:rPr>
            </w:pPr>
            <w:r>
              <w:rPr>
                <w:rFonts w:ascii="Times New Roman"/>
                <w:w w:val="100"/>
                <w:sz w:val="21"/>
              </w:rPr>
              <w:t>1</w:t>
            </w:r>
          </w:p>
        </w:tc>
      </w:tr>
      <w:tr>
        <w:trPr>
          <w:trHeight w:val="309" w:hRule="atLeast"/>
        </w:trPr>
        <w:tc>
          <w:tcPr>
            <w:tcW w:w="5964" w:type="dxa"/>
            <w:gridSpan w:val="4"/>
          </w:tcPr>
          <w:p>
            <w:pPr>
              <w:pStyle w:val="TableParagraph"/>
              <w:spacing w:line="289" w:lineRule="exact"/>
              <w:ind w:left="107"/>
              <w:rPr>
                <w:sz w:val="21"/>
              </w:rPr>
            </w:pPr>
            <w:r>
              <w:rPr>
                <w:spacing w:val="-2"/>
                <w:sz w:val="21"/>
              </w:rPr>
              <w:t>年龄</w:t>
            </w:r>
            <w:r>
              <w:rPr>
                <w:spacing w:val="-2"/>
                <w:sz w:val="24"/>
              </w:rPr>
              <w:t>≥</w:t>
            </w:r>
            <w:r>
              <w:rPr>
                <w:rFonts w:ascii="Times New Roman" w:hAnsi="Times New Roman" w:eastAsia="Times New Roman"/>
                <w:spacing w:val="-2"/>
                <w:sz w:val="21"/>
              </w:rPr>
              <w:t>55</w:t>
            </w:r>
            <w:r>
              <w:rPr>
                <w:spacing w:val="-10"/>
                <w:sz w:val="21"/>
              </w:rPr>
              <w:t>岁</w:t>
            </w:r>
          </w:p>
        </w:tc>
      </w:tr>
      <w:tr>
        <w:trPr>
          <w:trHeight w:val="273" w:hRule="atLeast"/>
        </w:trPr>
        <w:tc>
          <w:tcPr>
            <w:tcW w:w="1490" w:type="dxa"/>
          </w:tcPr>
          <w:p>
            <w:pPr>
              <w:pStyle w:val="TableParagraph"/>
              <w:spacing w:line="253" w:lineRule="exact"/>
              <w:ind w:left="107"/>
              <w:rPr>
                <w:sz w:val="21"/>
              </w:rPr>
            </w:pPr>
            <w:r>
              <w:rPr>
                <w:rFonts w:ascii="Times New Roman" w:eastAsia="Times New Roman"/>
                <w:spacing w:val="-4"/>
                <w:sz w:val="21"/>
              </w:rPr>
              <w:t>I</w:t>
            </w:r>
            <w:r>
              <w:rPr>
                <w:spacing w:val="-10"/>
                <w:sz w:val="21"/>
              </w:rPr>
              <w:t>期</w:t>
            </w:r>
          </w:p>
        </w:tc>
        <w:tc>
          <w:tcPr>
            <w:tcW w:w="1493" w:type="dxa"/>
          </w:tcPr>
          <w:p>
            <w:pPr>
              <w:pStyle w:val="TableParagraph"/>
              <w:spacing w:before="6"/>
              <w:ind w:left="108"/>
              <w:rPr>
                <w:rFonts w:ascii="Times New Roman"/>
                <w:sz w:val="21"/>
              </w:rPr>
            </w:pPr>
            <w:r>
              <w:rPr>
                <w:rFonts w:ascii="Times New Roman"/>
                <w:w w:val="100"/>
                <w:sz w:val="21"/>
              </w:rPr>
              <w:t>1</w:t>
            </w:r>
          </w:p>
        </w:tc>
        <w:tc>
          <w:tcPr>
            <w:tcW w:w="1490" w:type="dxa"/>
          </w:tcPr>
          <w:p>
            <w:pPr>
              <w:pStyle w:val="TableParagraph"/>
              <w:spacing w:before="6"/>
              <w:ind w:left="108"/>
              <w:rPr>
                <w:rFonts w:ascii="Times New Roman"/>
                <w:sz w:val="21"/>
              </w:rPr>
            </w:pPr>
            <w:r>
              <w:rPr>
                <w:rFonts w:ascii="Times New Roman"/>
                <w:spacing w:val="-5"/>
                <w:sz w:val="21"/>
              </w:rPr>
              <w:t>0/x</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44" w:hRule="atLeast"/>
        </w:trPr>
        <w:tc>
          <w:tcPr>
            <w:tcW w:w="1490" w:type="dxa"/>
          </w:tcPr>
          <w:p>
            <w:pPr>
              <w:pStyle w:val="TableParagraph"/>
              <w:rPr>
                <w:rFonts w:ascii="Times New Roman"/>
                <w:sz w:val="16"/>
              </w:rPr>
            </w:pPr>
          </w:p>
        </w:tc>
        <w:tc>
          <w:tcPr>
            <w:tcW w:w="1493" w:type="dxa"/>
          </w:tcPr>
          <w:p>
            <w:pPr>
              <w:pStyle w:val="TableParagraph"/>
              <w:spacing w:line="224" w:lineRule="exact"/>
              <w:ind w:left="108"/>
              <w:rPr>
                <w:rFonts w:ascii="Times New Roman"/>
                <w:sz w:val="21"/>
              </w:rPr>
            </w:pPr>
            <w:r>
              <w:rPr>
                <w:rFonts w:ascii="Times New Roman"/>
                <w:w w:val="100"/>
                <w:sz w:val="21"/>
              </w:rPr>
              <w:t>2</w:t>
            </w:r>
          </w:p>
        </w:tc>
        <w:tc>
          <w:tcPr>
            <w:tcW w:w="1490" w:type="dxa"/>
          </w:tcPr>
          <w:p>
            <w:pPr>
              <w:pStyle w:val="TableParagraph"/>
              <w:spacing w:line="224" w:lineRule="exact"/>
              <w:ind w:left="108"/>
              <w:rPr>
                <w:rFonts w:ascii="Times New Roman"/>
                <w:sz w:val="21"/>
              </w:rPr>
            </w:pPr>
            <w:r>
              <w:rPr>
                <w:rFonts w:ascii="Times New Roman"/>
                <w:spacing w:val="-5"/>
                <w:sz w:val="21"/>
              </w:rPr>
              <w:t>0/x</w:t>
            </w:r>
          </w:p>
        </w:tc>
        <w:tc>
          <w:tcPr>
            <w:tcW w:w="1491" w:type="dxa"/>
          </w:tcPr>
          <w:p>
            <w:pPr>
              <w:pStyle w:val="TableParagraph"/>
              <w:spacing w:line="224" w:lineRule="exact"/>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3" w:lineRule="exact"/>
              <w:ind w:left="107"/>
              <w:rPr>
                <w:sz w:val="21"/>
              </w:rPr>
            </w:pPr>
            <w:r>
              <w:rPr>
                <w:rFonts w:ascii="Times New Roman" w:eastAsia="Times New Roman"/>
                <w:spacing w:val="-4"/>
                <w:sz w:val="21"/>
              </w:rPr>
              <w:t>II</w:t>
            </w:r>
            <w:r>
              <w:rPr>
                <w:spacing w:val="-10"/>
                <w:sz w:val="21"/>
              </w:rPr>
              <w:t>期</w:t>
            </w:r>
          </w:p>
        </w:tc>
        <w:tc>
          <w:tcPr>
            <w:tcW w:w="1493" w:type="dxa"/>
          </w:tcPr>
          <w:p>
            <w:pPr>
              <w:pStyle w:val="TableParagraph"/>
              <w:spacing w:before="6"/>
              <w:ind w:left="108"/>
              <w:rPr>
                <w:rFonts w:ascii="Times New Roman"/>
                <w:sz w:val="21"/>
              </w:rPr>
            </w:pPr>
            <w:r>
              <w:rPr>
                <w:rFonts w:ascii="Times New Roman"/>
                <w:spacing w:val="-5"/>
                <w:sz w:val="21"/>
              </w:rPr>
              <w:t>1~2</w:t>
            </w:r>
          </w:p>
        </w:tc>
        <w:tc>
          <w:tcPr>
            <w:tcW w:w="1490" w:type="dxa"/>
          </w:tcPr>
          <w:p>
            <w:pPr>
              <w:pStyle w:val="TableParagraph"/>
              <w:spacing w:before="6"/>
              <w:ind w:left="108"/>
              <w:rPr>
                <w:rFonts w:ascii="Times New Roman"/>
                <w:sz w:val="21"/>
              </w:rPr>
            </w:pPr>
            <w:r>
              <w:rPr>
                <w:rFonts w:ascii="Times New Roman"/>
                <w:w w:val="100"/>
                <w:sz w:val="21"/>
              </w:rPr>
              <w:t>1</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70" w:hRule="atLeast"/>
        </w:trPr>
        <w:tc>
          <w:tcPr>
            <w:tcW w:w="1490" w:type="dxa"/>
          </w:tcPr>
          <w:p>
            <w:pPr>
              <w:pStyle w:val="TableParagraph"/>
              <w:rPr>
                <w:rFonts w:ascii="Times New Roman"/>
                <w:sz w:val="20"/>
              </w:rPr>
            </w:pPr>
          </w:p>
        </w:tc>
        <w:tc>
          <w:tcPr>
            <w:tcW w:w="1493" w:type="dxa"/>
          </w:tcPr>
          <w:p>
            <w:pPr>
              <w:pStyle w:val="TableParagraph"/>
              <w:spacing w:before="4"/>
              <w:ind w:left="108"/>
              <w:rPr>
                <w:rFonts w:ascii="Times New Roman"/>
                <w:sz w:val="21"/>
              </w:rPr>
            </w:pPr>
            <w:r>
              <w:rPr>
                <w:rFonts w:ascii="Times New Roman"/>
                <w:spacing w:val="-2"/>
                <w:sz w:val="21"/>
              </w:rPr>
              <w:t>3a~3b</w:t>
            </w:r>
          </w:p>
        </w:tc>
        <w:tc>
          <w:tcPr>
            <w:tcW w:w="1490" w:type="dxa"/>
          </w:tcPr>
          <w:p>
            <w:pPr>
              <w:pStyle w:val="TableParagraph"/>
              <w:spacing w:line="251" w:lineRule="exact"/>
              <w:ind w:left="108"/>
              <w:rPr>
                <w:sz w:val="21"/>
              </w:rPr>
            </w:pPr>
            <w:r>
              <w:rPr>
                <w:spacing w:val="-5"/>
                <w:sz w:val="21"/>
              </w:rPr>
              <w:t>任何</w:t>
            </w:r>
          </w:p>
        </w:tc>
        <w:tc>
          <w:tcPr>
            <w:tcW w:w="1491" w:type="dxa"/>
          </w:tcPr>
          <w:p>
            <w:pPr>
              <w:pStyle w:val="TableParagraph"/>
              <w:spacing w:before="4"/>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3" w:lineRule="exact"/>
              <w:ind w:left="107"/>
              <w:rPr>
                <w:sz w:val="21"/>
              </w:rPr>
            </w:pPr>
            <w:r>
              <w:rPr>
                <w:rFonts w:ascii="Times New Roman" w:eastAsia="Times New Roman"/>
                <w:spacing w:val="-2"/>
                <w:sz w:val="21"/>
              </w:rPr>
              <w:t>III</w:t>
            </w:r>
            <w:r>
              <w:rPr>
                <w:spacing w:val="-10"/>
                <w:sz w:val="21"/>
              </w:rPr>
              <w:t>期</w:t>
            </w:r>
          </w:p>
        </w:tc>
        <w:tc>
          <w:tcPr>
            <w:tcW w:w="1493" w:type="dxa"/>
          </w:tcPr>
          <w:p>
            <w:pPr>
              <w:pStyle w:val="TableParagraph"/>
              <w:spacing w:before="6"/>
              <w:ind w:left="108"/>
              <w:rPr>
                <w:rFonts w:ascii="Times New Roman"/>
                <w:sz w:val="21"/>
              </w:rPr>
            </w:pPr>
            <w:r>
              <w:rPr>
                <w:rFonts w:ascii="Times New Roman"/>
                <w:spacing w:val="-5"/>
                <w:sz w:val="21"/>
              </w:rPr>
              <w:t>4a</w:t>
            </w:r>
          </w:p>
        </w:tc>
        <w:tc>
          <w:tcPr>
            <w:tcW w:w="1490" w:type="dxa"/>
          </w:tcPr>
          <w:p>
            <w:pPr>
              <w:pStyle w:val="TableParagraph"/>
              <w:spacing w:line="253" w:lineRule="exact"/>
              <w:ind w:left="108"/>
              <w:rPr>
                <w:sz w:val="21"/>
              </w:rPr>
            </w:pPr>
            <w:r>
              <w:rPr>
                <w:spacing w:val="-5"/>
                <w:sz w:val="21"/>
              </w:rPr>
              <w:t>任何</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3" w:lineRule="exact"/>
              <w:ind w:left="107"/>
              <w:rPr>
                <w:sz w:val="21"/>
              </w:rPr>
            </w:pPr>
            <w:r>
              <w:rPr>
                <w:rFonts w:ascii="Times New Roman" w:eastAsia="Times New Roman"/>
                <w:spacing w:val="-2"/>
                <w:sz w:val="21"/>
              </w:rPr>
              <w:t>IV</w:t>
            </w:r>
            <w:r>
              <w:rPr>
                <w:rFonts w:ascii="Times New Roman" w:eastAsia="Times New Roman"/>
                <w:spacing w:val="-13"/>
                <w:sz w:val="21"/>
              </w:rPr>
              <w:t> </w:t>
            </w:r>
            <w:r>
              <w:rPr>
                <w:rFonts w:ascii="Times New Roman" w:eastAsia="Times New Roman"/>
                <w:spacing w:val="-2"/>
                <w:sz w:val="21"/>
              </w:rPr>
              <w:t>A</w:t>
            </w:r>
            <w:r>
              <w:rPr>
                <w:spacing w:val="-10"/>
                <w:sz w:val="21"/>
              </w:rPr>
              <w:t>期</w:t>
            </w:r>
          </w:p>
        </w:tc>
        <w:tc>
          <w:tcPr>
            <w:tcW w:w="1493" w:type="dxa"/>
          </w:tcPr>
          <w:p>
            <w:pPr>
              <w:pStyle w:val="TableParagraph"/>
              <w:spacing w:before="4"/>
              <w:ind w:left="108"/>
              <w:rPr>
                <w:rFonts w:ascii="Times New Roman"/>
                <w:sz w:val="21"/>
              </w:rPr>
            </w:pPr>
            <w:r>
              <w:rPr>
                <w:rFonts w:ascii="Times New Roman"/>
                <w:spacing w:val="-5"/>
                <w:sz w:val="21"/>
              </w:rPr>
              <w:t>4b</w:t>
            </w:r>
          </w:p>
        </w:tc>
        <w:tc>
          <w:tcPr>
            <w:tcW w:w="1490" w:type="dxa"/>
          </w:tcPr>
          <w:p>
            <w:pPr>
              <w:pStyle w:val="TableParagraph"/>
              <w:spacing w:line="253" w:lineRule="exact"/>
              <w:ind w:left="108"/>
              <w:rPr>
                <w:sz w:val="21"/>
              </w:rPr>
            </w:pPr>
            <w:r>
              <w:rPr>
                <w:spacing w:val="-5"/>
                <w:sz w:val="21"/>
              </w:rPr>
              <w:t>任何</w:t>
            </w:r>
          </w:p>
        </w:tc>
        <w:tc>
          <w:tcPr>
            <w:tcW w:w="1491" w:type="dxa"/>
          </w:tcPr>
          <w:p>
            <w:pPr>
              <w:pStyle w:val="TableParagraph"/>
              <w:spacing w:before="4"/>
              <w:ind w:left="108"/>
              <w:rPr>
                <w:rFonts w:ascii="Times New Roman"/>
                <w:sz w:val="21"/>
              </w:rPr>
            </w:pPr>
            <w:r>
              <w:rPr>
                <w:rFonts w:ascii="Times New Roman"/>
                <w:w w:val="100"/>
                <w:sz w:val="21"/>
              </w:rPr>
              <w:t>0</w:t>
            </w:r>
          </w:p>
        </w:tc>
      </w:tr>
      <w:tr>
        <w:trPr>
          <w:trHeight w:val="270" w:hRule="atLeast"/>
        </w:trPr>
        <w:tc>
          <w:tcPr>
            <w:tcW w:w="1490" w:type="dxa"/>
          </w:tcPr>
          <w:p>
            <w:pPr>
              <w:pStyle w:val="TableParagraph"/>
              <w:spacing w:line="251" w:lineRule="exact"/>
              <w:ind w:left="107"/>
              <w:rPr>
                <w:sz w:val="21"/>
              </w:rPr>
            </w:pPr>
            <w:r>
              <w:rPr>
                <w:rFonts w:ascii="Times New Roman" w:eastAsia="Times New Roman"/>
                <w:sz w:val="21"/>
              </w:rPr>
              <w:t>IV</w:t>
            </w:r>
            <w:r>
              <w:rPr>
                <w:rFonts w:ascii="Times New Roman" w:eastAsia="Times New Roman"/>
                <w:spacing w:val="-8"/>
                <w:sz w:val="21"/>
              </w:rPr>
              <w:t> </w:t>
            </w:r>
            <w:r>
              <w:rPr>
                <w:rFonts w:ascii="Times New Roman" w:eastAsia="Times New Roman"/>
                <w:sz w:val="21"/>
              </w:rPr>
              <w:t>B</w:t>
            </w:r>
            <w:r>
              <w:rPr>
                <w:spacing w:val="-10"/>
                <w:sz w:val="21"/>
              </w:rPr>
              <w:t>期</w:t>
            </w:r>
          </w:p>
        </w:tc>
        <w:tc>
          <w:tcPr>
            <w:tcW w:w="1493" w:type="dxa"/>
          </w:tcPr>
          <w:p>
            <w:pPr>
              <w:pStyle w:val="TableParagraph"/>
              <w:spacing w:line="251" w:lineRule="exact"/>
              <w:ind w:left="108"/>
              <w:rPr>
                <w:sz w:val="21"/>
              </w:rPr>
            </w:pPr>
            <w:r>
              <w:rPr>
                <w:spacing w:val="-5"/>
                <w:sz w:val="21"/>
              </w:rPr>
              <w:t>任何</w:t>
            </w:r>
          </w:p>
        </w:tc>
        <w:tc>
          <w:tcPr>
            <w:tcW w:w="1490" w:type="dxa"/>
          </w:tcPr>
          <w:p>
            <w:pPr>
              <w:pStyle w:val="TableParagraph"/>
              <w:spacing w:line="251" w:lineRule="exact"/>
              <w:ind w:left="108"/>
              <w:rPr>
                <w:sz w:val="21"/>
              </w:rPr>
            </w:pPr>
            <w:r>
              <w:rPr>
                <w:spacing w:val="-5"/>
                <w:sz w:val="21"/>
              </w:rPr>
              <w:t>任何</w:t>
            </w:r>
          </w:p>
        </w:tc>
        <w:tc>
          <w:tcPr>
            <w:tcW w:w="1491" w:type="dxa"/>
          </w:tcPr>
          <w:p>
            <w:pPr>
              <w:pStyle w:val="TableParagraph"/>
              <w:spacing w:before="4"/>
              <w:ind w:left="108"/>
              <w:rPr>
                <w:rFonts w:ascii="Times New Roman"/>
                <w:sz w:val="21"/>
              </w:rPr>
            </w:pPr>
            <w:r>
              <w:rPr>
                <w:rFonts w:ascii="Times New Roman"/>
                <w:w w:val="100"/>
                <w:sz w:val="21"/>
              </w:rPr>
              <w:t>1</w:t>
            </w:r>
          </w:p>
        </w:tc>
      </w:tr>
      <w:tr>
        <w:trPr>
          <w:trHeight w:val="273" w:hRule="atLeast"/>
        </w:trPr>
        <w:tc>
          <w:tcPr>
            <w:tcW w:w="5964" w:type="dxa"/>
            <w:gridSpan w:val="4"/>
          </w:tcPr>
          <w:p>
            <w:pPr>
              <w:pStyle w:val="TableParagraph"/>
              <w:spacing w:line="253" w:lineRule="exact"/>
              <w:ind w:left="107"/>
              <w:rPr>
                <w:sz w:val="21"/>
              </w:rPr>
            </w:pPr>
            <w:r>
              <w:rPr>
                <w:spacing w:val="-2"/>
                <w:sz w:val="21"/>
              </w:rPr>
              <w:t>髓样癌（所有年龄组</w:t>
            </w:r>
            <w:r>
              <w:rPr>
                <w:spacing w:val="-10"/>
                <w:sz w:val="21"/>
              </w:rPr>
              <w:t>）</w:t>
            </w:r>
          </w:p>
        </w:tc>
      </w:tr>
      <w:tr>
        <w:trPr>
          <w:trHeight w:val="270" w:hRule="atLeast"/>
        </w:trPr>
        <w:tc>
          <w:tcPr>
            <w:tcW w:w="1490" w:type="dxa"/>
          </w:tcPr>
          <w:p>
            <w:pPr>
              <w:pStyle w:val="TableParagraph"/>
              <w:spacing w:line="251" w:lineRule="exact"/>
              <w:ind w:left="107"/>
              <w:rPr>
                <w:sz w:val="21"/>
              </w:rPr>
            </w:pPr>
            <w:r>
              <w:rPr>
                <w:rFonts w:ascii="Times New Roman" w:eastAsia="Times New Roman"/>
                <w:spacing w:val="-4"/>
                <w:sz w:val="21"/>
              </w:rPr>
              <w:t>I</w:t>
            </w:r>
            <w:r>
              <w:rPr>
                <w:spacing w:val="-10"/>
                <w:sz w:val="21"/>
              </w:rPr>
              <w:t>期</w:t>
            </w:r>
          </w:p>
        </w:tc>
        <w:tc>
          <w:tcPr>
            <w:tcW w:w="1493" w:type="dxa"/>
          </w:tcPr>
          <w:p>
            <w:pPr>
              <w:pStyle w:val="TableParagraph"/>
              <w:spacing w:before="4"/>
              <w:ind w:left="108"/>
              <w:rPr>
                <w:rFonts w:ascii="Times New Roman"/>
                <w:sz w:val="21"/>
              </w:rPr>
            </w:pPr>
            <w:r>
              <w:rPr>
                <w:rFonts w:ascii="Times New Roman"/>
                <w:w w:val="100"/>
                <w:sz w:val="21"/>
              </w:rPr>
              <w:t>1</w:t>
            </w:r>
          </w:p>
        </w:tc>
        <w:tc>
          <w:tcPr>
            <w:tcW w:w="1490" w:type="dxa"/>
          </w:tcPr>
          <w:p>
            <w:pPr>
              <w:pStyle w:val="TableParagraph"/>
              <w:spacing w:before="4"/>
              <w:ind w:left="108"/>
              <w:rPr>
                <w:rFonts w:ascii="Times New Roman"/>
                <w:sz w:val="21"/>
              </w:rPr>
            </w:pPr>
            <w:r>
              <w:rPr>
                <w:rFonts w:ascii="Times New Roman"/>
                <w:w w:val="100"/>
                <w:sz w:val="21"/>
              </w:rPr>
              <w:t>0</w:t>
            </w:r>
          </w:p>
        </w:tc>
        <w:tc>
          <w:tcPr>
            <w:tcW w:w="1491" w:type="dxa"/>
          </w:tcPr>
          <w:p>
            <w:pPr>
              <w:pStyle w:val="TableParagraph"/>
              <w:spacing w:before="4"/>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3" w:lineRule="exact"/>
              <w:ind w:left="107"/>
              <w:rPr>
                <w:sz w:val="21"/>
              </w:rPr>
            </w:pPr>
            <w:r>
              <w:rPr>
                <w:rFonts w:ascii="Times New Roman" w:eastAsia="Times New Roman"/>
                <w:spacing w:val="-4"/>
                <w:sz w:val="21"/>
              </w:rPr>
              <w:t>II</w:t>
            </w:r>
            <w:r>
              <w:rPr>
                <w:spacing w:val="-10"/>
                <w:sz w:val="21"/>
              </w:rPr>
              <w:t>期</w:t>
            </w:r>
          </w:p>
        </w:tc>
        <w:tc>
          <w:tcPr>
            <w:tcW w:w="1493" w:type="dxa"/>
          </w:tcPr>
          <w:p>
            <w:pPr>
              <w:pStyle w:val="TableParagraph"/>
              <w:spacing w:before="6"/>
              <w:ind w:left="108"/>
              <w:rPr>
                <w:rFonts w:ascii="Times New Roman"/>
                <w:sz w:val="21"/>
              </w:rPr>
            </w:pPr>
            <w:r>
              <w:rPr>
                <w:rFonts w:ascii="Times New Roman"/>
                <w:spacing w:val="-5"/>
                <w:sz w:val="21"/>
              </w:rPr>
              <w:t>2~3</w:t>
            </w:r>
          </w:p>
        </w:tc>
        <w:tc>
          <w:tcPr>
            <w:tcW w:w="1490" w:type="dxa"/>
          </w:tcPr>
          <w:p>
            <w:pPr>
              <w:pStyle w:val="TableParagraph"/>
              <w:spacing w:before="6"/>
              <w:ind w:left="108"/>
              <w:rPr>
                <w:rFonts w:ascii="Times New Roman"/>
                <w:sz w:val="21"/>
              </w:rPr>
            </w:pPr>
            <w:r>
              <w:rPr>
                <w:rFonts w:ascii="Times New Roman"/>
                <w:w w:val="100"/>
                <w:sz w:val="21"/>
              </w:rPr>
              <w:t>0</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3" w:lineRule="exact"/>
              <w:ind w:left="107"/>
              <w:rPr>
                <w:sz w:val="21"/>
              </w:rPr>
            </w:pPr>
            <w:r>
              <w:rPr>
                <w:rFonts w:ascii="Times New Roman" w:eastAsia="Times New Roman"/>
                <w:spacing w:val="-2"/>
                <w:sz w:val="21"/>
              </w:rPr>
              <w:t>III</w:t>
            </w:r>
            <w:r>
              <w:rPr>
                <w:spacing w:val="-10"/>
                <w:sz w:val="21"/>
              </w:rPr>
              <w:t>期</w:t>
            </w:r>
          </w:p>
        </w:tc>
        <w:tc>
          <w:tcPr>
            <w:tcW w:w="1493" w:type="dxa"/>
          </w:tcPr>
          <w:p>
            <w:pPr>
              <w:pStyle w:val="TableParagraph"/>
              <w:spacing w:before="6"/>
              <w:ind w:left="108"/>
              <w:rPr>
                <w:rFonts w:ascii="Times New Roman"/>
                <w:sz w:val="21"/>
              </w:rPr>
            </w:pPr>
            <w:r>
              <w:rPr>
                <w:rFonts w:ascii="Times New Roman"/>
                <w:spacing w:val="-5"/>
                <w:sz w:val="21"/>
              </w:rPr>
              <w:t>1~3</w:t>
            </w:r>
          </w:p>
        </w:tc>
        <w:tc>
          <w:tcPr>
            <w:tcW w:w="1490" w:type="dxa"/>
          </w:tcPr>
          <w:p>
            <w:pPr>
              <w:pStyle w:val="TableParagraph"/>
              <w:spacing w:before="6"/>
              <w:ind w:left="108"/>
              <w:rPr>
                <w:rFonts w:ascii="Times New Roman"/>
                <w:sz w:val="21"/>
              </w:rPr>
            </w:pPr>
            <w:r>
              <w:rPr>
                <w:rFonts w:ascii="Times New Roman"/>
                <w:spacing w:val="-5"/>
                <w:sz w:val="21"/>
              </w:rPr>
              <w:t>1a</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71" w:hRule="atLeast"/>
        </w:trPr>
        <w:tc>
          <w:tcPr>
            <w:tcW w:w="1490" w:type="dxa"/>
          </w:tcPr>
          <w:p>
            <w:pPr>
              <w:pStyle w:val="TableParagraph"/>
              <w:spacing w:line="251" w:lineRule="exact"/>
              <w:ind w:left="107"/>
              <w:rPr>
                <w:sz w:val="21"/>
              </w:rPr>
            </w:pPr>
            <w:r>
              <w:rPr>
                <w:rFonts w:ascii="Times New Roman" w:eastAsia="Times New Roman"/>
                <w:spacing w:val="-2"/>
                <w:sz w:val="21"/>
              </w:rPr>
              <w:t>IV</w:t>
            </w:r>
            <w:r>
              <w:rPr>
                <w:rFonts w:ascii="Times New Roman" w:eastAsia="Times New Roman"/>
                <w:spacing w:val="-13"/>
                <w:sz w:val="21"/>
              </w:rPr>
              <w:t> </w:t>
            </w:r>
            <w:r>
              <w:rPr>
                <w:rFonts w:ascii="Times New Roman" w:eastAsia="Times New Roman"/>
                <w:spacing w:val="-2"/>
                <w:sz w:val="21"/>
              </w:rPr>
              <w:t>A</w:t>
            </w:r>
            <w:r>
              <w:rPr>
                <w:spacing w:val="-10"/>
                <w:sz w:val="21"/>
              </w:rPr>
              <w:t>期</w:t>
            </w:r>
          </w:p>
        </w:tc>
        <w:tc>
          <w:tcPr>
            <w:tcW w:w="1493" w:type="dxa"/>
          </w:tcPr>
          <w:p>
            <w:pPr>
              <w:pStyle w:val="TableParagraph"/>
              <w:spacing w:before="4"/>
              <w:ind w:left="108"/>
              <w:rPr>
                <w:rFonts w:ascii="Times New Roman"/>
                <w:sz w:val="21"/>
              </w:rPr>
            </w:pPr>
            <w:r>
              <w:rPr>
                <w:rFonts w:ascii="Times New Roman"/>
                <w:spacing w:val="-5"/>
                <w:sz w:val="21"/>
              </w:rPr>
              <w:t>4a</w:t>
            </w:r>
          </w:p>
        </w:tc>
        <w:tc>
          <w:tcPr>
            <w:tcW w:w="1490" w:type="dxa"/>
          </w:tcPr>
          <w:p>
            <w:pPr>
              <w:pStyle w:val="TableParagraph"/>
              <w:spacing w:line="251" w:lineRule="exact"/>
              <w:ind w:left="108"/>
              <w:rPr>
                <w:sz w:val="21"/>
              </w:rPr>
            </w:pPr>
            <w:r>
              <w:rPr>
                <w:spacing w:val="-5"/>
                <w:sz w:val="21"/>
              </w:rPr>
              <w:t>任何</w:t>
            </w:r>
          </w:p>
        </w:tc>
        <w:tc>
          <w:tcPr>
            <w:tcW w:w="1491" w:type="dxa"/>
          </w:tcPr>
          <w:p>
            <w:pPr>
              <w:pStyle w:val="TableParagraph"/>
              <w:spacing w:before="4"/>
              <w:ind w:left="108"/>
              <w:rPr>
                <w:rFonts w:ascii="Times New Roman"/>
                <w:sz w:val="21"/>
              </w:rPr>
            </w:pPr>
            <w:r>
              <w:rPr>
                <w:rFonts w:ascii="Times New Roman"/>
                <w:w w:val="100"/>
                <w:sz w:val="21"/>
              </w:rPr>
              <w:t>0</w:t>
            </w:r>
          </w:p>
        </w:tc>
      </w:tr>
      <w:tr>
        <w:trPr>
          <w:trHeight w:val="244" w:hRule="atLeast"/>
        </w:trPr>
        <w:tc>
          <w:tcPr>
            <w:tcW w:w="1490" w:type="dxa"/>
          </w:tcPr>
          <w:p>
            <w:pPr>
              <w:pStyle w:val="TableParagraph"/>
              <w:rPr>
                <w:rFonts w:ascii="Times New Roman"/>
                <w:sz w:val="16"/>
              </w:rPr>
            </w:pPr>
          </w:p>
        </w:tc>
        <w:tc>
          <w:tcPr>
            <w:tcW w:w="1493" w:type="dxa"/>
          </w:tcPr>
          <w:p>
            <w:pPr>
              <w:pStyle w:val="TableParagraph"/>
              <w:spacing w:line="224" w:lineRule="exact"/>
              <w:ind w:left="108"/>
              <w:rPr>
                <w:rFonts w:ascii="Times New Roman"/>
                <w:sz w:val="21"/>
              </w:rPr>
            </w:pPr>
            <w:r>
              <w:rPr>
                <w:rFonts w:ascii="Times New Roman"/>
                <w:spacing w:val="-5"/>
                <w:sz w:val="21"/>
              </w:rPr>
              <w:t>1~3</w:t>
            </w:r>
          </w:p>
        </w:tc>
        <w:tc>
          <w:tcPr>
            <w:tcW w:w="1490" w:type="dxa"/>
          </w:tcPr>
          <w:p>
            <w:pPr>
              <w:pStyle w:val="TableParagraph"/>
              <w:spacing w:line="224" w:lineRule="exact"/>
              <w:ind w:left="108"/>
              <w:rPr>
                <w:rFonts w:ascii="Times New Roman"/>
                <w:sz w:val="21"/>
              </w:rPr>
            </w:pPr>
            <w:r>
              <w:rPr>
                <w:rFonts w:ascii="Times New Roman"/>
                <w:spacing w:val="-5"/>
                <w:sz w:val="21"/>
              </w:rPr>
              <w:t>1b</w:t>
            </w:r>
          </w:p>
        </w:tc>
        <w:tc>
          <w:tcPr>
            <w:tcW w:w="1491" w:type="dxa"/>
          </w:tcPr>
          <w:p>
            <w:pPr>
              <w:pStyle w:val="TableParagraph"/>
              <w:spacing w:line="224" w:lineRule="exact"/>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3" w:lineRule="exact"/>
              <w:ind w:left="107"/>
              <w:rPr>
                <w:sz w:val="21"/>
              </w:rPr>
            </w:pPr>
            <w:r>
              <w:rPr>
                <w:rFonts w:ascii="Times New Roman" w:eastAsia="Times New Roman"/>
                <w:sz w:val="21"/>
              </w:rPr>
              <w:t>IV</w:t>
            </w:r>
            <w:r>
              <w:rPr>
                <w:rFonts w:ascii="Times New Roman" w:eastAsia="Times New Roman"/>
                <w:spacing w:val="-8"/>
                <w:sz w:val="21"/>
              </w:rPr>
              <w:t> </w:t>
            </w:r>
            <w:r>
              <w:rPr>
                <w:rFonts w:ascii="Times New Roman" w:eastAsia="Times New Roman"/>
                <w:sz w:val="21"/>
              </w:rPr>
              <w:t>B</w:t>
            </w:r>
            <w:r>
              <w:rPr>
                <w:spacing w:val="-10"/>
                <w:sz w:val="21"/>
              </w:rPr>
              <w:t>期</w:t>
            </w:r>
          </w:p>
        </w:tc>
        <w:tc>
          <w:tcPr>
            <w:tcW w:w="1493" w:type="dxa"/>
          </w:tcPr>
          <w:p>
            <w:pPr>
              <w:pStyle w:val="TableParagraph"/>
              <w:spacing w:before="6"/>
              <w:ind w:left="108"/>
              <w:rPr>
                <w:rFonts w:ascii="Times New Roman"/>
                <w:sz w:val="21"/>
              </w:rPr>
            </w:pPr>
            <w:r>
              <w:rPr>
                <w:rFonts w:ascii="Times New Roman"/>
                <w:spacing w:val="-5"/>
                <w:sz w:val="21"/>
              </w:rPr>
              <w:t>4b</w:t>
            </w:r>
          </w:p>
        </w:tc>
        <w:tc>
          <w:tcPr>
            <w:tcW w:w="1490" w:type="dxa"/>
          </w:tcPr>
          <w:p>
            <w:pPr>
              <w:pStyle w:val="TableParagraph"/>
              <w:spacing w:line="253" w:lineRule="exact"/>
              <w:ind w:left="108"/>
              <w:rPr>
                <w:sz w:val="21"/>
              </w:rPr>
            </w:pPr>
            <w:r>
              <w:rPr>
                <w:spacing w:val="-5"/>
                <w:sz w:val="21"/>
              </w:rPr>
              <w:t>任何</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3" w:lineRule="exact"/>
              <w:ind w:left="107"/>
              <w:rPr>
                <w:sz w:val="21"/>
              </w:rPr>
            </w:pPr>
            <w:r>
              <w:rPr>
                <w:rFonts w:ascii="Times New Roman" w:eastAsia="Times New Roman"/>
                <w:sz w:val="21"/>
              </w:rPr>
              <w:t>IV</w:t>
            </w:r>
            <w:r>
              <w:rPr>
                <w:rFonts w:ascii="Times New Roman" w:eastAsia="Times New Roman"/>
                <w:spacing w:val="-8"/>
                <w:sz w:val="21"/>
              </w:rPr>
              <w:t> </w:t>
            </w:r>
            <w:r>
              <w:rPr>
                <w:rFonts w:ascii="Times New Roman" w:eastAsia="Times New Roman"/>
                <w:sz w:val="21"/>
              </w:rPr>
              <w:t>C</w:t>
            </w:r>
            <w:r>
              <w:rPr>
                <w:spacing w:val="-10"/>
                <w:sz w:val="21"/>
              </w:rPr>
              <w:t>期</w:t>
            </w:r>
          </w:p>
        </w:tc>
        <w:tc>
          <w:tcPr>
            <w:tcW w:w="1493" w:type="dxa"/>
          </w:tcPr>
          <w:p>
            <w:pPr>
              <w:pStyle w:val="TableParagraph"/>
              <w:spacing w:line="253" w:lineRule="exact"/>
              <w:ind w:left="108"/>
              <w:rPr>
                <w:sz w:val="21"/>
              </w:rPr>
            </w:pPr>
            <w:r>
              <w:rPr>
                <w:spacing w:val="-5"/>
                <w:sz w:val="21"/>
              </w:rPr>
              <w:t>任何</w:t>
            </w:r>
          </w:p>
        </w:tc>
        <w:tc>
          <w:tcPr>
            <w:tcW w:w="1490" w:type="dxa"/>
          </w:tcPr>
          <w:p>
            <w:pPr>
              <w:pStyle w:val="TableParagraph"/>
              <w:spacing w:line="253" w:lineRule="exact"/>
              <w:ind w:left="108"/>
              <w:rPr>
                <w:sz w:val="21"/>
              </w:rPr>
            </w:pPr>
            <w:r>
              <w:rPr>
                <w:spacing w:val="-5"/>
                <w:sz w:val="21"/>
              </w:rPr>
              <w:t>任何</w:t>
            </w:r>
          </w:p>
        </w:tc>
        <w:tc>
          <w:tcPr>
            <w:tcW w:w="1491" w:type="dxa"/>
          </w:tcPr>
          <w:p>
            <w:pPr>
              <w:pStyle w:val="TableParagraph"/>
              <w:spacing w:before="4"/>
              <w:ind w:left="108"/>
              <w:rPr>
                <w:rFonts w:ascii="Times New Roman"/>
                <w:sz w:val="21"/>
              </w:rPr>
            </w:pPr>
            <w:r>
              <w:rPr>
                <w:rFonts w:ascii="Times New Roman"/>
                <w:w w:val="100"/>
                <w:sz w:val="21"/>
              </w:rPr>
              <w:t>1</w:t>
            </w:r>
          </w:p>
        </w:tc>
      </w:tr>
      <w:tr>
        <w:trPr>
          <w:trHeight w:val="270" w:hRule="atLeast"/>
        </w:trPr>
        <w:tc>
          <w:tcPr>
            <w:tcW w:w="5964" w:type="dxa"/>
            <w:gridSpan w:val="4"/>
          </w:tcPr>
          <w:p>
            <w:pPr>
              <w:pStyle w:val="TableParagraph"/>
              <w:spacing w:line="251" w:lineRule="exact"/>
              <w:ind w:left="107"/>
              <w:rPr>
                <w:sz w:val="21"/>
              </w:rPr>
            </w:pPr>
            <w:r>
              <w:rPr>
                <w:spacing w:val="-2"/>
                <w:sz w:val="21"/>
              </w:rPr>
              <w:t>未分化癌（所有年龄组</w:t>
            </w:r>
            <w:r>
              <w:rPr>
                <w:spacing w:val="-10"/>
                <w:sz w:val="21"/>
              </w:rPr>
              <w:t>）</w:t>
            </w:r>
          </w:p>
        </w:tc>
      </w:tr>
      <w:tr>
        <w:trPr>
          <w:trHeight w:val="273" w:hRule="atLeast"/>
        </w:trPr>
        <w:tc>
          <w:tcPr>
            <w:tcW w:w="1490" w:type="dxa"/>
          </w:tcPr>
          <w:p>
            <w:pPr>
              <w:pStyle w:val="TableParagraph"/>
              <w:spacing w:line="253" w:lineRule="exact"/>
              <w:ind w:left="107"/>
              <w:rPr>
                <w:sz w:val="21"/>
              </w:rPr>
            </w:pPr>
            <w:r>
              <w:rPr>
                <w:rFonts w:ascii="Times New Roman" w:eastAsia="Times New Roman"/>
                <w:spacing w:val="-2"/>
                <w:sz w:val="21"/>
              </w:rPr>
              <w:t>IV</w:t>
            </w:r>
            <w:r>
              <w:rPr>
                <w:rFonts w:ascii="Times New Roman" w:eastAsia="Times New Roman"/>
                <w:spacing w:val="-13"/>
                <w:sz w:val="21"/>
              </w:rPr>
              <w:t> </w:t>
            </w:r>
            <w:r>
              <w:rPr>
                <w:rFonts w:ascii="Times New Roman" w:eastAsia="Times New Roman"/>
                <w:spacing w:val="-2"/>
                <w:sz w:val="21"/>
              </w:rPr>
              <w:t>A</w:t>
            </w:r>
            <w:r>
              <w:rPr>
                <w:spacing w:val="-10"/>
                <w:sz w:val="21"/>
              </w:rPr>
              <w:t>期</w:t>
            </w:r>
          </w:p>
        </w:tc>
        <w:tc>
          <w:tcPr>
            <w:tcW w:w="1493" w:type="dxa"/>
          </w:tcPr>
          <w:p>
            <w:pPr>
              <w:pStyle w:val="TableParagraph"/>
              <w:spacing w:before="6"/>
              <w:ind w:left="108"/>
              <w:rPr>
                <w:rFonts w:ascii="Times New Roman"/>
                <w:sz w:val="21"/>
              </w:rPr>
            </w:pPr>
            <w:r>
              <w:rPr>
                <w:rFonts w:ascii="Times New Roman"/>
                <w:spacing w:val="-4"/>
                <w:sz w:val="21"/>
              </w:rPr>
              <w:t>1~3a</w:t>
            </w:r>
          </w:p>
        </w:tc>
        <w:tc>
          <w:tcPr>
            <w:tcW w:w="1490" w:type="dxa"/>
          </w:tcPr>
          <w:p>
            <w:pPr>
              <w:pStyle w:val="TableParagraph"/>
              <w:spacing w:before="6"/>
              <w:ind w:left="108"/>
              <w:rPr>
                <w:rFonts w:ascii="Times New Roman"/>
                <w:sz w:val="21"/>
              </w:rPr>
            </w:pPr>
            <w:r>
              <w:rPr>
                <w:rFonts w:ascii="Times New Roman"/>
                <w:spacing w:val="-5"/>
                <w:sz w:val="21"/>
              </w:rPr>
              <w:t>0/x</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70" w:hRule="atLeast"/>
        </w:trPr>
        <w:tc>
          <w:tcPr>
            <w:tcW w:w="1490" w:type="dxa"/>
          </w:tcPr>
          <w:p>
            <w:pPr>
              <w:pStyle w:val="TableParagraph"/>
              <w:spacing w:line="251" w:lineRule="exact"/>
              <w:ind w:left="107"/>
              <w:rPr>
                <w:sz w:val="21"/>
              </w:rPr>
            </w:pPr>
            <w:r>
              <w:rPr>
                <w:rFonts w:ascii="Times New Roman" w:eastAsia="Times New Roman"/>
                <w:sz w:val="21"/>
              </w:rPr>
              <w:t>IV</w:t>
            </w:r>
            <w:r>
              <w:rPr>
                <w:rFonts w:ascii="Times New Roman" w:eastAsia="Times New Roman"/>
                <w:spacing w:val="-8"/>
                <w:sz w:val="21"/>
              </w:rPr>
              <w:t> </w:t>
            </w:r>
            <w:r>
              <w:rPr>
                <w:rFonts w:ascii="Times New Roman" w:eastAsia="Times New Roman"/>
                <w:sz w:val="21"/>
              </w:rPr>
              <w:t>B</w:t>
            </w:r>
            <w:r>
              <w:rPr>
                <w:spacing w:val="-10"/>
                <w:sz w:val="21"/>
              </w:rPr>
              <w:t>期</w:t>
            </w:r>
          </w:p>
        </w:tc>
        <w:tc>
          <w:tcPr>
            <w:tcW w:w="1493" w:type="dxa"/>
          </w:tcPr>
          <w:p>
            <w:pPr>
              <w:pStyle w:val="TableParagraph"/>
              <w:spacing w:before="4"/>
              <w:ind w:left="108"/>
              <w:rPr>
                <w:rFonts w:ascii="Times New Roman"/>
                <w:sz w:val="21"/>
              </w:rPr>
            </w:pPr>
            <w:r>
              <w:rPr>
                <w:rFonts w:ascii="Times New Roman"/>
                <w:spacing w:val="-4"/>
                <w:sz w:val="21"/>
              </w:rPr>
              <w:t>1~3a</w:t>
            </w:r>
          </w:p>
        </w:tc>
        <w:tc>
          <w:tcPr>
            <w:tcW w:w="1490" w:type="dxa"/>
          </w:tcPr>
          <w:p>
            <w:pPr>
              <w:pStyle w:val="TableParagraph"/>
              <w:spacing w:before="4"/>
              <w:ind w:left="108"/>
              <w:rPr>
                <w:rFonts w:ascii="Times New Roman"/>
                <w:sz w:val="21"/>
              </w:rPr>
            </w:pPr>
            <w:r>
              <w:rPr>
                <w:rFonts w:ascii="Times New Roman"/>
                <w:w w:val="100"/>
                <w:sz w:val="21"/>
              </w:rPr>
              <w:t>1</w:t>
            </w:r>
          </w:p>
        </w:tc>
        <w:tc>
          <w:tcPr>
            <w:tcW w:w="1491" w:type="dxa"/>
          </w:tcPr>
          <w:p>
            <w:pPr>
              <w:pStyle w:val="TableParagraph"/>
              <w:spacing w:before="4"/>
              <w:ind w:left="108"/>
              <w:rPr>
                <w:rFonts w:ascii="Times New Roman"/>
                <w:sz w:val="21"/>
              </w:rPr>
            </w:pPr>
            <w:r>
              <w:rPr>
                <w:rFonts w:ascii="Times New Roman"/>
                <w:w w:val="100"/>
                <w:sz w:val="21"/>
              </w:rPr>
              <w:t>0</w:t>
            </w:r>
          </w:p>
        </w:tc>
      </w:tr>
      <w:tr>
        <w:trPr>
          <w:trHeight w:val="273" w:hRule="atLeast"/>
        </w:trPr>
        <w:tc>
          <w:tcPr>
            <w:tcW w:w="1490" w:type="dxa"/>
          </w:tcPr>
          <w:p>
            <w:pPr>
              <w:pStyle w:val="TableParagraph"/>
              <w:rPr>
                <w:rFonts w:ascii="Times New Roman"/>
                <w:sz w:val="20"/>
              </w:rPr>
            </w:pPr>
          </w:p>
        </w:tc>
        <w:tc>
          <w:tcPr>
            <w:tcW w:w="1493" w:type="dxa"/>
          </w:tcPr>
          <w:p>
            <w:pPr>
              <w:pStyle w:val="TableParagraph"/>
              <w:spacing w:before="6"/>
              <w:ind w:left="108"/>
              <w:rPr>
                <w:rFonts w:ascii="Times New Roman"/>
                <w:sz w:val="21"/>
              </w:rPr>
            </w:pPr>
            <w:r>
              <w:rPr>
                <w:rFonts w:ascii="Times New Roman"/>
                <w:spacing w:val="-4"/>
                <w:sz w:val="21"/>
              </w:rPr>
              <w:t>3b~4</w:t>
            </w:r>
          </w:p>
        </w:tc>
        <w:tc>
          <w:tcPr>
            <w:tcW w:w="1490" w:type="dxa"/>
          </w:tcPr>
          <w:p>
            <w:pPr>
              <w:pStyle w:val="TableParagraph"/>
              <w:spacing w:line="253" w:lineRule="exact"/>
              <w:ind w:left="108"/>
              <w:rPr>
                <w:sz w:val="21"/>
              </w:rPr>
            </w:pPr>
            <w:r>
              <w:rPr>
                <w:spacing w:val="-5"/>
                <w:sz w:val="21"/>
              </w:rPr>
              <w:t>任何</w:t>
            </w:r>
          </w:p>
        </w:tc>
        <w:tc>
          <w:tcPr>
            <w:tcW w:w="1491" w:type="dxa"/>
          </w:tcPr>
          <w:p>
            <w:pPr>
              <w:pStyle w:val="TableParagraph"/>
              <w:spacing w:before="6"/>
              <w:ind w:left="108"/>
              <w:rPr>
                <w:rFonts w:ascii="Times New Roman"/>
                <w:sz w:val="21"/>
              </w:rPr>
            </w:pPr>
            <w:r>
              <w:rPr>
                <w:rFonts w:ascii="Times New Roman"/>
                <w:w w:val="100"/>
                <w:sz w:val="21"/>
              </w:rPr>
              <w:t>0</w:t>
            </w:r>
          </w:p>
        </w:tc>
      </w:tr>
      <w:tr>
        <w:trPr>
          <w:trHeight w:val="273" w:hRule="atLeast"/>
        </w:trPr>
        <w:tc>
          <w:tcPr>
            <w:tcW w:w="1490" w:type="dxa"/>
          </w:tcPr>
          <w:p>
            <w:pPr>
              <w:pStyle w:val="TableParagraph"/>
              <w:spacing w:line="253" w:lineRule="exact"/>
              <w:ind w:left="107"/>
              <w:rPr>
                <w:sz w:val="21"/>
              </w:rPr>
            </w:pPr>
            <w:r>
              <w:rPr>
                <w:rFonts w:ascii="Times New Roman" w:eastAsia="Times New Roman"/>
                <w:sz w:val="21"/>
              </w:rPr>
              <w:t>IV</w:t>
            </w:r>
            <w:r>
              <w:rPr>
                <w:rFonts w:ascii="Times New Roman" w:eastAsia="Times New Roman"/>
                <w:spacing w:val="-8"/>
                <w:sz w:val="21"/>
              </w:rPr>
              <w:t> </w:t>
            </w:r>
            <w:r>
              <w:rPr>
                <w:rFonts w:ascii="Times New Roman" w:eastAsia="Times New Roman"/>
                <w:sz w:val="21"/>
              </w:rPr>
              <w:t>C</w:t>
            </w:r>
            <w:r>
              <w:rPr>
                <w:spacing w:val="-10"/>
                <w:sz w:val="21"/>
              </w:rPr>
              <w:t>期</w:t>
            </w:r>
          </w:p>
        </w:tc>
        <w:tc>
          <w:tcPr>
            <w:tcW w:w="1493" w:type="dxa"/>
          </w:tcPr>
          <w:p>
            <w:pPr>
              <w:pStyle w:val="TableParagraph"/>
              <w:spacing w:line="253" w:lineRule="exact"/>
              <w:ind w:left="108"/>
              <w:rPr>
                <w:sz w:val="21"/>
              </w:rPr>
            </w:pPr>
            <w:r>
              <w:rPr>
                <w:spacing w:val="-5"/>
                <w:sz w:val="21"/>
              </w:rPr>
              <w:t>任何</w:t>
            </w:r>
          </w:p>
        </w:tc>
        <w:tc>
          <w:tcPr>
            <w:tcW w:w="1490" w:type="dxa"/>
          </w:tcPr>
          <w:p>
            <w:pPr>
              <w:pStyle w:val="TableParagraph"/>
              <w:spacing w:line="253" w:lineRule="exact"/>
              <w:ind w:left="108"/>
              <w:rPr>
                <w:sz w:val="21"/>
              </w:rPr>
            </w:pPr>
            <w:r>
              <w:rPr>
                <w:spacing w:val="-5"/>
                <w:sz w:val="21"/>
              </w:rPr>
              <w:t>任何</w:t>
            </w:r>
          </w:p>
        </w:tc>
        <w:tc>
          <w:tcPr>
            <w:tcW w:w="1491" w:type="dxa"/>
          </w:tcPr>
          <w:p>
            <w:pPr>
              <w:pStyle w:val="TableParagraph"/>
              <w:spacing w:before="6"/>
              <w:ind w:left="108"/>
              <w:rPr>
                <w:rFonts w:ascii="Times New Roman"/>
                <w:sz w:val="21"/>
              </w:rPr>
            </w:pPr>
            <w:r>
              <w:rPr>
                <w:rFonts w:ascii="Times New Roman"/>
                <w:w w:val="100"/>
                <w:sz w:val="21"/>
              </w:rPr>
              <w:t>1</w:t>
            </w:r>
          </w:p>
        </w:tc>
      </w:tr>
    </w:tbl>
    <w:p>
      <w:pPr>
        <w:pStyle w:val="BodyText"/>
        <w:spacing w:before="6"/>
      </w:pPr>
      <w:r>
        <w:rPr>
          <w:spacing w:val="-3"/>
        </w:rPr>
        <w:t>注：以上表格中“年龄”指患者病理组织标本获取日期时的年龄。</w:t>
      </w:r>
    </w:p>
    <w:p>
      <w:pPr>
        <w:pStyle w:val="ListParagraph"/>
        <w:numPr>
          <w:ilvl w:val="1"/>
          <w:numId w:val="120"/>
        </w:numPr>
        <w:tabs>
          <w:tab w:pos="1071" w:val="left" w:leader="none"/>
          <w:tab w:pos="1072" w:val="left" w:leader="none"/>
          <w:tab w:pos="3152" w:val="left" w:leader="none"/>
        </w:tabs>
        <w:spacing w:line="240" w:lineRule="auto" w:before="177" w:after="0"/>
        <w:ind w:left="1071" w:right="0" w:hanging="850"/>
        <w:jc w:val="left"/>
        <w:rPr>
          <w:sz w:val="21"/>
        </w:rPr>
      </w:pPr>
      <w:r>
        <w:rPr>
          <w:rFonts w:ascii="微软雅黑" w:eastAsia="微软雅黑"/>
          <w:b/>
          <w:sz w:val="21"/>
        </w:rPr>
        <w:t>肢</w:t>
      </w:r>
      <w:r>
        <w:rPr>
          <w:rFonts w:ascii="微软雅黑" w:eastAsia="微软雅黑"/>
          <w:b/>
          <w:spacing w:val="-10"/>
          <w:sz w:val="21"/>
        </w:rPr>
        <w:t>体</w:t>
      </w:r>
      <w:r>
        <w:rPr>
          <w:rFonts w:ascii="微软雅黑" w:eastAsia="微软雅黑"/>
          <w:b/>
          <w:sz w:val="21"/>
        </w:rPr>
        <w:tab/>
      </w:r>
      <w:r>
        <w:rPr>
          <w:spacing w:val="-2"/>
          <w:sz w:val="21"/>
        </w:rPr>
        <w:t>肢</w:t>
      </w:r>
      <w:r>
        <w:rPr>
          <w:spacing w:val="-2"/>
          <w:sz w:val="21"/>
        </w:rPr>
        <w:t>体</w:t>
      </w:r>
      <w:r>
        <w:rPr>
          <w:spacing w:val="-2"/>
          <w:sz w:val="21"/>
        </w:rPr>
        <w:t>是指包括肩关节的整</w:t>
      </w:r>
      <w:r>
        <w:rPr>
          <w:spacing w:val="-2"/>
          <w:sz w:val="21"/>
        </w:rPr>
        <w:t>个</w:t>
      </w:r>
      <w:r>
        <w:rPr>
          <w:spacing w:val="-2"/>
          <w:sz w:val="21"/>
        </w:rPr>
        <w:t>上</w:t>
      </w:r>
      <w:r>
        <w:rPr>
          <w:spacing w:val="-2"/>
          <w:sz w:val="21"/>
        </w:rPr>
        <w:t>肢或包括髋关节的整</w:t>
      </w:r>
      <w:r>
        <w:rPr>
          <w:spacing w:val="-2"/>
          <w:sz w:val="21"/>
        </w:rPr>
        <w:t>个</w:t>
      </w:r>
      <w:r>
        <w:rPr>
          <w:spacing w:val="-2"/>
          <w:sz w:val="21"/>
        </w:rPr>
        <w:t>下</w:t>
      </w:r>
      <w:r>
        <w:rPr>
          <w:spacing w:val="-2"/>
          <w:sz w:val="21"/>
        </w:rPr>
        <w:t>肢</w:t>
      </w:r>
      <w:r>
        <w:rPr>
          <w:spacing w:val="-10"/>
          <w:sz w:val="21"/>
        </w:rPr>
        <w:t>。</w:t>
      </w:r>
    </w:p>
    <w:p>
      <w:pPr>
        <w:pStyle w:val="ListParagraph"/>
        <w:numPr>
          <w:ilvl w:val="1"/>
          <w:numId w:val="120"/>
        </w:numPr>
        <w:tabs>
          <w:tab w:pos="1071" w:val="left" w:leader="none"/>
          <w:tab w:pos="1072" w:val="left" w:leader="none"/>
          <w:tab w:pos="3152" w:val="left" w:leader="none"/>
        </w:tabs>
        <w:spacing w:line="364" w:lineRule="exact" w:before="127" w:after="0"/>
        <w:ind w:left="1071" w:right="0" w:hanging="850"/>
        <w:jc w:val="left"/>
        <w:rPr>
          <w:sz w:val="21"/>
        </w:rPr>
      </w:pPr>
      <w:r>
        <w:rPr>
          <w:rFonts w:ascii="微软雅黑" w:eastAsia="微软雅黑"/>
          <w:b/>
          <w:sz w:val="21"/>
        </w:rPr>
        <w:t>肌</w:t>
      </w:r>
      <w:r>
        <w:rPr>
          <w:rFonts w:ascii="微软雅黑" w:eastAsia="微软雅黑"/>
          <w:b/>
          <w:spacing w:val="-10"/>
          <w:sz w:val="21"/>
        </w:rPr>
        <w:t>力</w:t>
      </w:r>
      <w:r>
        <w:rPr>
          <w:rFonts w:ascii="微软雅黑" w:eastAsia="微软雅黑"/>
          <w:b/>
          <w:sz w:val="21"/>
        </w:rPr>
        <w:tab/>
      </w:r>
      <w:r>
        <w:rPr>
          <w:spacing w:val="-2"/>
          <w:sz w:val="21"/>
        </w:rPr>
        <w:t>指</w:t>
      </w:r>
      <w:r>
        <w:rPr>
          <w:spacing w:val="-2"/>
          <w:sz w:val="21"/>
        </w:rPr>
        <w:t>肌</w:t>
      </w:r>
      <w:r>
        <w:rPr>
          <w:spacing w:val="-2"/>
          <w:sz w:val="21"/>
        </w:rPr>
        <w:t>肉收缩时的力量。肌</w:t>
      </w:r>
      <w:r>
        <w:rPr>
          <w:spacing w:val="-2"/>
          <w:sz w:val="21"/>
        </w:rPr>
        <w:t>力</w:t>
      </w:r>
      <w:r>
        <w:rPr>
          <w:spacing w:val="-2"/>
          <w:sz w:val="21"/>
        </w:rPr>
        <w:t>划</w:t>
      </w:r>
      <w:r>
        <w:rPr>
          <w:spacing w:val="-2"/>
          <w:sz w:val="21"/>
        </w:rPr>
        <w:t>分为</w:t>
      </w:r>
      <w:r>
        <w:rPr>
          <w:rFonts w:ascii="Times New Roman" w:eastAsia="Times New Roman"/>
          <w:spacing w:val="-2"/>
          <w:sz w:val="21"/>
        </w:rPr>
        <w:t>0-5</w:t>
      </w:r>
      <w:r>
        <w:rPr>
          <w:spacing w:val="-2"/>
          <w:sz w:val="21"/>
        </w:rPr>
        <w:t>级，具体为</w:t>
      </w:r>
      <w:r>
        <w:rPr>
          <w:spacing w:val="-10"/>
          <w:sz w:val="21"/>
        </w:rPr>
        <w:t>：</w:t>
      </w:r>
    </w:p>
    <w:p>
      <w:pPr>
        <w:pStyle w:val="BodyText"/>
        <w:spacing w:line="246" w:lineRule="exact"/>
      </w:pPr>
      <w:r>
        <w:rPr>
          <w:rFonts w:ascii="Times New Roman" w:eastAsia="Times New Roman"/>
          <w:spacing w:val="-2"/>
        </w:rPr>
        <w:t>0</w:t>
      </w:r>
      <w:r>
        <w:rPr>
          <w:spacing w:val="-3"/>
        </w:rPr>
        <w:t>级：肌肉完全瘫痪，毫无收缩。</w:t>
      </w:r>
    </w:p>
    <w:p>
      <w:pPr>
        <w:pStyle w:val="BodyText"/>
        <w:spacing w:before="2"/>
      </w:pPr>
      <w:r>
        <w:rPr>
          <w:rFonts w:ascii="Times New Roman" w:eastAsia="Times New Roman"/>
          <w:spacing w:val="-2"/>
        </w:rPr>
        <w:t>1</w:t>
      </w:r>
      <w:r>
        <w:rPr>
          <w:spacing w:val="-3"/>
        </w:rPr>
        <w:t>级：可看到或者触及肌肉轻微收缩，但不能产生动作。</w:t>
      </w:r>
    </w:p>
    <w:p>
      <w:pPr>
        <w:pStyle w:val="BodyText"/>
        <w:spacing w:line="242" w:lineRule="auto" w:before="4"/>
        <w:ind w:left="3678" w:right="842" w:hanging="526"/>
      </w:pPr>
      <w:r>
        <w:rPr>
          <w:rFonts w:ascii="Times New Roman" w:eastAsia="Times New Roman"/>
          <w:spacing w:val="-2"/>
        </w:rPr>
        <w:t>2</w:t>
      </w:r>
      <w:r>
        <w:rPr>
          <w:spacing w:val="-2"/>
        </w:rPr>
        <w:t>级：肌肉在不受重力影响下，可进行运动，即肢体能在床面上移</w:t>
      </w:r>
      <w:r>
        <w:rPr>
          <w:spacing w:val="-2"/>
        </w:rPr>
        <w:t>动，但不能抬高。</w:t>
      </w:r>
    </w:p>
    <w:p>
      <w:pPr>
        <w:pStyle w:val="BodyText"/>
        <w:spacing w:line="244" w:lineRule="auto"/>
        <w:ind w:left="3678" w:right="842" w:hanging="526"/>
      </w:pPr>
      <w:r>
        <w:rPr>
          <w:rFonts w:ascii="Times New Roman" w:eastAsia="Times New Roman"/>
          <w:spacing w:val="-2"/>
        </w:rPr>
        <w:t>3</w:t>
      </w:r>
      <w:r>
        <w:rPr>
          <w:spacing w:val="-2"/>
        </w:rPr>
        <w:t>级：在和地心引力相反的方向中尚能完成其动作，但不能对抗外</w:t>
      </w:r>
      <w:r>
        <w:rPr>
          <w:spacing w:val="-4"/>
        </w:rPr>
        <w:t>加阻力。</w:t>
      </w:r>
    </w:p>
    <w:p>
      <w:pPr>
        <w:pStyle w:val="BodyText"/>
        <w:spacing w:line="265" w:lineRule="exact"/>
      </w:pPr>
      <w:r>
        <w:rPr>
          <w:rFonts w:ascii="Times New Roman" w:eastAsia="Times New Roman"/>
          <w:spacing w:val="-2"/>
        </w:rPr>
        <w:t>4</w:t>
      </w:r>
      <w:r>
        <w:rPr>
          <w:spacing w:val="-3"/>
        </w:rPr>
        <w:t>级：能对抗一定的阻力，但较正常人为低。</w:t>
      </w:r>
    </w:p>
    <w:p>
      <w:pPr>
        <w:pStyle w:val="BodyText"/>
        <w:spacing w:before="4"/>
      </w:pPr>
      <w:r>
        <w:rPr>
          <w:rFonts w:ascii="Times New Roman" w:eastAsia="Times New Roman"/>
          <w:spacing w:val="-2"/>
        </w:rPr>
        <w:t>5</w:t>
      </w:r>
      <w:r>
        <w:rPr>
          <w:spacing w:val="-4"/>
        </w:rPr>
        <w:t>级：正常肌力。</w:t>
      </w:r>
    </w:p>
    <w:p>
      <w:pPr>
        <w:pStyle w:val="ListParagraph"/>
        <w:numPr>
          <w:ilvl w:val="1"/>
          <w:numId w:val="120"/>
        </w:numPr>
        <w:tabs>
          <w:tab w:pos="1071" w:val="left" w:leader="none"/>
          <w:tab w:pos="1072" w:val="left" w:leader="none"/>
          <w:tab w:pos="3152" w:val="left" w:leader="none"/>
        </w:tabs>
        <w:spacing w:line="240" w:lineRule="auto" w:before="177" w:after="0"/>
        <w:ind w:left="1071" w:right="0" w:hanging="850"/>
        <w:jc w:val="left"/>
        <w:rPr>
          <w:sz w:val="21"/>
        </w:rPr>
      </w:pPr>
      <w:r>
        <w:rPr>
          <w:rFonts w:ascii="微软雅黑" w:eastAsia="微软雅黑"/>
          <w:b/>
          <w:spacing w:val="26"/>
          <w:sz w:val="21"/>
        </w:rPr>
        <w:t>六</w:t>
      </w:r>
      <w:r>
        <w:rPr>
          <w:rFonts w:ascii="微软雅黑" w:eastAsia="微软雅黑"/>
          <w:b/>
          <w:spacing w:val="23"/>
          <w:sz w:val="21"/>
        </w:rPr>
        <w:t>项</w:t>
      </w:r>
      <w:r>
        <w:rPr>
          <w:rFonts w:ascii="微软雅黑" w:eastAsia="微软雅黑"/>
          <w:b/>
          <w:spacing w:val="26"/>
          <w:sz w:val="21"/>
        </w:rPr>
        <w:t>基</w:t>
      </w:r>
      <w:r>
        <w:rPr>
          <w:rFonts w:ascii="微软雅黑" w:eastAsia="微软雅黑"/>
          <w:b/>
          <w:spacing w:val="23"/>
          <w:sz w:val="21"/>
        </w:rPr>
        <w:t>本日</w:t>
      </w:r>
      <w:r>
        <w:rPr>
          <w:rFonts w:ascii="微软雅黑" w:eastAsia="微软雅黑"/>
          <w:b/>
          <w:spacing w:val="26"/>
          <w:sz w:val="21"/>
        </w:rPr>
        <w:t>常生</w:t>
      </w:r>
      <w:r>
        <w:rPr>
          <w:rFonts w:ascii="微软雅黑" w:eastAsia="微软雅黑"/>
          <w:b/>
          <w:spacing w:val="-10"/>
          <w:sz w:val="21"/>
        </w:rPr>
        <w:t>活</w:t>
      </w:r>
      <w:r>
        <w:rPr>
          <w:rFonts w:ascii="微软雅黑" w:eastAsia="微软雅黑"/>
          <w:b/>
          <w:sz w:val="21"/>
        </w:rPr>
        <w:tab/>
      </w:r>
      <w:r>
        <w:rPr>
          <w:spacing w:val="-2"/>
          <w:sz w:val="21"/>
        </w:rPr>
        <w:t>六</w:t>
      </w:r>
      <w:r>
        <w:rPr>
          <w:spacing w:val="-2"/>
          <w:sz w:val="21"/>
        </w:rPr>
        <w:t>项</w:t>
      </w:r>
      <w:r>
        <w:rPr>
          <w:spacing w:val="-2"/>
          <w:sz w:val="21"/>
        </w:rPr>
        <w:t>基本日常生活活动是</w:t>
      </w:r>
      <w:r>
        <w:rPr>
          <w:spacing w:val="-2"/>
          <w:sz w:val="21"/>
        </w:rPr>
        <w:t>指</w:t>
      </w:r>
      <w:r>
        <w:rPr>
          <w:spacing w:val="-10"/>
          <w:sz w:val="21"/>
        </w:rPr>
        <w:t>：</w:t>
      </w:r>
    </w:p>
    <w:p>
      <w:pPr>
        <w:spacing w:after="0" w:line="240" w:lineRule="auto"/>
        <w:jc w:val="left"/>
        <w:rPr>
          <w:sz w:val="21"/>
        </w:rPr>
        <w:sectPr>
          <w:pgSz w:w="11910" w:h="16840"/>
          <w:pgMar w:header="0" w:footer="878" w:top="1060" w:bottom="1060" w:left="1480" w:right="440"/>
        </w:sectPr>
      </w:pPr>
    </w:p>
    <w:p>
      <w:pPr>
        <w:pStyle w:val="BodyText"/>
        <w:tabs>
          <w:tab w:pos="3152" w:val="left" w:leader="none"/>
        </w:tabs>
        <w:spacing w:line="352" w:lineRule="exact"/>
        <w:ind w:left="1071"/>
      </w:pPr>
      <w:r>
        <w:rPr>
          <w:rFonts w:ascii="微软雅黑" w:eastAsia="微软雅黑"/>
          <w:b/>
        </w:rPr>
        <w:t>活</w:t>
      </w:r>
      <w:r>
        <w:rPr>
          <w:rFonts w:ascii="微软雅黑" w:eastAsia="微软雅黑"/>
          <w:b/>
          <w:spacing w:val="-10"/>
        </w:rPr>
        <w:t>动</w:t>
      </w:r>
      <w:r>
        <w:rPr>
          <w:rFonts w:ascii="微软雅黑" w:eastAsia="微软雅黑"/>
          <w:b/>
        </w:rPr>
        <w:tab/>
      </w:r>
      <w:r>
        <w:rPr>
          <w:spacing w:val="-2"/>
        </w:rPr>
        <w:t>（</w:t>
      </w:r>
      <w:r>
        <w:rPr>
          <w:rFonts w:ascii="Times New Roman" w:eastAsia="Times New Roman"/>
          <w:spacing w:val="-2"/>
        </w:rPr>
        <w:t>1</w:t>
      </w:r>
      <w:r>
        <w:rPr>
          <w:spacing w:val="-2"/>
        </w:rPr>
        <w:t>）穿衣：自己能够</w:t>
      </w:r>
      <w:r>
        <w:rPr>
          <w:spacing w:val="-2"/>
        </w:rPr>
        <w:t>穿</w:t>
      </w:r>
      <w:r>
        <w:rPr>
          <w:spacing w:val="-2"/>
        </w:rPr>
        <w:t>衣</w:t>
      </w:r>
      <w:r>
        <w:rPr>
          <w:spacing w:val="-2"/>
        </w:rPr>
        <w:t>及</w:t>
      </w:r>
      <w:r>
        <w:rPr>
          <w:spacing w:val="-2"/>
        </w:rPr>
        <w:t>脱</w:t>
      </w:r>
      <w:r>
        <w:rPr>
          <w:spacing w:val="-2"/>
        </w:rPr>
        <w:t>衣</w:t>
      </w:r>
      <w:r>
        <w:rPr>
          <w:spacing w:val="-10"/>
        </w:rPr>
        <w:t>；</w:t>
      </w:r>
    </w:p>
    <w:p>
      <w:pPr>
        <w:pStyle w:val="ListParagraph"/>
        <w:numPr>
          <w:ilvl w:val="0"/>
          <w:numId w:val="121"/>
        </w:numPr>
        <w:tabs>
          <w:tab w:pos="3682" w:val="left" w:leader="none"/>
        </w:tabs>
        <w:spacing w:line="246" w:lineRule="exact" w:before="0" w:after="0"/>
        <w:ind w:left="3682" w:right="0" w:hanging="529"/>
        <w:jc w:val="left"/>
        <w:rPr>
          <w:sz w:val="21"/>
        </w:rPr>
      </w:pPr>
      <w:r>
        <w:rPr>
          <w:spacing w:val="-3"/>
          <w:sz w:val="21"/>
        </w:rPr>
        <w:t>移动：自己从一个房间到另一个房间；</w:t>
      </w:r>
    </w:p>
    <w:p>
      <w:pPr>
        <w:pStyle w:val="ListParagraph"/>
        <w:numPr>
          <w:ilvl w:val="0"/>
          <w:numId w:val="121"/>
        </w:numPr>
        <w:tabs>
          <w:tab w:pos="3682" w:val="left" w:leader="none"/>
        </w:tabs>
        <w:spacing w:line="240" w:lineRule="auto" w:before="2" w:after="0"/>
        <w:ind w:left="3682" w:right="0" w:hanging="529"/>
        <w:jc w:val="left"/>
        <w:rPr>
          <w:sz w:val="21"/>
        </w:rPr>
      </w:pPr>
      <w:r>
        <w:rPr>
          <w:spacing w:val="-3"/>
          <w:sz w:val="21"/>
        </w:rPr>
        <w:t>行动：自己上下床或上下轮椅；</w:t>
      </w:r>
    </w:p>
    <w:p>
      <w:pPr>
        <w:pStyle w:val="ListParagraph"/>
        <w:numPr>
          <w:ilvl w:val="0"/>
          <w:numId w:val="121"/>
        </w:numPr>
        <w:tabs>
          <w:tab w:pos="3682" w:val="left" w:leader="none"/>
        </w:tabs>
        <w:spacing w:line="240" w:lineRule="auto" w:before="5" w:after="0"/>
        <w:ind w:left="3682" w:right="0" w:hanging="529"/>
        <w:jc w:val="left"/>
        <w:rPr>
          <w:sz w:val="21"/>
        </w:rPr>
      </w:pPr>
      <w:r>
        <w:rPr>
          <w:spacing w:val="-3"/>
          <w:sz w:val="21"/>
        </w:rPr>
        <w:t>如厕：自己控制进行大小便；</w:t>
      </w:r>
    </w:p>
    <w:p>
      <w:pPr>
        <w:pStyle w:val="ListParagraph"/>
        <w:numPr>
          <w:ilvl w:val="0"/>
          <w:numId w:val="121"/>
        </w:numPr>
        <w:tabs>
          <w:tab w:pos="3682" w:val="left" w:leader="none"/>
        </w:tabs>
        <w:spacing w:line="240" w:lineRule="auto" w:before="2" w:after="0"/>
        <w:ind w:left="3682" w:right="0" w:hanging="529"/>
        <w:jc w:val="left"/>
        <w:rPr>
          <w:sz w:val="21"/>
        </w:rPr>
      </w:pPr>
      <w:r>
        <w:rPr>
          <w:spacing w:val="-3"/>
          <w:sz w:val="21"/>
        </w:rPr>
        <w:t>进食：自己从已准备好的碗或碟中取食物放入口中；</w:t>
      </w:r>
    </w:p>
    <w:p>
      <w:pPr>
        <w:pStyle w:val="ListParagraph"/>
        <w:numPr>
          <w:ilvl w:val="0"/>
          <w:numId w:val="121"/>
        </w:numPr>
        <w:tabs>
          <w:tab w:pos="3682" w:val="left" w:leader="none"/>
        </w:tabs>
        <w:spacing w:line="237" w:lineRule="exact" w:before="4" w:after="0"/>
        <w:ind w:left="3682" w:right="0" w:hanging="529"/>
        <w:jc w:val="left"/>
        <w:rPr>
          <w:sz w:val="21"/>
        </w:rPr>
      </w:pPr>
      <w:r>
        <w:rPr>
          <w:spacing w:val="-3"/>
          <w:sz w:val="21"/>
        </w:rPr>
        <w:t>洗澡：自己进行淋浴或盆浴。</w:t>
      </w:r>
    </w:p>
    <w:p>
      <w:pPr>
        <w:spacing w:line="355" w:lineRule="exact" w:before="0"/>
        <w:ind w:left="3153" w:right="0" w:firstLine="0"/>
        <w:jc w:val="left"/>
        <w:rPr>
          <w:rFonts w:ascii="微软雅黑" w:eastAsia="微软雅黑"/>
          <w:b/>
          <w:sz w:val="21"/>
        </w:rPr>
      </w:pPr>
      <w:r>
        <w:rPr>
          <w:rFonts w:ascii="微软雅黑" w:eastAsia="微软雅黑"/>
          <w:b/>
          <w:spacing w:val="-2"/>
          <w:sz w:val="21"/>
        </w:rPr>
        <w:t>六项基本日常生活活动能力的鉴定不适用于</w:t>
      </w:r>
      <w:r>
        <w:rPr>
          <w:rFonts w:ascii="Times New Roman" w:eastAsia="Times New Roman"/>
          <w:b/>
          <w:spacing w:val="-2"/>
          <w:sz w:val="21"/>
        </w:rPr>
        <w:t>0-3</w:t>
      </w:r>
      <w:r>
        <w:rPr>
          <w:rFonts w:ascii="微软雅黑" w:eastAsia="微软雅黑"/>
          <w:b/>
          <w:spacing w:val="-4"/>
          <w:sz w:val="21"/>
        </w:rPr>
        <w:t>周岁幼儿。</w:t>
      </w:r>
    </w:p>
    <w:p>
      <w:pPr>
        <w:pStyle w:val="ListParagraph"/>
        <w:numPr>
          <w:ilvl w:val="1"/>
          <w:numId w:val="120"/>
        </w:numPr>
        <w:tabs>
          <w:tab w:pos="1071" w:val="left" w:leader="none"/>
          <w:tab w:pos="1072" w:val="left" w:leader="none"/>
          <w:tab w:pos="3152" w:val="left" w:leader="none"/>
        </w:tabs>
        <w:spacing w:line="364" w:lineRule="exact" w:before="127" w:after="0"/>
        <w:ind w:left="1071" w:right="0" w:hanging="850"/>
        <w:jc w:val="left"/>
        <w:rPr>
          <w:sz w:val="21"/>
        </w:rPr>
      </w:pPr>
      <w:r>
        <w:rPr>
          <w:rFonts w:ascii="微软雅黑" w:eastAsia="微软雅黑"/>
          <w:b/>
          <w:sz w:val="21"/>
        </w:rPr>
        <w:t>永久不可</w:t>
      </w:r>
      <w:r>
        <w:rPr>
          <w:rFonts w:ascii="微软雅黑" w:eastAsia="微软雅黑"/>
          <w:b/>
          <w:spacing w:val="-10"/>
          <w:sz w:val="21"/>
        </w:rPr>
        <w:t>逆</w:t>
      </w:r>
      <w:r>
        <w:rPr>
          <w:rFonts w:ascii="微软雅黑" w:eastAsia="微软雅黑"/>
          <w:b/>
          <w:sz w:val="21"/>
        </w:rPr>
        <w:tab/>
      </w:r>
      <w:r>
        <w:rPr>
          <w:spacing w:val="-2"/>
          <w:sz w:val="21"/>
        </w:rPr>
        <w:t>指</w:t>
      </w:r>
      <w:r>
        <w:rPr>
          <w:spacing w:val="-2"/>
          <w:sz w:val="21"/>
        </w:rPr>
        <w:t>自</w:t>
      </w:r>
      <w:r>
        <w:rPr>
          <w:spacing w:val="-2"/>
          <w:sz w:val="21"/>
        </w:rPr>
        <w:t>疾病确诊或意外伤害</w:t>
      </w:r>
      <w:r>
        <w:rPr>
          <w:spacing w:val="-2"/>
          <w:sz w:val="21"/>
        </w:rPr>
        <w:t>发</w:t>
      </w:r>
      <w:r>
        <w:rPr>
          <w:spacing w:val="-2"/>
          <w:sz w:val="21"/>
        </w:rPr>
        <w:t>生</w:t>
      </w:r>
      <w:r>
        <w:rPr>
          <w:spacing w:val="-2"/>
          <w:sz w:val="21"/>
        </w:rPr>
        <w:t>之日起</w:t>
      </w:r>
      <w:r>
        <w:rPr>
          <w:spacing w:val="-51"/>
          <w:sz w:val="21"/>
        </w:rPr>
        <w:t>，</w:t>
      </w:r>
      <w:r>
        <w:rPr>
          <w:spacing w:val="-2"/>
          <w:sz w:val="21"/>
        </w:rPr>
        <w:t>经过积极治疗</w:t>
      </w:r>
      <w:r>
        <w:rPr>
          <w:rFonts w:ascii="Times New Roman" w:eastAsia="Times New Roman"/>
          <w:spacing w:val="-2"/>
          <w:sz w:val="21"/>
        </w:rPr>
        <w:t>180</w:t>
      </w:r>
      <w:r>
        <w:rPr>
          <w:spacing w:val="-2"/>
          <w:sz w:val="21"/>
        </w:rPr>
        <w:t>天</w:t>
      </w:r>
      <w:r>
        <w:rPr>
          <w:spacing w:val="-2"/>
          <w:sz w:val="21"/>
        </w:rPr>
        <w:t>后</w:t>
      </w:r>
      <w:r>
        <w:rPr>
          <w:spacing w:val="-53"/>
          <w:sz w:val="21"/>
        </w:rPr>
        <w:t>，</w:t>
      </w:r>
      <w:r>
        <w:rPr>
          <w:spacing w:val="-2"/>
          <w:sz w:val="21"/>
        </w:rPr>
        <w:t>仍</w:t>
      </w:r>
      <w:r>
        <w:rPr>
          <w:spacing w:val="-10"/>
          <w:sz w:val="21"/>
        </w:rPr>
        <w:t>无</w:t>
      </w:r>
    </w:p>
    <w:p>
      <w:pPr>
        <w:pStyle w:val="BodyText"/>
        <w:spacing w:line="246" w:lineRule="exact"/>
      </w:pPr>
      <w:r>
        <w:rPr>
          <w:spacing w:val="-3"/>
        </w:rPr>
        <w:t>法通过现有医疗手段恢复。</w:t>
      </w:r>
    </w:p>
    <w:p>
      <w:pPr>
        <w:pStyle w:val="BodyText"/>
        <w:spacing w:before="4"/>
        <w:ind w:left="0"/>
        <w:rPr>
          <w:sz w:val="11"/>
        </w:rPr>
      </w:pPr>
    </w:p>
    <w:p>
      <w:pPr>
        <w:spacing w:after="0"/>
        <w:rPr>
          <w:sz w:val="11"/>
        </w:rPr>
        <w:sectPr>
          <w:pgSz w:w="11910" w:h="16840"/>
          <w:pgMar w:header="0" w:footer="878" w:top="1060" w:bottom="1060" w:left="1480" w:right="440"/>
        </w:sectPr>
      </w:pPr>
    </w:p>
    <w:p>
      <w:pPr>
        <w:pStyle w:val="ListParagraph"/>
        <w:numPr>
          <w:ilvl w:val="1"/>
          <w:numId w:val="120"/>
        </w:numPr>
        <w:tabs>
          <w:tab w:pos="1071" w:val="left" w:leader="none"/>
          <w:tab w:pos="1072" w:val="left" w:leader="none"/>
        </w:tabs>
        <w:spacing w:line="329" w:lineRule="exact" w:before="32" w:after="0"/>
        <w:ind w:left="1071" w:right="0" w:hanging="850"/>
        <w:jc w:val="left"/>
        <w:rPr>
          <w:rFonts w:ascii="微软雅黑" w:eastAsia="微软雅黑"/>
          <w:b/>
          <w:sz w:val="21"/>
        </w:rPr>
      </w:pPr>
      <w:r>
        <w:rPr>
          <w:rFonts w:ascii="微软雅黑" w:eastAsia="微软雅黑"/>
          <w:b/>
          <w:spacing w:val="18"/>
          <w:sz w:val="21"/>
        </w:rPr>
        <w:t>美国纽约心脏病学</w:t>
      </w:r>
    </w:p>
    <w:p>
      <w:pPr>
        <w:spacing w:line="168" w:lineRule="auto" w:before="26"/>
        <w:ind w:left="1071" w:right="0" w:firstLine="0"/>
        <w:jc w:val="left"/>
        <w:rPr>
          <w:rFonts w:ascii="微软雅黑" w:eastAsia="微软雅黑"/>
          <w:b/>
          <w:sz w:val="21"/>
        </w:rPr>
      </w:pPr>
      <w:r>
        <w:rPr>
          <w:rFonts w:ascii="微软雅黑" w:eastAsia="微软雅黑"/>
          <w:b/>
          <w:sz w:val="21"/>
        </w:rPr>
        <w:t>会（</w:t>
      </w:r>
      <w:r>
        <w:rPr>
          <w:rFonts w:ascii="Times New Roman" w:eastAsia="Times New Roman"/>
          <w:b/>
          <w:sz w:val="21"/>
        </w:rPr>
        <w:t>New York Heart </w:t>
      </w:r>
      <w:r>
        <w:rPr>
          <w:rFonts w:ascii="Times New Roman" w:eastAsia="Times New Roman"/>
          <w:b/>
          <w:spacing w:val="-8"/>
          <w:sz w:val="21"/>
        </w:rPr>
        <w:t>Association</w:t>
      </w:r>
      <w:r>
        <w:rPr>
          <w:rFonts w:ascii="微软雅黑" w:eastAsia="微软雅黑"/>
          <w:b/>
          <w:spacing w:val="-8"/>
          <w:sz w:val="21"/>
        </w:rPr>
        <w:t>，</w:t>
      </w:r>
      <w:r>
        <w:rPr>
          <w:rFonts w:ascii="Times New Roman" w:eastAsia="Times New Roman"/>
          <w:b/>
          <w:spacing w:val="-8"/>
          <w:sz w:val="21"/>
        </w:rPr>
        <w:t>NYHA</w:t>
      </w:r>
      <w:r>
        <w:rPr>
          <w:rFonts w:ascii="微软雅黑" w:eastAsia="微软雅黑"/>
          <w:b/>
          <w:spacing w:val="-8"/>
          <w:sz w:val="21"/>
        </w:rPr>
        <w:t>）</w:t>
      </w:r>
      <w:r>
        <w:rPr>
          <w:rFonts w:ascii="微软雅黑" w:eastAsia="微软雅黑"/>
          <w:b/>
          <w:spacing w:val="-2"/>
          <w:sz w:val="21"/>
        </w:rPr>
        <w:t>心功能状态分级</w:t>
      </w:r>
    </w:p>
    <w:p>
      <w:pPr>
        <w:pStyle w:val="BodyText"/>
        <w:spacing w:line="242" w:lineRule="auto" w:before="100"/>
        <w:ind w:left="70" w:right="731"/>
      </w:pPr>
      <w:r>
        <w:rPr/>
        <w:br w:type="column"/>
      </w:r>
      <w:r>
        <w:rPr>
          <w:spacing w:val="-2"/>
        </w:rPr>
        <w:t>美国纽约心脏病学会（</w:t>
      </w:r>
      <w:r>
        <w:rPr>
          <w:rFonts w:ascii="Times New Roman" w:eastAsia="Times New Roman"/>
          <w:spacing w:val="-2"/>
        </w:rPr>
        <w:t>New</w:t>
      </w:r>
      <w:r>
        <w:rPr>
          <w:rFonts w:ascii="Times New Roman" w:eastAsia="Times New Roman"/>
          <w:spacing w:val="-12"/>
        </w:rPr>
        <w:t> </w:t>
      </w:r>
      <w:r>
        <w:rPr>
          <w:rFonts w:ascii="Times New Roman" w:eastAsia="Times New Roman"/>
          <w:spacing w:val="-2"/>
        </w:rPr>
        <w:t>York</w:t>
      </w:r>
      <w:r>
        <w:rPr>
          <w:rFonts w:ascii="Times New Roman" w:eastAsia="Times New Roman"/>
          <w:spacing w:val="-11"/>
        </w:rPr>
        <w:t> </w:t>
      </w:r>
      <w:r>
        <w:rPr>
          <w:rFonts w:ascii="Times New Roman" w:eastAsia="Times New Roman"/>
          <w:spacing w:val="-2"/>
        </w:rPr>
        <w:t>Heart</w:t>
      </w:r>
      <w:r>
        <w:rPr>
          <w:rFonts w:ascii="Times New Roman" w:eastAsia="Times New Roman"/>
          <w:spacing w:val="-16"/>
        </w:rPr>
        <w:t> </w:t>
      </w:r>
      <w:r>
        <w:rPr>
          <w:rFonts w:ascii="Times New Roman" w:eastAsia="Times New Roman"/>
          <w:spacing w:val="-2"/>
        </w:rPr>
        <w:t>Association</w:t>
      </w:r>
      <w:r>
        <w:rPr>
          <w:spacing w:val="-2"/>
        </w:rPr>
        <w:t>，</w:t>
      </w:r>
      <w:r>
        <w:rPr>
          <w:rFonts w:ascii="Times New Roman" w:eastAsia="Times New Roman"/>
          <w:spacing w:val="-2"/>
        </w:rPr>
        <w:t>NYHA</w:t>
      </w:r>
      <w:r>
        <w:rPr>
          <w:spacing w:val="-2"/>
        </w:rPr>
        <w:t>）将心功</w:t>
      </w:r>
      <w:r>
        <w:rPr>
          <w:spacing w:val="-2"/>
        </w:rPr>
        <w:t>能状态分为四级：</w:t>
      </w:r>
    </w:p>
    <w:p>
      <w:pPr>
        <w:pStyle w:val="BodyText"/>
        <w:spacing w:line="242" w:lineRule="auto" w:before="1"/>
        <w:ind w:left="701" w:right="729" w:hanging="632"/>
      </w:pPr>
      <w:r>
        <w:rPr>
          <w:spacing w:val="-2"/>
        </w:rPr>
        <w:t>Ⅰ级：心脏病病人日常活动量不受限制，一般活动不引起乏力、呼</w:t>
      </w:r>
      <w:r>
        <w:rPr>
          <w:spacing w:val="-2"/>
        </w:rPr>
        <w:t>吸困难等心衰症状。</w:t>
      </w:r>
    </w:p>
    <w:p>
      <w:pPr>
        <w:pStyle w:val="BodyText"/>
        <w:spacing w:line="242" w:lineRule="auto" w:before="1"/>
        <w:ind w:left="701" w:right="729" w:hanging="632"/>
      </w:pPr>
      <w:r>
        <w:rPr>
          <w:spacing w:val="-2"/>
        </w:rPr>
        <w:t>Ⅱ级：心脏病病人体力活动轻度受限制，休息时无自觉症状，一般</w:t>
      </w:r>
      <w:r>
        <w:rPr>
          <w:spacing w:val="-2"/>
        </w:rPr>
        <w:t>活动下可出现心衰症状。</w:t>
      </w:r>
    </w:p>
    <w:p>
      <w:pPr>
        <w:pStyle w:val="BodyText"/>
        <w:spacing w:line="242" w:lineRule="auto" w:before="2"/>
        <w:ind w:left="701" w:right="729" w:hanging="632"/>
      </w:pPr>
      <w:r>
        <w:rPr>
          <w:spacing w:val="-2"/>
        </w:rPr>
        <w:t>Ⅲ级：心脏病病人体力活动明显受限，低于平时一般活动即引起心</w:t>
      </w:r>
      <w:r>
        <w:rPr>
          <w:spacing w:val="-4"/>
        </w:rPr>
        <w:t>衰症状。</w:t>
      </w:r>
    </w:p>
    <w:p>
      <w:pPr>
        <w:pStyle w:val="BodyText"/>
        <w:spacing w:line="242" w:lineRule="auto" w:before="1"/>
        <w:ind w:left="701" w:right="729" w:hanging="632"/>
      </w:pPr>
      <w:r>
        <w:rPr>
          <w:spacing w:val="-2"/>
        </w:rPr>
        <w:t>Ⅳ级：心脏病病人不能从事任何体力活动，休息状态下也存在心衰</w:t>
      </w:r>
      <w:r>
        <w:rPr>
          <w:spacing w:val="-2"/>
        </w:rPr>
        <w:t>症状，活动后加重。</w:t>
      </w:r>
    </w:p>
    <w:p>
      <w:pPr>
        <w:spacing w:after="0" w:line="242" w:lineRule="auto"/>
        <w:sectPr>
          <w:type w:val="continuous"/>
          <w:pgSz w:w="11910" w:h="16840"/>
          <w:pgMar w:header="0" w:footer="878" w:top="160" w:bottom="280" w:left="1480" w:right="440"/>
          <w:cols w:num="2" w:equalWidth="0">
            <w:col w:w="3043" w:space="40"/>
            <w:col w:w="6907"/>
          </w:cols>
        </w:sectPr>
      </w:pPr>
    </w:p>
    <w:p>
      <w:pPr>
        <w:pStyle w:val="BodyText"/>
        <w:spacing w:before="1"/>
        <w:ind w:left="0"/>
        <w:rPr>
          <w:sz w:val="11"/>
        </w:rPr>
      </w:pPr>
    </w:p>
    <w:p>
      <w:pPr>
        <w:spacing w:after="0"/>
        <w:rPr>
          <w:sz w:val="11"/>
        </w:rPr>
        <w:sectPr>
          <w:type w:val="continuous"/>
          <w:pgSz w:w="11910" w:h="16840"/>
          <w:pgMar w:header="0" w:footer="878" w:top="160" w:bottom="280" w:left="1480" w:right="440"/>
        </w:sectPr>
      </w:pPr>
    </w:p>
    <w:p>
      <w:pPr>
        <w:pStyle w:val="ListParagraph"/>
        <w:numPr>
          <w:ilvl w:val="1"/>
          <w:numId w:val="120"/>
        </w:numPr>
        <w:tabs>
          <w:tab w:pos="1071" w:val="left" w:leader="none"/>
          <w:tab w:pos="1072" w:val="left" w:leader="none"/>
        </w:tabs>
        <w:spacing w:line="330" w:lineRule="exact" w:before="33" w:after="0"/>
        <w:ind w:left="1071" w:right="0" w:hanging="850"/>
        <w:jc w:val="left"/>
        <w:rPr>
          <w:rFonts w:ascii="微软雅黑" w:eastAsia="微软雅黑"/>
          <w:b/>
          <w:sz w:val="21"/>
        </w:rPr>
      </w:pPr>
      <w:r>
        <w:rPr>
          <w:rFonts w:ascii="微软雅黑" w:eastAsia="微软雅黑"/>
          <w:b/>
          <w:spacing w:val="-2"/>
          <w:sz w:val="21"/>
        </w:rPr>
        <w:t>语言能力完全丧失，</w:t>
      </w:r>
    </w:p>
    <w:p>
      <w:pPr>
        <w:spacing w:line="168" w:lineRule="auto" w:before="26"/>
        <w:ind w:left="1071" w:right="33" w:firstLine="0"/>
        <w:jc w:val="left"/>
        <w:rPr>
          <w:rFonts w:ascii="微软雅黑" w:eastAsia="微软雅黑"/>
          <w:b/>
          <w:sz w:val="21"/>
        </w:rPr>
      </w:pPr>
      <w:r>
        <w:rPr>
          <w:rFonts w:ascii="微软雅黑" w:eastAsia="微软雅黑"/>
          <w:b/>
          <w:spacing w:val="19"/>
          <w:sz w:val="21"/>
        </w:rPr>
        <w:t>或严重咀嚼吞咽功</w:t>
      </w:r>
      <w:r>
        <w:rPr>
          <w:rFonts w:ascii="微软雅黑" w:eastAsia="微软雅黑"/>
          <w:b/>
          <w:spacing w:val="-4"/>
          <w:sz w:val="21"/>
        </w:rPr>
        <w:t>能障碍</w:t>
      </w:r>
    </w:p>
    <w:p>
      <w:pPr>
        <w:pStyle w:val="BodyText"/>
        <w:spacing w:line="242" w:lineRule="auto" w:before="100"/>
        <w:ind w:left="139" w:right="729"/>
        <w:jc w:val="both"/>
      </w:pPr>
      <w:r>
        <w:rPr/>
        <w:br w:type="column"/>
      </w:r>
      <w:r>
        <w:rPr>
          <w:spacing w:val="-2"/>
        </w:rPr>
        <w:t>语言能力完全丧失，指无法发出四种语音（包括口唇音、齿舌音、</w:t>
      </w:r>
      <w:r>
        <w:rPr>
          <w:spacing w:val="-2"/>
        </w:rPr>
        <w:t>口盖音和喉头音）中的任何三种、或声带全部切除，或因大脑语言</w:t>
      </w:r>
      <w:r>
        <w:rPr>
          <w:spacing w:val="-2"/>
        </w:rPr>
        <w:t>中枢受伤害而患失语症。</w:t>
      </w:r>
    </w:p>
    <w:p>
      <w:pPr>
        <w:pStyle w:val="BodyText"/>
        <w:spacing w:line="242" w:lineRule="auto" w:before="3"/>
        <w:ind w:left="139" w:right="729"/>
        <w:jc w:val="both"/>
      </w:pPr>
      <w:r>
        <w:rPr>
          <w:spacing w:val="-2"/>
        </w:rPr>
        <w:t>严重咀嚼吞咽功能障碍，指因牙齿以外的原因导致器质障碍或机能</w:t>
      </w:r>
      <w:r>
        <w:rPr>
          <w:spacing w:val="-2"/>
        </w:rPr>
        <w:t>障碍，以致不能作咀嚼吞咽运动，除流质食物外不能摄取或吞咽的</w:t>
      </w:r>
      <w:r>
        <w:rPr>
          <w:spacing w:val="-4"/>
        </w:rPr>
        <w:t>状态。</w:t>
      </w:r>
    </w:p>
    <w:p>
      <w:pPr>
        <w:pStyle w:val="BodyText"/>
        <w:ind w:left="0"/>
        <w:rPr>
          <w:sz w:val="20"/>
        </w:rPr>
      </w:pPr>
    </w:p>
    <w:p>
      <w:pPr>
        <w:pStyle w:val="BodyText"/>
        <w:spacing w:before="9"/>
        <w:ind w:left="0"/>
        <w:rPr>
          <w:sz w:val="17"/>
        </w:rPr>
      </w:pPr>
    </w:p>
    <w:p>
      <w:pPr>
        <w:pStyle w:val="BodyText"/>
        <w:ind w:left="1428"/>
      </w:pPr>
      <w:r>
        <w:rPr/>
        <w:t>（完</w:t>
      </w:r>
      <w:r>
        <w:rPr>
          <w:spacing w:val="-10"/>
        </w:rPr>
        <w:t>）</w:t>
      </w:r>
    </w:p>
    <w:sectPr>
      <w:type w:val="continuous"/>
      <w:pgSz w:w="11910" w:h="16840"/>
      <w:pgMar w:header="0" w:footer="878" w:top="160" w:bottom="280" w:left="1480" w:right="440"/>
      <w:cols w:num="2" w:equalWidth="0">
        <w:col w:w="2974" w:space="40"/>
        <w:col w:w="697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微软雅黑">
    <w:altName w:val="微软雅黑"/>
    <w:charset w:val="86"/>
    <w:family w:val="swiss"/>
    <w:pitch w:val="variable"/>
  </w:font>
  <w:font w:name="Symbol">
    <w:altName w:val="Symbol"/>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 style="position:absolute;margin-left:303.890015pt;margin-top:786.976624pt;width:17.1pt;height:12pt;mso-position-horizontal-relative:page;mso-position-vertical-relative:page;z-index:-17860608" type="#_x0000_t202" id="docshape4" filled="false" stroked="false">
          <v:textbox inset="0,0,0,0">
            <w:txbxContent>
              <w:p>
                <w:pPr>
                  <w:spacing w:line="239" w:lineRule="exact" w:before="0"/>
                  <w:ind w:left="60" w:right="0" w:firstLine="0"/>
                  <w:jc w:val="left"/>
                  <w:rPr>
                    <w:sz w:val="20"/>
                  </w:rPr>
                </w:pPr>
                <w:r>
                  <w:rPr>
                    <w:spacing w:val="-5"/>
                    <w:sz w:val="20"/>
                  </w:rPr>
                  <w:fldChar w:fldCharType="begin"/>
                </w:r>
                <w:r>
                  <w:rPr>
                    <w:spacing w:val="-5"/>
                    <w:sz w:val="20"/>
                  </w:rPr>
                  <w:instrText> PAGE </w:instrText>
                </w:r>
                <w:r>
                  <w:rPr>
                    <w:spacing w:val="-5"/>
                    <w:sz w:val="20"/>
                  </w:rPr>
                  <w:fldChar w:fldCharType="separate"/>
                </w:r>
                <w:r>
                  <w:rPr>
                    <w:spacing w:val="-5"/>
                    <w:sz w:val="20"/>
                  </w:rPr>
                  <w:t>39</w:t>
                </w:r>
                <w:r>
                  <w:rPr>
                    <w:spacing w:val="-5"/>
                    <w:sz w:val="20"/>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0">
    <w:multiLevelType w:val="hybridMultilevel"/>
    <w:lvl w:ilvl="0">
      <w:start w:val="2"/>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19">
    <w:multiLevelType w:val="hybridMultilevel"/>
    <w:lvl w:ilvl="0">
      <w:start w:val="14"/>
      <w:numFmt w:val="decimal"/>
      <w:lvlText w:val="%1"/>
      <w:lvlJc w:val="left"/>
      <w:pPr>
        <w:ind w:left="1071" w:hanging="850"/>
        <w:jc w:val="left"/>
      </w:pPr>
      <w:rPr>
        <w:rFonts w:hint="default"/>
        <w:lang w:val="en-US" w:eastAsia="zh-CN" w:bidi="ar-SA"/>
      </w:rPr>
    </w:lvl>
    <w:lvl w:ilvl="1">
      <w:start w:val="19"/>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2861" w:hanging="850"/>
      </w:pPr>
      <w:rPr>
        <w:rFonts w:hint="default"/>
        <w:lang w:val="en-US" w:eastAsia="zh-CN" w:bidi="ar-SA"/>
      </w:rPr>
    </w:lvl>
    <w:lvl w:ilvl="3">
      <w:start w:val="0"/>
      <w:numFmt w:val="bullet"/>
      <w:lvlText w:val="•"/>
      <w:lvlJc w:val="left"/>
      <w:pPr>
        <w:ind w:left="3751" w:hanging="850"/>
      </w:pPr>
      <w:rPr>
        <w:rFonts w:hint="default"/>
        <w:lang w:val="en-US" w:eastAsia="zh-CN" w:bidi="ar-SA"/>
      </w:rPr>
    </w:lvl>
    <w:lvl w:ilvl="4">
      <w:start w:val="0"/>
      <w:numFmt w:val="bullet"/>
      <w:lvlText w:val="•"/>
      <w:lvlJc w:val="left"/>
      <w:pPr>
        <w:ind w:left="4642" w:hanging="850"/>
      </w:pPr>
      <w:rPr>
        <w:rFonts w:hint="default"/>
        <w:lang w:val="en-US" w:eastAsia="zh-CN" w:bidi="ar-SA"/>
      </w:rPr>
    </w:lvl>
    <w:lvl w:ilvl="5">
      <w:start w:val="0"/>
      <w:numFmt w:val="bullet"/>
      <w:lvlText w:val="•"/>
      <w:lvlJc w:val="left"/>
      <w:pPr>
        <w:ind w:left="5533" w:hanging="850"/>
      </w:pPr>
      <w:rPr>
        <w:rFonts w:hint="default"/>
        <w:lang w:val="en-US" w:eastAsia="zh-CN" w:bidi="ar-SA"/>
      </w:rPr>
    </w:lvl>
    <w:lvl w:ilvl="6">
      <w:start w:val="0"/>
      <w:numFmt w:val="bullet"/>
      <w:lvlText w:val="•"/>
      <w:lvlJc w:val="left"/>
      <w:pPr>
        <w:ind w:left="6423" w:hanging="850"/>
      </w:pPr>
      <w:rPr>
        <w:rFonts w:hint="default"/>
        <w:lang w:val="en-US" w:eastAsia="zh-CN" w:bidi="ar-SA"/>
      </w:rPr>
    </w:lvl>
    <w:lvl w:ilvl="7">
      <w:start w:val="0"/>
      <w:numFmt w:val="bullet"/>
      <w:lvlText w:val="•"/>
      <w:lvlJc w:val="left"/>
      <w:pPr>
        <w:ind w:left="7314" w:hanging="850"/>
      </w:pPr>
      <w:rPr>
        <w:rFonts w:hint="default"/>
        <w:lang w:val="en-US" w:eastAsia="zh-CN" w:bidi="ar-SA"/>
      </w:rPr>
    </w:lvl>
    <w:lvl w:ilvl="8">
      <w:start w:val="0"/>
      <w:numFmt w:val="bullet"/>
      <w:lvlText w:val="•"/>
      <w:lvlJc w:val="left"/>
      <w:pPr>
        <w:ind w:left="8205" w:hanging="850"/>
      </w:pPr>
      <w:rPr>
        <w:rFonts w:hint="default"/>
        <w:lang w:val="en-US" w:eastAsia="zh-CN" w:bidi="ar-SA"/>
      </w:rPr>
    </w:lvl>
  </w:abstractNum>
  <w:abstractNum w:abstractNumId="118">
    <w:multiLevelType w:val="hybridMultilevel"/>
    <w:lvl w:ilvl="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1784" w:hanging="529"/>
      </w:pPr>
      <w:rPr>
        <w:rFonts w:hint="default"/>
        <w:lang w:val="en-US" w:eastAsia="zh-CN" w:bidi="ar-SA"/>
      </w:rPr>
    </w:lvl>
    <w:lvl w:ilvl="3">
      <w:start w:val="0"/>
      <w:numFmt w:val="bullet"/>
      <w:lvlText w:val="•"/>
      <w:lvlJc w:val="left"/>
      <w:pPr>
        <w:ind w:left="2357" w:hanging="529"/>
      </w:pPr>
      <w:rPr>
        <w:rFonts w:hint="default"/>
        <w:lang w:val="en-US" w:eastAsia="zh-CN" w:bidi="ar-SA"/>
      </w:rPr>
    </w:lvl>
    <w:lvl w:ilvl="4">
      <w:start w:val="0"/>
      <w:numFmt w:val="bullet"/>
      <w:lvlText w:val="•"/>
      <w:lvlJc w:val="left"/>
      <w:pPr>
        <w:ind w:left="2929" w:hanging="529"/>
      </w:pPr>
      <w:rPr>
        <w:rFonts w:hint="default"/>
        <w:lang w:val="en-US" w:eastAsia="zh-CN" w:bidi="ar-SA"/>
      </w:rPr>
    </w:lvl>
    <w:lvl w:ilvl="5">
      <w:start w:val="0"/>
      <w:numFmt w:val="bullet"/>
      <w:lvlText w:val="•"/>
      <w:lvlJc w:val="left"/>
      <w:pPr>
        <w:ind w:left="3502" w:hanging="529"/>
      </w:pPr>
      <w:rPr>
        <w:rFonts w:hint="default"/>
        <w:lang w:val="en-US" w:eastAsia="zh-CN" w:bidi="ar-SA"/>
      </w:rPr>
    </w:lvl>
    <w:lvl w:ilvl="6">
      <w:start w:val="0"/>
      <w:numFmt w:val="bullet"/>
      <w:lvlText w:val="•"/>
      <w:lvlJc w:val="left"/>
      <w:pPr>
        <w:ind w:left="4074" w:hanging="529"/>
      </w:pPr>
      <w:rPr>
        <w:rFonts w:hint="default"/>
        <w:lang w:val="en-US" w:eastAsia="zh-CN" w:bidi="ar-SA"/>
      </w:rPr>
    </w:lvl>
    <w:lvl w:ilvl="7">
      <w:start w:val="0"/>
      <w:numFmt w:val="bullet"/>
      <w:lvlText w:val="•"/>
      <w:lvlJc w:val="left"/>
      <w:pPr>
        <w:ind w:left="4646" w:hanging="529"/>
      </w:pPr>
      <w:rPr>
        <w:rFonts w:hint="default"/>
        <w:lang w:val="en-US" w:eastAsia="zh-CN" w:bidi="ar-SA"/>
      </w:rPr>
    </w:lvl>
    <w:lvl w:ilvl="8">
      <w:start w:val="0"/>
      <w:numFmt w:val="bullet"/>
      <w:lvlText w:val="•"/>
      <w:lvlJc w:val="left"/>
      <w:pPr>
        <w:ind w:left="5219" w:hanging="529"/>
      </w:pPr>
      <w:rPr>
        <w:rFonts w:hint="default"/>
        <w:lang w:val="en-US" w:eastAsia="zh-CN" w:bidi="ar-SA"/>
      </w:rPr>
    </w:lvl>
  </w:abstractNum>
  <w:abstractNum w:abstractNumId="117">
    <w:multiLevelType w:val="hybridMultilevel"/>
    <w:lvl w:ilvl="0">
      <w:start w:val="1"/>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1784" w:hanging="529"/>
      </w:pPr>
      <w:rPr>
        <w:rFonts w:hint="default"/>
        <w:lang w:val="en-US" w:eastAsia="zh-CN" w:bidi="ar-SA"/>
      </w:rPr>
    </w:lvl>
    <w:lvl w:ilvl="3">
      <w:start w:val="0"/>
      <w:numFmt w:val="bullet"/>
      <w:lvlText w:val="•"/>
      <w:lvlJc w:val="left"/>
      <w:pPr>
        <w:ind w:left="2357" w:hanging="529"/>
      </w:pPr>
      <w:rPr>
        <w:rFonts w:hint="default"/>
        <w:lang w:val="en-US" w:eastAsia="zh-CN" w:bidi="ar-SA"/>
      </w:rPr>
    </w:lvl>
    <w:lvl w:ilvl="4">
      <w:start w:val="0"/>
      <w:numFmt w:val="bullet"/>
      <w:lvlText w:val="•"/>
      <w:lvlJc w:val="left"/>
      <w:pPr>
        <w:ind w:left="2929" w:hanging="529"/>
      </w:pPr>
      <w:rPr>
        <w:rFonts w:hint="default"/>
        <w:lang w:val="en-US" w:eastAsia="zh-CN" w:bidi="ar-SA"/>
      </w:rPr>
    </w:lvl>
    <w:lvl w:ilvl="5">
      <w:start w:val="0"/>
      <w:numFmt w:val="bullet"/>
      <w:lvlText w:val="•"/>
      <w:lvlJc w:val="left"/>
      <w:pPr>
        <w:ind w:left="3502" w:hanging="529"/>
      </w:pPr>
      <w:rPr>
        <w:rFonts w:hint="default"/>
        <w:lang w:val="en-US" w:eastAsia="zh-CN" w:bidi="ar-SA"/>
      </w:rPr>
    </w:lvl>
    <w:lvl w:ilvl="6">
      <w:start w:val="0"/>
      <w:numFmt w:val="bullet"/>
      <w:lvlText w:val="•"/>
      <w:lvlJc w:val="left"/>
      <w:pPr>
        <w:ind w:left="4074" w:hanging="529"/>
      </w:pPr>
      <w:rPr>
        <w:rFonts w:hint="default"/>
        <w:lang w:val="en-US" w:eastAsia="zh-CN" w:bidi="ar-SA"/>
      </w:rPr>
    </w:lvl>
    <w:lvl w:ilvl="7">
      <w:start w:val="0"/>
      <w:numFmt w:val="bullet"/>
      <w:lvlText w:val="•"/>
      <w:lvlJc w:val="left"/>
      <w:pPr>
        <w:ind w:left="4646" w:hanging="529"/>
      </w:pPr>
      <w:rPr>
        <w:rFonts w:hint="default"/>
        <w:lang w:val="en-US" w:eastAsia="zh-CN" w:bidi="ar-SA"/>
      </w:rPr>
    </w:lvl>
    <w:lvl w:ilvl="8">
      <w:start w:val="0"/>
      <w:numFmt w:val="bullet"/>
      <w:lvlText w:val="•"/>
      <w:lvlJc w:val="left"/>
      <w:pPr>
        <w:ind w:left="5219" w:hanging="529"/>
      </w:pPr>
      <w:rPr>
        <w:rFonts w:hint="default"/>
        <w:lang w:val="en-US" w:eastAsia="zh-CN" w:bidi="ar-SA"/>
      </w:rPr>
    </w:lvl>
  </w:abstractNum>
  <w:abstractNum w:abstractNumId="116">
    <w:multiLevelType w:val="hybridMultilevel"/>
    <w:lvl w:ilvl="0">
      <w:start w:val="3"/>
      <w:numFmt w:val="decimal"/>
      <w:lvlText w:val="（%1）"/>
      <w:lvlJc w:val="left"/>
      <w:pPr>
        <w:ind w:left="63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1784" w:hanging="529"/>
      </w:pPr>
      <w:rPr>
        <w:rFonts w:hint="default"/>
        <w:lang w:val="en-US" w:eastAsia="zh-CN" w:bidi="ar-SA"/>
      </w:rPr>
    </w:lvl>
    <w:lvl w:ilvl="3">
      <w:start w:val="0"/>
      <w:numFmt w:val="bullet"/>
      <w:lvlText w:val="•"/>
      <w:lvlJc w:val="left"/>
      <w:pPr>
        <w:ind w:left="2357" w:hanging="529"/>
      </w:pPr>
      <w:rPr>
        <w:rFonts w:hint="default"/>
        <w:lang w:val="en-US" w:eastAsia="zh-CN" w:bidi="ar-SA"/>
      </w:rPr>
    </w:lvl>
    <w:lvl w:ilvl="4">
      <w:start w:val="0"/>
      <w:numFmt w:val="bullet"/>
      <w:lvlText w:val="•"/>
      <w:lvlJc w:val="left"/>
      <w:pPr>
        <w:ind w:left="2929" w:hanging="529"/>
      </w:pPr>
      <w:rPr>
        <w:rFonts w:hint="default"/>
        <w:lang w:val="en-US" w:eastAsia="zh-CN" w:bidi="ar-SA"/>
      </w:rPr>
    </w:lvl>
    <w:lvl w:ilvl="5">
      <w:start w:val="0"/>
      <w:numFmt w:val="bullet"/>
      <w:lvlText w:val="•"/>
      <w:lvlJc w:val="left"/>
      <w:pPr>
        <w:ind w:left="3502" w:hanging="529"/>
      </w:pPr>
      <w:rPr>
        <w:rFonts w:hint="default"/>
        <w:lang w:val="en-US" w:eastAsia="zh-CN" w:bidi="ar-SA"/>
      </w:rPr>
    </w:lvl>
    <w:lvl w:ilvl="6">
      <w:start w:val="0"/>
      <w:numFmt w:val="bullet"/>
      <w:lvlText w:val="•"/>
      <w:lvlJc w:val="left"/>
      <w:pPr>
        <w:ind w:left="4074" w:hanging="529"/>
      </w:pPr>
      <w:rPr>
        <w:rFonts w:hint="default"/>
        <w:lang w:val="en-US" w:eastAsia="zh-CN" w:bidi="ar-SA"/>
      </w:rPr>
    </w:lvl>
    <w:lvl w:ilvl="7">
      <w:start w:val="0"/>
      <w:numFmt w:val="bullet"/>
      <w:lvlText w:val="•"/>
      <w:lvlJc w:val="left"/>
      <w:pPr>
        <w:ind w:left="4646" w:hanging="529"/>
      </w:pPr>
      <w:rPr>
        <w:rFonts w:hint="default"/>
        <w:lang w:val="en-US" w:eastAsia="zh-CN" w:bidi="ar-SA"/>
      </w:rPr>
    </w:lvl>
    <w:lvl w:ilvl="8">
      <w:start w:val="0"/>
      <w:numFmt w:val="bullet"/>
      <w:lvlText w:val="•"/>
      <w:lvlJc w:val="left"/>
      <w:pPr>
        <w:ind w:left="5219" w:hanging="529"/>
      </w:pPr>
      <w:rPr>
        <w:rFonts w:hint="default"/>
        <w:lang w:val="en-US" w:eastAsia="zh-CN" w:bidi="ar-SA"/>
      </w:rPr>
    </w:lvl>
  </w:abstractNum>
  <w:abstractNum w:abstractNumId="115">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14">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13">
    <w:multiLevelType w:val="hybridMultilevel"/>
    <w:lvl w:ilvl="0">
      <w:start w:val="14"/>
      <w:numFmt w:val="decimal"/>
      <w:lvlText w:val="%1"/>
      <w:lvlJc w:val="left"/>
      <w:pPr>
        <w:ind w:left="1071" w:hanging="850"/>
        <w:jc w:val="left"/>
      </w:pPr>
      <w:rPr>
        <w:rFonts w:hint="default"/>
        <w:lang w:val="en-US" w:eastAsia="zh-CN" w:bidi="ar-SA"/>
      </w:rPr>
    </w:lvl>
    <w:lvl w:ilvl="1">
      <w:start w:val="2"/>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81" w:hanging="529"/>
      </w:pPr>
      <w:rPr>
        <w:rFonts w:hint="default"/>
        <w:lang w:val="en-US" w:eastAsia="zh-CN" w:bidi="ar-SA"/>
      </w:rPr>
    </w:lvl>
    <w:lvl w:ilvl="4">
      <w:start w:val="0"/>
      <w:numFmt w:val="bullet"/>
      <w:lvlText w:val="•"/>
      <w:lvlJc w:val="left"/>
      <w:pPr>
        <w:ind w:left="5782" w:hanging="529"/>
      </w:pPr>
      <w:rPr>
        <w:rFonts w:hint="default"/>
        <w:lang w:val="en-US" w:eastAsia="zh-CN" w:bidi="ar-SA"/>
      </w:rPr>
    </w:lvl>
    <w:lvl w:ilvl="5">
      <w:start w:val="0"/>
      <w:numFmt w:val="bullet"/>
      <w:lvlText w:val="•"/>
      <w:lvlJc w:val="left"/>
      <w:pPr>
        <w:ind w:left="6482" w:hanging="529"/>
      </w:pPr>
      <w:rPr>
        <w:rFonts w:hint="default"/>
        <w:lang w:val="en-US" w:eastAsia="zh-CN" w:bidi="ar-SA"/>
      </w:rPr>
    </w:lvl>
    <w:lvl w:ilvl="6">
      <w:start w:val="0"/>
      <w:numFmt w:val="bullet"/>
      <w:lvlText w:val="•"/>
      <w:lvlJc w:val="left"/>
      <w:pPr>
        <w:ind w:left="7183" w:hanging="529"/>
      </w:pPr>
      <w:rPr>
        <w:rFonts w:hint="default"/>
        <w:lang w:val="en-US" w:eastAsia="zh-CN" w:bidi="ar-SA"/>
      </w:rPr>
    </w:lvl>
    <w:lvl w:ilvl="7">
      <w:start w:val="0"/>
      <w:numFmt w:val="bullet"/>
      <w:lvlText w:val="•"/>
      <w:lvlJc w:val="left"/>
      <w:pPr>
        <w:ind w:left="7884" w:hanging="529"/>
      </w:pPr>
      <w:rPr>
        <w:rFonts w:hint="default"/>
        <w:lang w:val="en-US" w:eastAsia="zh-CN" w:bidi="ar-SA"/>
      </w:rPr>
    </w:lvl>
    <w:lvl w:ilvl="8">
      <w:start w:val="0"/>
      <w:numFmt w:val="bullet"/>
      <w:lvlText w:val="•"/>
      <w:lvlJc w:val="left"/>
      <w:pPr>
        <w:ind w:left="8584" w:hanging="529"/>
      </w:pPr>
      <w:rPr>
        <w:rFonts w:hint="default"/>
        <w:lang w:val="en-US" w:eastAsia="zh-CN" w:bidi="ar-SA"/>
      </w:rPr>
    </w:lvl>
  </w:abstractNum>
  <w:abstractNum w:abstractNumId="112">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11">
    <w:multiLevelType w:val="hybridMultilevel"/>
    <w:lvl w:ilvl="0">
      <w:start w:val="13"/>
      <w:numFmt w:val="decimal"/>
      <w:lvlText w:val="%1"/>
      <w:lvlJc w:val="left"/>
      <w:pPr>
        <w:ind w:left="1071" w:hanging="85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678" w:hanging="536"/>
        <w:jc w:val="left"/>
      </w:pPr>
      <w:rPr>
        <w:rFonts w:hint="default" w:ascii="宋体" w:hAnsi="宋体" w:eastAsia="宋体" w:cs="宋体"/>
        <w:b w:val="0"/>
        <w:bCs w:val="0"/>
        <w:i w:val="0"/>
        <w:iCs w:val="0"/>
        <w:spacing w:val="2"/>
        <w:w w:val="100"/>
        <w:sz w:val="19"/>
        <w:szCs w:val="19"/>
        <w:lang w:val="en-US" w:eastAsia="zh-CN" w:bidi="ar-SA"/>
      </w:rPr>
    </w:lvl>
    <w:lvl w:ilvl="3">
      <w:start w:val="0"/>
      <w:numFmt w:val="bullet"/>
      <w:lvlText w:val="•"/>
      <w:lvlJc w:val="left"/>
      <w:pPr>
        <w:ind w:left="5081" w:hanging="536"/>
      </w:pPr>
      <w:rPr>
        <w:rFonts w:hint="default"/>
        <w:lang w:val="en-US" w:eastAsia="zh-CN" w:bidi="ar-SA"/>
      </w:rPr>
    </w:lvl>
    <w:lvl w:ilvl="4">
      <w:start w:val="0"/>
      <w:numFmt w:val="bullet"/>
      <w:lvlText w:val="•"/>
      <w:lvlJc w:val="left"/>
      <w:pPr>
        <w:ind w:left="5782" w:hanging="536"/>
      </w:pPr>
      <w:rPr>
        <w:rFonts w:hint="default"/>
        <w:lang w:val="en-US" w:eastAsia="zh-CN" w:bidi="ar-SA"/>
      </w:rPr>
    </w:lvl>
    <w:lvl w:ilvl="5">
      <w:start w:val="0"/>
      <w:numFmt w:val="bullet"/>
      <w:lvlText w:val="•"/>
      <w:lvlJc w:val="left"/>
      <w:pPr>
        <w:ind w:left="6482" w:hanging="536"/>
      </w:pPr>
      <w:rPr>
        <w:rFonts w:hint="default"/>
        <w:lang w:val="en-US" w:eastAsia="zh-CN" w:bidi="ar-SA"/>
      </w:rPr>
    </w:lvl>
    <w:lvl w:ilvl="6">
      <w:start w:val="0"/>
      <w:numFmt w:val="bullet"/>
      <w:lvlText w:val="•"/>
      <w:lvlJc w:val="left"/>
      <w:pPr>
        <w:ind w:left="7183" w:hanging="536"/>
      </w:pPr>
      <w:rPr>
        <w:rFonts w:hint="default"/>
        <w:lang w:val="en-US" w:eastAsia="zh-CN" w:bidi="ar-SA"/>
      </w:rPr>
    </w:lvl>
    <w:lvl w:ilvl="7">
      <w:start w:val="0"/>
      <w:numFmt w:val="bullet"/>
      <w:lvlText w:val="•"/>
      <w:lvlJc w:val="left"/>
      <w:pPr>
        <w:ind w:left="7884" w:hanging="536"/>
      </w:pPr>
      <w:rPr>
        <w:rFonts w:hint="default"/>
        <w:lang w:val="en-US" w:eastAsia="zh-CN" w:bidi="ar-SA"/>
      </w:rPr>
    </w:lvl>
    <w:lvl w:ilvl="8">
      <w:start w:val="0"/>
      <w:numFmt w:val="bullet"/>
      <w:lvlText w:val="•"/>
      <w:lvlJc w:val="left"/>
      <w:pPr>
        <w:ind w:left="8584" w:hanging="536"/>
      </w:pPr>
      <w:rPr>
        <w:rFonts w:hint="default"/>
        <w:lang w:val="en-US" w:eastAsia="zh-CN" w:bidi="ar-SA"/>
      </w:rPr>
    </w:lvl>
  </w:abstractNum>
  <w:abstractNum w:abstractNumId="110">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09">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108">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07">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06">
    <w:multiLevelType w:val="hybridMultilevel"/>
    <w:lvl w:ilvl="0">
      <w:start w:val="1"/>
      <w:numFmt w:val="decimal"/>
      <w:lvlText w:val="（%1）"/>
      <w:lvlJc w:val="left"/>
      <w:pPr>
        <w:ind w:left="36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0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104">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03">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10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2"/>
      <w:numFmt w:val="decimal"/>
      <w:lvlText w:val="（%2）"/>
      <w:lvlJc w:val="left"/>
      <w:pPr>
        <w:ind w:left="3678" w:hanging="538"/>
        <w:jc w:val="left"/>
      </w:pPr>
      <w:rPr>
        <w:rFonts w:hint="default" w:ascii="宋体" w:hAnsi="宋体" w:eastAsia="宋体" w:cs="宋体"/>
        <w:b w:val="0"/>
        <w:bCs w:val="0"/>
        <w:i w:val="0"/>
        <w:iCs w:val="0"/>
        <w:spacing w:val="2"/>
        <w:w w:val="100"/>
        <w:sz w:val="19"/>
        <w:szCs w:val="19"/>
        <w:lang w:val="en-US" w:eastAsia="zh-CN" w:bidi="ar-SA"/>
      </w:rPr>
    </w:lvl>
    <w:lvl w:ilvl="2">
      <w:start w:val="0"/>
      <w:numFmt w:val="bullet"/>
      <w:lvlText w:val="•"/>
      <w:lvlJc w:val="left"/>
      <w:pPr>
        <w:ind w:left="4049" w:hanging="538"/>
      </w:pPr>
      <w:rPr>
        <w:rFonts w:hint="default"/>
        <w:lang w:val="en-US" w:eastAsia="zh-CN" w:bidi="ar-SA"/>
      </w:rPr>
    </w:lvl>
    <w:lvl w:ilvl="3">
      <w:start w:val="0"/>
      <w:numFmt w:val="bullet"/>
      <w:lvlText w:val="•"/>
      <w:lvlJc w:val="left"/>
      <w:pPr>
        <w:ind w:left="4419" w:hanging="538"/>
      </w:pPr>
      <w:rPr>
        <w:rFonts w:hint="default"/>
        <w:lang w:val="en-US" w:eastAsia="zh-CN" w:bidi="ar-SA"/>
      </w:rPr>
    </w:lvl>
    <w:lvl w:ilvl="4">
      <w:start w:val="0"/>
      <w:numFmt w:val="bullet"/>
      <w:lvlText w:val="•"/>
      <w:lvlJc w:val="left"/>
      <w:pPr>
        <w:ind w:left="4789" w:hanging="538"/>
      </w:pPr>
      <w:rPr>
        <w:rFonts w:hint="default"/>
        <w:lang w:val="en-US" w:eastAsia="zh-CN" w:bidi="ar-SA"/>
      </w:rPr>
    </w:lvl>
    <w:lvl w:ilvl="5">
      <w:start w:val="0"/>
      <w:numFmt w:val="bullet"/>
      <w:lvlText w:val="•"/>
      <w:lvlJc w:val="left"/>
      <w:pPr>
        <w:ind w:left="5159" w:hanging="538"/>
      </w:pPr>
      <w:rPr>
        <w:rFonts w:hint="default"/>
        <w:lang w:val="en-US" w:eastAsia="zh-CN" w:bidi="ar-SA"/>
      </w:rPr>
    </w:lvl>
    <w:lvl w:ilvl="6">
      <w:start w:val="0"/>
      <w:numFmt w:val="bullet"/>
      <w:lvlText w:val="•"/>
      <w:lvlJc w:val="left"/>
      <w:pPr>
        <w:ind w:left="5529" w:hanging="538"/>
      </w:pPr>
      <w:rPr>
        <w:rFonts w:hint="default"/>
        <w:lang w:val="en-US" w:eastAsia="zh-CN" w:bidi="ar-SA"/>
      </w:rPr>
    </w:lvl>
    <w:lvl w:ilvl="7">
      <w:start w:val="0"/>
      <w:numFmt w:val="bullet"/>
      <w:lvlText w:val="•"/>
      <w:lvlJc w:val="left"/>
      <w:pPr>
        <w:ind w:left="5899" w:hanging="538"/>
      </w:pPr>
      <w:rPr>
        <w:rFonts w:hint="default"/>
        <w:lang w:val="en-US" w:eastAsia="zh-CN" w:bidi="ar-SA"/>
      </w:rPr>
    </w:lvl>
    <w:lvl w:ilvl="8">
      <w:start w:val="0"/>
      <w:numFmt w:val="bullet"/>
      <w:lvlText w:val="•"/>
      <w:lvlJc w:val="left"/>
      <w:pPr>
        <w:ind w:left="6269" w:hanging="538"/>
      </w:pPr>
      <w:rPr>
        <w:rFonts w:hint="default"/>
        <w:lang w:val="en-US" w:eastAsia="zh-CN" w:bidi="ar-SA"/>
      </w:rPr>
    </w:lvl>
  </w:abstractNum>
  <w:abstractNum w:abstractNumId="101">
    <w:multiLevelType w:val="hybridMultilevel"/>
    <w:lvl w:ilvl="0">
      <w:start w:val="1"/>
      <w:numFmt w:val="decimal"/>
      <w:lvlText w:val="（%1）"/>
      <w:lvlJc w:val="left"/>
      <w:pPr>
        <w:ind w:left="70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100">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99">
    <w:multiLevelType w:val="hybridMultilevel"/>
    <w:lvl w:ilvl="0">
      <w:start w:val="1"/>
      <w:numFmt w:val="decimal"/>
      <w:lvlText w:val="（%1）"/>
      <w:lvlJc w:val="left"/>
      <w:pPr>
        <w:ind w:left="69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29" w:hanging="529"/>
      </w:pPr>
      <w:rPr>
        <w:rFonts w:hint="default"/>
        <w:lang w:val="en-US" w:eastAsia="zh-CN" w:bidi="ar-SA"/>
      </w:rPr>
    </w:lvl>
    <w:lvl w:ilvl="2">
      <w:start w:val="0"/>
      <w:numFmt w:val="bullet"/>
      <w:lvlText w:val="•"/>
      <w:lvlJc w:val="left"/>
      <w:pPr>
        <w:ind w:left="1959" w:hanging="529"/>
      </w:pPr>
      <w:rPr>
        <w:rFonts w:hint="default"/>
        <w:lang w:val="en-US" w:eastAsia="zh-CN" w:bidi="ar-SA"/>
      </w:rPr>
    </w:lvl>
    <w:lvl w:ilvl="3">
      <w:start w:val="0"/>
      <w:numFmt w:val="bullet"/>
      <w:lvlText w:val="•"/>
      <w:lvlJc w:val="left"/>
      <w:pPr>
        <w:ind w:left="2589" w:hanging="529"/>
      </w:pPr>
      <w:rPr>
        <w:rFonts w:hint="default"/>
        <w:lang w:val="en-US" w:eastAsia="zh-CN" w:bidi="ar-SA"/>
      </w:rPr>
    </w:lvl>
    <w:lvl w:ilvl="4">
      <w:start w:val="0"/>
      <w:numFmt w:val="bullet"/>
      <w:lvlText w:val="•"/>
      <w:lvlJc w:val="left"/>
      <w:pPr>
        <w:ind w:left="3219" w:hanging="529"/>
      </w:pPr>
      <w:rPr>
        <w:rFonts w:hint="default"/>
        <w:lang w:val="en-US" w:eastAsia="zh-CN" w:bidi="ar-SA"/>
      </w:rPr>
    </w:lvl>
    <w:lvl w:ilvl="5">
      <w:start w:val="0"/>
      <w:numFmt w:val="bullet"/>
      <w:lvlText w:val="•"/>
      <w:lvlJc w:val="left"/>
      <w:pPr>
        <w:ind w:left="3849" w:hanging="529"/>
      </w:pPr>
      <w:rPr>
        <w:rFonts w:hint="default"/>
        <w:lang w:val="en-US" w:eastAsia="zh-CN" w:bidi="ar-SA"/>
      </w:rPr>
    </w:lvl>
    <w:lvl w:ilvl="6">
      <w:start w:val="0"/>
      <w:numFmt w:val="bullet"/>
      <w:lvlText w:val="•"/>
      <w:lvlJc w:val="left"/>
      <w:pPr>
        <w:ind w:left="4479" w:hanging="529"/>
      </w:pPr>
      <w:rPr>
        <w:rFonts w:hint="default"/>
        <w:lang w:val="en-US" w:eastAsia="zh-CN" w:bidi="ar-SA"/>
      </w:rPr>
    </w:lvl>
    <w:lvl w:ilvl="7">
      <w:start w:val="0"/>
      <w:numFmt w:val="bullet"/>
      <w:lvlText w:val="•"/>
      <w:lvlJc w:val="left"/>
      <w:pPr>
        <w:ind w:left="5109" w:hanging="529"/>
      </w:pPr>
      <w:rPr>
        <w:rFonts w:hint="default"/>
        <w:lang w:val="en-US" w:eastAsia="zh-CN" w:bidi="ar-SA"/>
      </w:rPr>
    </w:lvl>
    <w:lvl w:ilvl="8">
      <w:start w:val="0"/>
      <w:numFmt w:val="bullet"/>
      <w:lvlText w:val="•"/>
      <w:lvlJc w:val="left"/>
      <w:pPr>
        <w:ind w:left="5739" w:hanging="529"/>
      </w:pPr>
      <w:rPr>
        <w:rFonts w:hint="default"/>
        <w:lang w:val="en-US" w:eastAsia="zh-CN" w:bidi="ar-SA"/>
      </w:rPr>
    </w:lvl>
  </w:abstractNum>
  <w:abstractNum w:abstractNumId="9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97">
    <w:multiLevelType w:val="hybridMultilevel"/>
    <w:lvl w:ilvl="0">
      <w:start w:val="1"/>
      <w:numFmt w:val="decimal"/>
      <w:lvlText w:val="（%1）"/>
      <w:lvlJc w:val="left"/>
      <w:pPr>
        <w:ind w:left="36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96">
    <w:multiLevelType w:val="hybridMultilevel"/>
    <w:lvl w:ilvl="0">
      <w:start w:val="1"/>
      <w:numFmt w:val="decimal"/>
      <w:lvlText w:val="（%1）"/>
      <w:lvlJc w:val="left"/>
      <w:pPr>
        <w:ind w:left="36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95">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94">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93">
    <w:multiLevelType w:val="hybridMultilevel"/>
    <w:lvl w:ilvl="0">
      <w:start w:val="1"/>
      <w:numFmt w:val="decimal"/>
      <w:lvlText w:val="（%1）"/>
      <w:lvlJc w:val="left"/>
      <w:pPr>
        <w:ind w:left="70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92">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91">
    <w:multiLevelType w:val="hybridMultilevel"/>
    <w:lvl w:ilvl="0">
      <w:start w:val="12"/>
      <w:numFmt w:val="decimal"/>
      <w:lvlText w:val="%1"/>
      <w:lvlJc w:val="left"/>
      <w:pPr>
        <w:ind w:left="1071" w:hanging="850"/>
        <w:jc w:val="left"/>
      </w:pPr>
      <w:rPr>
        <w:rFonts w:hint="default"/>
        <w:lang w:val="en-US" w:eastAsia="zh-CN" w:bidi="ar-SA"/>
      </w:rPr>
    </w:lvl>
    <w:lvl w:ilvl="1">
      <w:start w:val="75"/>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81" w:hanging="529"/>
      </w:pPr>
      <w:rPr>
        <w:rFonts w:hint="default"/>
        <w:lang w:val="en-US" w:eastAsia="zh-CN" w:bidi="ar-SA"/>
      </w:rPr>
    </w:lvl>
    <w:lvl w:ilvl="4">
      <w:start w:val="0"/>
      <w:numFmt w:val="bullet"/>
      <w:lvlText w:val="•"/>
      <w:lvlJc w:val="left"/>
      <w:pPr>
        <w:ind w:left="5782" w:hanging="529"/>
      </w:pPr>
      <w:rPr>
        <w:rFonts w:hint="default"/>
        <w:lang w:val="en-US" w:eastAsia="zh-CN" w:bidi="ar-SA"/>
      </w:rPr>
    </w:lvl>
    <w:lvl w:ilvl="5">
      <w:start w:val="0"/>
      <w:numFmt w:val="bullet"/>
      <w:lvlText w:val="•"/>
      <w:lvlJc w:val="left"/>
      <w:pPr>
        <w:ind w:left="6482" w:hanging="529"/>
      </w:pPr>
      <w:rPr>
        <w:rFonts w:hint="default"/>
        <w:lang w:val="en-US" w:eastAsia="zh-CN" w:bidi="ar-SA"/>
      </w:rPr>
    </w:lvl>
    <w:lvl w:ilvl="6">
      <w:start w:val="0"/>
      <w:numFmt w:val="bullet"/>
      <w:lvlText w:val="•"/>
      <w:lvlJc w:val="left"/>
      <w:pPr>
        <w:ind w:left="7183" w:hanging="529"/>
      </w:pPr>
      <w:rPr>
        <w:rFonts w:hint="default"/>
        <w:lang w:val="en-US" w:eastAsia="zh-CN" w:bidi="ar-SA"/>
      </w:rPr>
    </w:lvl>
    <w:lvl w:ilvl="7">
      <w:start w:val="0"/>
      <w:numFmt w:val="bullet"/>
      <w:lvlText w:val="•"/>
      <w:lvlJc w:val="left"/>
      <w:pPr>
        <w:ind w:left="7884" w:hanging="529"/>
      </w:pPr>
      <w:rPr>
        <w:rFonts w:hint="default"/>
        <w:lang w:val="en-US" w:eastAsia="zh-CN" w:bidi="ar-SA"/>
      </w:rPr>
    </w:lvl>
    <w:lvl w:ilvl="8">
      <w:start w:val="0"/>
      <w:numFmt w:val="bullet"/>
      <w:lvlText w:val="•"/>
      <w:lvlJc w:val="left"/>
      <w:pPr>
        <w:ind w:left="8584" w:hanging="529"/>
      </w:pPr>
      <w:rPr>
        <w:rFonts w:hint="default"/>
        <w:lang w:val="en-US" w:eastAsia="zh-CN" w:bidi="ar-SA"/>
      </w:rPr>
    </w:lvl>
  </w:abstractNum>
  <w:abstractNum w:abstractNumId="90">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01" w:hanging="529"/>
      </w:pPr>
      <w:rPr>
        <w:rFonts w:hint="default"/>
        <w:lang w:val="en-US" w:eastAsia="zh-CN" w:bidi="ar-SA"/>
      </w:rPr>
    </w:lvl>
    <w:lvl w:ilvl="2">
      <w:start w:val="0"/>
      <w:numFmt w:val="bullet"/>
      <w:lvlText w:val="•"/>
      <w:lvlJc w:val="left"/>
      <w:pPr>
        <w:ind w:left="1763" w:hanging="529"/>
      </w:pPr>
      <w:rPr>
        <w:rFonts w:hint="default"/>
        <w:lang w:val="en-US" w:eastAsia="zh-CN" w:bidi="ar-SA"/>
      </w:rPr>
    </w:lvl>
    <w:lvl w:ilvl="3">
      <w:start w:val="0"/>
      <w:numFmt w:val="bullet"/>
      <w:lvlText w:val="•"/>
      <w:lvlJc w:val="left"/>
      <w:pPr>
        <w:ind w:left="2325" w:hanging="529"/>
      </w:pPr>
      <w:rPr>
        <w:rFonts w:hint="default"/>
        <w:lang w:val="en-US" w:eastAsia="zh-CN" w:bidi="ar-SA"/>
      </w:rPr>
    </w:lvl>
    <w:lvl w:ilvl="4">
      <w:start w:val="0"/>
      <w:numFmt w:val="bullet"/>
      <w:lvlText w:val="•"/>
      <w:lvlJc w:val="left"/>
      <w:pPr>
        <w:ind w:left="2887" w:hanging="529"/>
      </w:pPr>
      <w:rPr>
        <w:rFonts w:hint="default"/>
        <w:lang w:val="en-US" w:eastAsia="zh-CN" w:bidi="ar-SA"/>
      </w:rPr>
    </w:lvl>
    <w:lvl w:ilvl="5">
      <w:start w:val="0"/>
      <w:numFmt w:val="bullet"/>
      <w:lvlText w:val="•"/>
      <w:lvlJc w:val="left"/>
      <w:pPr>
        <w:ind w:left="3449" w:hanging="529"/>
      </w:pPr>
      <w:rPr>
        <w:rFonts w:hint="default"/>
        <w:lang w:val="en-US" w:eastAsia="zh-CN" w:bidi="ar-SA"/>
      </w:rPr>
    </w:lvl>
    <w:lvl w:ilvl="6">
      <w:start w:val="0"/>
      <w:numFmt w:val="bullet"/>
      <w:lvlText w:val="•"/>
      <w:lvlJc w:val="left"/>
      <w:pPr>
        <w:ind w:left="4011" w:hanging="529"/>
      </w:pPr>
      <w:rPr>
        <w:rFonts w:hint="default"/>
        <w:lang w:val="en-US" w:eastAsia="zh-CN" w:bidi="ar-SA"/>
      </w:rPr>
    </w:lvl>
    <w:lvl w:ilvl="7">
      <w:start w:val="0"/>
      <w:numFmt w:val="bullet"/>
      <w:lvlText w:val="•"/>
      <w:lvlJc w:val="left"/>
      <w:pPr>
        <w:ind w:left="4573" w:hanging="529"/>
      </w:pPr>
      <w:rPr>
        <w:rFonts w:hint="default"/>
        <w:lang w:val="en-US" w:eastAsia="zh-CN" w:bidi="ar-SA"/>
      </w:rPr>
    </w:lvl>
    <w:lvl w:ilvl="8">
      <w:start w:val="0"/>
      <w:numFmt w:val="bullet"/>
      <w:lvlText w:val="•"/>
      <w:lvlJc w:val="left"/>
      <w:pPr>
        <w:ind w:left="5135" w:hanging="529"/>
      </w:pPr>
      <w:rPr>
        <w:rFonts w:hint="default"/>
        <w:lang w:val="en-US" w:eastAsia="zh-CN" w:bidi="ar-SA"/>
      </w:rPr>
    </w:lvl>
  </w:abstractNum>
  <w:abstractNum w:abstractNumId="89">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01" w:hanging="529"/>
      </w:pPr>
      <w:rPr>
        <w:rFonts w:hint="default"/>
        <w:lang w:val="en-US" w:eastAsia="zh-CN" w:bidi="ar-SA"/>
      </w:rPr>
    </w:lvl>
    <w:lvl w:ilvl="2">
      <w:start w:val="0"/>
      <w:numFmt w:val="bullet"/>
      <w:lvlText w:val="•"/>
      <w:lvlJc w:val="left"/>
      <w:pPr>
        <w:ind w:left="1763" w:hanging="529"/>
      </w:pPr>
      <w:rPr>
        <w:rFonts w:hint="default"/>
        <w:lang w:val="en-US" w:eastAsia="zh-CN" w:bidi="ar-SA"/>
      </w:rPr>
    </w:lvl>
    <w:lvl w:ilvl="3">
      <w:start w:val="0"/>
      <w:numFmt w:val="bullet"/>
      <w:lvlText w:val="•"/>
      <w:lvlJc w:val="left"/>
      <w:pPr>
        <w:ind w:left="2325" w:hanging="529"/>
      </w:pPr>
      <w:rPr>
        <w:rFonts w:hint="default"/>
        <w:lang w:val="en-US" w:eastAsia="zh-CN" w:bidi="ar-SA"/>
      </w:rPr>
    </w:lvl>
    <w:lvl w:ilvl="4">
      <w:start w:val="0"/>
      <w:numFmt w:val="bullet"/>
      <w:lvlText w:val="•"/>
      <w:lvlJc w:val="left"/>
      <w:pPr>
        <w:ind w:left="2887" w:hanging="529"/>
      </w:pPr>
      <w:rPr>
        <w:rFonts w:hint="default"/>
        <w:lang w:val="en-US" w:eastAsia="zh-CN" w:bidi="ar-SA"/>
      </w:rPr>
    </w:lvl>
    <w:lvl w:ilvl="5">
      <w:start w:val="0"/>
      <w:numFmt w:val="bullet"/>
      <w:lvlText w:val="•"/>
      <w:lvlJc w:val="left"/>
      <w:pPr>
        <w:ind w:left="3449" w:hanging="529"/>
      </w:pPr>
      <w:rPr>
        <w:rFonts w:hint="default"/>
        <w:lang w:val="en-US" w:eastAsia="zh-CN" w:bidi="ar-SA"/>
      </w:rPr>
    </w:lvl>
    <w:lvl w:ilvl="6">
      <w:start w:val="0"/>
      <w:numFmt w:val="bullet"/>
      <w:lvlText w:val="•"/>
      <w:lvlJc w:val="left"/>
      <w:pPr>
        <w:ind w:left="4011" w:hanging="529"/>
      </w:pPr>
      <w:rPr>
        <w:rFonts w:hint="default"/>
        <w:lang w:val="en-US" w:eastAsia="zh-CN" w:bidi="ar-SA"/>
      </w:rPr>
    </w:lvl>
    <w:lvl w:ilvl="7">
      <w:start w:val="0"/>
      <w:numFmt w:val="bullet"/>
      <w:lvlText w:val="•"/>
      <w:lvlJc w:val="left"/>
      <w:pPr>
        <w:ind w:left="4573" w:hanging="529"/>
      </w:pPr>
      <w:rPr>
        <w:rFonts w:hint="default"/>
        <w:lang w:val="en-US" w:eastAsia="zh-CN" w:bidi="ar-SA"/>
      </w:rPr>
    </w:lvl>
    <w:lvl w:ilvl="8">
      <w:start w:val="0"/>
      <w:numFmt w:val="bullet"/>
      <w:lvlText w:val="•"/>
      <w:lvlJc w:val="left"/>
      <w:pPr>
        <w:ind w:left="5135" w:hanging="529"/>
      </w:pPr>
      <w:rPr>
        <w:rFonts w:hint="default"/>
        <w:lang w:val="en-US" w:eastAsia="zh-CN" w:bidi="ar-SA"/>
      </w:rPr>
    </w:lvl>
  </w:abstractNum>
  <w:abstractNum w:abstractNumId="88">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87">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86">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104"/>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85">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84">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83">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82">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81">
    <w:multiLevelType w:val="hybridMultilevel"/>
    <w:lvl w:ilvl="0">
      <w:start w:val="1"/>
      <w:numFmt w:val="decimal"/>
      <w:lvlText w:val="（%1）"/>
      <w:lvlJc w:val="left"/>
      <w:pPr>
        <w:ind w:left="711"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1348" w:hanging="538"/>
      </w:pPr>
      <w:rPr>
        <w:rFonts w:hint="default"/>
        <w:lang w:val="en-US" w:eastAsia="zh-CN" w:bidi="ar-SA"/>
      </w:rPr>
    </w:lvl>
    <w:lvl w:ilvl="2">
      <w:start w:val="0"/>
      <w:numFmt w:val="bullet"/>
      <w:lvlText w:val="•"/>
      <w:lvlJc w:val="left"/>
      <w:pPr>
        <w:ind w:left="1977" w:hanging="538"/>
      </w:pPr>
      <w:rPr>
        <w:rFonts w:hint="default"/>
        <w:lang w:val="en-US" w:eastAsia="zh-CN" w:bidi="ar-SA"/>
      </w:rPr>
    </w:lvl>
    <w:lvl w:ilvl="3">
      <w:start w:val="0"/>
      <w:numFmt w:val="bullet"/>
      <w:lvlText w:val="•"/>
      <w:lvlJc w:val="left"/>
      <w:pPr>
        <w:ind w:left="2606" w:hanging="538"/>
      </w:pPr>
      <w:rPr>
        <w:rFonts w:hint="default"/>
        <w:lang w:val="en-US" w:eastAsia="zh-CN" w:bidi="ar-SA"/>
      </w:rPr>
    </w:lvl>
    <w:lvl w:ilvl="4">
      <w:start w:val="0"/>
      <w:numFmt w:val="bullet"/>
      <w:lvlText w:val="•"/>
      <w:lvlJc w:val="left"/>
      <w:pPr>
        <w:ind w:left="3235" w:hanging="538"/>
      </w:pPr>
      <w:rPr>
        <w:rFonts w:hint="default"/>
        <w:lang w:val="en-US" w:eastAsia="zh-CN" w:bidi="ar-SA"/>
      </w:rPr>
    </w:lvl>
    <w:lvl w:ilvl="5">
      <w:start w:val="0"/>
      <w:numFmt w:val="bullet"/>
      <w:lvlText w:val="•"/>
      <w:lvlJc w:val="left"/>
      <w:pPr>
        <w:ind w:left="3863" w:hanging="538"/>
      </w:pPr>
      <w:rPr>
        <w:rFonts w:hint="default"/>
        <w:lang w:val="en-US" w:eastAsia="zh-CN" w:bidi="ar-SA"/>
      </w:rPr>
    </w:lvl>
    <w:lvl w:ilvl="6">
      <w:start w:val="0"/>
      <w:numFmt w:val="bullet"/>
      <w:lvlText w:val="•"/>
      <w:lvlJc w:val="left"/>
      <w:pPr>
        <w:ind w:left="4492" w:hanging="538"/>
      </w:pPr>
      <w:rPr>
        <w:rFonts w:hint="default"/>
        <w:lang w:val="en-US" w:eastAsia="zh-CN" w:bidi="ar-SA"/>
      </w:rPr>
    </w:lvl>
    <w:lvl w:ilvl="7">
      <w:start w:val="0"/>
      <w:numFmt w:val="bullet"/>
      <w:lvlText w:val="•"/>
      <w:lvlJc w:val="left"/>
      <w:pPr>
        <w:ind w:left="5121" w:hanging="538"/>
      </w:pPr>
      <w:rPr>
        <w:rFonts w:hint="default"/>
        <w:lang w:val="en-US" w:eastAsia="zh-CN" w:bidi="ar-SA"/>
      </w:rPr>
    </w:lvl>
    <w:lvl w:ilvl="8">
      <w:start w:val="0"/>
      <w:numFmt w:val="bullet"/>
      <w:lvlText w:val="•"/>
      <w:lvlJc w:val="left"/>
      <w:pPr>
        <w:ind w:left="5750" w:hanging="538"/>
      </w:pPr>
      <w:rPr>
        <w:rFonts w:hint="default"/>
        <w:lang w:val="en-US" w:eastAsia="zh-CN" w:bidi="ar-SA"/>
      </w:rPr>
    </w:lvl>
  </w:abstractNum>
  <w:abstractNum w:abstractNumId="80">
    <w:multiLevelType w:val="hybridMultilevel"/>
    <w:lvl w:ilvl="0">
      <w:start w:val="12"/>
      <w:numFmt w:val="decimal"/>
      <w:lvlText w:val="%1"/>
      <w:lvlJc w:val="left"/>
      <w:pPr>
        <w:ind w:left="1071" w:hanging="850"/>
        <w:jc w:val="left"/>
      </w:pPr>
      <w:rPr>
        <w:rFonts w:hint="default"/>
        <w:lang w:val="en-US" w:eastAsia="zh-CN" w:bidi="ar-SA"/>
      </w:rPr>
    </w:lvl>
    <w:lvl w:ilvl="1">
      <w:start w:val="57"/>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81" w:hanging="529"/>
      </w:pPr>
      <w:rPr>
        <w:rFonts w:hint="default"/>
        <w:lang w:val="en-US" w:eastAsia="zh-CN" w:bidi="ar-SA"/>
      </w:rPr>
    </w:lvl>
    <w:lvl w:ilvl="4">
      <w:start w:val="0"/>
      <w:numFmt w:val="bullet"/>
      <w:lvlText w:val="•"/>
      <w:lvlJc w:val="left"/>
      <w:pPr>
        <w:ind w:left="5782" w:hanging="529"/>
      </w:pPr>
      <w:rPr>
        <w:rFonts w:hint="default"/>
        <w:lang w:val="en-US" w:eastAsia="zh-CN" w:bidi="ar-SA"/>
      </w:rPr>
    </w:lvl>
    <w:lvl w:ilvl="5">
      <w:start w:val="0"/>
      <w:numFmt w:val="bullet"/>
      <w:lvlText w:val="•"/>
      <w:lvlJc w:val="left"/>
      <w:pPr>
        <w:ind w:left="6482" w:hanging="529"/>
      </w:pPr>
      <w:rPr>
        <w:rFonts w:hint="default"/>
        <w:lang w:val="en-US" w:eastAsia="zh-CN" w:bidi="ar-SA"/>
      </w:rPr>
    </w:lvl>
    <w:lvl w:ilvl="6">
      <w:start w:val="0"/>
      <w:numFmt w:val="bullet"/>
      <w:lvlText w:val="•"/>
      <w:lvlJc w:val="left"/>
      <w:pPr>
        <w:ind w:left="7183" w:hanging="529"/>
      </w:pPr>
      <w:rPr>
        <w:rFonts w:hint="default"/>
        <w:lang w:val="en-US" w:eastAsia="zh-CN" w:bidi="ar-SA"/>
      </w:rPr>
    </w:lvl>
    <w:lvl w:ilvl="7">
      <w:start w:val="0"/>
      <w:numFmt w:val="bullet"/>
      <w:lvlText w:val="•"/>
      <w:lvlJc w:val="left"/>
      <w:pPr>
        <w:ind w:left="7884" w:hanging="529"/>
      </w:pPr>
      <w:rPr>
        <w:rFonts w:hint="default"/>
        <w:lang w:val="en-US" w:eastAsia="zh-CN" w:bidi="ar-SA"/>
      </w:rPr>
    </w:lvl>
    <w:lvl w:ilvl="8">
      <w:start w:val="0"/>
      <w:numFmt w:val="bullet"/>
      <w:lvlText w:val="•"/>
      <w:lvlJc w:val="left"/>
      <w:pPr>
        <w:ind w:left="8584" w:hanging="529"/>
      </w:pPr>
      <w:rPr>
        <w:rFonts w:hint="default"/>
        <w:lang w:val="en-US" w:eastAsia="zh-CN" w:bidi="ar-SA"/>
      </w:rPr>
    </w:lvl>
  </w:abstractNum>
  <w:abstractNum w:abstractNumId="79">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1784" w:hanging="529"/>
      </w:pPr>
      <w:rPr>
        <w:rFonts w:hint="default"/>
        <w:lang w:val="en-US" w:eastAsia="zh-CN" w:bidi="ar-SA"/>
      </w:rPr>
    </w:lvl>
    <w:lvl w:ilvl="3">
      <w:start w:val="0"/>
      <w:numFmt w:val="bullet"/>
      <w:lvlText w:val="•"/>
      <w:lvlJc w:val="left"/>
      <w:pPr>
        <w:ind w:left="2357" w:hanging="529"/>
      </w:pPr>
      <w:rPr>
        <w:rFonts w:hint="default"/>
        <w:lang w:val="en-US" w:eastAsia="zh-CN" w:bidi="ar-SA"/>
      </w:rPr>
    </w:lvl>
    <w:lvl w:ilvl="4">
      <w:start w:val="0"/>
      <w:numFmt w:val="bullet"/>
      <w:lvlText w:val="•"/>
      <w:lvlJc w:val="left"/>
      <w:pPr>
        <w:ind w:left="2929" w:hanging="529"/>
      </w:pPr>
      <w:rPr>
        <w:rFonts w:hint="default"/>
        <w:lang w:val="en-US" w:eastAsia="zh-CN" w:bidi="ar-SA"/>
      </w:rPr>
    </w:lvl>
    <w:lvl w:ilvl="5">
      <w:start w:val="0"/>
      <w:numFmt w:val="bullet"/>
      <w:lvlText w:val="•"/>
      <w:lvlJc w:val="left"/>
      <w:pPr>
        <w:ind w:left="3502" w:hanging="529"/>
      </w:pPr>
      <w:rPr>
        <w:rFonts w:hint="default"/>
        <w:lang w:val="en-US" w:eastAsia="zh-CN" w:bidi="ar-SA"/>
      </w:rPr>
    </w:lvl>
    <w:lvl w:ilvl="6">
      <w:start w:val="0"/>
      <w:numFmt w:val="bullet"/>
      <w:lvlText w:val="•"/>
      <w:lvlJc w:val="left"/>
      <w:pPr>
        <w:ind w:left="4074" w:hanging="529"/>
      </w:pPr>
      <w:rPr>
        <w:rFonts w:hint="default"/>
        <w:lang w:val="en-US" w:eastAsia="zh-CN" w:bidi="ar-SA"/>
      </w:rPr>
    </w:lvl>
    <w:lvl w:ilvl="7">
      <w:start w:val="0"/>
      <w:numFmt w:val="bullet"/>
      <w:lvlText w:val="•"/>
      <w:lvlJc w:val="left"/>
      <w:pPr>
        <w:ind w:left="4646" w:hanging="529"/>
      </w:pPr>
      <w:rPr>
        <w:rFonts w:hint="default"/>
        <w:lang w:val="en-US" w:eastAsia="zh-CN" w:bidi="ar-SA"/>
      </w:rPr>
    </w:lvl>
    <w:lvl w:ilvl="8">
      <w:start w:val="0"/>
      <w:numFmt w:val="bullet"/>
      <w:lvlText w:val="•"/>
      <w:lvlJc w:val="left"/>
      <w:pPr>
        <w:ind w:left="5219" w:hanging="529"/>
      </w:pPr>
      <w:rPr>
        <w:rFonts w:hint="default"/>
        <w:lang w:val="en-US" w:eastAsia="zh-CN" w:bidi="ar-SA"/>
      </w:rPr>
    </w:lvl>
  </w:abstractNum>
  <w:abstractNum w:abstractNumId="78">
    <w:multiLevelType w:val="hybridMultilevel"/>
    <w:lvl w:ilvl="0">
      <w:start w:val="1"/>
      <w:numFmt w:val="decimal"/>
      <w:lvlText w:val="（%1）"/>
      <w:lvlJc w:val="left"/>
      <w:pPr>
        <w:ind w:left="702" w:hanging="527"/>
        <w:jc w:val="left"/>
      </w:pPr>
      <w:rPr>
        <w:rFonts w:hint="default" w:ascii="宋体" w:hAnsi="宋体" w:eastAsia="宋体" w:cs="宋体"/>
        <w:b w:val="0"/>
        <w:bCs w:val="0"/>
        <w:i w:val="0"/>
        <w:iCs w:val="0"/>
        <w:spacing w:val="-36"/>
        <w:w w:val="100"/>
        <w:sz w:val="19"/>
        <w:szCs w:val="19"/>
        <w:lang w:val="en-US" w:eastAsia="zh-CN" w:bidi="ar-SA"/>
      </w:rPr>
    </w:lvl>
    <w:lvl w:ilvl="1">
      <w:start w:val="0"/>
      <w:numFmt w:val="bullet"/>
      <w:lvlText w:val="•"/>
      <w:lvlJc w:val="left"/>
      <w:pPr>
        <w:ind w:left="3680" w:hanging="527"/>
      </w:pPr>
      <w:rPr>
        <w:rFonts w:hint="default"/>
        <w:lang w:val="en-US" w:eastAsia="zh-CN" w:bidi="ar-SA"/>
      </w:rPr>
    </w:lvl>
    <w:lvl w:ilvl="2">
      <w:start w:val="0"/>
      <w:numFmt w:val="bullet"/>
      <w:lvlText w:val="•"/>
      <w:lvlJc w:val="left"/>
      <w:pPr>
        <w:ind w:left="4049" w:hanging="527"/>
      </w:pPr>
      <w:rPr>
        <w:rFonts w:hint="default"/>
        <w:lang w:val="en-US" w:eastAsia="zh-CN" w:bidi="ar-SA"/>
      </w:rPr>
    </w:lvl>
    <w:lvl w:ilvl="3">
      <w:start w:val="0"/>
      <w:numFmt w:val="bullet"/>
      <w:lvlText w:val="•"/>
      <w:lvlJc w:val="left"/>
      <w:pPr>
        <w:ind w:left="4419" w:hanging="527"/>
      </w:pPr>
      <w:rPr>
        <w:rFonts w:hint="default"/>
        <w:lang w:val="en-US" w:eastAsia="zh-CN" w:bidi="ar-SA"/>
      </w:rPr>
    </w:lvl>
    <w:lvl w:ilvl="4">
      <w:start w:val="0"/>
      <w:numFmt w:val="bullet"/>
      <w:lvlText w:val="•"/>
      <w:lvlJc w:val="left"/>
      <w:pPr>
        <w:ind w:left="4789" w:hanging="527"/>
      </w:pPr>
      <w:rPr>
        <w:rFonts w:hint="default"/>
        <w:lang w:val="en-US" w:eastAsia="zh-CN" w:bidi="ar-SA"/>
      </w:rPr>
    </w:lvl>
    <w:lvl w:ilvl="5">
      <w:start w:val="0"/>
      <w:numFmt w:val="bullet"/>
      <w:lvlText w:val="•"/>
      <w:lvlJc w:val="left"/>
      <w:pPr>
        <w:ind w:left="5159" w:hanging="527"/>
      </w:pPr>
      <w:rPr>
        <w:rFonts w:hint="default"/>
        <w:lang w:val="en-US" w:eastAsia="zh-CN" w:bidi="ar-SA"/>
      </w:rPr>
    </w:lvl>
    <w:lvl w:ilvl="6">
      <w:start w:val="0"/>
      <w:numFmt w:val="bullet"/>
      <w:lvlText w:val="•"/>
      <w:lvlJc w:val="left"/>
      <w:pPr>
        <w:ind w:left="5529" w:hanging="527"/>
      </w:pPr>
      <w:rPr>
        <w:rFonts w:hint="default"/>
        <w:lang w:val="en-US" w:eastAsia="zh-CN" w:bidi="ar-SA"/>
      </w:rPr>
    </w:lvl>
    <w:lvl w:ilvl="7">
      <w:start w:val="0"/>
      <w:numFmt w:val="bullet"/>
      <w:lvlText w:val="•"/>
      <w:lvlJc w:val="left"/>
      <w:pPr>
        <w:ind w:left="5899" w:hanging="527"/>
      </w:pPr>
      <w:rPr>
        <w:rFonts w:hint="default"/>
        <w:lang w:val="en-US" w:eastAsia="zh-CN" w:bidi="ar-SA"/>
      </w:rPr>
    </w:lvl>
    <w:lvl w:ilvl="8">
      <w:start w:val="0"/>
      <w:numFmt w:val="bullet"/>
      <w:lvlText w:val="•"/>
      <w:lvlJc w:val="left"/>
      <w:pPr>
        <w:ind w:left="6269" w:hanging="527"/>
      </w:pPr>
      <w:rPr>
        <w:rFonts w:hint="default"/>
        <w:lang w:val="en-US" w:eastAsia="zh-CN" w:bidi="ar-SA"/>
      </w:rPr>
    </w:lvl>
  </w:abstractNum>
  <w:abstractNum w:abstractNumId="77">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76">
    <w:multiLevelType w:val="hybridMultilevel"/>
    <w:lvl w:ilvl="0">
      <w:start w:val="1"/>
      <w:numFmt w:val="decimal"/>
      <w:lvlText w:val="（%1）"/>
      <w:lvlJc w:val="left"/>
      <w:pPr>
        <w:ind w:left="701" w:hanging="532"/>
        <w:jc w:val="left"/>
      </w:pPr>
      <w:rPr>
        <w:rFonts w:hint="default" w:ascii="宋体" w:hAnsi="宋体" w:eastAsia="宋体" w:cs="宋体"/>
        <w:b w:val="0"/>
        <w:bCs w:val="0"/>
        <w:i w:val="0"/>
        <w:iCs w:val="0"/>
        <w:spacing w:val="0"/>
        <w:w w:val="100"/>
        <w:sz w:val="19"/>
        <w:szCs w:val="19"/>
        <w:lang w:val="en-US" w:eastAsia="zh-CN" w:bidi="ar-SA"/>
      </w:rPr>
    </w:lvl>
    <w:lvl w:ilvl="1">
      <w:start w:val="0"/>
      <w:numFmt w:val="bullet"/>
      <w:lvlText w:val="•"/>
      <w:lvlJc w:val="left"/>
      <w:pPr>
        <w:ind w:left="1330" w:hanging="532"/>
      </w:pPr>
      <w:rPr>
        <w:rFonts w:hint="default"/>
        <w:lang w:val="en-US" w:eastAsia="zh-CN" w:bidi="ar-SA"/>
      </w:rPr>
    </w:lvl>
    <w:lvl w:ilvl="2">
      <w:start w:val="0"/>
      <w:numFmt w:val="bullet"/>
      <w:lvlText w:val="•"/>
      <w:lvlJc w:val="left"/>
      <w:pPr>
        <w:ind w:left="1961" w:hanging="532"/>
      </w:pPr>
      <w:rPr>
        <w:rFonts w:hint="default"/>
        <w:lang w:val="en-US" w:eastAsia="zh-CN" w:bidi="ar-SA"/>
      </w:rPr>
    </w:lvl>
    <w:lvl w:ilvl="3">
      <w:start w:val="0"/>
      <w:numFmt w:val="bullet"/>
      <w:lvlText w:val="•"/>
      <w:lvlJc w:val="left"/>
      <w:pPr>
        <w:ind w:left="2592" w:hanging="532"/>
      </w:pPr>
      <w:rPr>
        <w:rFonts w:hint="default"/>
        <w:lang w:val="en-US" w:eastAsia="zh-CN" w:bidi="ar-SA"/>
      </w:rPr>
    </w:lvl>
    <w:lvl w:ilvl="4">
      <w:start w:val="0"/>
      <w:numFmt w:val="bullet"/>
      <w:lvlText w:val="•"/>
      <w:lvlJc w:val="left"/>
      <w:pPr>
        <w:ind w:left="3223" w:hanging="532"/>
      </w:pPr>
      <w:rPr>
        <w:rFonts w:hint="default"/>
        <w:lang w:val="en-US" w:eastAsia="zh-CN" w:bidi="ar-SA"/>
      </w:rPr>
    </w:lvl>
    <w:lvl w:ilvl="5">
      <w:start w:val="0"/>
      <w:numFmt w:val="bullet"/>
      <w:lvlText w:val="•"/>
      <w:lvlJc w:val="left"/>
      <w:pPr>
        <w:ind w:left="3854" w:hanging="532"/>
      </w:pPr>
      <w:rPr>
        <w:rFonts w:hint="default"/>
        <w:lang w:val="en-US" w:eastAsia="zh-CN" w:bidi="ar-SA"/>
      </w:rPr>
    </w:lvl>
    <w:lvl w:ilvl="6">
      <w:start w:val="0"/>
      <w:numFmt w:val="bullet"/>
      <w:lvlText w:val="•"/>
      <w:lvlJc w:val="left"/>
      <w:pPr>
        <w:ind w:left="4485" w:hanging="532"/>
      </w:pPr>
      <w:rPr>
        <w:rFonts w:hint="default"/>
        <w:lang w:val="en-US" w:eastAsia="zh-CN" w:bidi="ar-SA"/>
      </w:rPr>
    </w:lvl>
    <w:lvl w:ilvl="7">
      <w:start w:val="0"/>
      <w:numFmt w:val="bullet"/>
      <w:lvlText w:val="•"/>
      <w:lvlJc w:val="left"/>
      <w:pPr>
        <w:ind w:left="5116" w:hanging="532"/>
      </w:pPr>
      <w:rPr>
        <w:rFonts w:hint="default"/>
        <w:lang w:val="en-US" w:eastAsia="zh-CN" w:bidi="ar-SA"/>
      </w:rPr>
    </w:lvl>
    <w:lvl w:ilvl="8">
      <w:start w:val="0"/>
      <w:numFmt w:val="bullet"/>
      <w:lvlText w:val="•"/>
      <w:lvlJc w:val="left"/>
      <w:pPr>
        <w:ind w:left="5747" w:hanging="532"/>
      </w:pPr>
      <w:rPr>
        <w:rFonts w:hint="default"/>
        <w:lang w:val="en-US" w:eastAsia="zh-CN" w:bidi="ar-SA"/>
      </w:rPr>
    </w:lvl>
  </w:abstractNum>
  <w:abstractNum w:abstractNumId="75">
    <w:multiLevelType w:val="hybridMultilevel"/>
    <w:lvl w:ilvl="0">
      <w:start w:val="1"/>
      <w:numFmt w:val="decimal"/>
      <w:lvlText w:val="（%1）"/>
      <w:lvlJc w:val="left"/>
      <w:pPr>
        <w:ind w:left="3678"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4310" w:hanging="536"/>
      </w:pPr>
      <w:rPr>
        <w:rFonts w:hint="default"/>
        <w:lang w:val="en-US" w:eastAsia="zh-CN" w:bidi="ar-SA"/>
      </w:rPr>
    </w:lvl>
    <w:lvl w:ilvl="2">
      <w:start w:val="0"/>
      <w:numFmt w:val="bullet"/>
      <w:lvlText w:val="•"/>
      <w:lvlJc w:val="left"/>
      <w:pPr>
        <w:ind w:left="4941" w:hanging="536"/>
      </w:pPr>
      <w:rPr>
        <w:rFonts w:hint="default"/>
        <w:lang w:val="en-US" w:eastAsia="zh-CN" w:bidi="ar-SA"/>
      </w:rPr>
    </w:lvl>
    <w:lvl w:ilvl="3">
      <w:start w:val="0"/>
      <w:numFmt w:val="bullet"/>
      <w:lvlText w:val="•"/>
      <w:lvlJc w:val="left"/>
      <w:pPr>
        <w:ind w:left="5571" w:hanging="536"/>
      </w:pPr>
      <w:rPr>
        <w:rFonts w:hint="default"/>
        <w:lang w:val="en-US" w:eastAsia="zh-CN" w:bidi="ar-SA"/>
      </w:rPr>
    </w:lvl>
    <w:lvl w:ilvl="4">
      <w:start w:val="0"/>
      <w:numFmt w:val="bullet"/>
      <w:lvlText w:val="•"/>
      <w:lvlJc w:val="left"/>
      <w:pPr>
        <w:ind w:left="6202" w:hanging="536"/>
      </w:pPr>
      <w:rPr>
        <w:rFonts w:hint="default"/>
        <w:lang w:val="en-US" w:eastAsia="zh-CN" w:bidi="ar-SA"/>
      </w:rPr>
    </w:lvl>
    <w:lvl w:ilvl="5">
      <w:start w:val="0"/>
      <w:numFmt w:val="bullet"/>
      <w:lvlText w:val="•"/>
      <w:lvlJc w:val="left"/>
      <w:pPr>
        <w:ind w:left="6833" w:hanging="536"/>
      </w:pPr>
      <w:rPr>
        <w:rFonts w:hint="default"/>
        <w:lang w:val="en-US" w:eastAsia="zh-CN" w:bidi="ar-SA"/>
      </w:rPr>
    </w:lvl>
    <w:lvl w:ilvl="6">
      <w:start w:val="0"/>
      <w:numFmt w:val="bullet"/>
      <w:lvlText w:val="•"/>
      <w:lvlJc w:val="left"/>
      <w:pPr>
        <w:ind w:left="7463" w:hanging="536"/>
      </w:pPr>
      <w:rPr>
        <w:rFonts w:hint="default"/>
        <w:lang w:val="en-US" w:eastAsia="zh-CN" w:bidi="ar-SA"/>
      </w:rPr>
    </w:lvl>
    <w:lvl w:ilvl="7">
      <w:start w:val="0"/>
      <w:numFmt w:val="bullet"/>
      <w:lvlText w:val="•"/>
      <w:lvlJc w:val="left"/>
      <w:pPr>
        <w:ind w:left="8094" w:hanging="536"/>
      </w:pPr>
      <w:rPr>
        <w:rFonts w:hint="default"/>
        <w:lang w:val="en-US" w:eastAsia="zh-CN" w:bidi="ar-SA"/>
      </w:rPr>
    </w:lvl>
    <w:lvl w:ilvl="8">
      <w:start w:val="0"/>
      <w:numFmt w:val="bullet"/>
      <w:lvlText w:val="•"/>
      <w:lvlJc w:val="left"/>
      <w:pPr>
        <w:ind w:left="8725" w:hanging="536"/>
      </w:pPr>
      <w:rPr>
        <w:rFonts w:hint="default"/>
        <w:lang w:val="en-US" w:eastAsia="zh-CN" w:bidi="ar-SA"/>
      </w:rPr>
    </w:lvl>
  </w:abstractNum>
  <w:abstractNum w:abstractNumId="74">
    <w:multiLevelType w:val="hybridMultilevel"/>
    <w:lvl w:ilvl="0">
      <w:start w:val="12"/>
      <w:numFmt w:val="decimal"/>
      <w:lvlText w:val="%1"/>
      <w:lvlJc w:val="left"/>
      <w:pPr>
        <w:ind w:left="1071" w:hanging="850"/>
        <w:jc w:val="left"/>
      </w:pPr>
      <w:rPr>
        <w:rFonts w:hint="default"/>
        <w:lang w:val="en-US" w:eastAsia="zh-CN" w:bidi="ar-SA"/>
      </w:rPr>
    </w:lvl>
    <w:lvl w:ilvl="1">
      <w:start w:val="47"/>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2861" w:hanging="850"/>
      </w:pPr>
      <w:rPr>
        <w:rFonts w:hint="default"/>
        <w:lang w:val="en-US" w:eastAsia="zh-CN" w:bidi="ar-SA"/>
      </w:rPr>
    </w:lvl>
    <w:lvl w:ilvl="3">
      <w:start w:val="0"/>
      <w:numFmt w:val="bullet"/>
      <w:lvlText w:val="•"/>
      <w:lvlJc w:val="left"/>
      <w:pPr>
        <w:ind w:left="3751" w:hanging="850"/>
      </w:pPr>
      <w:rPr>
        <w:rFonts w:hint="default"/>
        <w:lang w:val="en-US" w:eastAsia="zh-CN" w:bidi="ar-SA"/>
      </w:rPr>
    </w:lvl>
    <w:lvl w:ilvl="4">
      <w:start w:val="0"/>
      <w:numFmt w:val="bullet"/>
      <w:lvlText w:val="•"/>
      <w:lvlJc w:val="left"/>
      <w:pPr>
        <w:ind w:left="4642" w:hanging="850"/>
      </w:pPr>
      <w:rPr>
        <w:rFonts w:hint="default"/>
        <w:lang w:val="en-US" w:eastAsia="zh-CN" w:bidi="ar-SA"/>
      </w:rPr>
    </w:lvl>
    <w:lvl w:ilvl="5">
      <w:start w:val="0"/>
      <w:numFmt w:val="bullet"/>
      <w:lvlText w:val="•"/>
      <w:lvlJc w:val="left"/>
      <w:pPr>
        <w:ind w:left="5533" w:hanging="850"/>
      </w:pPr>
      <w:rPr>
        <w:rFonts w:hint="default"/>
        <w:lang w:val="en-US" w:eastAsia="zh-CN" w:bidi="ar-SA"/>
      </w:rPr>
    </w:lvl>
    <w:lvl w:ilvl="6">
      <w:start w:val="0"/>
      <w:numFmt w:val="bullet"/>
      <w:lvlText w:val="•"/>
      <w:lvlJc w:val="left"/>
      <w:pPr>
        <w:ind w:left="6423" w:hanging="850"/>
      </w:pPr>
      <w:rPr>
        <w:rFonts w:hint="default"/>
        <w:lang w:val="en-US" w:eastAsia="zh-CN" w:bidi="ar-SA"/>
      </w:rPr>
    </w:lvl>
    <w:lvl w:ilvl="7">
      <w:start w:val="0"/>
      <w:numFmt w:val="bullet"/>
      <w:lvlText w:val="•"/>
      <w:lvlJc w:val="left"/>
      <w:pPr>
        <w:ind w:left="7314" w:hanging="850"/>
      </w:pPr>
      <w:rPr>
        <w:rFonts w:hint="default"/>
        <w:lang w:val="en-US" w:eastAsia="zh-CN" w:bidi="ar-SA"/>
      </w:rPr>
    </w:lvl>
    <w:lvl w:ilvl="8">
      <w:start w:val="0"/>
      <w:numFmt w:val="bullet"/>
      <w:lvlText w:val="•"/>
      <w:lvlJc w:val="left"/>
      <w:pPr>
        <w:ind w:left="8205" w:hanging="850"/>
      </w:pPr>
      <w:rPr>
        <w:rFonts w:hint="default"/>
        <w:lang w:val="en-US" w:eastAsia="zh-CN" w:bidi="ar-SA"/>
      </w:rPr>
    </w:lvl>
  </w:abstractNum>
  <w:abstractNum w:abstractNumId="73">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02" w:hanging="529"/>
      </w:pPr>
      <w:rPr>
        <w:rFonts w:hint="default"/>
        <w:lang w:val="en-US" w:eastAsia="zh-CN" w:bidi="ar-SA"/>
      </w:rPr>
    </w:lvl>
    <w:lvl w:ilvl="2">
      <w:start w:val="0"/>
      <w:numFmt w:val="bullet"/>
      <w:lvlText w:val="•"/>
      <w:lvlJc w:val="left"/>
      <w:pPr>
        <w:ind w:left="1764" w:hanging="529"/>
      </w:pPr>
      <w:rPr>
        <w:rFonts w:hint="default"/>
        <w:lang w:val="en-US" w:eastAsia="zh-CN" w:bidi="ar-SA"/>
      </w:rPr>
    </w:lvl>
    <w:lvl w:ilvl="3">
      <w:start w:val="0"/>
      <w:numFmt w:val="bullet"/>
      <w:lvlText w:val="•"/>
      <w:lvlJc w:val="left"/>
      <w:pPr>
        <w:ind w:left="2326" w:hanging="529"/>
      </w:pPr>
      <w:rPr>
        <w:rFonts w:hint="default"/>
        <w:lang w:val="en-US" w:eastAsia="zh-CN" w:bidi="ar-SA"/>
      </w:rPr>
    </w:lvl>
    <w:lvl w:ilvl="4">
      <w:start w:val="0"/>
      <w:numFmt w:val="bullet"/>
      <w:lvlText w:val="•"/>
      <w:lvlJc w:val="left"/>
      <w:pPr>
        <w:ind w:left="2889" w:hanging="529"/>
      </w:pPr>
      <w:rPr>
        <w:rFonts w:hint="default"/>
        <w:lang w:val="en-US" w:eastAsia="zh-CN" w:bidi="ar-SA"/>
      </w:rPr>
    </w:lvl>
    <w:lvl w:ilvl="5">
      <w:start w:val="0"/>
      <w:numFmt w:val="bullet"/>
      <w:lvlText w:val="•"/>
      <w:lvlJc w:val="left"/>
      <w:pPr>
        <w:ind w:left="3451" w:hanging="529"/>
      </w:pPr>
      <w:rPr>
        <w:rFonts w:hint="default"/>
        <w:lang w:val="en-US" w:eastAsia="zh-CN" w:bidi="ar-SA"/>
      </w:rPr>
    </w:lvl>
    <w:lvl w:ilvl="6">
      <w:start w:val="0"/>
      <w:numFmt w:val="bullet"/>
      <w:lvlText w:val="•"/>
      <w:lvlJc w:val="left"/>
      <w:pPr>
        <w:ind w:left="4013" w:hanging="529"/>
      </w:pPr>
      <w:rPr>
        <w:rFonts w:hint="default"/>
        <w:lang w:val="en-US" w:eastAsia="zh-CN" w:bidi="ar-SA"/>
      </w:rPr>
    </w:lvl>
    <w:lvl w:ilvl="7">
      <w:start w:val="0"/>
      <w:numFmt w:val="bullet"/>
      <w:lvlText w:val="•"/>
      <w:lvlJc w:val="left"/>
      <w:pPr>
        <w:ind w:left="4576" w:hanging="529"/>
      </w:pPr>
      <w:rPr>
        <w:rFonts w:hint="default"/>
        <w:lang w:val="en-US" w:eastAsia="zh-CN" w:bidi="ar-SA"/>
      </w:rPr>
    </w:lvl>
    <w:lvl w:ilvl="8">
      <w:start w:val="0"/>
      <w:numFmt w:val="bullet"/>
      <w:lvlText w:val="•"/>
      <w:lvlJc w:val="left"/>
      <w:pPr>
        <w:ind w:left="5138" w:hanging="529"/>
      </w:pPr>
      <w:rPr>
        <w:rFonts w:hint="default"/>
        <w:lang w:val="en-US" w:eastAsia="zh-CN" w:bidi="ar-SA"/>
      </w:rPr>
    </w:lvl>
  </w:abstractNum>
  <w:abstractNum w:abstractNumId="72">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02" w:hanging="529"/>
      </w:pPr>
      <w:rPr>
        <w:rFonts w:hint="default"/>
        <w:lang w:val="en-US" w:eastAsia="zh-CN" w:bidi="ar-SA"/>
      </w:rPr>
    </w:lvl>
    <w:lvl w:ilvl="2">
      <w:start w:val="0"/>
      <w:numFmt w:val="bullet"/>
      <w:lvlText w:val="•"/>
      <w:lvlJc w:val="left"/>
      <w:pPr>
        <w:ind w:left="1764" w:hanging="529"/>
      </w:pPr>
      <w:rPr>
        <w:rFonts w:hint="default"/>
        <w:lang w:val="en-US" w:eastAsia="zh-CN" w:bidi="ar-SA"/>
      </w:rPr>
    </w:lvl>
    <w:lvl w:ilvl="3">
      <w:start w:val="0"/>
      <w:numFmt w:val="bullet"/>
      <w:lvlText w:val="•"/>
      <w:lvlJc w:val="left"/>
      <w:pPr>
        <w:ind w:left="2326" w:hanging="529"/>
      </w:pPr>
      <w:rPr>
        <w:rFonts w:hint="default"/>
        <w:lang w:val="en-US" w:eastAsia="zh-CN" w:bidi="ar-SA"/>
      </w:rPr>
    </w:lvl>
    <w:lvl w:ilvl="4">
      <w:start w:val="0"/>
      <w:numFmt w:val="bullet"/>
      <w:lvlText w:val="•"/>
      <w:lvlJc w:val="left"/>
      <w:pPr>
        <w:ind w:left="2889" w:hanging="529"/>
      </w:pPr>
      <w:rPr>
        <w:rFonts w:hint="default"/>
        <w:lang w:val="en-US" w:eastAsia="zh-CN" w:bidi="ar-SA"/>
      </w:rPr>
    </w:lvl>
    <w:lvl w:ilvl="5">
      <w:start w:val="0"/>
      <w:numFmt w:val="bullet"/>
      <w:lvlText w:val="•"/>
      <w:lvlJc w:val="left"/>
      <w:pPr>
        <w:ind w:left="3451" w:hanging="529"/>
      </w:pPr>
      <w:rPr>
        <w:rFonts w:hint="default"/>
        <w:lang w:val="en-US" w:eastAsia="zh-CN" w:bidi="ar-SA"/>
      </w:rPr>
    </w:lvl>
    <w:lvl w:ilvl="6">
      <w:start w:val="0"/>
      <w:numFmt w:val="bullet"/>
      <w:lvlText w:val="•"/>
      <w:lvlJc w:val="left"/>
      <w:pPr>
        <w:ind w:left="4013" w:hanging="529"/>
      </w:pPr>
      <w:rPr>
        <w:rFonts w:hint="default"/>
        <w:lang w:val="en-US" w:eastAsia="zh-CN" w:bidi="ar-SA"/>
      </w:rPr>
    </w:lvl>
    <w:lvl w:ilvl="7">
      <w:start w:val="0"/>
      <w:numFmt w:val="bullet"/>
      <w:lvlText w:val="•"/>
      <w:lvlJc w:val="left"/>
      <w:pPr>
        <w:ind w:left="4576" w:hanging="529"/>
      </w:pPr>
      <w:rPr>
        <w:rFonts w:hint="default"/>
        <w:lang w:val="en-US" w:eastAsia="zh-CN" w:bidi="ar-SA"/>
      </w:rPr>
    </w:lvl>
    <w:lvl w:ilvl="8">
      <w:start w:val="0"/>
      <w:numFmt w:val="bullet"/>
      <w:lvlText w:val="•"/>
      <w:lvlJc w:val="left"/>
      <w:pPr>
        <w:ind w:left="5138" w:hanging="529"/>
      </w:pPr>
      <w:rPr>
        <w:rFonts w:hint="default"/>
        <w:lang w:val="en-US" w:eastAsia="zh-CN" w:bidi="ar-SA"/>
      </w:rPr>
    </w:lvl>
  </w:abstractNum>
  <w:abstractNum w:abstractNumId="71">
    <w:multiLevelType w:val="hybridMultilevel"/>
    <w:lvl w:ilvl="0">
      <w:start w:val="1"/>
      <w:numFmt w:val="decimal"/>
      <w:lvlText w:val="（%1）"/>
      <w:lvlJc w:val="left"/>
      <w:pPr>
        <w:ind w:left="704"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3680" w:hanging="529"/>
      </w:pPr>
      <w:rPr>
        <w:rFonts w:hint="default"/>
        <w:lang w:val="en-US" w:eastAsia="zh-CN" w:bidi="ar-SA"/>
      </w:rPr>
    </w:lvl>
    <w:lvl w:ilvl="2">
      <w:start w:val="0"/>
      <w:numFmt w:val="bullet"/>
      <w:lvlText w:val="•"/>
      <w:lvlJc w:val="left"/>
      <w:pPr>
        <w:ind w:left="4049" w:hanging="529"/>
      </w:pPr>
      <w:rPr>
        <w:rFonts w:hint="default"/>
        <w:lang w:val="en-US" w:eastAsia="zh-CN" w:bidi="ar-SA"/>
      </w:rPr>
    </w:lvl>
    <w:lvl w:ilvl="3">
      <w:start w:val="0"/>
      <w:numFmt w:val="bullet"/>
      <w:lvlText w:val="•"/>
      <w:lvlJc w:val="left"/>
      <w:pPr>
        <w:ind w:left="4419" w:hanging="529"/>
      </w:pPr>
      <w:rPr>
        <w:rFonts w:hint="default"/>
        <w:lang w:val="en-US" w:eastAsia="zh-CN" w:bidi="ar-SA"/>
      </w:rPr>
    </w:lvl>
    <w:lvl w:ilvl="4">
      <w:start w:val="0"/>
      <w:numFmt w:val="bullet"/>
      <w:lvlText w:val="•"/>
      <w:lvlJc w:val="left"/>
      <w:pPr>
        <w:ind w:left="4789" w:hanging="529"/>
      </w:pPr>
      <w:rPr>
        <w:rFonts w:hint="default"/>
        <w:lang w:val="en-US" w:eastAsia="zh-CN" w:bidi="ar-SA"/>
      </w:rPr>
    </w:lvl>
    <w:lvl w:ilvl="5">
      <w:start w:val="0"/>
      <w:numFmt w:val="bullet"/>
      <w:lvlText w:val="•"/>
      <w:lvlJc w:val="left"/>
      <w:pPr>
        <w:ind w:left="5159" w:hanging="529"/>
      </w:pPr>
      <w:rPr>
        <w:rFonts w:hint="default"/>
        <w:lang w:val="en-US" w:eastAsia="zh-CN" w:bidi="ar-SA"/>
      </w:rPr>
    </w:lvl>
    <w:lvl w:ilvl="6">
      <w:start w:val="0"/>
      <w:numFmt w:val="bullet"/>
      <w:lvlText w:val="•"/>
      <w:lvlJc w:val="left"/>
      <w:pPr>
        <w:ind w:left="5529" w:hanging="529"/>
      </w:pPr>
      <w:rPr>
        <w:rFonts w:hint="default"/>
        <w:lang w:val="en-US" w:eastAsia="zh-CN" w:bidi="ar-SA"/>
      </w:rPr>
    </w:lvl>
    <w:lvl w:ilvl="7">
      <w:start w:val="0"/>
      <w:numFmt w:val="bullet"/>
      <w:lvlText w:val="•"/>
      <w:lvlJc w:val="left"/>
      <w:pPr>
        <w:ind w:left="5899" w:hanging="529"/>
      </w:pPr>
      <w:rPr>
        <w:rFonts w:hint="default"/>
        <w:lang w:val="en-US" w:eastAsia="zh-CN" w:bidi="ar-SA"/>
      </w:rPr>
    </w:lvl>
    <w:lvl w:ilvl="8">
      <w:start w:val="0"/>
      <w:numFmt w:val="bullet"/>
      <w:lvlText w:val="•"/>
      <w:lvlJc w:val="left"/>
      <w:pPr>
        <w:ind w:left="6269" w:hanging="529"/>
      </w:pPr>
      <w:rPr>
        <w:rFonts w:hint="default"/>
        <w:lang w:val="en-US" w:eastAsia="zh-CN" w:bidi="ar-SA"/>
      </w:rPr>
    </w:lvl>
  </w:abstractNum>
  <w:abstractNum w:abstractNumId="70">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69">
    <w:multiLevelType w:val="hybridMultilevel"/>
    <w:lvl w:ilvl="0">
      <w:start w:val="1"/>
      <w:numFmt w:val="decimal"/>
      <w:lvlText w:val="（%1）"/>
      <w:lvlJc w:val="left"/>
      <w:pPr>
        <w:ind w:left="703"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3" w:hanging="529"/>
      </w:pPr>
      <w:rPr>
        <w:rFonts w:hint="default"/>
        <w:lang w:val="en-US" w:eastAsia="zh-CN" w:bidi="ar-SA"/>
      </w:rPr>
    </w:lvl>
    <w:lvl w:ilvl="6">
      <w:start w:val="0"/>
      <w:numFmt w:val="bullet"/>
      <w:lvlText w:val="•"/>
      <w:lvlJc w:val="left"/>
      <w:pPr>
        <w:ind w:left="4484" w:hanging="529"/>
      </w:pPr>
      <w:rPr>
        <w:rFonts w:hint="default"/>
        <w:lang w:val="en-US" w:eastAsia="zh-CN" w:bidi="ar-SA"/>
      </w:rPr>
    </w:lvl>
    <w:lvl w:ilvl="7">
      <w:start w:val="0"/>
      <w:numFmt w:val="bullet"/>
      <w:lvlText w:val="•"/>
      <w:lvlJc w:val="left"/>
      <w:pPr>
        <w:ind w:left="5115" w:hanging="529"/>
      </w:pPr>
      <w:rPr>
        <w:rFonts w:hint="default"/>
        <w:lang w:val="en-US" w:eastAsia="zh-CN" w:bidi="ar-SA"/>
      </w:rPr>
    </w:lvl>
    <w:lvl w:ilvl="8">
      <w:start w:val="0"/>
      <w:numFmt w:val="bullet"/>
      <w:lvlText w:val="•"/>
      <w:lvlJc w:val="left"/>
      <w:pPr>
        <w:ind w:left="5746" w:hanging="529"/>
      </w:pPr>
      <w:rPr>
        <w:rFonts w:hint="default"/>
        <w:lang w:val="en-US" w:eastAsia="zh-CN" w:bidi="ar-SA"/>
      </w:rPr>
    </w:lvl>
  </w:abstractNum>
  <w:abstractNum w:abstractNumId="68">
    <w:multiLevelType w:val="hybridMultilevel"/>
    <w:lvl w:ilvl="0">
      <w:start w:val="2"/>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67">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66">
    <w:multiLevelType w:val="hybridMultilevel"/>
    <w:lvl w:ilvl="0">
      <w:start w:val="1"/>
      <w:numFmt w:val="decimal"/>
      <w:lvlText w:val="（%1）"/>
      <w:lvlJc w:val="left"/>
      <w:pPr>
        <w:ind w:left="70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65">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64">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63">
    <w:multiLevelType w:val="hybridMultilevel"/>
    <w:lvl w:ilvl="0">
      <w:start w:val="1"/>
      <w:numFmt w:val="decimal"/>
      <w:lvlText w:val="（%1）"/>
      <w:lvlJc w:val="left"/>
      <w:pPr>
        <w:ind w:left="701" w:hanging="529"/>
        <w:jc w:val="left"/>
      </w:pPr>
      <w:rPr>
        <w:rFonts w:hint="default" w:ascii="宋体" w:hAnsi="宋体" w:eastAsia="宋体" w:cs="宋体"/>
        <w:b w:val="0"/>
        <w:bCs w:val="0"/>
        <w:i w:val="0"/>
        <w:iCs w:val="0"/>
        <w:spacing w:val="-5"/>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62">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61">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60">
    <w:multiLevelType w:val="hybridMultilevel"/>
    <w:lvl w:ilvl="0">
      <w:start w:val="1"/>
      <w:numFmt w:val="decimal"/>
      <w:lvlText w:val="（%1）"/>
      <w:lvlJc w:val="left"/>
      <w:pPr>
        <w:ind w:left="3688" w:hanging="536"/>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4310" w:hanging="536"/>
      </w:pPr>
      <w:rPr>
        <w:rFonts w:hint="default"/>
        <w:lang w:val="en-US" w:eastAsia="zh-CN" w:bidi="ar-SA"/>
      </w:rPr>
    </w:lvl>
    <w:lvl w:ilvl="2">
      <w:start w:val="0"/>
      <w:numFmt w:val="bullet"/>
      <w:lvlText w:val="•"/>
      <w:lvlJc w:val="left"/>
      <w:pPr>
        <w:ind w:left="4941" w:hanging="536"/>
      </w:pPr>
      <w:rPr>
        <w:rFonts w:hint="default"/>
        <w:lang w:val="en-US" w:eastAsia="zh-CN" w:bidi="ar-SA"/>
      </w:rPr>
    </w:lvl>
    <w:lvl w:ilvl="3">
      <w:start w:val="0"/>
      <w:numFmt w:val="bullet"/>
      <w:lvlText w:val="•"/>
      <w:lvlJc w:val="left"/>
      <w:pPr>
        <w:ind w:left="5571" w:hanging="536"/>
      </w:pPr>
      <w:rPr>
        <w:rFonts w:hint="default"/>
        <w:lang w:val="en-US" w:eastAsia="zh-CN" w:bidi="ar-SA"/>
      </w:rPr>
    </w:lvl>
    <w:lvl w:ilvl="4">
      <w:start w:val="0"/>
      <w:numFmt w:val="bullet"/>
      <w:lvlText w:val="•"/>
      <w:lvlJc w:val="left"/>
      <w:pPr>
        <w:ind w:left="6202" w:hanging="536"/>
      </w:pPr>
      <w:rPr>
        <w:rFonts w:hint="default"/>
        <w:lang w:val="en-US" w:eastAsia="zh-CN" w:bidi="ar-SA"/>
      </w:rPr>
    </w:lvl>
    <w:lvl w:ilvl="5">
      <w:start w:val="0"/>
      <w:numFmt w:val="bullet"/>
      <w:lvlText w:val="•"/>
      <w:lvlJc w:val="left"/>
      <w:pPr>
        <w:ind w:left="6833" w:hanging="536"/>
      </w:pPr>
      <w:rPr>
        <w:rFonts w:hint="default"/>
        <w:lang w:val="en-US" w:eastAsia="zh-CN" w:bidi="ar-SA"/>
      </w:rPr>
    </w:lvl>
    <w:lvl w:ilvl="6">
      <w:start w:val="0"/>
      <w:numFmt w:val="bullet"/>
      <w:lvlText w:val="•"/>
      <w:lvlJc w:val="left"/>
      <w:pPr>
        <w:ind w:left="7463" w:hanging="536"/>
      </w:pPr>
      <w:rPr>
        <w:rFonts w:hint="default"/>
        <w:lang w:val="en-US" w:eastAsia="zh-CN" w:bidi="ar-SA"/>
      </w:rPr>
    </w:lvl>
    <w:lvl w:ilvl="7">
      <w:start w:val="0"/>
      <w:numFmt w:val="bullet"/>
      <w:lvlText w:val="•"/>
      <w:lvlJc w:val="left"/>
      <w:pPr>
        <w:ind w:left="8094" w:hanging="536"/>
      </w:pPr>
      <w:rPr>
        <w:rFonts w:hint="default"/>
        <w:lang w:val="en-US" w:eastAsia="zh-CN" w:bidi="ar-SA"/>
      </w:rPr>
    </w:lvl>
    <w:lvl w:ilvl="8">
      <w:start w:val="0"/>
      <w:numFmt w:val="bullet"/>
      <w:lvlText w:val="•"/>
      <w:lvlJc w:val="left"/>
      <w:pPr>
        <w:ind w:left="8725" w:hanging="536"/>
      </w:pPr>
      <w:rPr>
        <w:rFonts w:hint="default"/>
        <w:lang w:val="en-US" w:eastAsia="zh-CN" w:bidi="ar-SA"/>
      </w:rPr>
    </w:lvl>
  </w:abstractNum>
  <w:abstractNum w:abstractNumId="59">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58">
    <w:multiLevelType w:val="hybridMultilevel"/>
    <w:lvl w:ilvl="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2" w:hanging="529"/>
      </w:pPr>
      <w:rPr>
        <w:rFonts w:hint="default"/>
        <w:lang w:val="en-US" w:eastAsia="zh-CN" w:bidi="ar-SA"/>
      </w:rPr>
    </w:lvl>
    <w:lvl w:ilvl="5">
      <w:start w:val="0"/>
      <w:numFmt w:val="bullet"/>
      <w:lvlText w:val="•"/>
      <w:lvlJc w:val="left"/>
      <w:pPr>
        <w:ind w:left="3853" w:hanging="529"/>
      </w:pPr>
      <w:rPr>
        <w:rFonts w:hint="default"/>
        <w:lang w:val="en-US" w:eastAsia="zh-CN" w:bidi="ar-SA"/>
      </w:rPr>
    </w:lvl>
    <w:lvl w:ilvl="6">
      <w:start w:val="0"/>
      <w:numFmt w:val="bullet"/>
      <w:lvlText w:val="•"/>
      <w:lvlJc w:val="left"/>
      <w:pPr>
        <w:ind w:left="4484" w:hanging="529"/>
      </w:pPr>
      <w:rPr>
        <w:rFonts w:hint="default"/>
        <w:lang w:val="en-US" w:eastAsia="zh-CN" w:bidi="ar-SA"/>
      </w:rPr>
    </w:lvl>
    <w:lvl w:ilvl="7">
      <w:start w:val="0"/>
      <w:numFmt w:val="bullet"/>
      <w:lvlText w:val="•"/>
      <w:lvlJc w:val="left"/>
      <w:pPr>
        <w:ind w:left="5114" w:hanging="529"/>
      </w:pPr>
      <w:rPr>
        <w:rFonts w:hint="default"/>
        <w:lang w:val="en-US" w:eastAsia="zh-CN" w:bidi="ar-SA"/>
      </w:rPr>
    </w:lvl>
    <w:lvl w:ilvl="8">
      <w:start w:val="0"/>
      <w:numFmt w:val="bullet"/>
      <w:lvlText w:val="•"/>
      <w:lvlJc w:val="left"/>
      <w:pPr>
        <w:ind w:left="5745" w:hanging="529"/>
      </w:pPr>
      <w:rPr>
        <w:rFonts w:hint="default"/>
        <w:lang w:val="en-US" w:eastAsia="zh-CN" w:bidi="ar-SA"/>
      </w:rPr>
    </w:lvl>
  </w:abstractNum>
  <w:abstractNum w:abstractNumId="57">
    <w:multiLevelType w:val="hybridMultilevel"/>
    <w:lvl w:ilvl="0">
      <w:start w:val="3"/>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56">
    <w:multiLevelType w:val="hybridMultilevel"/>
    <w:lvl w:ilvl="0">
      <w:start w:val="1"/>
      <w:numFmt w:val="decimal"/>
      <w:lvlText w:val="（%1）"/>
      <w:lvlJc w:val="left"/>
      <w:pPr>
        <w:ind w:left="702"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2" w:hanging="529"/>
      </w:pPr>
      <w:rPr>
        <w:rFonts w:hint="default"/>
        <w:lang w:val="en-US" w:eastAsia="zh-CN" w:bidi="ar-SA"/>
      </w:rPr>
    </w:lvl>
    <w:lvl w:ilvl="5">
      <w:start w:val="0"/>
      <w:numFmt w:val="bullet"/>
      <w:lvlText w:val="•"/>
      <w:lvlJc w:val="left"/>
      <w:pPr>
        <w:ind w:left="3853" w:hanging="529"/>
      </w:pPr>
      <w:rPr>
        <w:rFonts w:hint="default"/>
        <w:lang w:val="en-US" w:eastAsia="zh-CN" w:bidi="ar-SA"/>
      </w:rPr>
    </w:lvl>
    <w:lvl w:ilvl="6">
      <w:start w:val="0"/>
      <w:numFmt w:val="bullet"/>
      <w:lvlText w:val="•"/>
      <w:lvlJc w:val="left"/>
      <w:pPr>
        <w:ind w:left="4484" w:hanging="529"/>
      </w:pPr>
      <w:rPr>
        <w:rFonts w:hint="default"/>
        <w:lang w:val="en-US" w:eastAsia="zh-CN" w:bidi="ar-SA"/>
      </w:rPr>
    </w:lvl>
    <w:lvl w:ilvl="7">
      <w:start w:val="0"/>
      <w:numFmt w:val="bullet"/>
      <w:lvlText w:val="•"/>
      <w:lvlJc w:val="left"/>
      <w:pPr>
        <w:ind w:left="5114" w:hanging="529"/>
      </w:pPr>
      <w:rPr>
        <w:rFonts w:hint="default"/>
        <w:lang w:val="en-US" w:eastAsia="zh-CN" w:bidi="ar-SA"/>
      </w:rPr>
    </w:lvl>
    <w:lvl w:ilvl="8">
      <w:start w:val="0"/>
      <w:numFmt w:val="bullet"/>
      <w:lvlText w:val="•"/>
      <w:lvlJc w:val="left"/>
      <w:pPr>
        <w:ind w:left="5745" w:hanging="529"/>
      </w:pPr>
      <w:rPr>
        <w:rFonts w:hint="default"/>
        <w:lang w:val="en-US" w:eastAsia="zh-CN" w:bidi="ar-SA"/>
      </w:rPr>
    </w:lvl>
  </w:abstractNum>
  <w:abstractNum w:abstractNumId="55">
    <w:multiLevelType w:val="hybridMultilevel"/>
    <w:lvl w:ilvl="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2" w:hanging="529"/>
      </w:pPr>
      <w:rPr>
        <w:rFonts w:hint="default"/>
        <w:lang w:val="en-US" w:eastAsia="zh-CN" w:bidi="ar-SA"/>
      </w:rPr>
    </w:lvl>
    <w:lvl w:ilvl="5">
      <w:start w:val="0"/>
      <w:numFmt w:val="bullet"/>
      <w:lvlText w:val="•"/>
      <w:lvlJc w:val="left"/>
      <w:pPr>
        <w:ind w:left="3853" w:hanging="529"/>
      </w:pPr>
      <w:rPr>
        <w:rFonts w:hint="default"/>
        <w:lang w:val="en-US" w:eastAsia="zh-CN" w:bidi="ar-SA"/>
      </w:rPr>
    </w:lvl>
    <w:lvl w:ilvl="6">
      <w:start w:val="0"/>
      <w:numFmt w:val="bullet"/>
      <w:lvlText w:val="•"/>
      <w:lvlJc w:val="left"/>
      <w:pPr>
        <w:ind w:left="4484" w:hanging="529"/>
      </w:pPr>
      <w:rPr>
        <w:rFonts w:hint="default"/>
        <w:lang w:val="en-US" w:eastAsia="zh-CN" w:bidi="ar-SA"/>
      </w:rPr>
    </w:lvl>
    <w:lvl w:ilvl="7">
      <w:start w:val="0"/>
      <w:numFmt w:val="bullet"/>
      <w:lvlText w:val="•"/>
      <w:lvlJc w:val="left"/>
      <w:pPr>
        <w:ind w:left="5114" w:hanging="529"/>
      </w:pPr>
      <w:rPr>
        <w:rFonts w:hint="default"/>
        <w:lang w:val="en-US" w:eastAsia="zh-CN" w:bidi="ar-SA"/>
      </w:rPr>
    </w:lvl>
    <w:lvl w:ilvl="8">
      <w:start w:val="0"/>
      <w:numFmt w:val="bullet"/>
      <w:lvlText w:val="•"/>
      <w:lvlJc w:val="left"/>
      <w:pPr>
        <w:ind w:left="5745" w:hanging="529"/>
      </w:pPr>
      <w:rPr>
        <w:rFonts w:hint="default"/>
        <w:lang w:val="en-US" w:eastAsia="zh-CN" w:bidi="ar-SA"/>
      </w:rPr>
    </w:lvl>
  </w:abstractNum>
  <w:abstractNum w:abstractNumId="54">
    <w:multiLevelType w:val="hybridMultilevel"/>
    <w:lvl w:ilvl="0">
      <w:start w:val="1"/>
      <w:numFmt w:val="decimal"/>
      <w:lvlText w:val="（%1）"/>
      <w:lvlJc w:val="left"/>
      <w:pPr>
        <w:ind w:left="67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10" w:hanging="529"/>
      </w:pPr>
      <w:rPr>
        <w:rFonts w:hint="default"/>
        <w:lang w:val="en-US" w:eastAsia="zh-CN" w:bidi="ar-SA"/>
      </w:rPr>
    </w:lvl>
    <w:lvl w:ilvl="2">
      <w:start w:val="0"/>
      <w:numFmt w:val="bullet"/>
      <w:lvlText w:val="•"/>
      <w:lvlJc w:val="left"/>
      <w:pPr>
        <w:ind w:left="1940" w:hanging="529"/>
      </w:pPr>
      <w:rPr>
        <w:rFonts w:hint="default"/>
        <w:lang w:val="en-US" w:eastAsia="zh-CN" w:bidi="ar-SA"/>
      </w:rPr>
    </w:lvl>
    <w:lvl w:ilvl="3">
      <w:start w:val="0"/>
      <w:numFmt w:val="bullet"/>
      <w:lvlText w:val="•"/>
      <w:lvlJc w:val="left"/>
      <w:pPr>
        <w:ind w:left="2570" w:hanging="529"/>
      </w:pPr>
      <w:rPr>
        <w:rFonts w:hint="default"/>
        <w:lang w:val="en-US" w:eastAsia="zh-CN" w:bidi="ar-SA"/>
      </w:rPr>
    </w:lvl>
    <w:lvl w:ilvl="4">
      <w:start w:val="0"/>
      <w:numFmt w:val="bullet"/>
      <w:lvlText w:val="•"/>
      <w:lvlJc w:val="left"/>
      <w:pPr>
        <w:ind w:left="3200" w:hanging="529"/>
      </w:pPr>
      <w:rPr>
        <w:rFonts w:hint="default"/>
        <w:lang w:val="en-US" w:eastAsia="zh-CN" w:bidi="ar-SA"/>
      </w:rPr>
    </w:lvl>
    <w:lvl w:ilvl="5">
      <w:start w:val="0"/>
      <w:numFmt w:val="bullet"/>
      <w:lvlText w:val="•"/>
      <w:lvlJc w:val="left"/>
      <w:pPr>
        <w:ind w:left="3830" w:hanging="529"/>
      </w:pPr>
      <w:rPr>
        <w:rFonts w:hint="default"/>
        <w:lang w:val="en-US" w:eastAsia="zh-CN" w:bidi="ar-SA"/>
      </w:rPr>
    </w:lvl>
    <w:lvl w:ilvl="6">
      <w:start w:val="0"/>
      <w:numFmt w:val="bullet"/>
      <w:lvlText w:val="•"/>
      <w:lvlJc w:val="left"/>
      <w:pPr>
        <w:ind w:left="4460" w:hanging="529"/>
      </w:pPr>
      <w:rPr>
        <w:rFonts w:hint="default"/>
        <w:lang w:val="en-US" w:eastAsia="zh-CN" w:bidi="ar-SA"/>
      </w:rPr>
    </w:lvl>
    <w:lvl w:ilvl="7">
      <w:start w:val="0"/>
      <w:numFmt w:val="bullet"/>
      <w:lvlText w:val="•"/>
      <w:lvlJc w:val="left"/>
      <w:pPr>
        <w:ind w:left="5090" w:hanging="529"/>
      </w:pPr>
      <w:rPr>
        <w:rFonts w:hint="default"/>
        <w:lang w:val="en-US" w:eastAsia="zh-CN" w:bidi="ar-SA"/>
      </w:rPr>
    </w:lvl>
    <w:lvl w:ilvl="8">
      <w:start w:val="0"/>
      <w:numFmt w:val="bullet"/>
      <w:lvlText w:val="•"/>
      <w:lvlJc w:val="left"/>
      <w:pPr>
        <w:ind w:left="5720" w:hanging="529"/>
      </w:pPr>
      <w:rPr>
        <w:rFonts w:hint="default"/>
        <w:lang w:val="en-US" w:eastAsia="zh-CN" w:bidi="ar-SA"/>
      </w:rPr>
    </w:lvl>
  </w:abstractNum>
  <w:abstractNum w:abstractNumId="53">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52">
    <w:multiLevelType w:val="hybridMultilevel"/>
    <w:lvl w:ilvl="0">
      <w:start w:val="1"/>
      <w:numFmt w:val="decimal"/>
      <w:lvlText w:val="（%1）"/>
      <w:lvlJc w:val="left"/>
      <w:pPr>
        <w:ind w:left="36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51">
    <w:multiLevelType w:val="hybridMultilevel"/>
    <w:lvl w:ilvl="0">
      <w:start w:val="1"/>
      <w:numFmt w:val="decimal"/>
      <w:lvlText w:val="（%1）"/>
      <w:lvlJc w:val="left"/>
      <w:pPr>
        <w:ind w:left="3681" w:hanging="529"/>
        <w:jc w:val="left"/>
      </w:pPr>
      <w:rPr>
        <w:rFonts w:hint="default" w:ascii="微软雅黑" w:hAnsi="微软雅黑" w:eastAsia="微软雅黑" w:cs="微软雅黑"/>
        <w:b/>
        <w:bCs/>
        <w:i w:val="0"/>
        <w:iCs w:val="0"/>
        <w:spacing w:val="-17"/>
        <w:w w:val="100"/>
        <w:sz w:val="19"/>
        <w:szCs w:val="19"/>
        <w:lang w:val="en-US" w:eastAsia="zh-CN" w:bidi="ar-SA"/>
      </w:rPr>
    </w:lvl>
    <w:lvl w:ilvl="1">
      <w:start w:val="1"/>
      <w:numFmt w:val="lowerLetter"/>
      <w:lvlText w:val="%2."/>
      <w:lvlJc w:val="left"/>
      <w:pPr>
        <w:ind w:left="3678" w:hanging="264"/>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4941" w:hanging="264"/>
      </w:pPr>
      <w:rPr>
        <w:rFonts w:hint="default"/>
        <w:lang w:val="en-US" w:eastAsia="zh-CN" w:bidi="ar-SA"/>
      </w:rPr>
    </w:lvl>
    <w:lvl w:ilvl="3">
      <w:start w:val="0"/>
      <w:numFmt w:val="bullet"/>
      <w:lvlText w:val="•"/>
      <w:lvlJc w:val="left"/>
      <w:pPr>
        <w:ind w:left="5571" w:hanging="264"/>
      </w:pPr>
      <w:rPr>
        <w:rFonts w:hint="default"/>
        <w:lang w:val="en-US" w:eastAsia="zh-CN" w:bidi="ar-SA"/>
      </w:rPr>
    </w:lvl>
    <w:lvl w:ilvl="4">
      <w:start w:val="0"/>
      <w:numFmt w:val="bullet"/>
      <w:lvlText w:val="•"/>
      <w:lvlJc w:val="left"/>
      <w:pPr>
        <w:ind w:left="6202" w:hanging="264"/>
      </w:pPr>
      <w:rPr>
        <w:rFonts w:hint="default"/>
        <w:lang w:val="en-US" w:eastAsia="zh-CN" w:bidi="ar-SA"/>
      </w:rPr>
    </w:lvl>
    <w:lvl w:ilvl="5">
      <w:start w:val="0"/>
      <w:numFmt w:val="bullet"/>
      <w:lvlText w:val="•"/>
      <w:lvlJc w:val="left"/>
      <w:pPr>
        <w:ind w:left="6833" w:hanging="264"/>
      </w:pPr>
      <w:rPr>
        <w:rFonts w:hint="default"/>
        <w:lang w:val="en-US" w:eastAsia="zh-CN" w:bidi="ar-SA"/>
      </w:rPr>
    </w:lvl>
    <w:lvl w:ilvl="6">
      <w:start w:val="0"/>
      <w:numFmt w:val="bullet"/>
      <w:lvlText w:val="•"/>
      <w:lvlJc w:val="left"/>
      <w:pPr>
        <w:ind w:left="7463" w:hanging="264"/>
      </w:pPr>
      <w:rPr>
        <w:rFonts w:hint="default"/>
        <w:lang w:val="en-US" w:eastAsia="zh-CN" w:bidi="ar-SA"/>
      </w:rPr>
    </w:lvl>
    <w:lvl w:ilvl="7">
      <w:start w:val="0"/>
      <w:numFmt w:val="bullet"/>
      <w:lvlText w:val="•"/>
      <w:lvlJc w:val="left"/>
      <w:pPr>
        <w:ind w:left="8094" w:hanging="264"/>
      </w:pPr>
      <w:rPr>
        <w:rFonts w:hint="default"/>
        <w:lang w:val="en-US" w:eastAsia="zh-CN" w:bidi="ar-SA"/>
      </w:rPr>
    </w:lvl>
    <w:lvl w:ilvl="8">
      <w:start w:val="0"/>
      <w:numFmt w:val="bullet"/>
      <w:lvlText w:val="•"/>
      <w:lvlJc w:val="left"/>
      <w:pPr>
        <w:ind w:left="8725" w:hanging="264"/>
      </w:pPr>
      <w:rPr>
        <w:rFonts w:hint="default"/>
        <w:lang w:val="en-US" w:eastAsia="zh-CN" w:bidi="ar-SA"/>
      </w:rPr>
    </w:lvl>
  </w:abstractNum>
  <w:abstractNum w:abstractNumId="50">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49">
    <w:multiLevelType w:val="hybridMultilevel"/>
    <w:lvl w:ilvl="0">
      <w:start w:val="11"/>
      <w:numFmt w:val="decimal"/>
      <w:lvlText w:val="%1"/>
      <w:lvlJc w:val="left"/>
      <w:pPr>
        <w:ind w:left="1071" w:hanging="850"/>
        <w:jc w:val="left"/>
      </w:pPr>
      <w:rPr>
        <w:rFonts w:hint="default"/>
        <w:lang w:val="en-US" w:eastAsia="zh-CN" w:bidi="ar-SA"/>
      </w:rPr>
    </w:lvl>
    <w:lvl w:ilvl="1">
      <w:start w:val="16"/>
      <w:numFmt w:val="decimal"/>
      <w:lvlText w:val="%1.%2"/>
      <w:lvlJc w:val="left"/>
      <w:pPr>
        <w:ind w:left="1071" w:hanging="850"/>
        <w:jc w:val="left"/>
      </w:pPr>
      <w:rPr>
        <w:rFonts w:hint="default" w:ascii="Times New Roman" w:hAnsi="Times New Roman" w:eastAsia="Times New Roman" w:cs="Times New Roman"/>
        <w:b w:val="0"/>
        <w:bCs w:val="0"/>
        <w:i w:val="0"/>
        <w:iCs w:val="0"/>
        <w:spacing w:val="-8"/>
        <w:w w:val="100"/>
        <w:position w:val="2"/>
        <w:sz w:val="21"/>
        <w:szCs w:val="21"/>
        <w:lang w:val="en-US" w:eastAsia="zh-CN" w:bidi="ar-SA"/>
      </w:rPr>
    </w:lvl>
    <w:lvl w:ilvl="2">
      <w:start w:val="0"/>
      <w:numFmt w:val="bullet"/>
      <w:lvlText w:val="•"/>
      <w:lvlJc w:val="left"/>
      <w:pPr>
        <w:ind w:left="1451" w:hanging="850"/>
      </w:pPr>
      <w:rPr>
        <w:rFonts w:hint="default"/>
        <w:lang w:val="en-US" w:eastAsia="zh-CN" w:bidi="ar-SA"/>
      </w:rPr>
    </w:lvl>
    <w:lvl w:ilvl="3">
      <w:start w:val="0"/>
      <w:numFmt w:val="bullet"/>
      <w:lvlText w:val="•"/>
      <w:lvlJc w:val="left"/>
      <w:pPr>
        <w:ind w:left="1637" w:hanging="850"/>
      </w:pPr>
      <w:rPr>
        <w:rFonts w:hint="default"/>
        <w:lang w:val="en-US" w:eastAsia="zh-CN" w:bidi="ar-SA"/>
      </w:rPr>
    </w:lvl>
    <w:lvl w:ilvl="4">
      <w:start w:val="0"/>
      <w:numFmt w:val="bullet"/>
      <w:lvlText w:val="•"/>
      <w:lvlJc w:val="left"/>
      <w:pPr>
        <w:ind w:left="1823" w:hanging="850"/>
      </w:pPr>
      <w:rPr>
        <w:rFonts w:hint="default"/>
        <w:lang w:val="en-US" w:eastAsia="zh-CN" w:bidi="ar-SA"/>
      </w:rPr>
    </w:lvl>
    <w:lvl w:ilvl="5">
      <w:start w:val="0"/>
      <w:numFmt w:val="bullet"/>
      <w:lvlText w:val="•"/>
      <w:lvlJc w:val="left"/>
      <w:pPr>
        <w:ind w:left="2008" w:hanging="850"/>
      </w:pPr>
      <w:rPr>
        <w:rFonts w:hint="default"/>
        <w:lang w:val="en-US" w:eastAsia="zh-CN" w:bidi="ar-SA"/>
      </w:rPr>
    </w:lvl>
    <w:lvl w:ilvl="6">
      <w:start w:val="0"/>
      <w:numFmt w:val="bullet"/>
      <w:lvlText w:val="•"/>
      <w:lvlJc w:val="left"/>
      <w:pPr>
        <w:ind w:left="2194" w:hanging="850"/>
      </w:pPr>
      <w:rPr>
        <w:rFonts w:hint="default"/>
        <w:lang w:val="en-US" w:eastAsia="zh-CN" w:bidi="ar-SA"/>
      </w:rPr>
    </w:lvl>
    <w:lvl w:ilvl="7">
      <w:start w:val="0"/>
      <w:numFmt w:val="bullet"/>
      <w:lvlText w:val="•"/>
      <w:lvlJc w:val="left"/>
      <w:pPr>
        <w:ind w:left="2380" w:hanging="850"/>
      </w:pPr>
      <w:rPr>
        <w:rFonts w:hint="default"/>
        <w:lang w:val="en-US" w:eastAsia="zh-CN" w:bidi="ar-SA"/>
      </w:rPr>
    </w:lvl>
    <w:lvl w:ilvl="8">
      <w:start w:val="0"/>
      <w:numFmt w:val="bullet"/>
      <w:lvlText w:val="•"/>
      <w:lvlJc w:val="left"/>
      <w:pPr>
        <w:ind w:left="2566" w:hanging="850"/>
      </w:pPr>
      <w:rPr>
        <w:rFonts w:hint="default"/>
        <w:lang w:val="en-US" w:eastAsia="zh-CN" w:bidi="ar-SA"/>
      </w:rPr>
    </w:lvl>
  </w:abstractNum>
  <w:abstractNum w:abstractNumId="48">
    <w:multiLevelType w:val="hybridMultilevel"/>
    <w:lvl w:ilvl="0">
      <w:start w:val="1"/>
      <w:numFmt w:val="decimal"/>
      <w:lvlText w:val="（%1）"/>
      <w:lvlJc w:val="left"/>
      <w:pPr>
        <w:ind w:left="63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1784" w:hanging="529"/>
      </w:pPr>
      <w:rPr>
        <w:rFonts w:hint="default"/>
        <w:lang w:val="en-US" w:eastAsia="zh-CN" w:bidi="ar-SA"/>
      </w:rPr>
    </w:lvl>
    <w:lvl w:ilvl="3">
      <w:start w:val="0"/>
      <w:numFmt w:val="bullet"/>
      <w:lvlText w:val="•"/>
      <w:lvlJc w:val="left"/>
      <w:pPr>
        <w:ind w:left="2356" w:hanging="529"/>
      </w:pPr>
      <w:rPr>
        <w:rFonts w:hint="default"/>
        <w:lang w:val="en-US" w:eastAsia="zh-CN" w:bidi="ar-SA"/>
      </w:rPr>
    </w:lvl>
    <w:lvl w:ilvl="4">
      <w:start w:val="0"/>
      <w:numFmt w:val="bullet"/>
      <w:lvlText w:val="•"/>
      <w:lvlJc w:val="left"/>
      <w:pPr>
        <w:ind w:left="2929" w:hanging="529"/>
      </w:pPr>
      <w:rPr>
        <w:rFonts w:hint="default"/>
        <w:lang w:val="en-US" w:eastAsia="zh-CN" w:bidi="ar-SA"/>
      </w:rPr>
    </w:lvl>
    <w:lvl w:ilvl="5">
      <w:start w:val="0"/>
      <w:numFmt w:val="bullet"/>
      <w:lvlText w:val="•"/>
      <w:lvlJc w:val="left"/>
      <w:pPr>
        <w:ind w:left="3501" w:hanging="529"/>
      </w:pPr>
      <w:rPr>
        <w:rFonts w:hint="default"/>
        <w:lang w:val="en-US" w:eastAsia="zh-CN" w:bidi="ar-SA"/>
      </w:rPr>
    </w:lvl>
    <w:lvl w:ilvl="6">
      <w:start w:val="0"/>
      <w:numFmt w:val="bullet"/>
      <w:lvlText w:val="•"/>
      <w:lvlJc w:val="left"/>
      <w:pPr>
        <w:ind w:left="4073" w:hanging="529"/>
      </w:pPr>
      <w:rPr>
        <w:rFonts w:hint="default"/>
        <w:lang w:val="en-US" w:eastAsia="zh-CN" w:bidi="ar-SA"/>
      </w:rPr>
    </w:lvl>
    <w:lvl w:ilvl="7">
      <w:start w:val="0"/>
      <w:numFmt w:val="bullet"/>
      <w:lvlText w:val="•"/>
      <w:lvlJc w:val="left"/>
      <w:pPr>
        <w:ind w:left="4646" w:hanging="529"/>
      </w:pPr>
      <w:rPr>
        <w:rFonts w:hint="default"/>
        <w:lang w:val="en-US" w:eastAsia="zh-CN" w:bidi="ar-SA"/>
      </w:rPr>
    </w:lvl>
    <w:lvl w:ilvl="8">
      <w:start w:val="0"/>
      <w:numFmt w:val="bullet"/>
      <w:lvlText w:val="•"/>
      <w:lvlJc w:val="left"/>
      <w:pPr>
        <w:ind w:left="5218" w:hanging="529"/>
      </w:pPr>
      <w:rPr>
        <w:rFonts w:hint="default"/>
        <w:lang w:val="en-US" w:eastAsia="zh-CN" w:bidi="ar-SA"/>
      </w:rPr>
    </w:lvl>
  </w:abstractNum>
  <w:abstractNum w:abstractNumId="47">
    <w:multiLevelType w:val="hybridMultilevel"/>
    <w:lvl w:ilvl="0">
      <w:start w:val="1"/>
      <w:numFmt w:val="decimal"/>
      <w:lvlText w:val="（%1）"/>
      <w:lvlJc w:val="left"/>
      <w:pPr>
        <w:ind w:left="635"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1784" w:hanging="529"/>
      </w:pPr>
      <w:rPr>
        <w:rFonts w:hint="default"/>
        <w:lang w:val="en-US" w:eastAsia="zh-CN" w:bidi="ar-SA"/>
      </w:rPr>
    </w:lvl>
    <w:lvl w:ilvl="3">
      <w:start w:val="0"/>
      <w:numFmt w:val="bullet"/>
      <w:lvlText w:val="•"/>
      <w:lvlJc w:val="left"/>
      <w:pPr>
        <w:ind w:left="2356" w:hanging="529"/>
      </w:pPr>
      <w:rPr>
        <w:rFonts w:hint="default"/>
        <w:lang w:val="en-US" w:eastAsia="zh-CN" w:bidi="ar-SA"/>
      </w:rPr>
    </w:lvl>
    <w:lvl w:ilvl="4">
      <w:start w:val="0"/>
      <w:numFmt w:val="bullet"/>
      <w:lvlText w:val="•"/>
      <w:lvlJc w:val="left"/>
      <w:pPr>
        <w:ind w:left="2929" w:hanging="529"/>
      </w:pPr>
      <w:rPr>
        <w:rFonts w:hint="default"/>
        <w:lang w:val="en-US" w:eastAsia="zh-CN" w:bidi="ar-SA"/>
      </w:rPr>
    </w:lvl>
    <w:lvl w:ilvl="5">
      <w:start w:val="0"/>
      <w:numFmt w:val="bullet"/>
      <w:lvlText w:val="•"/>
      <w:lvlJc w:val="left"/>
      <w:pPr>
        <w:ind w:left="3501" w:hanging="529"/>
      </w:pPr>
      <w:rPr>
        <w:rFonts w:hint="default"/>
        <w:lang w:val="en-US" w:eastAsia="zh-CN" w:bidi="ar-SA"/>
      </w:rPr>
    </w:lvl>
    <w:lvl w:ilvl="6">
      <w:start w:val="0"/>
      <w:numFmt w:val="bullet"/>
      <w:lvlText w:val="•"/>
      <w:lvlJc w:val="left"/>
      <w:pPr>
        <w:ind w:left="4073" w:hanging="529"/>
      </w:pPr>
      <w:rPr>
        <w:rFonts w:hint="default"/>
        <w:lang w:val="en-US" w:eastAsia="zh-CN" w:bidi="ar-SA"/>
      </w:rPr>
    </w:lvl>
    <w:lvl w:ilvl="7">
      <w:start w:val="0"/>
      <w:numFmt w:val="bullet"/>
      <w:lvlText w:val="•"/>
      <w:lvlJc w:val="left"/>
      <w:pPr>
        <w:ind w:left="4646" w:hanging="529"/>
      </w:pPr>
      <w:rPr>
        <w:rFonts w:hint="default"/>
        <w:lang w:val="en-US" w:eastAsia="zh-CN" w:bidi="ar-SA"/>
      </w:rPr>
    </w:lvl>
    <w:lvl w:ilvl="8">
      <w:start w:val="0"/>
      <w:numFmt w:val="bullet"/>
      <w:lvlText w:val="•"/>
      <w:lvlJc w:val="left"/>
      <w:pPr>
        <w:ind w:left="5218" w:hanging="529"/>
      </w:pPr>
      <w:rPr>
        <w:rFonts w:hint="default"/>
        <w:lang w:val="en-US" w:eastAsia="zh-CN" w:bidi="ar-SA"/>
      </w:rPr>
    </w:lvl>
  </w:abstractNum>
  <w:abstractNum w:abstractNumId="46">
    <w:multiLevelType w:val="hybridMultilevel"/>
    <w:lvl w:ilvl="0">
      <w:start w:val="1"/>
      <w:numFmt w:val="decimal"/>
      <w:lvlText w:val="（%1）"/>
      <w:lvlJc w:val="left"/>
      <w:pPr>
        <w:ind w:left="36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45">
    <w:multiLevelType w:val="hybridMultilevel"/>
    <w:lvl w:ilvl="0">
      <w:start w:val="1"/>
      <w:numFmt w:val="decimal"/>
      <w:lvlText w:val="（%1）"/>
      <w:lvlJc w:val="left"/>
      <w:pPr>
        <w:ind w:left="3682"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44">
    <w:multiLevelType w:val="hybridMultilevel"/>
    <w:lvl w:ilvl="0">
      <w:start w:val="1"/>
      <w:numFmt w:val="decimal"/>
      <w:lvlText w:val="（%1）"/>
      <w:lvlJc w:val="left"/>
      <w:pPr>
        <w:ind w:left="3682"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43">
    <w:multiLevelType w:val="hybridMultilevel"/>
    <w:lvl w:ilvl="0">
      <w:start w:val="1"/>
      <w:numFmt w:val="decimal"/>
      <w:lvlText w:val="（%1）"/>
      <w:lvlJc w:val="left"/>
      <w:pPr>
        <w:ind w:left="3682"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42">
    <w:multiLevelType w:val="hybridMultilevel"/>
    <w:lvl w:ilvl="0">
      <w:start w:val="1"/>
      <w:numFmt w:val="decimal"/>
      <w:lvlText w:val="（%1）"/>
      <w:lvlJc w:val="left"/>
      <w:pPr>
        <w:ind w:left="3682"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41">
    <w:multiLevelType w:val="hybridMultilevel"/>
    <w:lvl w:ilvl="0">
      <w:start w:val="1"/>
      <w:numFmt w:val="decimal"/>
      <w:lvlText w:val="（%1）"/>
      <w:lvlJc w:val="left"/>
      <w:pPr>
        <w:ind w:left="3682"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40">
    <w:multiLevelType w:val="hybridMultilevel"/>
    <w:lvl w:ilvl="0">
      <w:start w:val="1"/>
      <w:numFmt w:val="decimal"/>
      <w:lvlText w:val="（%1）"/>
      <w:lvlJc w:val="left"/>
      <w:pPr>
        <w:ind w:left="637"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1203" w:hanging="529"/>
      </w:pPr>
      <w:rPr>
        <w:rFonts w:hint="default"/>
        <w:lang w:val="en-US" w:eastAsia="zh-CN" w:bidi="ar-SA"/>
      </w:rPr>
    </w:lvl>
    <w:lvl w:ilvl="2">
      <w:start w:val="0"/>
      <w:numFmt w:val="bullet"/>
      <w:lvlText w:val="•"/>
      <w:lvlJc w:val="left"/>
      <w:pPr>
        <w:ind w:left="1766" w:hanging="529"/>
      </w:pPr>
      <w:rPr>
        <w:rFonts w:hint="default"/>
        <w:lang w:val="en-US" w:eastAsia="zh-CN" w:bidi="ar-SA"/>
      </w:rPr>
    </w:lvl>
    <w:lvl w:ilvl="3">
      <w:start w:val="0"/>
      <w:numFmt w:val="bullet"/>
      <w:lvlText w:val="•"/>
      <w:lvlJc w:val="left"/>
      <w:pPr>
        <w:ind w:left="2329" w:hanging="529"/>
      </w:pPr>
      <w:rPr>
        <w:rFonts w:hint="default"/>
        <w:lang w:val="en-US" w:eastAsia="zh-CN" w:bidi="ar-SA"/>
      </w:rPr>
    </w:lvl>
    <w:lvl w:ilvl="4">
      <w:start w:val="0"/>
      <w:numFmt w:val="bullet"/>
      <w:lvlText w:val="•"/>
      <w:lvlJc w:val="left"/>
      <w:pPr>
        <w:ind w:left="2893" w:hanging="529"/>
      </w:pPr>
      <w:rPr>
        <w:rFonts w:hint="default"/>
        <w:lang w:val="en-US" w:eastAsia="zh-CN" w:bidi="ar-SA"/>
      </w:rPr>
    </w:lvl>
    <w:lvl w:ilvl="5">
      <w:start w:val="0"/>
      <w:numFmt w:val="bullet"/>
      <w:lvlText w:val="•"/>
      <w:lvlJc w:val="left"/>
      <w:pPr>
        <w:ind w:left="3456" w:hanging="529"/>
      </w:pPr>
      <w:rPr>
        <w:rFonts w:hint="default"/>
        <w:lang w:val="en-US" w:eastAsia="zh-CN" w:bidi="ar-SA"/>
      </w:rPr>
    </w:lvl>
    <w:lvl w:ilvl="6">
      <w:start w:val="0"/>
      <w:numFmt w:val="bullet"/>
      <w:lvlText w:val="•"/>
      <w:lvlJc w:val="left"/>
      <w:pPr>
        <w:ind w:left="4019" w:hanging="529"/>
      </w:pPr>
      <w:rPr>
        <w:rFonts w:hint="default"/>
        <w:lang w:val="en-US" w:eastAsia="zh-CN" w:bidi="ar-SA"/>
      </w:rPr>
    </w:lvl>
    <w:lvl w:ilvl="7">
      <w:start w:val="0"/>
      <w:numFmt w:val="bullet"/>
      <w:lvlText w:val="•"/>
      <w:lvlJc w:val="left"/>
      <w:pPr>
        <w:ind w:left="4583" w:hanging="529"/>
      </w:pPr>
      <w:rPr>
        <w:rFonts w:hint="default"/>
        <w:lang w:val="en-US" w:eastAsia="zh-CN" w:bidi="ar-SA"/>
      </w:rPr>
    </w:lvl>
    <w:lvl w:ilvl="8">
      <w:start w:val="0"/>
      <w:numFmt w:val="bullet"/>
      <w:lvlText w:val="•"/>
      <w:lvlJc w:val="left"/>
      <w:pPr>
        <w:ind w:left="5146" w:hanging="529"/>
      </w:pPr>
      <w:rPr>
        <w:rFonts w:hint="default"/>
        <w:lang w:val="en-US" w:eastAsia="zh-CN" w:bidi="ar-SA"/>
      </w:rPr>
    </w:lvl>
  </w:abstractNum>
  <w:abstractNum w:abstractNumId="39">
    <w:multiLevelType w:val="hybridMultilevel"/>
    <w:lvl w:ilvl="0">
      <w:start w:val="1"/>
      <w:numFmt w:val="decimal"/>
      <w:lvlText w:val="（%1）"/>
      <w:lvlJc w:val="left"/>
      <w:pPr>
        <w:ind w:left="36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38">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37">
    <w:multiLevelType w:val="hybridMultilevel"/>
    <w:lvl w:ilvl="0">
      <w:start w:val="3"/>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36">
    <w:multiLevelType w:val="hybridMultilevel"/>
    <w:lvl w:ilvl="0">
      <w:start w:val="1"/>
      <w:numFmt w:val="decimal"/>
      <w:lvlText w:val="（%1）"/>
      <w:lvlJc w:val="left"/>
      <w:pPr>
        <w:ind w:left="70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35">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34">
    <w:multiLevelType w:val="hybridMultilevel"/>
    <w:lvl w:ilvl="0">
      <w:start w:val="1"/>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33">
    <w:multiLevelType w:val="hybridMultilevel"/>
    <w:lvl w:ilvl="0">
      <w:start w:val="10"/>
      <w:numFmt w:val="decimal"/>
      <w:lvlText w:val="%1"/>
      <w:lvlJc w:val="left"/>
      <w:pPr>
        <w:ind w:left="1071" w:hanging="850"/>
        <w:jc w:val="left"/>
      </w:pPr>
      <w:rPr>
        <w:rFonts w:hint="default"/>
        <w:lang w:val="en-US" w:eastAsia="zh-CN" w:bidi="ar-SA"/>
      </w:rPr>
    </w:lvl>
    <w:lvl w:ilvl="1">
      <w:start w:val="18"/>
      <w:numFmt w:val="decimal"/>
      <w:lvlText w:val="%1.%2"/>
      <w:lvlJc w:val="left"/>
      <w:pPr>
        <w:ind w:left="1071" w:hanging="850"/>
        <w:jc w:val="left"/>
      </w:pPr>
      <w:rPr>
        <w:rFonts w:hint="default" w:ascii="Times New Roman" w:hAnsi="Times New Roman" w:eastAsia="Times New Roman" w:cs="Times New Roman"/>
        <w:b w:val="0"/>
        <w:bCs w:val="0"/>
        <w:i w:val="0"/>
        <w:iCs w:val="0"/>
        <w:spacing w:val="-1"/>
        <w:w w:val="100"/>
        <w:position w:val="2"/>
        <w:sz w:val="21"/>
        <w:szCs w:val="21"/>
        <w:lang w:val="en-US" w:eastAsia="zh-CN" w:bidi="ar-SA"/>
      </w:rPr>
    </w:lvl>
    <w:lvl w:ilvl="2">
      <w:start w:val="1"/>
      <w:numFmt w:val="decimal"/>
      <w:lvlText w:val="（%3）"/>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081" w:hanging="529"/>
      </w:pPr>
      <w:rPr>
        <w:rFonts w:hint="default"/>
        <w:lang w:val="en-US" w:eastAsia="zh-CN" w:bidi="ar-SA"/>
      </w:rPr>
    </w:lvl>
    <w:lvl w:ilvl="4">
      <w:start w:val="0"/>
      <w:numFmt w:val="bullet"/>
      <w:lvlText w:val="•"/>
      <w:lvlJc w:val="left"/>
      <w:pPr>
        <w:ind w:left="5782" w:hanging="529"/>
      </w:pPr>
      <w:rPr>
        <w:rFonts w:hint="default"/>
        <w:lang w:val="en-US" w:eastAsia="zh-CN" w:bidi="ar-SA"/>
      </w:rPr>
    </w:lvl>
    <w:lvl w:ilvl="5">
      <w:start w:val="0"/>
      <w:numFmt w:val="bullet"/>
      <w:lvlText w:val="•"/>
      <w:lvlJc w:val="left"/>
      <w:pPr>
        <w:ind w:left="6482" w:hanging="529"/>
      </w:pPr>
      <w:rPr>
        <w:rFonts w:hint="default"/>
        <w:lang w:val="en-US" w:eastAsia="zh-CN" w:bidi="ar-SA"/>
      </w:rPr>
    </w:lvl>
    <w:lvl w:ilvl="6">
      <w:start w:val="0"/>
      <w:numFmt w:val="bullet"/>
      <w:lvlText w:val="•"/>
      <w:lvlJc w:val="left"/>
      <w:pPr>
        <w:ind w:left="7183" w:hanging="529"/>
      </w:pPr>
      <w:rPr>
        <w:rFonts w:hint="default"/>
        <w:lang w:val="en-US" w:eastAsia="zh-CN" w:bidi="ar-SA"/>
      </w:rPr>
    </w:lvl>
    <w:lvl w:ilvl="7">
      <w:start w:val="0"/>
      <w:numFmt w:val="bullet"/>
      <w:lvlText w:val="•"/>
      <w:lvlJc w:val="left"/>
      <w:pPr>
        <w:ind w:left="7884" w:hanging="529"/>
      </w:pPr>
      <w:rPr>
        <w:rFonts w:hint="default"/>
        <w:lang w:val="en-US" w:eastAsia="zh-CN" w:bidi="ar-SA"/>
      </w:rPr>
    </w:lvl>
    <w:lvl w:ilvl="8">
      <w:start w:val="0"/>
      <w:numFmt w:val="bullet"/>
      <w:lvlText w:val="•"/>
      <w:lvlJc w:val="left"/>
      <w:pPr>
        <w:ind w:left="8584" w:hanging="529"/>
      </w:pPr>
      <w:rPr>
        <w:rFonts w:hint="default"/>
        <w:lang w:val="en-US" w:eastAsia="zh-CN" w:bidi="ar-SA"/>
      </w:rPr>
    </w:lvl>
  </w:abstractNum>
  <w:abstractNum w:abstractNumId="32">
    <w:multiLevelType w:val="hybridMultilevel"/>
    <w:lvl w:ilvl="0">
      <w:start w:val="1"/>
      <w:numFmt w:val="decimal"/>
      <w:lvlText w:val="（%1）"/>
      <w:lvlJc w:val="left"/>
      <w:pPr>
        <w:ind w:left="36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3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30">
    <w:multiLevelType w:val="hybridMultilevel"/>
    <w:lvl w:ilvl="0">
      <w:start w:val="1"/>
      <w:numFmt w:val="decimal"/>
      <w:lvlText w:val="（%1）"/>
      <w:lvlJc w:val="left"/>
      <w:pPr>
        <w:ind w:left="36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29">
    <w:multiLevelType w:val="hybridMultilevel"/>
    <w:lvl w:ilvl="0">
      <w:start w:val="1"/>
      <w:numFmt w:val="decimal"/>
      <w:lvlText w:val="（%1）"/>
      <w:lvlJc w:val="left"/>
      <w:pPr>
        <w:ind w:left="66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291" w:hanging="529"/>
      </w:pPr>
      <w:rPr>
        <w:rFonts w:hint="default"/>
        <w:lang w:val="en-US" w:eastAsia="zh-CN" w:bidi="ar-SA"/>
      </w:rPr>
    </w:lvl>
    <w:lvl w:ilvl="2">
      <w:start w:val="0"/>
      <w:numFmt w:val="bullet"/>
      <w:lvlText w:val="•"/>
      <w:lvlJc w:val="left"/>
      <w:pPr>
        <w:ind w:left="1922" w:hanging="529"/>
      </w:pPr>
      <w:rPr>
        <w:rFonts w:hint="default"/>
        <w:lang w:val="en-US" w:eastAsia="zh-CN" w:bidi="ar-SA"/>
      </w:rPr>
    </w:lvl>
    <w:lvl w:ilvl="3">
      <w:start w:val="0"/>
      <w:numFmt w:val="bullet"/>
      <w:lvlText w:val="•"/>
      <w:lvlJc w:val="left"/>
      <w:pPr>
        <w:ind w:left="2554" w:hanging="529"/>
      </w:pPr>
      <w:rPr>
        <w:rFonts w:hint="default"/>
        <w:lang w:val="en-US" w:eastAsia="zh-CN" w:bidi="ar-SA"/>
      </w:rPr>
    </w:lvl>
    <w:lvl w:ilvl="4">
      <w:start w:val="0"/>
      <w:numFmt w:val="bullet"/>
      <w:lvlText w:val="•"/>
      <w:lvlJc w:val="left"/>
      <w:pPr>
        <w:ind w:left="3185" w:hanging="529"/>
      </w:pPr>
      <w:rPr>
        <w:rFonts w:hint="default"/>
        <w:lang w:val="en-US" w:eastAsia="zh-CN" w:bidi="ar-SA"/>
      </w:rPr>
    </w:lvl>
    <w:lvl w:ilvl="5">
      <w:start w:val="0"/>
      <w:numFmt w:val="bullet"/>
      <w:lvlText w:val="•"/>
      <w:lvlJc w:val="left"/>
      <w:pPr>
        <w:ind w:left="3817" w:hanging="529"/>
      </w:pPr>
      <w:rPr>
        <w:rFonts w:hint="default"/>
        <w:lang w:val="en-US" w:eastAsia="zh-CN" w:bidi="ar-SA"/>
      </w:rPr>
    </w:lvl>
    <w:lvl w:ilvl="6">
      <w:start w:val="0"/>
      <w:numFmt w:val="bullet"/>
      <w:lvlText w:val="•"/>
      <w:lvlJc w:val="left"/>
      <w:pPr>
        <w:ind w:left="4448" w:hanging="529"/>
      </w:pPr>
      <w:rPr>
        <w:rFonts w:hint="default"/>
        <w:lang w:val="en-US" w:eastAsia="zh-CN" w:bidi="ar-SA"/>
      </w:rPr>
    </w:lvl>
    <w:lvl w:ilvl="7">
      <w:start w:val="0"/>
      <w:numFmt w:val="bullet"/>
      <w:lvlText w:val="•"/>
      <w:lvlJc w:val="left"/>
      <w:pPr>
        <w:ind w:left="5079" w:hanging="529"/>
      </w:pPr>
      <w:rPr>
        <w:rFonts w:hint="default"/>
        <w:lang w:val="en-US" w:eastAsia="zh-CN" w:bidi="ar-SA"/>
      </w:rPr>
    </w:lvl>
    <w:lvl w:ilvl="8">
      <w:start w:val="0"/>
      <w:numFmt w:val="bullet"/>
      <w:lvlText w:val="•"/>
      <w:lvlJc w:val="left"/>
      <w:pPr>
        <w:ind w:left="5711" w:hanging="529"/>
      </w:pPr>
      <w:rPr>
        <w:rFonts w:hint="default"/>
        <w:lang w:val="en-US" w:eastAsia="zh-CN" w:bidi="ar-SA"/>
      </w:rPr>
    </w:lvl>
  </w:abstractNum>
  <w:abstractNum w:abstractNumId="28">
    <w:multiLevelType w:val="hybridMultilevel"/>
    <w:lvl w:ilvl="0">
      <w:start w:val="1"/>
      <w:numFmt w:val="decimal"/>
      <w:lvlText w:val="（%1）"/>
      <w:lvlJc w:val="left"/>
      <w:pPr>
        <w:ind w:left="70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3" w:hanging="529"/>
      </w:pPr>
      <w:rPr>
        <w:rFonts w:hint="default"/>
        <w:lang w:val="en-US" w:eastAsia="zh-CN" w:bidi="ar-SA"/>
      </w:rPr>
    </w:lvl>
    <w:lvl w:ilvl="5">
      <w:start w:val="0"/>
      <w:numFmt w:val="bullet"/>
      <w:lvlText w:val="•"/>
      <w:lvlJc w:val="left"/>
      <w:pPr>
        <w:ind w:left="3854" w:hanging="529"/>
      </w:pPr>
      <w:rPr>
        <w:rFonts w:hint="default"/>
        <w:lang w:val="en-US" w:eastAsia="zh-CN" w:bidi="ar-SA"/>
      </w:rPr>
    </w:lvl>
    <w:lvl w:ilvl="6">
      <w:start w:val="0"/>
      <w:numFmt w:val="bullet"/>
      <w:lvlText w:val="•"/>
      <w:lvlJc w:val="left"/>
      <w:pPr>
        <w:ind w:left="4485" w:hanging="529"/>
      </w:pPr>
      <w:rPr>
        <w:rFonts w:hint="default"/>
        <w:lang w:val="en-US" w:eastAsia="zh-CN" w:bidi="ar-SA"/>
      </w:rPr>
    </w:lvl>
    <w:lvl w:ilvl="7">
      <w:start w:val="0"/>
      <w:numFmt w:val="bullet"/>
      <w:lvlText w:val="•"/>
      <w:lvlJc w:val="left"/>
      <w:pPr>
        <w:ind w:left="5116" w:hanging="529"/>
      </w:pPr>
      <w:rPr>
        <w:rFonts w:hint="default"/>
        <w:lang w:val="en-US" w:eastAsia="zh-CN" w:bidi="ar-SA"/>
      </w:rPr>
    </w:lvl>
    <w:lvl w:ilvl="8">
      <w:start w:val="0"/>
      <w:numFmt w:val="bullet"/>
      <w:lvlText w:val="•"/>
      <w:lvlJc w:val="left"/>
      <w:pPr>
        <w:ind w:left="5747" w:hanging="529"/>
      </w:pPr>
      <w:rPr>
        <w:rFonts w:hint="default"/>
        <w:lang w:val="en-US" w:eastAsia="zh-CN" w:bidi="ar-SA"/>
      </w:rPr>
    </w:lvl>
  </w:abstractNum>
  <w:abstractNum w:abstractNumId="27">
    <w:multiLevelType w:val="hybridMultilevel"/>
    <w:lvl w:ilvl="0">
      <w:start w:val="1"/>
      <w:numFmt w:val="lowerLetter"/>
      <w:lvlText w:val="%1."/>
      <w:lvlJc w:val="left"/>
      <w:pPr>
        <w:ind w:left="3311" w:hanging="160"/>
        <w:jc w:val="left"/>
      </w:pPr>
      <w:rPr>
        <w:rFonts w:hint="default" w:ascii="Times New Roman" w:hAnsi="Times New Roman" w:eastAsia="Times New Roman" w:cs="Times New Roman"/>
        <w:b/>
        <w:bCs/>
        <w:i w:val="0"/>
        <w:iCs w:val="0"/>
        <w:w w:val="100"/>
        <w:sz w:val="19"/>
        <w:szCs w:val="19"/>
        <w:lang w:val="en-US" w:eastAsia="zh-CN" w:bidi="ar-SA"/>
      </w:rPr>
    </w:lvl>
    <w:lvl w:ilvl="1">
      <w:start w:val="0"/>
      <w:numFmt w:val="bullet"/>
      <w:lvlText w:val="•"/>
      <w:lvlJc w:val="left"/>
      <w:pPr>
        <w:ind w:left="3986" w:hanging="160"/>
      </w:pPr>
      <w:rPr>
        <w:rFonts w:hint="default"/>
        <w:lang w:val="en-US" w:eastAsia="zh-CN" w:bidi="ar-SA"/>
      </w:rPr>
    </w:lvl>
    <w:lvl w:ilvl="2">
      <w:start w:val="0"/>
      <w:numFmt w:val="bullet"/>
      <w:lvlText w:val="•"/>
      <w:lvlJc w:val="left"/>
      <w:pPr>
        <w:ind w:left="4653" w:hanging="160"/>
      </w:pPr>
      <w:rPr>
        <w:rFonts w:hint="default"/>
        <w:lang w:val="en-US" w:eastAsia="zh-CN" w:bidi="ar-SA"/>
      </w:rPr>
    </w:lvl>
    <w:lvl w:ilvl="3">
      <w:start w:val="0"/>
      <w:numFmt w:val="bullet"/>
      <w:lvlText w:val="•"/>
      <w:lvlJc w:val="left"/>
      <w:pPr>
        <w:ind w:left="5319" w:hanging="160"/>
      </w:pPr>
      <w:rPr>
        <w:rFonts w:hint="default"/>
        <w:lang w:val="en-US" w:eastAsia="zh-CN" w:bidi="ar-SA"/>
      </w:rPr>
    </w:lvl>
    <w:lvl w:ilvl="4">
      <w:start w:val="0"/>
      <w:numFmt w:val="bullet"/>
      <w:lvlText w:val="•"/>
      <w:lvlJc w:val="left"/>
      <w:pPr>
        <w:ind w:left="5986" w:hanging="160"/>
      </w:pPr>
      <w:rPr>
        <w:rFonts w:hint="default"/>
        <w:lang w:val="en-US" w:eastAsia="zh-CN" w:bidi="ar-SA"/>
      </w:rPr>
    </w:lvl>
    <w:lvl w:ilvl="5">
      <w:start w:val="0"/>
      <w:numFmt w:val="bullet"/>
      <w:lvlText w:val="•"/>
      <w:lvlJc w:val="left"/>
      <w:pPr>
        <w:ind w:left="6653" w:hanging="160"/>
      </w:pPr>
      <w:rPr>
        <w:rFonts w:hint="default"/>
        <w:lang w:val="en-US" w:eastAsia="zh-CN" w:bidi="ar-SA"/>
      </w:rPr>
    </w:lvl>
    <w:lvl w:ilvl="6">
      <w:start w:val="0"/>
      <w:numFmt w:val="bullet"/>
      <w:lvlText w:val="•"/>
      <w:lvlJc w:val="left"/>
      <w:pPr>
        <w:ind w:left="7319" w:hanging="160"/>
      </w:pPr>
      <w:rPr>
        <w:rFonts w:hint="default"/>
        <w:lang w:val="en-US" w:eastAsia="zh-CN" w:bidi="ar-SA"/>
      </w:rPr>
    </w:lvl>
    <w:lvl w:ilvl="7">
      <w:start w:val="0"/>
      <w:numFmt w:val="bullet"/>
      <w:lvlText w:val="•"/>
      <w:lvlJc w:val="left"/>
      <w:pPr>
        <w:ind w:left="7986" w:hanging="160"/>
      </w:pPr>
      <w:rPr>
        <w:rFonts w:hint="default"/>
        <w:lang w:val="en-US" w:eastAsia="zh-CN" w:bidi="ar-SA"/>
      </w:rPr>
    </w:lvl>
    <w:lvl w:ilvl="8">
      <w:start w:val="0"/>
      <w:numFmt w:val="bullet"/>
      <w:lvlText w:val="•"/>
      <w:lvlJc w:val="left"/>
      <w:pPr>
        <w:ind w:left="8653" w:hanging="160"/>
      </w:pPr>
      <w:rPr>
        <w:rFonts w:hint="default"/>
        <w:lang w:val="en-US" w:eastAsia="zh-CN" w:bidi="ar-SA"/>
      </w:rPr>
    </w:lvl>
  </w:abstractNum>
  <w:abstractNum w:abstractNumId="26">
    <w:multiLevelType w:val="hybridMultilevel"/>
    <w:lvl w:ilvl="0">
      <w:start w:val="10"/>
      <w:numFmt w:val="decimal"/>
      <w:lvlText w:val="%1"/>
      <w:lvlJc w:val="left"/>
      <w:pPr>
        <w:ind w:left="1071" w:hanging="85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3）"/>
      <w:lvlJc w:val="left"/>
      <w:pPr>
        <w:ind w:left="3682" w:hanging="529"/>
        <w:jc w:val="left"/>
      </w:pPr>
      <w:rPr>
        <w:rFonts w:hint="default"/>
        <w:spacing w:val="-3"/>
        <w:w w:val="100"/>
        <w:lang w:val="en-US" w:eastAsia="zh-CN" w:bidi="ar-SA"/>
      </w:rPr>
    </w:lvl>
    <w:lvl w:ilvl="3">
      <w:start w:val="0"/>
      <w:numFmt w:val="bullet"/>
      <w:lvlText w:val="•"/>
      <w:lvlJc w:val="left"/>
      <w:pPr>
        <w:ind w:left="5081" w:hanging="529"/>
      </w:pPr>
      <w:rPr>
        <w:rFonts w:hint="default"/>
        <w:lang w:val="en-US" w:eastAsia="zh-CN" w:bidi="ar-SA"/>
      </w:rPr>
    </w:lvl>
    <w:lvl w:ilvl="4">
      <w:start w:val="0"/>
      <w:numFmt w:val="bullet"/>
      <w:lvlText w:val="•"/>
      <w:lvlJc w:val="left"/>
      <w:pPr>
        <w:ind w:left="5782" w:hanging="529"/>
      </w:pPr>
      <w:rPr>
        <w:rFonts w:hint="default"/>
        <w:lang w:val="en-US" w:eastAsia="zh-CN" w:bidi="ar-SA"/>
      </w:rPr>
    </w:lvl>
    <w:lvl w:ilvl="5">
      <w:start w:val="0"/>
      <w:numFmt w:val="bullet"/>
      <w:lvlText w:val="•"/>
      <w:lvlJc w:val="left"/>
      <w:pPr>
        <w:ind w:left="6482" w:hanging="529"/>
      </w:pPr>
      <w:rPr>
        <w:rFonts w:hint="default"/>
        <w:lang w:val="en-US" w:eastAsia="zh-CN" w:bidi="ar-SA"/>
      </w:rPr>
    </w:lvl>
    <w:lvl w:ilvl="6">
      <w:start w:val="0"/>
      <w:numFmt w:val="bullet"/>
      <w:lvlText w:val="•"/>
      <w:lvlJc w:val="left"/>
      <w:pPr>
        <w:ind w:left="7183" w:hanging="529"/>
      </w:pPr>
      <w:rPr>
        <w:rFonts w:hint="default"/>
        <w:lang w:val="en-US" w:eastAsia="zh-CN" w:bidi="ar-SA"/>
      </w:rPr>
    </w:lvl>
    <w:lvl w:ilvl="7">
      <w:start w:val="0"/>
      <w:numFmt w:val="bullet"/>
      <w:lvlText w:val="•"/>
      <w:lvlJc w:val="left"/>
      <w:pPr>
        <w:ind w:left="7884" w:hanging="529"/>
      </w:pPr>
      <w:rPr>
        <w:rFonts w:hint="default"/>
        <w:lang w:val="en-US" w:eastAsia="zh-CN" w:bidi="ar-SA"/>
      </w:rPr>
    </w:lvl>
    <w:lvl w:ilvl="8">
      <w:start w:val="0"/>
      <w:numFmt w:val="bullet"/>
      <w:lvlText w:val="•"/>
      <w:lvlJc w:val="left"/>
      <w:pPr>
        <w:ind w:left="8584" w:hanging="529"/>
      </w:pPr>
      <w:rPr>
        <w:rFonts w:hint="default"/>
        <w:lang w:val="en-US" w:eastAsia="zh-CN" w:bidi="ar-SA"/>
      </w:rPr>
    </w:lvl>
  </w:abstractNum>
  <w:abstractNum w:abstractNumId="25">
    <w:multiLevelType w:val="hybridMultilevel"/>
    <w:lvl w:ilvl="0">
      <w:start w:val="6"/>
      <w:numFmt w:val="decimal"/>
      <w:lvlText w:val="%1"/>
      <w:lvlJc w:val="left"/>
      <w:pPr>
        <w:ind w:left="1071" w:hanging="85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2861" w:hanging="850"/>
      </w:pPr>
      <w:rPr>
        <w:rFonts w:hint="default"/>
        <w:lang w:val="en-US" w:eastAsia="zh-CN" w:bidi="ar-SA"/>
      </w:rPr>
    </w:lvl>
    <w:lvl w:ilvl="3">
      <w:start w:val="0"/>
      <w:numFmt w:val="bullet"/>
      <w:lvlText w:val="•"/>
      <w:lvlJc w:val="left"/>
      <w:pPr>
        <w:ind w:left="3751" w:hanging="850"/>
      </w:pPr>
      <w:rPr>
        <w:rFonts w:hint="default"/>
        <w:lang w:val="en-US" w:eastAsia="zh-CN" w:bidi="ar-SA"/>
      </w:rPr>
    </w:lvl>
    <w:lvl w:ilvl="4">
      <w:start w:val="0"/>
      <w:numFmt w:val="bullet"/>
      <w:lvlText w:val="•"/>
      <w:lvlJc w:val="left"/>
      <w:pPr>
        <w:ind w:left="4642" w:hanging="850"/>
      </w:pPr>
      <w:rPr>
        <w:rFonts w:hint="default"/>
        <w:lang w:val="en-US" w:eastAsia="zh-CN" w:bidi="ar-SA"/>
      </w:rPr>
    </w:lvl>
    <w:lvl w:ilvl="5">
      <w:start w:val="0"/>
      <w:numFmt w:val="bullet"/>
      <w:lvlText w:val="•"/>
      <w:lvlJc w:val="left"/>
      <w:pPr>
        <w:ind w:left="5533" w:hanging="850"/>
      </w:pPr>
      <w:rPr>
        <w:rFonts w:hint="default"/>
        <w:lang w:val="en-US" w:eastAsia="zh-CN" w:bidi="ar-SA"/>
      </w:rPr>
    </w:lvl>
    <w:lvl w:ilvl="6">
      <w:start w:val="0"/>
      <w:numFmt w:val="bullet"/>
      <w:lvlText w:val="•"/>
      <w:lvlJc w:val="left"/>
      <w:pPr>
        <w:ind w:left="6423" w:hanging="850"/>
      </w:pPr>
      <w:rPr>
        <w:rFonts w:hint="default"/>
        <w:lang w:val="en-US" w:eastAsia="zh-CN" w:bidi="ar-SA"/>
      </w:rPr>
    </w:lvl>
    <w:lvl w:ilvl="7">
      <w:start w:val="0"/>
      <w:numFmt w:val="bullet"/>
      <w:lvlText w:val="•"/>
      <w:lvlJc w:val="left"/>
      <w:pPr>
        <w:ind w:left="7314" w:hanging="850"/>
      </w:pPr>
      <w:rPr>
        <w:rFonts w:hint="default"/>
        <w:lang w:val="en-US" w:eastAsia="zh-CN" w:bidi="ar-SA"/>
      </w:rPr>
    </w:lvl>
    <w:lvl w:ilvl="8">
      <w:start w:val="0"/>
      <w:numFmt w:val="bullet"/>
      <w:lvlText w:val="•"/>
      <w:lvlJc w:val="left"/>
      <w:pPr>
        <w:ind w:left="8205" w:hanging="850"/>
      </w:pPr>
      <w:rPr>
        <w:rFonts w:hint="default"/>
        <w:lang w:val="en-US" w:eastAsia="zh-CN" w:bidi="ar-SA"/>
      </w:rPr>
    </w:lvl>
  </w:abstractNum>
  <w:abstractNum w:abstractNumId="24">
    <w:multiLevelType w:val="hybridMultilevel"/>
    <w:lvl w:ilvl="0">
      <w:start w:val="4"/>
      <w:numFmt w:val="decimal"/>
      <w:lvlText w:val="%1"/>
      <w:lvlJc w:val="left"/>
      <w:pPr>
        <w:ind w:left="1071" w:hanging="85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0"/>
      <w:numFmt w:val="bullet"/>
      <w:lvlText w:val="•"/>
      <w:lvlJc w:val="left"/>
      <w:pPr>
        <w:ind w:left="2861" w:hanging="850"/>
      </w:pPr>
      <w:rPr>
        <w:rFonts w:hint="default"/>
        <w:lang w:val="en-US" w:eastAsia="zh-CN" w:bidi="ar-SA"/>
      </w:rPr>
    </w:lvl>
    <w:lvl w:ilvl="3">
      <w:start w:val="0"/>
      <w:numFmt w:val="bullet"/>
      <w:lvlText w:val="•"/>
      <w:lvlJc w:val="left"/>
      <w:pPr>
        <w:ind w:left="3751" w:hanging="850"/>
      </w:pPr>
      <w:rPr>
        <w:rFonts w:hint="default"/>
        <w:lang w:val="en-US" w:eastAsia="zh-CN" w:bidi="ar-SA"/>
      </w:rPr>
    </w:lvl>
    <w:lvl w:ilvl="4">
      <w:start w:val="0"/>
      <w:numFmt w:val="bullet"/>
      <w:lvlText w:val="•"/>
      <w:lvlJc w:val="left"/>
      <w:pPr>
        <w:ind w:left="4642" w:hanging="850"/>
      </w:pPr>
      <w:rPr>
        <w:rFonts w:hint="default"/>
        <w:lang w:val="en-US" w:eastAsia="zh-CN" w:bidi="ar-SA"/>
      </w:rPr>
    </w:lvl>
    <w:lvl w:ilvl="5">
      <w:start w:val="0"/>
      <w:numFmt w:val="bullet"/>
      <w:lvlText w:val="•"/>
      <w:lvlJc w:val="left"/>
      <w:pPr>
        <w:ind w:left="5533" w:hanging="850"/>
      </w:pPr>
      <w:rPr>
        <w:rFonts w:hint="default"/>
        <w:lang w:val="en-US" w:eastAsia="zh-CN" w:bidi="ar-SA"/>
      </w:rPr>
    </w:lvl>
    <w:lvl w:ilvl="6">
      <w:start w:val="0"/>
      <w:numFmt w:val="bullet"/>
      <w:lvlText w:val="•"/>
      <w:lvlJc w:val="left"/>
      <w:pPr>
        <w:ind w:left="6423" w:hanging="850"/>
      </w:pPr>
      <w:rPr>
        <w:rFonts w:hint="default"/>
        <w:lang w:val="en-US" w:eastAsia="zh-CN" w:bidi="ar-SA"/>
      </w:rPr>
    </w:lvl>
    <w:lvl w:ilvl="7">
      <w:start w:val="0"/>
      <w:numFmt w:val="bullet"/>
      <w:lvlText w:val="•"/>
      <w:lvlJc w:val="left"/>
      <w:pPr>
        <w:ind w:left="7314" w:hanging="850"/>
      </w:pPr>
      <w:rPr>
        <w:rFonts w:hint="default"/>
        <w:lang w:val="en-US" w:eastAsia="zh-CN" w:bidi="ar-SA"/>
      </w:rPr>
    </w:lvl>
    <w:lvl w:ilvl="8">
      <w:start w:val="0"/>
      <w:numFmt w:val="bullet"/>
      <w:lvlText w:val="•"/>
      <w:lvlJc w:val="left"/>
      <w:pPr>
        <w:ind w:left="8205" w:hanging="850"/>
      </w:pPr>
      <w:rPr>
        <w:rFonts w:hint="default"/>
        <w:lang w:val="en-US" w:eastAsia="zh-CN" w:bidi="ar-SA"/>
      </w:rPr>
    </w:lvl>
  </w:abstractNum>
  <w:abstractNum w:abstractNumId="23">
    <w:multiLevelType w:val="hybridMultilevel"/>
    <w:lvl w:ilvl="0">
      <w:start w:val="1"/>
      <w:numFmt w:val="decimal"/>
      <w:lvlText w:val="（%1）"/>
      <w:lvlJc w:val="left"/>
      <w:pPr>
        <w:ind w:left="67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10" w:hanging="529"/>
      </w:pPr>
      <w:rPr>
        <w:rFonts w:hint="default"/>
        <w:lang w:val="en-US" w:eastAsia="zh-CN" w:bidi="ar-SA"/>
      </w:rPr>
    </w:lvl>
    <w:lvl w:ilvl="2">
      <w:start w:val="0"/>
      <w:numFmt w:val="bullet"/>
      <w:lvlText w:val="•"/>
      <w:lvlJc w:val="left"/>
      <w:pPr>
        <w:ind w:left="1940" w:hanging="529"/>
      </w:pPr>
      <w:rPr>
        <w:rFonts w:hint="default"/>
        <w:lang w:val="en-US" w:eastAsia="zh-CN" w:bidi="ar-SA"/>
      </w:rPr>
    </w:lvl>
    <w:lvl w:ilvl="3">
      <w:start w:val="0"/>
      <w:numFmt w:val="bullet"/>
      <w:lvlText w:val="•"/>
      <w:lvlJc w:val="left"/>
      <w:pPr>
        <w:ind w:left="2570" w:hanging="529"/>
      </w:pPr>
      <w:rPr>
        <w:rFonts w:hint="default"/>
        <w:lang w:val="en-US" w:eastAsia="zh-CN" w:bidi="ar-SA"/>
      </w:rPr>
    </w:lvl>
    <w:lvl w:ilvl="4">
      <w:start w:val="0"/>
      <w:numFmt w:val="bullet"/>
      <w:lvlText w:val="•"/>
      <w:lvlJc w:val="left"/>
      <w:pPr>
        <w:ind w:left="3200" w:hanging="529"/>
      </w:pPr>
      <w:rPr>
        <w:rFonts w:hint="default"/>
        <w:lang w:val="en-US" w:eastAsia="zh-CN" w:bidi="ar-SA"/>
      </w:rPr>
    </w:lvl>
    <w:lvl w:ilvl="5">
      <w:start w:val="0"/>
      <w:numFmt w:val="bullet"/>
      <w:lvlText w:val="•"/>
      <w:lvlJc w:val="left"/>
      <w:pPr>
        <w:ind w:left="3830" w:hanging="529"/>
      </w:pPr>
      <w:rPr>
        <w:rFonts w:hint="default"/>
        <w:lang w:val="en-US" w:eastAsia="zh-CN" w:bidi="ar-SA"/>
      </w:rPr>
    </w:lvl>
    <w:lvl w:ilvl="6">
      <w:start w:val="0"/>
      <w:numFmt w:val="bullet"/>
      <w:lvlText w:val="•"/>
      <w:lvlJc w:val="left"/>
      <w:pPr>
        <w:ind w:left="4460" w:hanging="529"/>
      </w:pPr>
      <w:rPr>
        <w:rFonts w:hint="default"/>
        <w:lang w:val="en-US" w:eastAsia="zh-CN" w:bidi="ar-SA"/>
      </w:rPr>
    </w:lvl>
    <w:lvl w:ilvl="7">
      <w:start w:val="0"/>
      <w:numFmt w:val="bullet"/>
      <w:lvlText w:val="•"/>
      <w:lvlJc w:val="left"/>
      <w:pPr>
        <w:ind w:left="5090" w:hanging="529"/>
      </w:pPr>
      <w:rPr>
        <w:rFonts w:hint="default"/>
        <w:lang w:val="en-US" w:eastAsia="zh-CN" w:bidi="ar-SA"/>
      </w:rPr>
    </w:lvl>
    <w:lvl w:ilvl="8">
      <w:start w:val="0"/>
      <w:numFmt w:val="bullet"/>
      <w:lvlText w:val="•"/>
      <w:lvlJc w:val="left"/>
      <w:pPr>
        <w:ind w:left="5720" w:hanging="529"/>
      </w:pPr>
      <w:rPr>
        <w:rFonts w:hint="default"/>
        <w:lang w:val="en-US" w:eastAsia="zh-CN" w:bidi="ar-SA"/>
      </w:rPr>
    </w:lvl>
  </w:abstractNum>
  <w:abstractNum w:abstractNumId="22">
    <w:multiLevelType w:val="hybridMultilevel"/>
    <w:lvl w:ilvl="0">
      <w:start w:val="1"/>
      <w:numFmt w:val="decimal"/>
      <w:lvlText w:val="（%1）"/>
      <w:lvlJc w:val="left"/>
      <w:pPr>
        <w:ind w:left="70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30" w:hanging="529"/>
      </w:pPr>
      <w:rPr>
        <w:rFonts w:hint="default"/>
        <w:lang w:val="en-US" w:eastAsia="zh-CN" w:bidi="ar-SA"/>
      </w:rPr>
    </w:lvl>
    <w:lvl w:ilvl="2">
      <w:start w:val="0"/>
      <w:numFmt w:val="bullet"/>
      <w:lvlText w:val="•"/>
      <w:lvlJc w:val="left"/>
      <w:pPr>
        <w:ind w:left="1961" w:hanging="529"/>
      </w:pPr>
      <w:rPr>
        <w:rFonts w:hint="default"/>
        <w:lang w:val="en-US" w:eastAsia="zh-CN" w:bidi="ar-SA"/>
      </w:rPr>
    </w:lvl>
    <w:lvl w:ilvl="3">
      <w:start w:val="0"/>
      <w:numFmt w:val="bullet"/>
      <w:lvlText w:val="•"/>
      <w:lvlJc w:val="left"/>
      <w:pPr>
        <w:ind w:left="2592" w:hanging="529"/>
      </w:pPr>
      <w:rPr>
        <w:rFonts w:hint="default"/>
        <w:lang w:val="en-US" w:eastAsia="zh-CN" w:bidi="ar-SA"/>
      </w:rPr>
    </w:lvl>
    <w:lvl w:ilvl="4">
      <w:start w:val="0"/>
      <w:numFmt w:val="bullet"/>
      <w:lvlText w:val="•"/>
      <w:lvlJc w:val="left"/>
      <w:pPr>
        <w:ind w:left="3222" w:hanging="529"/>
      </w:pPr>
      <w:rPr>
        <w:rFonts w:hint="default"/>
        <w:lang w:val="en-US" w:eastAsia="zh-CN" w:bidi="ar-SA"/>
      </w:rPr>
    </w:lvl>
    <w:lvl w:ilvl="5">
      <w:start w:val="0"/>
      <w:numFmt w:val="bullet"/>
      <w:lvlText w:val="•"/>
      <w:lvlJc w:val="left"/>
      <w:pPr>
        <w:ind w:left="3853" w:hanging="529"/>
      </w:pPr>
      <w:rPr>
        <w:rFonts w:hint="default"/>
        <w:lang w:val="en-US" w:eastAsia="zh-CN" w:bidi="ar-SA"/>
      </w:rPr>
    </w:lvl>
    <w:lvl w:ilvl="6">
      <w:start w:val="0"/>
      <w:numFmt w:val="bullet"/>
      <w:lvlText w:val="•"/>
      <w:lvlJc w:val="left"/>
      <w:pPr>
        <w:ind w:left="4484" w:hanging="529"/>
      </w:pPr>
      <w:rPr>
        <w:rFonts w:hint="default"/>
        <w:lang w:val="en-US" w:eastAsia="zh-CN" w:bidi="ar-SA"/>
      </w:rPr>
    </w:lvl>
    <w:lvl w:ilvl="7">
      <w:start w:val="0"/>
      <w:numFmt w:val="bullet"/>
      <w:lvlText w:val="•"/>
      <w:lvlJc w:val="left"/>
      <w:pPr>
        <w:ind w:left="5114" w:hanging="529"/>
      </w:pPr>
      <w:rPr>
        <w:rFonts w:hint="default"/>
        <w:lang w:val="en-US" w:eastAsia="zh-CN" w:bidi="ar-SA"/>
      </w:rPr>
    </w:lvl>
    <w:lvl w:ilvl="8">
      <w:start w:val="0"/>
      <w:numFmt w:val="bullet"/>
      <w:lvlText w:val="•"/>
      <w:lvlJc w:val="left"/>
      <w:pPr>
        <w:ind w:left="5745" w:hanging="529"/>
      </w:pPr>
      <w:rPr>
        <w:rFonts w:hint="default"/>
        <w:lang w:val="en-US" w:eastAsia="zh-CN" w:bidi="ar-SA"/>
      </w:rPr>
    </w:lvl>
  </w:abstractNum>
  <w:abstractNum w:abstractNumId="21">
    <w:multiLevelType w:val="hybridMultilevel"/>
    <w:lvl w:ilvl="0">
      <w:start w:val="3"/>
      <w:numFmt w:val="decimal"/>
      <w:lvlText w:val="%1"/>
      <w:lvlJc w:val="left"/>
      <w:pPr>
        <w:ind w:left="1071" w:hanging="850"/>
        <w:jc w:val="left"/>
      </w:pPr>
      <w:rPr>
        <w:rFonts w:hint="default"/>
        <w:lang w:val="en-US" w:eastAsia="zh-CN" w:bidi="ar-SA"/>
      </w:rPr>
    </w:lvl>
    <w:lvl w:ilvl="1">
      <w:start w:val="2"/>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1.%2.%3"/>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3">
      <w:start w:val="1"/>
      <w:numFmt w:val="decimal"/>
      <w:lvlText w:val="（%4）"/>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433" w:hanging="529"/>
      </w:pPr>
      <w:rPr>
        <w:rFonts w:hint="default"/>
        <w:lang w:val="en-US" w:eastAsia="zh-CN" w:bidi="ar-SA"/>
      </w:rPr>
    </w:lvl>
    <w:lvl w:ilvl="5">
      <w:start w:val="0"/>
      <w:numFmt w:val="bullet"/>
      <w:lvlText w:val="•"/>
      <w:lvlJc w:val="left"/>
      <w:pPr>
        <w:ind w:left="3350" w:hanging="529"/>
      </w:pPr>
      <w:rPr>
        <w:rFonts w:hint="default"/>
        <w:lang w:val="en-US" w:eastAsia="zh-CN" w:bidi="ar-SA"/>
      </w:rPr>
    </w:lvl>
    <w:lvl w:ilvl="6">
      <w:start w:val="0"/>
      <w:numFmt w:val="bullet"/>
      <w:lvlText w:val="•"/>
      <w:lvlJc w:val="left"/>
      <w:pPr>
        <w:ind w:left="3268" w:hanging="529"/>
      </w:pPr>
      <w:rPr>
        <w:rFonts w:hint="default"/>
        <w:lang w:val="en-US" w:eastAsia="zh-CN" w:bidi="ar-SA"/>
      </w:rPr>
    </w:lvl>
    <w:lvl w:ilvl="7">
      <w:start w:val="0"/>
      <w:numFmt w:val="bullet"/>
      <w:lvlText w:val="•"/>
      <w:lvlJc w:val="left"/>
      <w:pPr>
        <w:ind w:left="3186" w:hanging="529"/>
      </w:pPr>
      <w:rPr>
        <w:rFonts w:hint="default"/>
        <w:lang w:val="en-US" w:eastAsia="zh-CN" w:bidi="ar-SA"/>
      </w:rPr>
    </w:lvl>
    <w:lvl w:ilvl="8">
      <w:start w:val="0"/>
      <w:numFmt w:val="bullet"/>
      <w:lvlText w:val="•"/>
      <w:lvlJc w:val="left"/>
      <w:pPr>
        <w:ind w:left="3103" w:hanging="529"/>
      </w:pPr>
      <w:rPr>
        <w:rFonts w:hint="default"/>
        <w:lang w:val="en-US" w:eastAsia="zh-CN" w:bidi="ar-SA"/>
      </w:rPr>
    </w:lvl>
  </w:abstractNum>
  <w:abstractNum w:abstractNumId="20">
    <w:multiLevelType w:val="hybridMultilevel"/>
    <w:lvl w:ilvl="0">
      <w:start w:val="2"/>
      <w:numFmt w:val="decimal"/>
      <w:lvlText w:val="（%1）"/>
      <w:lvlJc w:val="left"/>
      <w:pPr>
        <w:ind w:left="3682"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9">
    <w:multiLevelType w:val="hybridMultilevel"/>
    <w:lvl w:ilvl="0">
      <w:start w:val="1"/>
      <w:numFmt w:val="decimal"/>
      <w:lvlText w:val="（%1）"/>
      <w:lvlJc w:val="left"/>
      <w:pPr>
        <w:ind w:left="3682" w:hanging="529"/>
        <w:jc w:val="left"/>
      </w:pPr>
      <w:rPr>
        <w:rFonts w:hint="default" w:ascii="微软雅黑" w:hAnsi="微软雅黑" w:eastAsia="微软雅黑" w:cs="微软雅黑"/>
        <w:b/>
        <w:bCs/>
        <w:i w:val="0"/>
        <w:iCs w:val="0"/>
        <w:spacing w:val="-3"/>
        <w:w w:val="100"/>
        <w:sz w:val="19"/>
        <w:szCs w:val="19"/>
        <w:lang w:val="en-US" w:eastAsia="zh-CN" w:bidi="ar-SA"/>
      </w:rPr>
    </w:lvl>
    <w:lvl w:ilvl="1">
      <w:start w:val="0"/>
      <w:numFmt w:val="bullet"/>
      <w:lvlText w:val="•"/>
      <w:lvlJc w:val="left"/>
      <w:pPr>
        <w:ind w:left="4310" w:hanging="529"/>
      </w:pPr>
      <w:rPr>
        <w:rFonts w:hint="default"/>
        <w:lang w:val="en-US" w:eastAsia="zh-CN" w:bidi="ar-SA"/>
      </w:rPr>
    </w:lvl>
    <w:lvl w:ilvl="2">
      <w:start w:val="0"/>
      <w:numFmt w:val="bullet"/>
      <w:lvlText w:val="•"/>
      <w:lvlJc w:val="left"/>
      <w:pPr>
        <w:ind w:left="4941" w:hanging="529"/>
      </w:pPr>
      <w:rPr>
        <w:rFonts w:hint="default"/>
        <w:lang w:val="en-US" w:eastAsia="zh-CN" w:bidi="ar-SA"/>
      </w:rPr>
    </w:lvl>
    <w:lvl w:ilvl="3">
      <w:start w:val="0"/>
      <w:numFmt w:val="bullet"/>
      <w:lvlText w:val="•"/>
      <w:lvlJc w:val="left"/>
      <w:pPr>
        <w:ind w:left="5571" w:hanging="529"/>
      </w:pPr>
      <w:rPr>
        <w:rFonts w:hint="default"/>
        <w:lang w:val="en-US" w:eastAsia="zh-CN" w:bidi="ar-SA"/>
      </w:rPr>
    </w:lvl>
    <w:lvl w:ilvl="4">
      <w:start w:val="0"/>
      <w:numFmt w:val="bullet"/>
      <w:lvlText w:val="•"/>
      <w:lvlJc w:val="left"/>
      <w:pPr>
        <w:ind w:left="6202" w:hanging="529"/>
      </w:pPr>
      <w:rPr>
        <w:rFonts w:hint="default"/>
        <w:lang w:val="en-US" w:eastAsia="zh-CN" w:bidi="ar-SA"/>
      </w:rPr>
    </w:lvl>
    <w:lvl w:ilvl="5">
      <w:start w:val="0"/>
      <w:numFmt w:val="bullet"/>
      <w:lvlText w:val="•"/>
      <w:lvlJc w:val="left"/>
      <w:pPr>
        <w:ind w:left="6833" w:hanging="529"/>
      </w:pPr>
      <w:rPr>
        <w:rFonts w:hint="default"/>
        <w:lang w:val="en-US" w:eastAsia="zh-CN" w:bidi="ar-SA"/>
      </w:rPr>
    </w:lvl>
    <w:lvl w:ilvl="6">
      <w:start w:val="0"/>
      <w:numFmt w:val="bullet"/>
      <w:lvlText w:val="•"/>
      <w:lvlJc w:val="left"/>
      <w:pPr>
        <w:ind w:left="7463" w:hanging="529"/>
      </w:pPr>
      <w:rPr>
        <w:rFonts w:hint="default"/>
        <w:lang w:val="en-US" w:eastAsia="zh-CN" w:bidi="ar-SA"/>
      </w:rPr>
    </w:lvl>
    <w:lvl w:ilvl="7">
      <w:start w:val="0"/>
      <w:numFmt w:val="bullet"/>
      <w:lvlText w:val="•"/>
      <w:lvlJc w:val="left"/>
      <w:pPr>
        <w:ind w:left="8094" w:hanging="529"/>
      </w:pPr>
      <w:rPr>
        <w:rFonts w:hint="default"/>
        <w:lang w:val="en-US" w:eastAsia="zh-CN" w:bidi="ar-SA"/>
      </w:rPr>
    </w:lvl>
    <w:lvl w:ilvl="8">
      <w:start w:val="0"/>
      <w:numFmt w:val="bullet"/>
      <w:lvlText w:val="•"/>
      <w:lvlJc w:val="left"/>
      <w:pPr>
        <w:ind w:left="8725" w:hanging="529"/>
      </w:pPr>
      <w:rPr>
        <w:rFonts w:hint="default"/>
        <w:lang w:val="en-US" w:eastAsia="zh-CN" w:bidi="ar-SA"/>
      </w:rPr>
    </w:lvl>
  </w:abstractNum>
  <w:abstractNum w:abstractNumId="18">
    <w:multiLevelType w:val="hybridMultilevel"/>
    <w:lvl w:ilvl="0">
      <w:start w:val="1"/>
      <w:numFmt w:val="decimal"/>
      <w:lvlText w:val="（%1）"/>
      <w:lvlJc w:val="left"/>
      <w:pPr>
        <w:ind w:left="3690"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4328" w:hanging="538"/>
      </w:pPr>
      <w:rPr>
        <w:rFonts w:hint="default"/>
        <w:lang w:val="en-US" w:eastAsia="zh-CN" w:bidi="ar-SA"/>
      </w:rPr>
    </w:lvl>
    <w:lvl w:ilvl="2">
      <w:start w:val="0"/>
      <w:numFmt w:val="bullet"/>
      <w:lvlText w:val="•"/>
      <w:lvlJc w:val="left"/>
      <w:pPr>
        <w:ind w:left="4957" w:hanging="538"/>
      </w:pPr>
      <w:rPr>
        <w:rFonts w:hint="default"/>
        <w:lang w:val="en-US" w:eastAsia="zh-CN" w:bidi="ar-SA"/>
      </w:rPr>
    </w:lvl>
    <w:lvl w:ilvl="3">
      <w:start w:val="0"/>
      <w:numFmt w:val="bullet"/>
      <w:lvlText w:val="•"/>
      <w:lvlJc w:val="left"/>
      <w:pPr>
        <w:ind w:left="5585" w:hanging="538"/>
      </w:pPr>
      <w:rPr>
        <w:rFonts w:hint="default"/>
        <w:lang w:val="en-US" w:eastAsia="zh-CN" w:bidi="ar-SA"/>
      </w:rPr>
    </w:lvl>
    <w:lvl w:ilvl="4">
      <w:start w:val="0"/>
      <w:numFmt w:val="bullet"/>
      <w:lvlText w:val="•"/>
      <w:lvlJc w:val="left"/>
      <w:pPr>
        <w:ind w:left="6214" w:hanging="538"/>
      </w:pPr>
      <w:rPr>
        <w:rFonts w:hint="default"/>
        <w:lang w:val="en-US" w:eastAsia="zh-CN" w:bidi="ar-SA"/>
      </w:rPr>
    </w:lvl>
    <w:lvl w:ilvl="5">
      <w:start w:val="0"/>
      <w:numFmt w:val="bullet"/>
      <w:lvlText w:val="•"/>
      <w:lvlJc w:val="left"/>
      <w:pPr>
        <w:ind w:left="6843" w:hanging="538"/>
      </w:pPr>
      <w:rPr>
        <w:rFonts w:hint="default"/>
        <w:lang w:val="en-US" w:eastAsia="zh-CN" w:bidi="ar-SA"/>
      </w:rPr>
    </w:lvl>
    <w:lvl w:ilvl="6">
      <w:start w:val="0"/>
      <w:numFmt w:val="bullet"/>
      <w:lvlText w:val="•"/>
      <w:lvlJc w:val="left"/>
      <w:pPr>
        <w:ind w:left="7471" w:hanging="538"/>
      </w:pPr>
      <w:rPr>
        <w:rFonts w:hint="default"/>
        <w:lang w:val="en-US" w:eastAsia="zh-CN" w:bidi="ar-SA"/>
      </w:rPr>
    </w:lvl>
    <w:lvl w:ilvl="7">
      <w:start w:val="0"/>
      <w:numFmt w:val="bullet"/>
      <w:lvlText w:val="•"/>
      <w:lvlJc w:val="left"/>
      <w:pPr>
        <w:ind w:left="8100" w:hanging="538"/>
      </w:pPr>
      <w:rPr>
        <w:rFonts w:hint="default"/>
        <w:lang w:val="en-US" w:eastAsia="zh-CN" w:bidi="ar-SA"/>
      </w:rPr>
    </w:lvl>
    <w:lvl w:ilvl="8">
      <w:start w:val="0"/>
      <w:numFmt w:val="bullet"/>
      <w:lvlText w:val="•"/>
      <w:lvlJc w:val="left"/>
      <w:pPr>
        <w:ind w:left="8729" w:hanging="538"/>
      </w:pPr>
      <w:rPr>
        <w:rFonts w:hint="default"/>
        <w:lang w:val="en-US" w:eastAsia="zh-CN" w:bidi="ar-SA"/>
      </w:rPr>
    </w:lvl>
  </w:abstractNum>
  <w:abstractNum w:abstractNumId="17">
    <w:multiLevelType w:val="hybridMultilevel"/>
    <w:lvl w:ilvl="0">
      <w:start w:val="1"/>
      <w:numFmt w:val="decimal"/>
      <w:lvlText w:val="（%1）"/>
      <w:lvlJc w:val="left"/>
      <w:pPr>
        <w:ind w:left="3690"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4328" w:hanging="538"/>
      </w:pPr>
      <w:rPr>
        <w:rFonts w:hint="default"/>
        <w:lang w:val="en-US" w:eastAsia="zh-CN" w:bidi="ar-SA"/>
      </w:rPr>
    </w:lvl>
    <w:lvl w:ilvl="2">
      <w:start w:val="0"/>
      <w:numFmt w:val="bullet"/>
      <w:lvlText w:val="•"/>
      <w:lvlJc w:val="left"/>
      <w:pPr>
        <w:ind w:left="4957" w:hanging="538"/>
      </w:pPr>
      <w:rPr>
        <w:rFonts w:hint="default"/>
        <w:lang w:val="en-US" w:eastAsia="zh-CN" w:bidi="ar-SA"/>
      </w:rPr>
    </w:lvl>
    <w:lvl w:ilvl="3">
      <w:start w:val="0"/>
      <w:numFmt w:val="bullet"/>
      <w:lvlText w:val="•"/>
      <w:lvlJc w:val="left"/>
      <w:pPr>
        <w:ind w:left="5585" w:hanging="538"/>
      </w:pPr>
      <w:rPr>
        <w:rFonts w:hint="default"/>
        <w:lang w:val="en-US" w:eastAsia="zh-CN" w:bidi="ar-SA"/>
      </w:rPr>
    </w:lvl>
    <w:lvl w:ilvl="4">
      <w:start w:val="0"/>
      <w:numFmt w:val="bullet"/>
      <w:lvlText w:val="•"/>
      <w:lvlJc w:val="left"/>
      <w:pPr>
        <w:ind w:left="6214" w:hanging="538"/>
      </w:pPr>
      <w:rPr>
        <w:rFonts w:hint="default"/>
        <w:lang w:val="en-US" w:eastAsia="zh-CN" w:bidi="ar-SA"/>
      </w:rPr>
    </w:lvl>
    <w:lvl w:ilvl="5">
      <w:start w:val="0"/>
      <w:numFmt w:val="bullet"/>
      <w:lvlText w:val="•"/>
      <w:lvlJc w:val="left"/>
      <w:pPr>
        <w:ind w:left="6843" w:hanging="538"/>
      </w:pPr>
      <w:rPr>
        <w:rFonts w:hint="default"/>
        <w:lang w:val="en-US" w:eastAsia="zh-CN" w:bidi="ar-SA"/>
      </w:rPr>
    </w:lvl>
    <w:lvl w:ilvl="6">
      <w:start w:val="0"/>
      <w:numFmt w:val="bullet"/>
      <w:lvlText w:val="•"/>
      <w:lvlJc w:val="left"/>
      <w:pPr>
        <w:ind w:left="7471" w:hanging="538"/>
      </w:pPr>
      <w:rPr>
        <w:rFonts w:hint="default"/>
        <w:lang w:val="en-US" w:eastAsia="zh-CN" w:bidi="ar-SA"/>
      </w:rPr>
    </w:lvl>
    <w:lvl w:ilvl="7">
      <w:start w:val="0"/>
      <w:numFmt w:val="bullet"/>
      <w:lvlText w:val="•"/>
      <w:lvlJc w:val="left"/>
      <w:pPr>
        <w:ind w:left="8100" w:hanging="538"/>
      </w:pPr>
      <w:rPr>
        <w:rFonts w:hint="default"/>
        <w:lang w:val="en-US" w:eastAsia="zh-CN" w:bidi="ar-SA"/>
      </w:rPr>
    </w:lvl>
    <w:lvl w:ilvl="8">
      <w:start w:val="0"/>
      <w:numFmt w:val="bullet"/>
      <w:lvlText w:val="•"/>
      <w:lvlJc w:val="left"/>
      <w:pPr>
        <w:ind w:left="8729" w:hanging="538"/>
      </w:pPr>
      <w:rPr>
        <w:rFonts w:hint="default"/>
        <w:lang w:val="en-US" w:eastAsia="zh-CN" w:bidi="ar-SA"/>
      </w:rPr>
    </w:lvl>
  </w:abstractNum>
  <w:abstractNum w:abstractNumId="16">
    <w:multiLevelType w:val="hybridMultilevel"/>
    <w:lvl w:ilvl="0">
      <w:start w:val="1"/>
      <w:numFmt w:val="decimal"/>
      <w:lvlText w:val="（%1）"/>
      <w:lvlJc w:val="left"/>
      <w:pPr>
        <w:ind w:left="3690" w:hanging="538"/>
        <w:jc w:val="left"/>
      </w:pPr>
      <w:rPr>
        <w:rFonts w:hint="default" w:ascii="宋体" w:hAnsi="宋体" w:eastAsia="宋体" w:cs="宋体"/>
        <w:b w:val="0"/>
        <w:bCs w:val="0"/>
        <w:i w:val="0"/>
        <w:iCs w:val="0"/>
        <w:spacing w:val="2"/>
        <w:w w:val="100"/>
        <w:sz w:val="19"/>
        <w:szCs w:val="19"/>
        <w:lang w:val="en-US" w:eastAsia="zh-CN" w:bidi="ar-SA"/>
      </w:rPr>
    </w:lvl>
    <w:lvl w:ilvl="1">
      <w:start w:val="0"/>
      <w:numFmt w:val="bullet"/>
      <w:lvlText w:val="•"/>
      <w:lvlJc w:val="left"/>
      <w:pPr>
        <w:ind w:left="4328" w:hanging="538"/>
      </w:pPr>
      <w:rPr>
        <w:rFonts w:hint="default"/>
        <w:lang w:val="en-US" w:eastAsia="zh-CN" w:bidi="ar-SA"/>
      </w:rPr>
    </w:lvl>
    <w:lvl w:ilvl="2">
      <w:start w:val="0"/>
      <w:numFmt w:val="bullet"/>
      <w:lvlText w:val="•"/>
      <w:lvlJc w:val="left"/>
      <w:pPr>
        <w:ind w:left="4957" w:hanging="538"/>
      </w:pPr>
      <w:rPr>
        <w:rFonts w:hint="default"/>
        <w:lang w:val="en-US" w:eastAsia="zh-CN" w:bidi="ar-SA"/>
      </w:rPr>
    </w:lvl>
    <w:lvl w:ilvl="3">
      <w:start w:val="0"/>
      <w:numFmt w:val="bullet"/>
      <w:lvlText w:val="•"/>
      <w:lvlJc w:val="left"/>
      <w:pPr>
        <w:ind w:left="5585" w:hanging="538"/>
      </w:pPr>
      <w:rPr>
        <w:rFonts w:hint="default"/>
        <w:lang w:val="en-US" w:eastAsia="zh-CN" w:bidi="ar-SA"/>
      </w:rPr>
    </w:lvl>
    <w:lvl w:ilvl="4">
      <w:start w:val="0"/>
      <w:numFmt w:val="bullet"/>
      <w:lvlText w:val="•"/>
      <w:lvlJc w:val="left"/>
      <w:pPr>
        <w:ind w:left="6214" w:hanging="538"/>
      </w:pPr>
      <w:rPr>
        <w:rFonts w:hint="default"/>
        <w:lang w:val="en-US" w:eastAsia="zh-CN" w:bidi="ar-SA"/>
      </w:rPr>
    </w:lvl>
    <w:lvl w:ilvl="5">
      <w:start w:val="0"/>
      <w:numFmt w:val="bullet"/>
      <w:lvlText w:val="•"/>
      <w:lvlJc w:val="left"/>
      <w:pPr>
        <w:ind w:left="6843" w:hanging="538"/>
      </w:pPr>
      <w:rPr>
        <w:rFonts w:hint="default"/>
        <w:lang w:val="en-US" w:eastAsia="zh-CN" w:bidi="ar-SA"/>
      </w:rPr>
    </w:lvl>
    <w:lvl w:ilvl="6">
      <w:start w:val="0"/>
      <w:numFmt w:val="bullet"/>
      <w:lvlText w:val="•"/>
      <w:lvlJc w:val="left"/>
      <w:pPr>
        <w:ind w:left="7471" w:hanging="538"/>
      </w:pPr>
      <w:rPr>
        <w:rFonts w:hint="default"/>
        <w:lang w:val="en-US" w:eastAsia="zh-CN" w:bidi="ar-SA"/>
      </w:rPr>
    </w:lvl>
    <w:lvl w:ilvl="7">
      <w:start w:val="0"/>
      <w:numFmt w:val="bullet"/>
      <w:lvlText w:val="•"/>
      <w:lvlJc w:val="left"/>
      <w:pPr>
        <w:ind w:left="8100" w:hanging="538"/>
      </w:pPr>
      <w:rPr>
        <w:rFonts w:hint="default"/>
        <w:lang w:val="en-US" w:eastAsia="zh-CN" w:bidi="ar-SA"/>
      </w:rPr>
    </w:lvl>
    <w:lvl w:ilvl="8">
      <w:start w:val="0"/>
      <w:numFmt w:val="bullet"/>
      <w:lvlText w:val="•"/>
      <w:lvlJc w:val="left"/>
      <w:pPr>
        <w:ind w:left="8729" w:hanging="538"/>
      </w:pPr>
      <w:rPr>
        <w:rFonts w:hint="default"/>
        <w:lang w:val="en-US" w:eastAsia="zh-CN" w:bidi="ar-SA"/>
      </w:rPr>
    </w:lvl>
  </w:abstractNum>
  <w:abstractNum w:abstractNumId="15">
    <w:multiLevelType w:val="hybridMultilevel"/>
    <w:lvl w:ilvl="0">
      <w:start w:val="1"/>
      <w:numFmt w:val="decimal"/>
      <w:lvlText w:val="%1"/>
      <w:lvlJc w:val="left"/>
      <w:pPr>
        <w:ind w:left="1071" w:hanging="850"/>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2">
      <w:start w:val="1"/>
      <w:numFmt w:val="decimal"/>
      <w:lvlText w:val="%1.%2.%3"/>
      <w:lvlJc w:val="left"/>
      <w:pPr>
        <w:ind w:left="1071" w:hanging="850"/>
        <w:jc w:val="left"/>
      </w:pPr>
      <w:rPr>
        <w:rFonts w:hint="default" w:ascii="Times New Roman" w:hAnsi="Times New Roman" w:eastAsia="Times New Roman" w:cs="Times New Roman"/>
        <w:b w:val="0"/>
        <w:bCs w:val="0"/>
        <w:i w:val="0"/>
        <w:iCs w:val="0"/>
        <w:w w:val="100"/>
        <w:position w:val="2"/>
        <w:sz w:val="21"/>
        <w:szCs w:val="21"/>
        <w:lang w:val="en-US" w:eastAsia="zh-CN" w:bidi="ar-SA"/>
      </w:rPr>
    </w:lvl>
    <w:lvl w:ilvl="3">
      <w:start w:val="1"/>
      <w:numFmt w:val="decimal"/>
      <w:lvlText w:val="（%4）"/>
      <w:lvlJc w:val="left"/>
      <w:pPr>
        <w:ind w:left="3690" w:hanging="538"/>
        <w:jc w:val="left"/>
      </w:pPr>
      <w:rPr>
        <w:rFonts w:hint="default"/>
        <w:spacing w:val="2"/>
        <w:w w:val="99"/>
        <w:lang w:val="en-US" w:eastAsia="zh-CN" w:bidi="ar-SA"/>
      </w:rPr>
    </w:lvl>
    <w:lvl w:ilvl="4">
      <w:start w:val="0"/>
      <w:numFmt w:val="bullet"/>
      <w:lvlText w:val="•"/>
      <w:lvlJc w:val="left"/>
      <w:pPr>
        <w:ind w:left="5271" w:hanging="538"/>
      </w:pPr>
      <w:rPr>
        <w:rFonts w:hint="default"/>
        <w:lang w:val="en-US" w:eastAsia="zh-CN" w:bidi="ar-SA"/>
      </w:rPr>
    </w:lvl>
    <w:lvl w:ilvl="5">
      <w:start w:val="0"/>
      <w:numFmt w:val="bullet"/>
      <w:lvlText w:val="•"/>
      <w:lvlJc w:val="left"/>
      <w:pPr>
        <w:ind w:left="6057" w:hanging="538"/>
      </w:pPr>
      <w:rPr>
        <w:rFonts w:hint="default"/>
        <w:lang w:val="en-US" w:eastAsia="zh-CN" w:bidi="ar-SA"/>
      </w:rPr>
    </w:lvl>
    <w:lvl w:ilvl="6">
      <w:start w:val="0"/>
      <w:numFmt w:val="bullet"/>
      <w:lvlText w:val="•"/>
      <w:lvlJc w:val="left"/>
      <w:pPr>
        <w:ind w:left="6843" w:hanging="538"/>
      </w:pPr>
      <w:rPr>
        <w:rFonts w:hint="default"/>
        <w:lang w:val="en-US" w:eastAsia="zh-CN" w:bidi="ar-SA"/>
      </w:rPr>
    </w:lvl>
    <w:lvl w:ilvl="7">
      <w:start w:val="0"/>
      <w:numFmt w:val="bullet"/>
      <w:lvlText w:val="•"/>
      <w:lvlJc w:val="left"/>
      <w:pPr>
        <w:ind w:left="7629" w:hanging="538"/>
      </w:pPr>
      <w:rPr>
        <w:rFonts w:hint="default"/>
        <w:lang w:val="en-US" w:eastAsia="zh-CN" w:bidi="ar-SA"/>
      </w:rPr>
    </w:lvl>
    <w:lvl w:ilvl="8">
      <w:start w:val="0"/>
      <w:numFmt w:val="bullet"/>
      <w:lvlText w:val="•"/>
      <w:lvlJc w:val="left"/>
      <w:pPr>
        <w:ind w:left="8414" w:hanging="538"/>
      </w:pPr>
      <w:rPr>
        <w:rFonts w:hint="default"/>
        <w:lang w:val="en-US" w:eastAsia="zh-CN" w:bidi="ar-SA"/>
      </w:rPr>
    </w:lvl>
  </w:abstractNum>
  <w:abstractNum w:abstractNumId="14">
    <w:multiLevelType w:val="hybridMultilevel"/>
    <w:lvl w:ilvl="0">
      <w:start w:val="9"/>
      <w:numFmt w:val="decimal"/>
      <w:lvlText w:val="%1"/>
      <w:lvlJc w:val="left"/>
      <w:pPr>
        <w:ind w:left="211" w:hanging="212"/>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580" w:hanging="37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680" w:hanging="370"/>
      </w:pPr>
      <w:rPr>
        <w:rFonts w:hint="default"/>
        <w:lang w:val="en-US" w:eastAsia="zh-CN" w:bidi="ar-SA"/>
      </w:rPr>
    </w:lvl>
    <w:lvl w:ilvl="3">
      <w:start w:val="0"/>
      <w:numFmt w:val="bullet"/>
      <w:lvlText w:val="•"/>
      <w:lvlJc w:val="left"/>
      <w:pPr>
        <w:ind w:left="959" w:hanging="370"/>
      </w:pPr>
      <w:rPr>
        <w:rFonts w:hint="default"/>
        <w:lang w:val="en-US" w:eastAsia="zh-CN" w:bidi="ar-SA"/>
      </w:rPr>
    </w:lvl>
    <w:lvl w:ilvl="4">
      <w:start w:val="0"/>
      <w:numFmt w:val="bullet"/>
      <w:lvlText w:val="•"/>
      <w:lvlJc w:val="left"/>
      <w:pPr>
        <w:ind w:left="1238" w:hanging="370"/>
      </w:pPr>
      <w:rPr>
        <w:rFonts w:hint="default"/>
        <w:lang w:val="en-US" w:eastAsia="zh-CN" w:bidi="ar-SA"/>
      </w:rPr>
    </w:lvl>
    <w:lvl w:ilvl="5">
      <w:start w:val="0"/>
      <w:numFmt w:val="bullet"/>
      <w:lvlText w:val="•"/>
      <w:lvlJc w:val="left"/>
      <w:pPr>
        <w:ind w:left="1517" w:hanging="370"/>
      </w:pPr>
      <w:rPr>
        <w:rFonts w:hint="default"/>
        <w:lang w:val="en-US" w:eastAsia="zh-CN" w:bidi="ar-SA"/>
      </w:rPr>
    </w:lvl>
    <w:lvl w:ilvl="6">
      <w:start w:val="0"/>
      <w:numFmt w:val="bullet"/>
      <w:lvlText w:val="•"/>
      <w:lvlJc w:val="left"/>
      <w:pPr>
        <w:ind w:left="1796" w:hanging="370"/>
      </w:pPr>
      <w:rPr>
        <w:rFonts w:hint="default"/>
        <w:lang w:val="en-US" w:eastAsia="zh-CN" w:bidi="ar-SA"/>
      </w:rPr>
    </w:lvl>
    <w:lvl w:ilvl="7">
      <w:start w:val="0"/>
      <w:numFmt w:val="bullet"/>
      <w:lvlText w:val="•"/>
      <w:lvlJc w:val="left"/>
      <w:pPr>
        <w:ind w:left="2075" w:hanging="370"/>
      </w:pPr>
      <w:rPr>
        <w:rFonts w:hint="default"/>
        <w:lang w:val="en-US" w:eastAsia="zh-CN" w:bidi="ar-SA"/>
      </w:rPr>
    </w:lvl>
    <w:lvl w:ilvl="8">
      <w:start w:val="0"/>
      <w:numFmt w:val="bullet"/>
      <w:lvlText w:val="•"/>
      <w:lvlJc w:val="left"/>
      <w:pPr>
        <w:ind w:left="2354" w:hanging="370"/>
      </w:pPr>
      <w:rPr>
        <w:rFonts w:hint="default"/>
        <w:lang w:val="en-US" w:eastAsia="zh-CN" w:bidi="ar-SA"/>
      </w:rPr>
    </w:lvl>
  </w:abstractNum>
  <w:abstractNum w:abstractNumId="13">
    <w:multiLevelType w:val="hybridMultilevel"/>
    <w:lvl w:ilvl="0">
      <w:start w:val="4"/>
      <w:numFmt w:val="decimal"/>
      <w:lvlText w:val="%1"/>
      <w:lvlJc w:val="left"/>
      <w:pPr>
        <w:ind w:left="580" w:hanging="370"/>
        <w:jc w:val="right"/>
      </w:pPr>
      <w:rPr>
        <w:rFonts w:hint="default"/>
        <w:lang w:val="en-US" w:eastAsia="zh-CN" w:bidi="ar-SA"/>
      </w:rPr>
    </w:lvl>
    <w:lvl w:ilvl="1">
      <w:start w:val="1"/>
      <w:numFmt w:val="decimal"/>
      <w:lvlText w:val="%1.%2"/>
      <w:lvlJc w:val="left"/>
      <w:pPr>
        <w:ind w:left="580" w:hanging="37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004" w:hanging="370"/>
      </w:pPr>
      <w:rPr>
        <w:rFonts w:hint="default"/>
        <w:lang w:val="en-US" w:eastAsia="zh-CN" w:bidi="ar-SA"/>
      </w:rPr>
    </w:lvl>
    <w:lvl w:ilvl="3">
      <w:start w:val="0"/>
      <w:numFmt w:val="bullet"/>
      <w:lvlText w:val="•"/>
      <w:lvlJc w:val="left"/>
      <w:pPr>
        <w:ind w:left="1216" w:hanging="370"/>
      </w:pPr>
      <w:rPr>
        <w:rFonts w:hint="default"/>
        <w:lang w:val="en-US" w:eastAsia="zh-CN" w:bidi="ar-SA"/>
      </w:rPr>
    </w:lvl>
    <w:lvl w:ilvl="4">
      <w:start w:val="0"/>
      <w:numFmt w:val="bullet"/>
      <w:lvlText w:val="•"/>
      <w:lvlJc w:val="left"/>
      <w:pPr>
        <w:ind w:left="1428" w:hanging="370"/>
      </w:pPr>
      <w:rPr>
        <w:rFonts w:hint="default"/>
        <w:lang w:val="en-US" w:eastAsia="zh-CN" w:bidi="ar-SA"/>
      </w:rPr>
    </w:lvl>
    <w:lvl w:ilvl="5">
      <w:start w:val="0"/>
      <w:numFmt w:val="bullet"/>
      <w:lvlText w:val="•"/>
      <w:lvlJc w:val="left"/>
      <w:pPr>
        <w:ind w:left="1640" w:hanging="370"/>
      </w:pPr>
      <w:rPr>
        <w:rFonts w:hint="default"/>
        <w:lang w:val="en-US" w:eastAsia="zh-CN" w:bidi="ar-SA"/>
      </w:rPr>
    </w:lvl>
    <w:lvl w:ilvl="6">
      <w:start w:val="0"/>
      <w:numFmt w:val="bullet"/>
      <w:lvlText w:val="•"/>
      <w:lvlJc w:val="left"/>
      <w:pPr>
        <w:ind w:left="1852" w:hanging="370"/>
      </w:pPr>
      <w:rPr>
        <w:rFonts w:hint="default"/>
        <w:lang w:val="en-US" w:eastAsia="zh-CN" w:bidi="ar-SA"/>
      </w:rPr>
    </w:lvl>
    <w:lvl w:ilvl="7">
      <w:start w:val="0"/>
      <w:numFmt w:val="bullet"/>
      <w:lvlText w:val="•"/>
      <w:lvlJc w:val="left"/>
      <w:pPr>
        <w:ind w:left="2064" w:hanging="370"/>
      </w:pPr>
      <w:rPr>
        <w:rFonts w:hint="default"/>
        <w:lang w:val="en-US" w:eastAsia="zh-CN" w:bidi="ar-SA"/>
      </w:rPr>
    </w:lvl>
    <w:lvl w:ilvl="8">
      <w:start w:val="0"/>
      <w:numFmt w:val="bullet"/>
      <w:lvlText w:val="•"/>
      <w:lvlJc w:val="left"/>
      <w:pPr>
        <w:ind w:left="2276" w:hanging="370"/>
      </w:pPr>
      <w:rPr>
        <w:rFonts w:hint="default"/>
        <w:lang w:val="en-US" w:eastAsia="zh-CN" w:bidi="ar-SA"/>
      </w:rPr>
    </w:lvl>
  </w:abstractNum>
  <w:abstractNum w:abstractNumId="12">
    <w:multiLevelType w:val="hybridMultilevel"/>
    <w:lvl w:ilvl="0">
      <w:start w:val="3"/>
      <w:numFmt w:val="decimal"/>
      <w:lvlText w:val="%1"/>
      <w:lvlJc w:val="left"/>
      <w:pPr>
        <w:ind w:left="580" w:hanging="370"/>
        <w:jc w:val="right"/>
      </w:pPr>
      <w:rPr>
        <w:rFonts w:hint="default"/>
        <w:lang w:val="en-US" w:eastAsia="zh-CN" w:bidi="ar-SA"/>
      </w:rPr>
    </w:lvl>
    <w:lvl w:ilvl="1">
      <w:start w:val="4"/>
      <w:numFmt w:val="decimal"/>
      <w:lvlText w:val="%1.%2"/>
      <w:lvlJc w:val="left"/>
      <w:pPr>
        <w:ind w:left="580" w:hanging="37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004" w:hanging="370"/>
      </w:pPr>
      <w:rPr>
        <w:rFonts w:hint="default"/>
        <w:lang w:val="en-US" w:eastAsia="zh-CN" w:bidi="ar-SA"/>
      </w:rPr>
    </w:lvl>
    <w:lvl w:ilvl="3">
      <w:start w:val="0"/>
      <w:numFmt w:val="bullet"/>
      <w:lvlText w:val="•"/>
      <w:lvlJc w:val="left"/>
      <w:pPr>
        <w:ind w:left="1216" w:hanging="370"/>
      </w:pPr>
      <w:rPr>
        <w:rFonts w:hint="default"/>
        <w:lang w:val="en-US" w:eastAsia="zh-CN" w:bidi="ar-SA"/>
      </w:rPr>
    </w:lvl>
    <w:lvl w:ilvl="4">
      <w:start w:val="0"/>
      <w:numFmt w:val="bullet"/>
      <w:lvlText w:val="•"/>
      <w:lvlJc w:val="left"/>
      <w:pPr>
        <w:ind w:left="1428" w:hanging="370"/>
      </w:pPr>
      <w:rPr>
        <w:rFonts w:hint="default"/>
        <w:lang w:val="en-US" w:eastAsia="zh-CN" w:bidi="ar-SA"/>
      </w:rPr>
    </w:lvl>
    <w:lvl w:ilvl="5">
      <w:start w:val="0"/>
      <w:numFmt w:val="bullet"/>
      <w:lvlText w:val="•"/>
      <w:lvlJc w:val="left"/>
      <w:pPr>
        <w:ind w:left="1640" w:hanging="370"/>
      </w:pPr>
      <w:rPr>
        <w:rFonts w:hint="default"/>
        <w:lang w:val="en-US" w:eastAsia="zh-CN" w:bidi="ar-SA"/>
      </w:rPr>
    </w:lvl>
    <w:lvl w:ilvl="6">
      <w:start w:val="0"/>
      <w:numFmt w:val="bullet"/>
      <w:lvlText w:val="•"/>
      <w:lvlJc w:val="left"/>
      <w:pPr>
        <w:ind w:left="1852" w:hanging="370"/>
      </w:pPr>
      <w:rPr>
        <w:rFonts w:hint="default"/>
        <w:lang w:val="en-US" w:eastAsia="zh-CN" w:bidi="ar-SA"/>
      </w:rPr>
    </w:lvl>
    <w:lvl w:ilvl="7">
      <w:start w:val="0"/>
      <w:numFmt w:val="bullet"/>
      <w:lvlText w:val="•"/>
      <w:lvlJc w:val="left"/>
      <w:pPr>
        <w:ind w:left="2064" w:hanging="370"/>
      </w:pPr>
      <w:rPr>
        <w:rFonts w:hint="default"/>
        <w:lang w:val="en-US" w:eastAsia="zh-CN" w:bidi="ar-SA"/>
      </w:rPr>
    </w:lvl>
    <w:lvl w:ilvl="8">
      <w:start w:val="0"/>
      <w:numFmt w:val="bullet"/>
      <w:lvlText w:val="•"/>
      <w:lvlJc w:val="left"/>
      <w:pPr>
        <w:ind w:left="2276" w:hanging="370"/>
      </w:pPr>
      <w:rPr>
        <w:rFonts w:hint="default"/>
        <w:lang w:val="en-US" w:eastAsia="zh-CN" w:bidi="ar-SA"/>
      </w:rPr>
    </w:lvl>
  </w:abstractNum>
  <w:abstractNum w:abstractNumId="11">
    <w:multiLevelType w:val="hybridMultilevel"/>
    <w:lvl w:ilvl="0">
      <w:start w:val="1"/>
      <w:numFmt w:val="decimal"/>
      <w:lvlText w:val="%1"/>
      <w:lvlJc w:val="left"/>
      <w:pPr>
        <w:ind w:left="211" w:hanging="212"/>
        <w:jc w:val="left"/>
      </w:pPr>
      <w:rPr>
        <w:rFonts w:hint="default" w:ascii="Times New Roman" w:hAnsi="Times New Roman" w:eastAsia="Times New Roman" w:cs="Times New Roman"/>
        <w:b/>
        <w:bCs/>
        <w:i w:val="0"/>
        <w:iCs w:val="0"/>
        <w:w w:val="100"/>
        <w:sz w:val="21"/>
        <w:szCs w:val="21"/>
        <w:lang w:val="en-US" w:eastAsia="zh-CN" w:bidi="ar-SA"/>
      </w:rPr>
    </w:lvl>
    <w:lvl w:ilvl="1">
      <w:start w:val="1"/>
      <w:numFmt w:val="decimal"/>
      <w:lvlText w:val="%1.%2"/>
      <w:lvlJc w:val="left"/>
      <w:pPr>
        <w:ind w:left="580" w:hanging="370"/>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839" w:hanging="370"/>
      </w:pPr>
      <w:rPr>
        <w:rFonts w:hint="default"/>
        <w:lang w:val="en-US" w:eastAsia="zh-CN" w:bidi="ar-SA"/>
      </w:rPr>
    </w:lvl>
    <w:lvl w:ilvl="3">
      <w:start w:val="0"/>
      <w:numFmt w:val="bullet"/>
      <w:lvlText w:val="•"/>
      <w:lvlJc w:val="left"/>
      <w:pPr>
        <w:ind w:left="1098" w:hanging="370"/>
      </w:pPr>
      <w:rPr>
        <w:rFonts w:hint="default"/>
        <w:lang w:val="en-US" w:eastAsia="zh-CN" w:bidi="ar-SA"/>
      </w:rPr>
    </w:lvl>
    <w:lvl w:ilvl="4">
      <w:start w:val="0"/>
      <w:numFmt w:val="bullet"/>
      <w:lvlText w:val="•"/>
      <w:lvlJc w:val="left"/>
      <w:pPr>
        <w:ind w:left="1357" w:hanging="370"/>
      </w:pPr>
      <w:rPr>
        <w:rFonts w:hint="default"/>
        <w:lang w:val="en-US" w:eastAsia="zh-CN" w:bidi="ar-SA"/>
      </w:rPr>
    </w:lvl>
    <w:lvl w:ilvl="5">
      <w:start w:val="0"/>
      <w:numFmt w:val="bullet"/>
      <w:lvlText w:val="•"/>
      <w:lvlJc w:val="left"/>
      <w:pPr>
        <w:ind w:left="1616" w:hanging="370"/>
      </w:pPr>
      <w:rPr>
        <w:rFonts w:hint="default"/>
        <w:lang w:val="en-US" w:eastAsia="zh-CN" w:bidi="ar-SA"/>
      </w:rPr>
    </w:lvl>
    <w:lvl w:ilvl="6">
      <w:start w:val="0"/>
      <w:numFmt w:val="bullet"/>
      <w:lvlText w:val="•"/>
      <w:lvlJc w:val="left"/>
      <w:pPr>
        <w:ind w:left="1875" w:hanging="370"/>
      </w:pPr>
      <w:rPr>
        <w:rFonts w:hint="default"/>
        <w:lang w:val="en-US" w:eastAsia="zh-CN" w:bidi="ar-SA"/>
      </w:rPr>
    </w:lvl>
    <w:lvl w:ilvl="7">
      <w:start w:val="0"/>
      <w:numFmt w:val="bullet"/>
      <w:lvlText w:val="•"/>
      <w:lvlJc w:val="left"/>
      <w:pPr>
        <w:ind w:left="2134" w:hanging="370"/>
      </w:pPr>
      <w:rPr>
        <w:rFonts w:hint="default"/>
        <w:lang w:val="en-US" w:eastAsia="zh-CN" w:bidi="ar-SA"/>
      </w:rPr>
    </w:lvl>
    <w:lvl w:ilvl="8">
      <w:start w:val="0"/>
      <w:numFmt w:val="bullet"/>
      <w:lvlText w:val="•"/>
      <w:lvlJc w:val="left"/>
      <w:pPr>
        <w:ind w:left="2394" w:hanging="370"/>
      </w:pPr>
      <w:rPr>
        <w:rFonts w:hint="default"/>
        <w:lang w:val="en-US" w:eastAsia="zh-CN" w:bidi="ar-SA"/>
      </w:rPr>
    </w:lvl>
  </w:abstractNum>
  <w:abstractNum w:abstractNumId="10">
    <w:multiLevelType w:val="hybridMultilevel"/>
    <w:lvl w:ilvl="0">
      <w:start w:val="0"/>
      <w:numFmt w:val="bullet"/>
      <w:lvlText w:val=""/>
      <w:lvlJc w:val="left"/>
      <w:pPr>
        <w:ind w:left="316"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837" w:hanging="267"/>
      </w:pPr>
      <w:rPr>
        <w:rFonts w:hint="default"/>
        <w:lang w:val="en-US" w:eastAsia="zh-CN" w:bidi="ar-SA"/>
      </w:rPr>
    </w:lvl>
    <w:lvl w:ilvl="2">
      <w:start w:val="0"/>
      <w:numFmt w:val="bullet"/>
      <w:lvlText w:val="•"/>
      <w:lvlJc w:val="left"/>
      <w:pPr>
        <w:ind w:left="1355" w:hanging="267"/>
      </w:pPr>
      <w:rPr>
        <w:rFonts w:hint="default"/>
        <w:lang w:val="en-US" w:eastAsia="zh-CN" w:bidi="ar-SA"/>
      </w:rPr>
    </w:lvl>
    <w:lvl w:ilvl="3">
      <w:start w:val="0"/>
      <w:numFmt w:val="bullet"/>
      <w:lvlText w:val="•"/>
      <w:lvlJc w:val="left"/>
      <w:pPr>
        <w:ind w:left="1873" w:hanging="267"/>
      </w:pPr>
      <w:rPr>
        <w:rFonts w:hint="default"/>
        <w:lang w:val="en-US" w:eastAsia="zh-CN" w:bidi="ar-SA"/>
      </w:rPr>
    </w:lvl>
    <w:lvl w:ilvl="4">
      <w:start w:val="0"/>
      <w:numFmt w:val="bullet"/>
      <w:lvlText w:val="•"/>
      <w:lvlJc w:val="left"/>
      <w:pPr>
        <w:ind w:left="2391" w:hanging="267"/>
      </w:pPr>
      <w:rPr>
        <w:rFonts w:hint="default"/>
        <w:lang w:val="en-US" w:eastAsia="zh-CN" w:bidi="ar-SA"/>
      </w:rPr>
    </w:lvl>
    <w:lvl w:ilvl="5">
      <w:start w:val="0"/>
      <w:numFmt w:val="bullet"/>
      <w:lvlText w:val="•"/>
      <w:lvlJc w:val="left"/>
      <w:pPr>
        <w:ind w:left="2909" w:hanging="267"/>
      </w:pPr>
      <w:rPr>
        <w:rFonts w:hint="default"/>
        <w:lang w:val="en-US" w:eastAsia="zh-CN" w:bidi="ar-SA"/>
      </w:rPr>
    </w:lvl>
    <w:lvl w:ilvl="6">
      <w:start w:val="0"/>
      <w:numFmt w:val="bullet"/>
      <w:lvlText w:val="•"/>
      <w:lvlJc w:val="left"/>
      <w:pPr>
        <w:ind w:left="3426" w:hanging="267"/>
      </w:pPr>
      <w:rPr>
        <w:rFonts w:hint="default"/>
        <w:lang w:val="en-US" w:eastAsia="zh-CN" w:bidi="ar-SA"/>
      </w:rPr>
    </w:lvl>
    <w:lvl w:ilvl="7">
      <w:start w:val="0"/>
      <w:numFmt w:val="bullet"/>
      <w:lvlText w:val="•"/>
      <w:lvlJc w:val="left"/>
      <w:pPr>
        <w:ind w:left="3944" w:hanging="267"/>
      </w:pPr>
      <w:rPr>
        <w:rFonts w:hint="default"/>
        <w:lang w:val="en-US" w:eastAsia="zh-CN" w:bidi="ar-SA"/>
      </w:rPr>
    </w:lvl>
    <w:lvl w:ilvl="8">
      <w:start w:val="0"/>
      <w:numFmt w:val="bullet"/>
      <w:lvlText w:val="•"/>
      <w:lvlJc w:val="left"/>
      <w:pPr>
        <w:ind w:left="4462" w:hanging="267"/>
      </w:pPr>
      <w:rPr>
        <w:rFonts w:hint="default"/>
        <w:lang w:val="en-US" w:eastAsia="zh-CN" w:bidi="ar-SA"/>
      </w:rPr>
    </w:lvl>
  </w:abstractNum>
  <w:abstractNum w:abstractNumId="9">
    <w:multiLevelType w:val="hybridMultilevel"/>
    <w:lvl w:ilvl="0">
      <w:start w:val="0"/>
      <w:numFmt w:val="bullet"/>
      <w:lvlText w:val=""/>
      <w:lvlJc w:val="left"/>
      <w:pPr>
        <w:ind w:left="316"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837" w:hanging="267"/>
      </w:pPr>
      <w:rPr>
        <w:rFonts w:hint="default"/>
        <w:lang w:val="en-US" w:eastAsia="zh-CN" w:bidi="ar-SA"/>
      </w:rPr>
    </w:lvl>
    <w:lvl w:ilvl="2">
      <w:start w:val="0"/>
      <w:numFmt w:val="bullet"/>
      <w:lvlText w:val="•"/>
      <w:lvlJc w:val="left"/>
      <w:pPr>
        <w:ind w:left="1355" w:hanging="267"/>
      </w:pPr>
      <w:rPr>
        <w:rFonts w:hint="default"/>
        <w:lang w:val="en-US" w:eastAsia="zh-CN" w:bidi="ar-SA"/>
      </w:rPr>
    </w:lvl>
    <w:lvl w:ilvl="3">
      <w:start w:val="0"/>
      <w:numFmt w:val="bullet"/>
      <w:lvlText w:val="•"/>
      <w:lvlJc w:val="left"/>
      <w:pPr>
        <w:ind w:left="1873" w:hanging="267"/>
      </w:pPr>
      <w:rPr>
        <w:rFonts w:hint="default"/>
        <w:lang w:val="en-US" w:eastAsia="zh-CN" w:bidi="ar-SA"/>
      </w:rPr>
    </w:lvl>
    <w:lvl w:ilvl="4">
      <w:start w:val="0"/>
      <w:numFmt w:val="bullet"/>
      <w:lvlText w:val="•"/>
      <w:lvlJc w:val="left"/>
      <w:pPr>
        <w:ind w:left="2391" w:hanging="267"/>
      </w:pPr>
      <w:rPr>
        <w:rFonts w:hint="default"/>
        <w:lang w:val="en-US" w:eastAsia="zh-CN" w:bidi="ar-SA"/>
      </w:rPr>
    </w:lvl>
    <w:lvl w:ilvl="5">
      <w:start w:val="0"/>
      <w:numFmt w:val="bullet"/>
      <w:lvlText w:val="•"/>
      <w:lvlJc w:val="left"/>
      <w:pPr>
        <w:ind w:left="2909" w:hanging="267"/>
      </w:pPr>
      <w:rPr>
        <w:rFonts w:hint="default"/>
        <w:lang w:val="en-US" w:eastAsia="zh-CN" w:bidi="ar-SA"/>
      </w:rPr>
    </w:lvl>
    <w:lvl w:ilvl="6">
      <w:start w:val="0"/>
      <w:numFmt w:val="bullet"/>
      <w:lvlText w:val="•"/>
      <w:lvlJc w:val="left"/>
      <w:pPr>
        <w:ind w:left="3426" w:hanging="267"/>
      </w:pPr>
      <w:rPr>
        <w:rFonts w:hint="default"/>
        <w:lang w:val="en-US" w:eastAsia="zh-CN" w:bidi="ar-SA"/>
      </w:rPr>
    </w:lvl>
    <w:lvl w:ilvl="7">
      <w:start w:val="0"/>
      <w:numFmt w:val="bullet"/>
      <w:lvlText w:val="•"/>
      <w:lvlJc w:val="left"/>
      <w:pPr>
        <w:ind w:left="3944" w:hanging="267"/>
      </w:pPr>
      <w:rPr>
        <w:rFonts w:hint="default"/>
        <w:lang w:val="en-US" w:eastAsia="zh-CN" w:bidi="ar-SA"/>
      </w:rPr>
    </w:lvl>
    <w:lvl w:ilvl="8">
      <w:start w:val="0"/>
      <w:numFmt w:val="bullet"/>
      <w:lvlText w:val="•"/>
      <w:lvlJc w:val="left"/>
      <w:pPr>
        <w:ind w:left="4462" w:hanging="267"/>
      </w:pPr>
      <w:rPr>
        <w:rFonts w:hint="default"/>
        <w:lang w:val="en-US" w:eastAsia="zh-CN" w:bidi="ar-SA"/>
      </w:rPr>
    </w:lvl>
  </w:abstractNum>
  <w:abstractNum w:abstractNumId="8">
    <w:multiLevelType w:val="hybridMultilevel"/>
    <w:lvl w:ilvl="0">
      <w:start w:val="0"/>
      <w:numFmt w:val="bullet"/>
      <w:lvlText w:val=""/>
      <w:lvlJc w:val="left"/>
      <w:pPr>
        <w:ind w:left="316"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837" w:hanging="267"/>
      </w:pPr>
      <w:rPr>
        <w:rFonts w:hint="default"/>
        <w:lang w:val="en-US" w:eastAsia="zh-CN" w:bidi="ar-SA"/>
      </w:rPr>
    </w:lvl>
    <w:lvl w:ilvl="2">
      <w:start w:val="0"/>
      <w:numFmt w:val="bullet"/>
      <w:lvlText w:val="•"/>
      <w:lvlJc w:val="left"/>
      <w:pPr>
        <w:ind w:left="1355" w:hanging="267"/>
      </w:pPr>
      <w:rPr>
        <w:rFonts w:hint="default"/>
        <w:lang w:val="en-US" w:eastAsia="zh-CN" w:bidi="ar-SA"/>
      </w:rPr>
    </w:lvl>
    <w:lvl w:ilvl="3">
      <w:start w:val="0"/>
      <w:numFmt w:val="bullet"/>
      <w:lvlText w:val="•"/>
      <w:lvlJc w:val="left"/>
      <w:pPr>
        <w:ind w:left="1873" w:hanging="267"/>
      </w:pPr>
      <w:rPr>
        <w:rFonts w:hint="default"/>
        <w:lang w:val="en-US" w:eastAsia="zh-CN" w:bidi="ar-SA"/>
      </w:rPr>
    </w:lvl>
    <w:lvl w:ilvl="4">
      <w:start w:val="0"/>
      <w:numFmt w:val="bullet"/>
      <w:lvlText w:val="•"/>
      <w:lvlJc w:val="left"/>
      <w:pPr>
        <w:ind w:left="2391" w:hanging="267"/>
      </w:pPr>
      <w:rPr>
        <w:rFonts w:hint="default"/>
        <w:lang w:val="en-US" w:eastAsia="zh-CN" w:bidi="ar-SA"/>
      </w:rPr>
    </w:lvl>
    <w:lvl w:ilvl="5">
      <w:start w:val="0"/>
      <w:numFmt w:val="bullet"/>
      <w:lvlText w:val="•"/>
      <w:lvlJc w:val="left"/>
      <w:pPr>
        <w:ind w:left="2909" w:hanging="267"/>
      </w:pPr>
      <w:rPr>
        <w:rFonts w:hint="default"/>
        <w:lang w:val="en-US" w:eastAsia="zh-CN" w:bidi="ar-SA"/>
      </w:rPr>
    </w:lvl>
    <w:lvl w:ilvl="6">
      <w:start w:val="0"/>
      <w:numFmt w:val="bullet"/>
      <w:lvlText w:val="•"/>
      <w:lvlJc w:val="left"/>
      <w:pPr>
        <w:ind w:left="3426" w:hanging="267"/>
      </w:pPr>
      <w:rPr>
        <w:rFonts w:hint="default"/>
        <w:lang w:val="en-US" w:eastAsia="zh-CN" w:bidi="ar-SA"/>
      </w:rPr>
    </w:lvl>
    <w:lvl w:ilvl="7">
      <w:start w:val="0"/>
      <w:numFmt w:val="bullet"/>
      <w:lvlText w:val="•"/>
      <w:lvlJc w:val="left"/>
      <w:pPr>
        <w:ind w:left="3944" w:hanging="267"/>
      </w:pPr>
      <w:rPr>
        <w:rFonts w:hint="default"/>
        <w:lang w:val="en-US" w:eastAsia="zh-CN" w:bidi="ar-SA"/>
      </w:rPr>
    </w:lvl>
    <w:lvl w:ilvl="8">
      <w:start w:val="0"/>
      <w:numFmt w:val="bullet"/>
      <w:lvlText w:val="•"/>
      <w:lvlJc w:val="left"/>
      <w:pPr>
        <w:ind w:left="4462" w:hanging="267"/>
      </w:pPr>
      <w:rPr>
        <w:rFonts w:hint="default"/>
        <w:lang w:val="en-US" w:eastAsia="zh-CN" w:bidi="ar-SA"/>
      </w:rPr>
    </w:lvl>
  </w:abstractNum>
  <w:abstractNum w:abstractNumId="7">
    <w:multiLevelType w:val="hybridMultilevel"/>
    <w:lvl w:ilvl="0">
      <w:start w:val="0"/>
      <w:numFmt w:val="bullet"/>
      <w:lvlText w:val=""/>
      <w:lvlJc w:val="left"/>
      <w:pPr>
        <w:ind w:left="316"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837" w:hanging="267"/>
      </w:pPr>
      <w:rPr>
        <w:rFonts w:hint="default"/>
        <w:lang w:val="en-US" w:eastAsia="zh-CN" w:bidi="ar-SA"/>
      </w:rPr>
    </w:lvl>
    <w:lvl w:ilvl="2">
      <w:start w:val="0"/>
      <w:numFmt w:val="bullet"/>
      <w:lvlText w:val="•"/>
      <w:lvlJc w:val="left"/>
      <w:pPr>
        <w:ind w:left="1355" w:hanging="267"/>
      </w:pPr>
      <w:rPr>
        <w:rFonts w:hint="default"/>
        <w:lang w:val="en-US" w:eastAsia="zh-CN" w:bidi="ar-SA"/>
      </w:rPr>
    </w:lvl>
    <w:lvl w:ilvl="3">
      <w:start w:val="0"/>
      <w:numFmt w:val="bullet"/>
      <w:lvlText w:val="•"/>
      <w:lvlJc w:val="left"/>
      <w:pPr>
        <w:ind w:left="1873" w:hanging="267"/>
      </w:pPr>
      <w:rPr>
        <w:rFonts w:hint="default"/>
        <w:lang w:val="en-US" w:eastAsia="zh-CN" w:bidi="ar-SA"/>
      </w:rPr>
    </w:lvl>
    <w:lvl w:ilvl="4">
      <w:start w:val="0"/>
      <w:numFmt w:val="bullet"/>
      <w:lvlText w:val="•"/>
      <w:lvlJc w:val="left"/>
      <w:pPr>
        <w:ind w:left="2391" w:hanging="267"/>
      </w:pPr>
      <w:rPr>
        <w:rFonts w:hint="default"/>
        <w:lang w:val="en-US" w:eastAsia="zh-CN" w:bidi="ar-SA"/>
      </w:rPr>
    </w:lvl>
    <w:lvl w:ilvl="5">
      <w:start w:val="0"/>
      <w:numFmt w:val="bullet"/>
      <w:lvlText w:val="•"/>
      <w:lvlJc w:val="left"/>
      <w:pPr>
        <w:ind w:left="2909" w:hanging="267"/>
      </w:pPr>
      <w:rPr>
        <w:rFonts w:hint="default"/>
        <w:lang w:val="en-US" w:eastAsia="zh-CN" w:bidi="ar-SA"/>
      </w:rPr>
    </w:lvl>
    <w:lvl w:ilvl="6">
      <w:start w:val="0"/>
      <w:numFmt w:val="bullet"/>
      <w:lvlText w:val="•"/>
      <w:lvlJc w:val="left"/>
      <w:pPr>
        <w:ind w:left="3426" w:hanging="267"/>
      </w:pPr>
      <w:rPr>
        <w:rFonts w:hint="default"/>
        <w:lang w:val="en-US" w:eastAsia="zh-CN" w:bidi="ar-SA"/>
      </w:rPr>
    </w:lvl>
    <w:lvl w:ilvl="7">
      <w:start w:val="0"/>
      <w:numFmt w:val="bullet"/>
      <w:lvlText w:val="•"/>
      <w:lvlJc w:val="left"/>
      <w:pPr>
        <w:ind w:left="3944" w:hanging="267"/>
      </w:pPr>
      <w:rPr>
        <w:rFonts w:hint="default"/>
        <w:lang w:val="en-US" w:eastAsia="zh-CN" w:bidi="ar-SA"/>
      </w:rPr>
    </w:lvl>
    <w:lvl w:ilvl="8">
      <w:start w:val="0"/>
      <w:numFmt w:val="bullet"/>
      <w:lvlText w:val="•"/>
      <w:lvlJc w:val="left"/>
      <w:pPr>
        <w:ind w:left="4462" w:hanging="267"/>
      </w:pPr>
      <w:rPr>
        <w:rFonts w:hint="default"/>
        <w:lang w:val="en-US" w:eastAsia="zh-CN" w:bidi="ar-SA"/>
      </w:rPr>
    </w:lvl>
  </w:abstractNum>
  <w:abstractNum w:abstractNumId="6">
    <w:multiLevelType w:val="hybridMultilevel"/>
    <w:lvl w:ilvl="0">
      <w:start w:val="0"/>
      <w:numFmt w:val="bullet"/>
      <w:lvlText w:val=""/>
      <w:lvlJc w:val="left"/>
      <w:pPr>
        <w:ind w:left="316"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813" w:hanging="267"/>
      </w:pPr>
      <w:rPr>
        <w:rFonts w:hint="default"/>
        <w:lang w:val="en-US" w:eastAsia="zh-CN" w:bidi="ar-SA"/>
      </w:rPr>
    </w:lvl>
    <w:lvl w:ilvl="2">
      <w:start w:val="0"/>
      <w:numFmt w:val="bullet"/>
      <w:lvlText w:val="•"/>
      <w:lvlJc w:val="left"/>
      <w:pPr>
        <w:ind w:left="1306" w:hanging="267"/>
      </w:pPr>
      <w:rPr>
        <w:rFonts w:hint="default"/>
        <w:lang w:val="en-US" w:eastAsia="zh-CN" w:bidi="ar-SA"/>
      </w:rPr>
    </w:lvl>
    <w:lvl w:ilvl="3">
      <w:start w:val="0"/>
      <w:numFmt w:val="bullet"/>
      <w:lvlText w:val="•"/>
      <w:lvlJc w:val="left"/>
      <w:pPr>
        <w:ind w:left="1800" w:hanging="267"/>
      </w:pPr>
      <w:rPr>
        <w:rFonts w:hint="default"/>
        <w:lang w:val="en-US" w:eastAsia="zh-CN" w:bidi="ar-SA"/>
      </w:rPr>
    </w:lvl>
    <w:lvl w:ilvl="4">
      <w:start w:val="0"/>
      <w:numFmt w:val="bullet"/>
      <w:lvlText w:val="•"/>
      <w:lvlJc w:val="left"/>
      <w:pPr>
        <w:ind w:left="2293" w:hanging="267"/>
      </w:pPr>
      <w:rPr>
        <w:rFonts w:hint="default"/>
        <w:lang w:val="en-US" w:eastAsia="zh-CN" w:bidi="ar-SA"/>
      </w:rPr>
    </w:lvl>
    <w:lvl w:ilvl="5">
      <w:start w:val="0"/>
      <w:numFmt w:val="bullet"/>
      <w:lvlText w:val="•"/>
      <w:lvlJc w:val="left"/>
      <w:pPr>
        <w:ind w:left="2787" w:hanging="267"/>
      </w:pPr>
      <w:rPr>
        <w:rFonts w:hint="default"/>
        <w:lang w:val="en-US" w:eastAsia="zh-CN" w:bidi="ar-SA"/>
      </w:rPr>
    </w:lvl>
    <w:lvl w:ilvl="6">
      <w:start w:val="0"/>
      <w:numFmt w:val="bullet"/>
      <w:lvlText w:val="•"/>
      <w:lvlJc w:val="left"/>
      <w:pPr>
        <w:ind w:left="3280" w:hanging="267"/>
      </w:pPr>
      <w:rPr>
        <w:rFonts w:hint="default"/>
        <w:lang w:val="en-US" w:eastAsia="zh-CN" w:bidi="ar-SA"/>
      </w:rPr>
    </w:lvl>
    <w:lvl w:ilvl="7">
      <w:start w:val="0"/>
      <w:numFmt w:val="bullet"/>
      <w:lvlText w:val="•"/>
      <w:lvlJc w:val="left"/>
      <w:pPr>
        <w:ind w:left="3773" w:hanging="267"/>
      </w:pPr>
      <w:rPr>
        <w:rFonts w:hint="default"/>
        <w:lang w:val="en-US" w:eastAsia="zh-CN" w:bidi="ar-SA"/>
      </w:rPr>
    </w:lvl>
    <w:lvl w:ilvl="8">
      <w:start w:val="0"/>
      <w:numFmt w:val="bullet"/>
      <w:lvlText w:val="•"/>
      <w:lvlJc w:val="left"/>
      <w:pPr>
        <w:ind w:left="4267" w:hanging="267"/>
      </w:pPr>
      <w:rPr>
        <w:rFonts w:hint="default"/>
        <w:lang w:val="en-US" w:eastAsia="zh-CN" w:bidi="ar-SA"/>
      </w:rPr>
    </w:lvl>
  </w:abstractNum>
  <w:abstractNum w:abstractNumId="5">
    <w:multiLevelType w:val="hybridMultilevel"/>
    <w:lvl w:ilvl="0">
      <w:start w:val="0"/>
      <w:numFmt w:val="bullet"/>
      <w:lvlText w:val=""/>
      <w:lvlJc w:val="left"/>
      <w:pPr>
        <w:ind w:left="316"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813" w:hanging="267"/>
      </w:pPr>
      <w:rPr>
        <w:rFonts w:hint="default"/>
        <w:lang w:val="en-US" w:eastAsia="zh-CN" w:bidi="ar-SA"/>
      </w:rPr>
    </w:lvl>
    <w:lvl w:ilvl="2">
      <w:start w:val="0"/>
      <w:numFmt w:val="bullet"/>
      <w:lvlText w:val="•"/>
      <w:lvlJc w:val="left"/>
      <w:pPr>
        <w:ind w:left="1306" w:hanging="267"/>
      </w:pPr>
      <w:rPr>
        <w:rFonts w:hint="default"/>
        <w:lang w:val="en-US" w:eastAsia="zh-CN" w:bidi="ar-SA"/>
      </w:rPr>
    </w:lvl>
    <w:lvl w:ilvl="3">
      <w:start w:val="0"/>
      <w:numFmt w:val="bullet"/>
      <w:lvlText w:val="•"/>
      <w:lvlJc w:val="left"/>
      <w:pPr>
        <w:ind w:left="1800" w:hanging="267"/>
      </w:pPr>
      <w:rPr>
        <w:rFonts w:hint="default"/>
        <w:lang w:val="en-US" w:eastAsia="zh-CN" w:bidi="ar-SA"/>
      </w:rPr>
    </w:lvl>
    <w:lvl w:ilvl="4">
      <w:start w:val="0"/>
      <w:numFmt w:val="bullet"/>
      <w:lvlText w:val="•"/>
      <w:lvlJc w:val="left"/>
      <w:pPr>
        <w:ind w:left="2293" w:hanging="267"/>
      </w:pPr>
      <w:rPr>
        <w:rFonts w:hint="default"/>
        <w:lang w:val="en-US" w:eastAsia="zh-CN" w:bidi="ar-SA"/>
      </w:rPr>
    </w:lvl>
    <w:lvl w:ilvl="5">
      <w:start w:val="0"/>
      <w:numFmt w:val="bullet"/>
      <w:lvlText w:val="•"/>
      <w:lvlJc w:val="left"/>
      <w:pPr>
        <w:ind w:left="2787" w:hanging="267"/>
      </w:pPr>
      <w:rPr>
        <w:rFonts w:hint="default"/>
        <w:lang w:val="en-US" w:eastAsia="zh-CN" w:bidi="ar-SA"/>
      </w:rPr>
    </w:lvl>
    <w:lvl w:ilvl="6">
      <w:start w:val="0"/>
      <w:numFmt w:val="bullet"/>
      <w:lvlText w:val="•"/>
      <w:lvlJc w:val="left"/>
      <w:pPr>
        <w:ind w:left="3280" w:hanging="267"/>
      </w:pPr>
      <w:rPr>
        <w:rFonts w:hint="default"/>
        <w:lang w:val="en-US" w:eastAsia="zh-CN" w:bidi="ar-SA"/>
      </w:rPr>
    </w:lvl>
    <w:lvl w:ilvl="7">
      <w:start w:val="0"/>
      <w:numFmt w:val="bullet"/>
      <w:lvlText w:val="•"/>
      <w:lvlJc w:val="left"/>
      <w:pPr>
        <w:ind w:left="3773" w:hanging="267"/>
      </w:pPr>
      <w:rPr>
        <w:rFonts w:hint="default"/>
        <w:lang w:val="en-US" w:eastAsia="zh-CN" w:bidi="ar-SA"/>
      </w:rPr>
    </w:lvl>
    <w:lvl w:ilvl="8">
      <w:start w:val="0"/>
      <w:numFmt w:val="bullet"/>
      <w:lvlText w:val="•"/>
      <w:lvlJc w:val="left"/>
      <w:pPr>
        <w:ind w:left="4267" w:hanging="267"/>
      </w:pPr>
      <w:rPr>
        <w:rFonts w:hint="default"/>
        <w:lang w:val="en-US" w:eastAsia="zh-CN" w:bidi="ar-SA"/>
      </w:rPr>
    </w:lvl>
  </w:abstractNum>
  <w:abstractNum w:abstractNumId="4">
    <w:multiLevelType w:val="hybridMultilevel"/>
    <w:lvl w:ilvl="0">
      <w:start w:val="0"/>
      <w:numFmt w:val="bullet"/>
      <w:lvlText w:val=""/>
      <w:lvlJc w:val="left"/>
      <w:pPr>
        <w:ind w:left="316"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813" w:hanging="267"/>
      </w:pPr>
      <w:rPr>
        <w:rFonts w:hint="default"/>
        <w:lang w:val="en-US" w:eastAsia="zh-CN" w:bidi="ar-SA"/>
      </w:rPr>
    </w:lvl>
    <w:lvl w:ilvl="2">
      <w:start w:val="0"/>
      <w:numFmt w:val="bullet"/>
      <w:lvlText w:val="•"/>
      <w:lvlJc w:val="left"/>
      <w:pPr>
        <w:ind w:left="1306" w:hanging="267"/>
      </w:pPr>
      <w:rPr>
        <w:rFonts w:hint="default"/>
        <w:lang w:val="en-US" w:eastAsia="zh-CN" w:bidi="ar-SA"/>
      </w:rPr>
    </w:lvl>
    <w:lvl w:ilvl="3">
      <w:start w:val="0"/>
      <w:numFmt w:val="bullet"/>
      <w:lvlText w:val="•"/>
      <w:lvlJc w:val="left"/>
      <w:pPr>
        <w:ind w:left="1800" w:hanging="267"/>
      </w:pPr>
      <w:rPr>
        <w:rFonts w:hint="default"/>
        <w:lang w:val="en-US" w:eastAsia="zh-CN" w:bidi="ar-SA"/>
      </w:rPr>
    </w:lvl>
    <w:lvl w:ilvl="4">
      <w:start w:val="0"/>
      <w:numFmt w:val="bullet"/>
      <w:lvlText w:val="•"/>
      <w:lvlJc w:val="left"/>
      <w:pPr>
        <w:ind w:left="2293" w:hanging="267"/>
      </w:pPr>
      <w:rPr>
        <w:rFonts w:hint="default"/>
        <w:lang w:val="en-US" w:eastAsia="zh-CN" w:bidi="ar-SA"/>
      </w:rPr>
    </w:lvl>
    <w:lvl w:ilvl="5">
      <w:start w:val="0"/>
      <w:numFmt w:val="bullet"/>
      <w:lvlText w:val="•"/>
      <w:lvlJc w:val="left"/>
      <w:pPr>
        <w:ind w:left="2787" w:hanging="267"/>
      </w:pPr>
      <w:rPr>
        <w:rFonts w:hint="default"/>
        <w:lang w:val="en-US" w:eastAsia="zh-CN" w:bidi="ar-SA"/>
      </w:rPr>
    </w:lvl>
    <w:lvl w:ilvl="6">
      <w:start w:val="0"/>
      <w:numFmt w:val="bullet"/>
      <w:lvlText w:val="•"/>
      <w:lvlJc w:val="left"/>
      <w:pPr>
        <w:ind w:left="3280" w:hanging="267"/>
      </w:pPr>
      <w:rPr>
        <w:rFonts w:hint="default"/>
        <w:lang w:val="en-US" w:eastAsia="zh-CN" w:bidi="ar-SA"/>
      </w:rPr>
    </w:lvl>
    <w:lvl w:ilvl="7">
      <w:start w:val="0"/>
      <w:numFmt w:val="bullet"/>
      <w:lvlText w:val="•"/>
      <w:lvlJc w:val="left"/>
      <w:pPr>
        <w:ind w:left="3773" w:hanging="267"/>
      </w:pPr>
      <w:rPr>
        <w:rFonts w:hint="default"/>
        <w:lang w:val="en-US" w:eastAsia="zh-CN" w:bidi="ar-SA"/>
      </w:rPr>
    </w:lvl>
    <w:lvl w:ilvl="8">
      <w:start w:val="0"/>
      <w:numFmt w:val="bullet"/>
      <w:lvlText w:val="•"/>
      <w:lvlJc w:val="left"/>
      <w:pPr>
        <w:ind w:left="4267" w:hanging="267"/>
      </w:pPr>
      <w:rPr>
        <w:rFonts w:hint="default"/>
        <w:lang w:val="en-US" w:eastAsia="zh-CN" w:bidi="ar-SA"/>
      </w:rPr>
    </w:lvl>
  </w:abstractNum>
  <w:abstractNum w:abstractNumId="3">
    <w:multiLevelType w:val="hybridMultilevel"/>
    <w:lvl w:ilvl="0">
      <w:start w:val="0"/>
      <w:numFmt w:val="bullet"/>
      <w:lvlText w:val=""/>
      <w:lvlJc w:val="left"/>
      <w:pPr>
        <w:ind w:left="908"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1808" w:hanging="267"/>
      </w:pPr>
      <w:rPr>
        <w:rFonts w:hint="default"/>
        <w:lang w:val="en-US" w:eastAsia="zh-CN" w:bidi="ar-SA"/>
      </w:rPr>
    </w:lvl>
    <w:lvl w:ilvl="2">
      <w:start w:val="0"/>
      <w:numFmt w:val="bullet"/>
      <w:lvlText w:val="•"/>
      <w:lvlJc w:val="left"/>
      <w:pPr>
        <w:ind w:left="2717" w:hanging="267"/>
      </w:pPr>
      <w:rPr>
        <w:rFonts w:hint="default"/>
        <w:lang w:val="en-US" w:eastAsia="zh-CN" w:bidi="ar-SA"/>
      </w:rPr>
    </w:lvl>
    <w:lvl w:ilvl="3">
      <w:start w:val="0"/>
      <w:numFmt w:val="bullet"/>
      <w:lvlText w:val="•"/>
      <w:lvlJc w:val="left"/>
      <w:pPr>
        <w:ind w:left="3625" w:hanging="267"/>
      </w:pPr>
      <w:rPr>
        <w:rFonts w:hint="default"/>
        <w:lang w:val="en-US" w:eastAsia="zh-CN" w:bidi="ar-SA"/>
      </w:rPr>
    </w:lvl>
    <w:lvl w:ilvl="4">
      <w:start w:val="0"/>
      <w:numFmt w:val="bullet"/>
      <w:lvlText w:val="•"/>
      <w:lvlJc w:val="left"/>
      <w:pPr>
        <w:ind w:left="4534" w:hanging="267"/>
      </w:pPr>
      <w:rPr>
        <w:rFonts w:hint="default"/>
        <w:lang w:val="en-US" w:eastAsia="zh-CN" w:bidi="ar-SA"/>
      </w:rPr>
    </w:lvl>
    <w:lvl w:ilvl="5">
      <w:start w:val="0"/>
      <w:numFmt w:val="bullet"/>
      <w:lvlText w:val="•"/>
      <w:lvlJc w:val="left"/>
      <w:pPr>
        <w:ind w:left="5443" w:hanging="267"/>
      </w:pPr>
      <w:rPr>
        <w:rFonts w:hint="default"/>
        <w:lang w:val="en-US" w:eastAsia="zh-CN" w:bidi="ar-SA"/>
      </w:rPr>
    </w:lvl>
    <w:lvl w:ilvl="6">
      <w:start w:val="0"/>
      <w:numFmt w:val="bullet"/>
      <w:lvlText w:val="•"/>
      <w:lvlJc w:val="left"/>
      <w:pPr>
        <w:ind w:left="6351" w:hanging="267"/>
      </w:pPr>
      <w:rPr>
        <w:rFonts w:hint="default"/>
        <w:lang w:val="en-US" w:eastAsia="zh-CN" w:bidi="ar-SA"/>
      </w:rPr>
    </w:lvl>
    <w:lvl w:ilvl="7">
      <w:start w:val="0"/>
      <w:numFmt w:val="bullet"/>
      <w:lvlText w:val="•"/>
      <w:lvlJc w:val="left"/>
      <w:pPr>
        <w:ind w:left="7260" w:hanging="267"/>
      </w:pPr>
      <w:rPr>
        <w:rFonts w:hint="default"/>
        <w:lang w:val="en-US" w:eastAsia="zh-CN" w:bidi="ar-SA"/>
      </w:rPr>
    </w:lvl>
    <w:lvl w:ilvl="8">
      <w:start w:val="0"/>
      <w:numFmt w:val="bullet"/>
      <w:lvlText w:val="•"/>
      <w:lvlJc w:val="left"/>
      <w:pPr>
        <w:ind w:left="8169" w:hanging="267"/>
      </w:pPr>
      <w:rPr>
        <w:rFonts w:hint="default"/>
        <w:lang w:val="en-US" w:eastAsia="zh-CN" w:bidi="ar-SA"/>
      </w:rPr>
    </w:lvl>
  </w:abstractNum>
  <w:abstractNum w:abstractNumId="2">
    <w:multiLevelType w:val="hybridMultilevel"/>
    <w:lvl w:ilvl="0">
      <w:start w:val="0"/>
      <w:numFmt w:val="bullet"/>
      <w:lvlText w:val=""/>
      <w:lvlJc w:val="left"/>
      <w:pPr>
        <w:ind w:left="372"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46" w:hanging="267"/>
      </w:pPr>
      <w:rPr>
        <w:rFonts w:hint="default"/>
        <w:lang w:val="en-US" w:eastAsia="zh-CN" w:bidi="ar-SA"/>
      </w:rPr>
    </w:lvl>
    <w:lvl w:ilvl="2">
      <w:start w:val="0"/>
      <w:numFmt w:val="bullet"/>
      <w:lvlText w:val="•"/>
      <w:lvlJc w:val="left"/>
      <w:pPr>
        <w:ind w:left="1512" w:hanging="267"/>
      </w:pPr>
      <w:rPr>
        <w:rFonts w:hint="default"/>
        <w:lang w:val="en-US" w:eastAsia="zh-CN" w:bidi="ar-SA"/>
      </w:rPr>
    </w:lvl>
    <w:lvl w:ilvl="3">
      <w:start w:val="0"/>
      <w:numFmt w:val="bullet"/>
      <w:lvlText w:val="•"/>
      <w:lvlJc w:val="left"/>
      <w:pPr>
        <w:ind w:left="2078" w:hanging="267"/>
      </w:pPr>
      <w:rPr>
        <w:rFonts w:hint="default"/>
        <w:lang w:val="en-US" w:eastAsia="zh-CN" w:bidi="ar-SA"/>
      </w:rPr>
    </w:lvl>
    <w:lvl w:ilvl="4">
      <w:start w:val="0"/>
      <w:numFmt w:val="bullet"/>
      <w:lvlText w:val="•"/>
      <w:lvlJc w:val="left"/>
      <w:pPr>
        <w:ind w:left="2644" w:hanging="267"/>
      </w:pPr>
      <w:rPr>
        <w:rFonts w:hint="default"/>
        <w:lang w:val="en-US" w:eastAsia="zh-CN" w:bidi="ar-SA"/>
      </w:rPr>
    </w:lvl>
    <w:lvl w:ilvl="5">
      <w:start w:val="0"/>
      <w:numFmt w:val="bullet"/>
      <w:lvlText w:val="•"/>
      <w:lvlJc w:val="left"/>
      <w:pPr>
        <w:ind w:left="3210" w:hanging="267"/>
      </w:pPr>
      <w:rPr>
        <w:rFonts w:hint="default"/>
        <w:lang w:val="en-US" w:eastAsia="zh-CN" w:bidi="ar-SA"/>
      </w:rPr>
    </w:lvl>
    <w:lvl w:ilvl="6">
      <w:start w:val="0"/>
      <w:numFmt w:val="bullet"/>
      <w:lvlText w:val="•"/>
      <w:lvlJc w:val="left"/>
      <w:pPr>
        <w:ind w:left="3776" w:hanging="267"/>
      </w:pPr>
      <w:rPr>
        <w:rFonts w:hint="default"/>
        <w:lang w:val="en-US" w:eastAsia="zh-CN" w:bidi="ar-SA"/>
      </w:rPr>
    </w:lvl>
    <w:lvl w:ilvl="7">
      <w:start w:val="0"/>
      <w:numFmt w:val="bullet"/>
      <w:lvlText w:val="•"/>
      <w:lvlJc w:val="left"/>
      <w:pPr>
        <w:ind w:left="4342" w:hanging="267"/>
      </w:pPr>
      <w:rPr>
        <w:rFonts w:hint="default"/>
        <w:lang w:val="en-US" w:eastAsia="zh-CN" w:bidi="ar-SA"/>
      </w:rPr>
    </w:lvl>
    <w:lvl w:ilvl="8">
      <w:start w:val="0"/>
      <w:numFmt w:val="bullet"/>
      <w:lvlText w:val="•"/>
      <w:lvlJc w:val="left"/>
      <w:pPr>
        <w:ind w:left="4908" w:hanging="267"/>
      </w:pPr>
      <w:rPr>
        <w:rFonts w:hint="default"/>
        <w:lang w:val="en-US" w:eastAsia="zh-CN" w:bidi="ar-SA"/>
      </w:rPr>
    </w:lvl>
  </w:abstractNum>
  <w:abstractNum w:abstractNumId="1">
    <w:multiLevelType w:val="hybridMultilevel"/>
    <w:lvl w:ilvl="0">
      <w:start w:val="0"/>
      <w:numFmt w:val="bullet"/>
      <w:lvlText w:val=""/>
      <w:lvlJc w:val="left"/>
      <w:pPr>
        <w:ind w:left="372"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46" w:hanging="267"/>
      </w:pPr>
      <w:rPr>
        <w:rFonts w:hint="default"/>
        <w:lang w:val="en-US" w:eastAsia="zh-CN" w:bidi="ar-SA"/>
      </w:rPr>
    </w:lvl>
    <w:lvl w:ilvl="2">
      <w:start w:val="0"/>
      <w:numFmt w:val="bullet"/>
      <w:lvlText w:val="•"/>
      <w:lvlJc w:val="left"/>
      <w:pPr>
        <w:ind w:left="1512" w:hanging="267"/>
      </w:pPr>
      <w:rPr>
        <w:rFonts w:hint="default"/>
        <w:lang w:val="en-US" w:eastAsia="zh-CN" w:bidi="ar-SA"/>
      </w:rPr>
    </w:lvl>
    <w:lvl w:ilvl="3">
      <w:start w:val="0"/>
      <w:numFmt w:val="bullet"/>
      <w:lvlText w:val="•"/>
      <w:lvlJc w:val="left"/>
      <w:pPr>
        <w:ind w:left="2078" w:hanging="267"/>
      </w:pPr>
      <w:rPr>
        <w:rFonts w:hint="default"/>
        <w:lang w:val="en-US" w:eastAsia="zh-CN" w:bidi="ar-SA"/>
      </w:rPr>
    </w:lvl>
    <w:lvl w:ilvl="4">
      <w:start w:val="0"/>
      <w:numFmt w:val="bullet"/>
      <w:lvlText w:val="•"/>
      <w:lvlJc w:val="left"/>
      <w:pPr>
        <w:ind w:left="2644" w:hanging="267"/>
      </w:pPr>
      <w:rPr>
        <w:rFonts w:hint="default"/>
        <w:lang w:val="en-US" w:eastAsia="zh-CN" w:bidi="ar-SA"/>
      </w:rPr>
    </w:lvl>
    <w:lvl w:ilvl="5">
      <w:start w:val="0"/>
      <w:numFmt w:val="bullet"/>
      <w:lvlText w:val="•"/>
      <w:lvlJc w:val="left"/>
      <w:pPr>
        <w:ind w:left="3210" w:hanging="267"/>
      </w:pPr>
      <w:rPr>
        <w:rFonts w:hint="default"/>
        <w:lang w:val="en-US" w:eastAsia="zh-CN" w:bidi="ar-SA"/>
      </w:rPr>
    </w:lvl>
    <w:lvl w:ilvl="6">
      <w:start w:val="0"/>
      <w:numFmt w:val="bullet"/>
      <w:lvlText w:val="•"/>
      <w:lvlJc w:val="left"/>
      <w:pPr>
        <w:ind w:left="3776" w:hanging="267"/>
      </w:pPr>
      <w:rPr>
        <w:rFonts w:hint="default"/>
        <w:lang w:val="en-US" w:eastAsia="zh-CN" w:bidi="ar-SA"/>
      </w:rPr>
    </w:lvl>
    <w:lvl w:ilvl="7">
      <w:start w:val="0"/>
      <w:numFmt w:val="bullet"/>
      <w:lvlText w:val="•"/>
      <w:lvlJc w:val="left"/>
      <w:pPr>
        <w:ind w:left="4342" w:hanging="267"/>
      </w:pPr>
      <w:rPr>
        <w:rFonts w:hint="default"/>
        <w:lang w:val="en-US" w:eastAsia="zh-CN" w:bidi="ar-SA"/>
      </w:rPr>
    </w:lvl>
    <w:lvl w:ilvl="8">
      <w:start w:val="0"/>
      <w:numFmt w:val="bullet"/>
      <w:lvlText w:val="•"/>
      <w:lvlJc w:val="left"/>
      <w:pPr>
        <w:ind w:left="4908" w:hanging="267"/>
      </w:pPr>
      <w:rPr>
        <w:rFonts w:hint="default"/>
        <w:lang w:val="en-US" w:eastAsia="zh-CN" w:bidi="ar-SA"/>
      </w:rPr>
    </w:lvl>
  </w:abstractNum>
  <w:abstractNum w:abstractNumId="0">
    <w:multiLevelType w:val="hybridMultilevel"/>
    <w:lvl w:ilvl="0">
      <w:start w:val="0"/>
      <w:numFmt w:val="bullet"/>
      <w:lvlText w:val=""/>
      <w:lvlJc w:val="left"/>
      <w:pPr>
        <w:ind w:left="372" w:hanging="267"/>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946" w:hanging="267"/>
      </w:pPr>
      <w:rPr>
        <w:rFonts w:hint="default"/>
        <w:lang w:val="en-US" w:eastAsia="zh-CN" w:bidi="ar-SA"/>
      </w:rPr>
    </w:lvl>
    <w:lvl w:ilvl="2">
      <w:start w:val="0"/>
      <w:numFmt w:val="bullet"/>
      <w:lvlText w:val="•"/>
      <w:lvlJc w:val="left"/>
      <w:pPr>
        <w:ind w:left="1512" w:hanging="267"/>
      </w:pPr>
      <w:rPr>
        <w:rFonts w:hint="default"/>
        <w:lang w:val="en-US" w:eastAsia="zh-CN" w:bidi="ar-SA"/>
      </w:rPr>
    </w:lvl>
    <w:lvl w:ilvl="3">
      <w:start w:val="0"/>
      <w:numFmt w:val="bullet"/>
      <w:lvlText w:val="•"/>
      <w:lvlJc w:val="left"/>
      <w:pPr>
        <w:ind w:left="2078" w:hanging="267"/>
      </w:pPr>
      <w:rPr>
        <w:rFonts w:hint="default"/>
        <w:lang w:val="en-US" w:eastAsia="zh-CN" w:bidi="ar-SA"/>
      </w:rPr>
    </w:lvl>
    <w:lvl w:ilvl="4">
      <w:start w:val="0"/>
      <w:numFmt w:val="bullet"/>
      <w:lvlText w:val="•"/>
      <w:lvlJc w:val="left"/>
      <w:pPr>
        <w:ind w:left="2644" w:hanging="267"/>
      </w:pPr>
      <w:rPr>
        <w:rFonts w:hint="default"/>
        <w:lang w:val="en-US" w:eastAsia="zh-CN" w:bidi="ar-SA"/>
      </w:rPr>
    </w:lvl>
    <w:lvl w:ilvl="5">
      <w:start w:val="0"/>
      <w:numFmt w:val="bullet"/>
      <w:lvlText w:val="•"/>
      <w:lvlJc w:val="left"/>
      <w:pPr>
        <w:ind w:left="3210" w:hanging="267"/>
      </w:pPr>
      <w:rPr>
        <w:rFonts w:hint="default"/>
        <w:lang w:val="en-US" w:eastAsia="zh-CN" w:bidi="ar-SA"/>
      </w:rPr>
    </w:lvl>
    <w:lvl w:ilvl="6">
      <w:start w:val="0"/>
      <w:numFmt w:val="bullet"/>
      <w:lvlText w:val="•"/>
      <w:lvlJc w:val="left"/>
      <w:pPr>
        <w:ind w:left="3776" w:hanging="267"/>
      </w:pPr>
      <w:rPr>
        <w:rFonts w:hint="default"/>
        <w:lang w:val="en-US" w:eastAsia="zh-CN" w:bidi="ar-SA"/>
      </w:rPr>
    </w:lvl>
    <w:lvl w:ilvl="7">
      <w:start w:val="0"/>
      <w:numFmt w:val="bullet"/>
      <w:lvlText w:val="•"/>
      <w:lvlJc w:val="left"/>
      <w:pPr>
        <w:ind w:left="4342" w:hanging="267"/>
      </w:pPr>
      <w:rPr>
        <w:rFonts w:hint="default"/>
        <w:lang w:val="en-US" w:eastAsia="zh-CN" w:bidi="ar-SA"/>
      </w:rPr>
    </w:lvl>
    <w:lvl w:ilvl="8">
      <w:start w:val="0"/>
      <w:numFmt w:val="bullet"/>
      <w:lvlText w:val="•"/>
      <w:lvlJc w:val="left"/>
      <w:pPr>
        <w:ind w:left="4908" w:hanging="267"/>
      </w:pPr>
      <w:rPr>
        <w:rFonts w:hint="default"/>
        <w:lang w:val="en-US" w:eastAsia="zh-CN" w:bidi="ar-SA"/>
      </w:rPr>
    </w:lvl>
  </w:abstract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3153"/>
    </w:pPr>
    <w:rPr>
      <w:rFonts w:ascii="宋体" w:hAnsi="宋体" w:eastAsia="宋体" w:cs="宋体"/>
      <w:sz w:val="21"/>
      <w:szCs w:val="21"/>
      <w:lang w:val="en-US" w:eastAsia="zh-CN" w:bidi="ar-SA"/>
    </w:rPr>
  </w:style>
  <w:style w:styleId="Heading1" w:type="paragraph">
    <w:name w:val="Heading 1"/>
    <w:basedOn w:val="Normal"/>
    <w:uiPriority w:val="1"/>
    <w:qFormat/>
    <w:pPr>
      <w:ind w:left="1071" w:hanging="850"/>
      <w:outlineLvl w:val="1"/>
    </w:pPr>
    <w:rPr>
      <w:rFonts w:ascii="微软雅黑" w:hAnsi="微软雅黑" w:eastAsia="微软雅黑" w:cs="微软雅黑"/>
      <w:b/>
      <w:bCs/>
      <w:sz w:val="24"/>
      <w:szCs w:val="24"/>
      <w:lang w:val="en-US" w:eastAsia="zh-CN" w:bidi="ar-SA"/>
    </w:rPr>
  </w:style>
  <w:style w:styleId="Title" w:type="paragraph">
    <w:name w:val="Title"/>
    <w:basedOn w:val="Normal"/>
    <w:uiPriority w:val="1"/>
    <w:qFormat/>
    <w:pPr>
      <w:spacing w:line="542" w:lineRule="exact"/>
      <w:ind w:right="38"/>
      <w:jc w:val="center"/>
    </w:pPr>
    <w:rPr>
      <w:rFonts w:ascii="微软雅黑" w:hAnsi="微软雅黑" w:eastAsia="微软雅黑" w:cs="微软雅黑"/>
      <w:b/>
      <w:bCs/>
      <w:sz w:val="32"/>
      <w:szCs w:val="32"/>
      <w:lang w:val="en-US" w:eastAsia="zh-CN" w:bidi="ar-SA"/>
    </w:rPr>
  </w:style>
  <w:style w:styleId="ListParagraph" w:type="paragraph">
    <w:name w:val="List Paragraph"/>
    <w:basedOn w:val="Normal"/>
    <w:uiPriority w:val="1"/>
    <w:qFormat/>
    <w:pPr>
      <w:ind w:left="1071" w:hanging="85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footer" Target="footer1.xml"/><Relationship Id="rId9" Type="http://schemas.openxmlformats.org/officeDocument/2006/relationships/image" Target="media/image4.jpe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2023-06-02T03:40:38Z</dcterms:created>
  <dcterms:modified xsi:type="dcterms:W3CDTF">2023-06-02T03:40:38Z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