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8" w:line="225" w:lineRule="auto"/>
        <w:ind w:left="9108" w:right="408" w:hanging="58"/>
        <w:jc w:val="right"/>
        <w:rPr>
          <w:rFonts w:ascii="微软雅黑" w:eastAsia="微软雅黑"/>
          <w:b/>
          <w:sz w:val="18"/>
        </w:rPr>
      </w:pPr>
      <w:r>
        <w:drawing>
          <wp:anchor distT="0" distB="0" distL="0" distR="0" simplePos="0" relativeHeight="251667456" behindDoc="0" locked="0" layoutInCell="1" allowOverlap="1">
            <wp:simplePos x="0" y="0"/>
            <wp:positionH relativeFrom="page">
              <wp:posOffset>6142990</wp:posOffset>
            </wp:positionH>
            <wp:positionV relativeFrom="paragraph">
              <wp:posOffset>443865</wp:posOffset>
            </wp:positionV>
            <wp:extent cx="72263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2376" cy="723900"/>
                    </a:xfrm>
                    <a:prstGeom prst="rect">
                      <a:avLst/>
                    </a:prstGeom>
                  </pic:spPr>
                </pic:pic>
              </a:graphicData>
            </a:graphic>
          </wp:anchor>
        </w:drawing>
      </w:r>
      <w:r>
        <w:rPr>
          <w:rFonts w:ascii="微软雅黑" w:eastAsia="微软雅黑"/>
          <w:b/>
          <w:spacing w:val="-2"/>
          <w:sz w:val="18"/>
        </w:rPr>
        <w:t>中荷人寿</w:t>
      </w:r>
      <w:r>
        <w:rPr>
          <w:rFonts w:ascii="Times New Roman" w:eastAsia="Times New Roman"/>
          <w:b/>
          <w:spacing w:val="-2"/>
          <w:sz w:val="18"/>
        </w:rPr>
        <w:t>[2022]</w:t>
      </w:r>
      <w:r>
        <w:rPr>
          <w:rFonts w:ascii="微软雅黑" w:eastAsia="微软雅黑"/>
          <w:b/>
          <w:sz w:val="18"/>
        </w:rPr>
        <w:t xml:space="preserve">疾病保险 </w:t>
      </w:r>
      <w:r>
        <w:rPr>
          <w:rFonts w:ascii="Times New Roman" w:eastAsia="Times New Roman"/>
          <w:b/>
          <w:sz w:val="18"/>
        </w:rPr>
        <w:t xml:space="preserve">7 </w:t>
      </w:r>
      <w:r>
        <w:rPr>
          <w:rFonts w:ascii="微软雅黑" w:eastAsia="微软雅黑"/>
          <w:b/>
          <w:sz w:val="18"/>
        </w:rPr>
        <w:t>号</w:t>
      </w:r>
    </w:p>
    <w:p>
      <w:pPr>
        <w:pStyle w:val="6"/>
        <w:spacing w:before="1"/>
        <w:rPr>
          <w:rFonts w:ascii="微软雅黑"/>
          <w:b/>
          <w:sz w:val="22"/>
        </w:rPr>
      </w:pPr>
    </w:p>
    <w:p>
      <w:pPr>
        <w:spacing w:after="0"/>
        <w:rPr>
          <w:rFonts w:ascii="微软雅黑"/>
          <w:sz w:val="22"/>
        </w:rPr>
        <w:sectPr>
          <w:type w:val="continuous"/>
          <w:pgSz w:w="11910" w:h="16840"/>
          <w:pgMar w:top="280" w:right="660" w:bottom="280" w:left="580" w:header="720" w:footer="720" w:gutter="0"/>
          <w:cols w:space="720" w:num="1"/>
        </w:sectPr>
      </w:pPr>
    </w:p>
    <w:p>
      <w:pPr>
        <w:spacing w:before="0" w:line="590" w:lineRule="exact"/>
        <w:ind w:left="3906" w:right="0" w:firstLine="0"/>
        <w:jc w:val="left"/>
        <w:rPr>
          <w:rFonts w:ascii="微软雅黑" w:eastAsia="微软雅黑"/>
          <w:b/>
          <w:sz w:val="32"/>
        </w:rPr>
      </w:pPr>
      <w:r>
        <w:rPr>
          <w:rFonts w:ascii="微软雅黑" w:eastAsia="微软雅黑"/>
          <w:b/>
          <w:w w:val="95"/>
          <w:sz w:val="32"/>
        </w:rPr>
        <w:t>中荷人寿保险有限公</w:t>
      </w:r>
      <w:r>
        <w:rPr>
          <w:rFonts w:ascii="微软雅黑" w:eastAsia="微软雅黑"/>
          <w:b/>
          <w:spacing w:val="-10"/>
          <w:w w:val="95"/>
          <w:sz w:val="32"/>
        </w:rPr>
        <w:t>司</w:t>
      </w:r>
    </w:p>
    <w:p>
      <w:pPr>
        <w:spacing w:before="89"/>
        <w:ind w:left="2326" w:right="0" w:firstLine="0"/>
        <w:jc w:val="left"/>
        <w:rPr>
          <w:rFonts w:ascii="微软雅黑" w:eastAsia="微软雅黑"/>
          <w:b/>
          <w:sz w:val="32"/>
        </w:rPr>
      </w:pPr>
      <w:r>
        <w:rPr>
          <w:rFonts w:ascii="微软雅黑" w:eastAsia="微软雅黑"/>
          <w:b/>
          <w:w w:val="95"/>
          <w:sz w:val="32"/>
        </w:rPr>
        <w:t>中荷互联网超越</w:t>
      </w:r>
      <w:r>
        <w:rPr>
          <w:rFonts w:ascii="微软雅黑" w:eastAsia="微软雅黑"/>
          <w:b/>
          <w:spacing w:val="60"/>
          <w:w w:val="150"/>
          <w:sz w:val="32"/>
        </w:rPr>
        <w:t xml:space="preserve"> </w:t>
      </w:r>
      <w:r>
        <w:rPr>
          <w:rFonts w:ascii="微软雅黑" w:eastAsia="微软雅黑"/>
          <w:b/>
          <w:w w:val="95"/>
          <w:sz w:val="32"/>
        </w:rPr>
        <w:t>1</w:t>
      </w:r>
      <w:r>
        <w:rPr>
          <w:rFonts w:ascii="微软雅黑" w:eastAsia="微软雅黑"/>
          <w:b/>
          <w:spacing w:val="61"/>
          <w:w w:val="150"/>
          <w:sz w:val="32"/>
        </w:rPr>
        <w:t xml:space="preserve"> </w:t>
      </w:r>
      <w:r>
        <w:rPr>
          <w:rFonts w:ascii="微软雅黑" w:eastAsia="微软雅黑"/>
          <w:b/>
          <w:w w:val="95"/>
          <w:sz w:val="32"/>
        </w:rPr>
        <w:t>号重大疾病保</w:t>
      </w:r>
      <w:r>
        <w:rPr>
          <w:rFonts w:ascii="微软雅黑" w:eastAsia="微软雅黑"/>
          <w:b/>
          <w:spacing w:val="-2"/>
          <w:w w:val="95"/>
          <w:sz w:val="32"/>
        </w:rPr>
        <w:t>险合同条款</w:t>
      </w:r>
    </w:p>
    <w:p>
      <w:pPr>
        <w:spacing w:before="0" w:line="240" w:lineRule="auto"/>
        <w:rPr>
          <w:rFonts w:ascii="微软雅黑"/>
          <w:b/>
          <w:sz w:val="18"/>
        </w:rPr>
      </w:pPr>
      <w:r>
        <w:br w:type="column"/>
      </w:r>
    </w:p>
    <w:p>
      <w:pPr>
        <w:pStyle w:val="6"/>
        <w:spacing w:before="17"/>
        <w:rPr>
          <w:rFonts w:ascii="微软雅黑"/>
          <w:b/>
          <w:sz w:val="26"/>
        </w:rPr>
      </w:pPr>
    </w:p>
    <w:p>
      <w:pPr>
        <w:spacing w:before="0"/>
        <w:ind w:left="255" w:right="0" w:firstLine="0"/>
        <w:jc w:val="left"/>
        <w:rPr>
          <w:rFonts w:ascii="微软雅黑" w:eastAsia="微软雅黑"/>
          <w:b/>
          <w:sz w:val="18"/>
        </w:rPr>
      </w:pPr>
      <w:r>
        <w:rPr>
          <w:rFonts w:ascii="微软雅黑" w:eastAsia="微软雅黑"/>
          <w:b/>
          <w:spacing w:val="-1"/>
          <w:sz w:val="18"/>
        </w:rPr>
        <w:t>请扫描以查询验证条款</w:t>
      </w:r>
    </w:p>
    <w:p>
      <w:pPr>
        <w:spacing w:after="0"/>
        <w:jc w:val="left"/>
        <w:rPr>
          <w:rFonts w:ascii="微软雅黑" w:eastAsia="微软雅黑"/>
          <w:sz w:val="18"/>
        </w:rPr>
        <w:sectPr>
          <w:type w:val="continuous"/>
          <w:pgSz w:w="11910" w:h="16840"/>
          <w:pgMar w:top="280" w:right="660" w:bottom="280" w:left="580" w:header="720" w:footer="720" w:gutter="0"/>
          <w:cols w:equalWidth="0" w:num="2">
            <w:col w:w="8453" w:space="40"/>
            <w:col w:w="2177"/>
          </w:cols>
        </w:sectPr>
      </w:pPr>
    </w:p>
    <w:p>
      <w:pPr>
        <w:pStyle w:val="6"/>
        <w:spacing w:before="14"/>
        <w:rPr>
          <w:rFonts w:ascii="微软雅黑"/>
          <w:b/>
          <w:sz w:val="2"/>
        </w:rPr>
      </w:pPr>
    </w:p>
    <w:p>
      <w:pPr>
        <w:pStyle w:val="6"/>
        <w:spacing w:line="20" w:lineRule="exact"/>
        <w:ind w:left="1039"/>
        <w:rPr>
          <w:rFonts w:ascii="微软雅黑"/>
          <w:sz w:val="2"/>
        </w:rPr>
      </w:pPr>
      <w:r>
        <w:rPr>
          <w:rFonts w:ascii="微软雅黑"/>
          <w:sz w:val="2"/>
        </w:rPr>
        <w:drawing>
          <wp:inline distT="0" distB="0" distL="0" distR="0">
            <wp:extent cx="5867400" cy="952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5867400" cy="9525"/>
                    </a:xfrm>
                    <a:prstGeom prst="rect">
                      <a:avLst/>
                    </a:prstGeom>
                  </pic:spPr>
                </pic:pic>
              </a:graphicData>
            </a:graphic>
          </wp:inline>
        </w:drawing>
      </w:r>
    </w:p>
    <w:p>
      <w:pPr>
        <w:pStyle w:val="6"/>
        <w:spacing w:before="11"/>
        <w:rPr>
          <w:rFonts w:ascii="微软雅黑"/>
          <w:b/>
          <w:sz w:val="13"/>
        </w:rPr>
      </w:pPr>
    </w:p>
    <w:p>
      <w:pPr>
        <w:pStyle w:val="5"/>
        <w:spacing w:before="5"/>
        <w:ind w:left="2139"/>
      </w:pPr>
      <w:r>
        <w:drawing>
          <wp:anchor distT="0" distB="0" distL="0" distR="0" simplePos="0" relativeHeight="251660288" behindDoc="0" locked="0" layoutInCell="1" allowOverlap="1">
            <wp:simplePos x="0" y="0"/>
            <wp:positionH relativeFrom="page">
              <wp:posOffset>932815</wp:posOffset>
            </wp:positionH>
            <wp:positionV relativeFrom="paragraph">
              <wp:posOffset>1016635</wp:posOffset>
            </wp:positionV>
            <wp:extent cx="5975985" cy="1397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5976023" cy="14001"/>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2665095</wp:posOffset>
            </wp:positionH>
            <wp:positionV relativeFrom="paragraph">
              <wp:posOffset>249555</wp:posOffset>
            </wp:positionV>
            <wp:extent cx="2458720" cy="536575"/>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10" cstate="print"/>
                    <a:stretch>
                      <a:fillRect/>
                    </a:stretch>
                  </pic:blipFill>
                  <pic:spPr>
                    <a:xfrm>
                      <a:off x="0" y="0"/>
                      <a:ext cx="2458720" cy="536575"/>
                    </a:xfrm>
                    <a:prstGeom prst="rect">
                      <a:avLst/>
                    </a:prstGeom>
                  </pic:spPr>
                </pic:pic>
              </a:graphicData>
            </a:graphic>
          </wp:anchor>
        </w:drawing>
      </w:r>
      <w:r>
        <w:pict>
          <v:shape id="docshape1" o:spid="_x0000_s1026" o:spt="202" type="#_x0000_t202" style="position:absolute;left:0pt;margin-left:209.85pt;margin-top:19.65pt;height:42.25pt;width:193.6pt;mso-position-horizontal-relative:page;z-index:-251615232;mso-width-relative:page;mso-height-relative:page;" filled="f" stroked="f" coordsize="21600,21600">
            <v:path/>
            <v:fill on="f" focussize="0,0"/>
            <v:stroke on="f" joinstyle="miter"/>
            <v:imagedata o:title=""/>
            <o:lock v:ext="edit"/>
            <v:textbox inset="0mm,0mm,0mm,0mm">
              <w:txbxContent>
                <w:p>
                  <w:pPr>
                    <w:pStyle w:val="6"/>
                    <w:spacing w:before="4"/>
                    <w:rPr>
                      <w:sz w:val="17"/>
                    </w:rPr>
                  </w:pPr>
                </w:p>
                <w:p>
                  <w:pPr>
                    <w:spacing w:before="0"/>
                    <w:ind w:left="269" w:right="0" w:firstLine="0"/>
                    <w:jc w:val="left"/>
                    <w:rPr>
                      <w:rFonts w:ascii="微软雅黑" w:eastAsia="微软雅黑"/>
                      <w:b/>
                      <w:sz w:val="24"/>
                    </w:rPr>
                  </w:pPr>
                  <w:r>
                    <w:rPr>
                      <w:rFonts w:ascii="微软雅黑" w:eastAsia="微软雅黑"/>
                      <w:b/>
                      <w:spacing w:val="-1"/>
                      <w:sz w:val="24"/>
                    </w:rPr>
                    <w:t>投保本产品您将拥有的保障概览</w:t>
                  </w:r>
                </w:p>
              </w:txbxContent>
            </v:textbox>
          </v:shape>
        </w:pict>
      </w:r>
      <w:r>
        <w:rPr>
          <w:spacing w:val="-3"/>
        </w:rPr>
        <w:t>条款是保险合同的重要内容，为充分保障您的合法权益，请仔细阅读本条款。</w:t>
      </w:r>
    </w:p>
    <w:p>
      <w:pPr>
        <w:pStyle w:val="6"/>
        <w:spacing w:before="3"/>
        <w:rPr>
          <w:rFonts w:ascii="微软雅黑"/>
          <w:b/>
          <w:sz w:val="3"/>
        </w:rPr>
      </w:pPr>
      <w:r>
        <w:pict>
          <v:shape id="docshape2" o:spid="_x0000_s1027" o:spt="202" type="#_x0000_t202" style="position:absolute;left:0pt;margin-left:73.55pt;margin-top:4.1pt;height:16pt;width:469.05pt;mso-position-horizontal-relative:page;mso-wrap-distance-bottom:0pt;mso-wrap-distance-top:0pt;z-index:-251586560;mso-width-relative:page;mso-height-relative:page;" fillcolor="#C0C0C0" filled="t" stroked="f" coordsize="21600,21600">
            <v:path/>
            <v:fill on="t" focussize="0,0"/>
            <v:stroke on="f" joinstyle="miter"/>
            <v:imagedata o:title=""/>
            <o:lock v:ext="edit"/>
            <v:textbox inset="0mm,0mm,0mm,0mm">
              <w:txbxContent>
                <w:p>
                  <w:pPr>
                    <w:spacing w:before="0" w:line="319" w:lineRule="exact"/>
                    <w:ind w:left="0" w:right="-15" w:firstLine="0"/>
                    <w:jc w:val="left"/>
                    <w:rPr>
                      <w:rFonts w:ascii="微软雅黑" w:eastAsia="微软雅黑"/>
                      <w:b/>
                      <w:color w:val="000000"/>
                      <w:sz w:val="21"/>
                    </w:rPr>
                  </w:pPr>
                  <w:r>
                    <w:rPr>
                      <w:rFonts w:ascii="微软雅黑" w:eastAsia="微软雅黑"/>
                      <w:b/>
                      <w:color w:val="000000"/>
                      <w:sz w:val="21"/>
                    </w:rPr>
                    <w:t>【重要声明】(本概览仅供您更好地理解产品之用，具体的保险责任及责任免除情形以条款正文为准</w:t>
                  </w:r>
                  <w:r>
                    <w:rPr>
                      <w:rFonts w:ascii="微软雅黑" w:eastAsia="微软雅黑"/>
                      <w:b/>
                      <w:color w:val="000000"/>
                      <w:spacing w:val="-10"/>
                      <w:sz w:val="21"/>
                    </w:rPr>
                    <w:t>）</w:t>
                  </w:r>
                </w:p>
              </w:txbxContent>
            </v:textbox>
            <w10:wrap type="topAndBottom"/>
          </v:shape>
        </w:pict>
      </w:r>
    </w:p>
    <w:p>
      <w:pPr>
        <w:pStyle w:val="6"/>
        <w:spacing w:before="5" w:after="1"/>
        <w:rPr>
          <w:rFonts w:ascii="微软雅黑"/>
          <w:b/>
          <w:sz w:val="17"/>
        </w:rPr>
      </w:pPr>
    </w:p>
    <w:tbl>
      <w:tblPr>
        <w:tblStyle w:val="7"/>
        <w:tblW w:w="0" w:type="auto"/>
        <w:tblInd w:w="8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653"/>
        <w:gridCol w:w="3567"/>
        <w:gridCol w:w="41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994" w:type="dxa"/>
          </w:tcPr>
          <w:p>
            <w:pPr>
              <w:pStyle w:val="11"/>
              <w:spacing w:before="43"/>
              <w:ind w:left="134"/>
              <w:rPr>
                <w:rFonts w:ascii="微软雅黑" w:eastAsia="微软雅黑"/>
                <w:b/>
                <w:sz w:val="18"/>
              </w:rPr>
            </w:pPr>
            <w:r>
              <w:rPr>
                <w:rFonts w:ascii="微软雅黑" w:eastAsia="微软雅黑"/>
                <w:b/>
                <w:spacing w:val="-3"/>
                <w:sz w:val="18"/>
              </w:rPr>
              <w:t>保险期间</w:t>
            </w:r>
          </w:p>
        </w:tc>
        <w:tc>
          <w:tcPr>
            <w:tcW w:w="8416" w:type="dxa"/>
            <w:gridSpan w:val="3"/>
          </w:tcPr>
          <w:p>
            <w:pPr>
              <w:pStyle w:val="11"/>
              <w:spacing w:before="100"/>
              <w:ind w:left="3696" w:right="4320"/>
              <w:jc w:val="center"/>
              <w:rPr>
                <w:sz w:val="18"/>
              </w:rPr>
            </w:pPr>
            <w:r>
              <w:rPr>
                <w:spacing w:val="-5"/>
                <w:sz w:val="18"/>
              </w:rPr>
              <w:t>终身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94" w:type="dxa"/>
            <w:vMerge w:val="restart"/>
          </w:tcPr>
          <w:p>
            <w:pPr>
              <w:pStyle w:val="11"/>
              <w:rPr>
                <w:rFonts w:ascii="微软雅黑"/>
                <w:b/>
                <w:sz w:val="18"/>
              </w:rPr>
            </w:pPr>
          </w:p>
          <w:p>
            <w:pPr>
              <w:pStyle w:val="11"/>
              <w:rPr>
                <w:rFonts w:ascii="微软雅黑"/>
                <w:b/>
                <w:sz w:val="18"/>
              </w:rPr>
            </w:pPr>
          </w:p>
          <w:p>
            <w:pPr>
              <w:pStyle w:val="11"/>
              <w:rPr>
                <w:rFonts w:ascii="微软雅黑"/>
                <w:b/>
                <w:sz w:val="18"/>
              </w:rPr>
            </w:pPr>
          </w:p>
          <w:p>
            <w:pPr>
              <w:pStyle w:val="11"/>
              <w:rPr>
                <w:rFonts w:ascii="微软雅黑"/>
                <w:b/>
                <w:sz w:val="18"/>
              </w:rPr>
            </w:pPr>
          </w:p>
          <w:p>
            <w:pPr>
              <w:pStyle w:val="11"/>
              <w:rPr>
                <w:rFonts w:ascii="微软雅黑"/>
                <w:b/>
                <w:sz w:val="18"/>
              </w:rPr>
            </w:pPr>
          </w:p>
          <w:p>
            <w:pPr>
              <w:pStyle w:val="11"/>
              <w:rPr>
                <w:rFonts w:ascii="微软雅黑"/>
                <w:b/>
                <w:sz w:val="18"/>
              </w:rPr>
            </w:pPr>
          </w:p>
          <w:p>
            <w:pPr>
              <w:pStyle w:val="11"/>
              <w:spacing w:before="9"/>
              <w:rPr>
                <w:rFonts w:ascii="微软雅黑"/>
                <w:b/>
                <w:sz w:val="17"/>
              </w:rPr>
            </w:pPr>
          </w:p>
          <w:p>
            <w:pPr>
              <w:pStyle w:val="11"/>
              <w:spacing w:before="1"/>
              <w:ind w:left="134"/>
              <w:rPr>
                <w:rFonts w:ascii="微软雅黑" w:eastAsia="微软雅黑"/>
                <w:b/>
                <w:sz w:val="18"/>
              </w:rPr>
            </w:pPr>
            <w:r>
              <w:rPr>
                <w:rFonts w:ascii="微软雅黑" w:eastAsia="微软雅黑"/>
                <w:b/>
                <w:spacing w:val="-3"/>
                <w:sz w:val="18"/>
              </w:rPr>
              <w:t>保障责任</w:t>
            </w:r>
          </w:p>
        </w:tc>
        <w:tc>
          <w:tcPr>
            <w:tcW w:w="4220" w:type="dxa"/>
            <w:gridSpan w:val="2"/>
            <w:tcBorders>
              <w:bottom w:val="single" w:color="000000" w:sz="6" w:space="0"/>
            </w:tcBorders>
          </w:tcPr>
          <w:p>
            <w:pPr>
              <w:pStyle w:val="11"/>
              <w:spacing w:before="7" w:line="304" w:lineRule="exact"/>
              <w:ind w:left="1736" w:right="1725"/>
              <w:jc w:val="center"/>
              <w:rPr>
                <w:rFonts w:ascii="微软雅黑" w:eastAsia="微软雅黑"/>
                <w:b/>
                <w:sz w:val="18"/>
              </w:rPr>
            </w:pPr>
            <w:r>
              <w:rPr>
                <w:rFonts w:ascii="微软雅黑" w:eastAsia="微软雅黑"/>
                <w:b/>
                <w:spacing w:val="-3"/>
                <w:sz w:val="18"/>
              </w:rPr>
              <w:t>保障内容</w:t>
            </w:r>
          </w:p>
        </w:tc>
        <w:tc>
          <w:tcPr>
            <w:tcW w:w="4196" w:type="dxa"/>
            <w:tcBorders>
              <w:bottom w:val="single" w:color="000000" w:sz="6" w:space="0"/>
            </w:tcBorders>
          </w:tcPr>
          <w:p>
            <w:pPr>
              <w:pStyle w:val="11"/>
              <w:spacing w:before="7" w:line="304" w:lineRule="exact"/>
              <w:ind w:left="1724" w:right="1714"/>
              <w:jc w:val="center"/>
              <w:rPr>
                <w:rFonts w:ascii="微软雅黑" w:eastAsia="微软雅黑"/>
                <w:b/>
                <w:sz w:val="18"/>
              </w:rPr>
            </w:pPr>
            <w:r>
              <w:rPr>
                <w:rFonts w:ascii="微软雅黑" w:eastAsia="微软雅黑"/>
                <w:b/>
                <w:spacing w:val="-3"/>
                <w:sz w:val="18"/>
              </w:rPr>
              <w:t>保障金额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994" w:type="dxa"/>
            <w:vMerge w:val="continue"/>
            <w:tcBorders>
              <w:top w:val="nil"/>
            </w:tcBorders>
          </w:tcPr>
          <w:p>
            <w:pPr>
              <w:rPr>
                <w:sz w:val="2"/>
                <w:szCs w:val="2"/>
              </w:rPr>
            </w:pPr>
          </w:p>
        </w:tc>
        <w:tc>
          <w:tcPr>
            <w:tcW w:w="653" w:type="dxa"/>
            <w:vMerge w:val="restart"/>
            <w:tcBorders>
              <w:top w:val="single" w:color="000000" w:sz="6" w:space="0"/>
            </w:tcBorders>
          </w:tcPr>
          <w:p>
            <w:pPr>
              <w:pStyle w:val="11"/>
              <w:rPr>
                <w:rFonts w:ascii="微软雅黑"/>
                <w:b/>
                <w:sz w:val="18"/>
              </w:rPr>
            </w:pPr>
          </w:p>
          <w:p>
            <w:pPr>
              <w:pStyle w:val="11"/>
              <w:rPr>
                <w:rFonts w:ascii="微软雅黑"/>
                <w:b/>
                <w:sz w:val="18"/>
              </w:rPr>
            </w:pPr>
          </w:p>
          <w:p>
            <w:pPr>
              <w:pStyle w:val="11"/>
              <w:spacing w:before="9"/>
              <w:rPr>
                <w:rFonts w:ascii="微软雅黑"/>
                <w:b/>
                <w:sz w:val="11"/>
              </w:rPr>
            </w:pPr>
          </w:p>
          <w:p>
            <w:pPr>
              <w:pStyle w:val="11"/>
              <w:spacing w:line="187" w:lineRule="auto"/>
              <w:ind w:left="145" w:right="130"/>
              <w:rPr>
                <w:rFonts w:ascii="微软雅黑" w:eastAsia="微软雅黑"/>
                <w:b/>
                <w:sz w:val="18"/>
              </w:rPr>
            </w:pPr>
            <w:r>
              <w:rPr>
                <w:rFonts w:ascii="微软雅黑" w:eastAsia="微软雅黑"/>
                <w:b/>
                <w:spacing w:val="-6"/>
                <w:sz w:val="18"/>
              </w:rPr>
              <w:t>基本</w:t>
            </w:r>
            <w:r>
              <w:rPr>
                <w:rFonts w:ascii="微软雅黑" w:eastAsia="微软雅黑"/>
                <w:b/>
                <w:spacing w:val="-5"/>
                <w:sz w:val="18"/>
              </w:rPr>
              <w:t>责任</w:t>
            </w:r>
          </w:p>
        </w:tc>
        <w:tc>
          <w:tcPr>
            <w:tcW w:w="3567" w:type="dxa"/>
            <w:tcBorders>
              <w:top w:val="single" w:color="000000" w:sz="6" w:space="0"/>
            </w:tcBorders>
          </w:tcPr>
          <w:p>
            <w:pPr>
              <w:pStyle w:val="11"/>
              <w:spacing w:before="26"/>
              <w:ind w:left="107"/>
              <w:rPr>
                <w:sz w:val="18"/>
              </w:rPr>
            </w:pPr>
            <w:r>
              <w:rPr>
                <w:spacing w:val="-1"/>
                <w:sz w:val="18"/>
              </w:rPr>
              <w:t>若被保险人等待期后确诊初次患本合同定</w:t>
            </w:r>
          </w:p>
          <w:p>
            <w:pPr>
              <w:pStyle w:val="11"/>
              <w:spacing w:before="29" w:line="210" w:lineRule="exact"/>
              <w:ind w:left="107"/>
              <w:rPr>
                <w:sz w:val="18"/>
              </w:rPr>
            </w:pPr>
            <w:r>
              <w:rPr>
                <w:spacing w:val="-2"/>
                <w:sz w:val="18"/>
              </w:rPr>
              <w:t>义的重大疾病</w:t>
            </w:r>
          </w:p>
        </w:tc>
        <w:tc>
          <w:tcPr>
            <w:tcW w:w="4196" w:type="dxa"/>
            <w:tcBorders>
              <w:top w:val="single" w:color="000000" w:sz="6" w:space="0"/>
            </w:tcBorders>
          </w:tcPr>
          <w:p>
            <w:pPr>
              <w:pStyle w:val="11"/>
              <w:spacing w:before="26"/>
              <w:ind w:left="109"/>
              <w:rPr>
                <w:sz w:val="18"/>
              </w:rPr>
            </w:pPr>
            <w:r>
              <w:rPr>
                <w:spacing w:val="-5"/>
                <w:sz w:val="18"/>
              </w:rPr>
              <w:t>给付基本保险金额，以一次为限，若合同继续有效，</w:t>
            </w:r>
          </w:p>
          <w:p>
            <w:pPr>
              <w:pStyle w:val="11"/>
              <w:spacing w:before="29" w:line="210" w:lineRule="exact"/>
              <w:ind w:left="107"/>
              <w:rPr>
                <w:sz w:val="18"/>
              </w:rPr>
            </w:pPr>
            <w:r>
              <w:rPr>
                <w:spacing w:val="-1"/>
                <w:sz w:val="18"/>
              </w:rPr>
              <w:t>豁免剩余各期期缴保险费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994" w:type="dxa"/>
            <w:vMerge w:val="continue"/>
            <w:tcBorders>
              <w:top w:val="nil"/>
            </w:tcBorders>
          </w:tcPr>
          <w:p>
            <w:pPr>
              <w:rPr>
                <w:sz w:val="2"/>
                <w:szCs w:val="2"/>
              </w:rPr>
            </w:pPr>
          </w:p>
        </w:tc>
        <w:tc>
          <w:tcPr>
            <w:tcW w:w="653" w:type="dxa"/>
            <w:vMerge w:val="continue"/>
            <w:tcBorders>
              <w:top w:val="nil"/>
            </w:tcBorders>
          </w:tcPr>
          <w:p>
            <w:pPr>
              <w:rPr>
                <w:sz w:val="2"/>
                <w:szCs w:val="2"/>
              </w:rPr>
            </w:pPr>
          </w:p>
        </w:tc>
        <w:tc>
          <w:tcPr>
            <w:tcW w:w="3567" w:type="dxa"/>
          </w:tcPr>
          <w:p>
            <w:pPr>
              <w:pStyle w:val="11"/>
              <w:spacing w:before="19" w:line="260" w:lineRule="atLeast"/>
              <w:ind w:left="107" w:right="95"/>
              <w:rPr>
                <w:sz w:val="18"/>
              </w:rPr>
            </w:pPr>
            <w:r>
              <w:rPr>
                <w:spacing w:val="-2"/>
                <w:sz w:val="18"/>
              </w:rPr>
              <w:t>若被保险人等待期后确诊初次患本合同定义的中症疾病</w:t>
            </w:r>
          </w:p>
        </w:tc>
        <w:tc>
          <w:tcPr>
            <w:tcW w:w="4196" w:type="dxa"/>
          </w:tcPr>
          <w:p>
            <w:pPr>
              <w:pStyle w:val="11"/>
              <w:spacing w:before="13"/>
              <w:rPr>
                <w:rFonts w:ascii="微软雅黑"/>
                <w:b/>
                <w:sz w:val="9"/>
              </w:rPr>
            </w:pPr>
          </w:p>
          <w:p>
            <w:pPr>
              <w:pStyle w:val="11"/>
              <w:spacing w:before="1"/>
              <w:ind w:left="109"/>
              <w:rPr>
                <w:sz w:val="18"/>
              </w:rPr>
            </w:pPr>
            <w:r>
              <w:rPr>
                <w:spacing w:val="-4"/>
                <w:sz w:val="18"/>
              </w:rPr>
              <w:t xml:space="preserve">给付基本保险金额的 </w:t>
            </w:r>
            <w:r>
              <w:rPr>
                <w:spacing w:val="-2"/>
                <w:sz w:val="18"/>
              </w:rPr>
              <w:t>60</w:t>
            </w:r>
            <w:r>
              <w:rPr>
                <w:spacing w:val="-4"/>
                <w:sz w:val="18"/>
              </w:rPr>
              <w:t>%，以两次为限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vMerge w:val="continue"/>
            <w:tcBorders>
              <w:top w:val="nil"/>
            </w:tcBorders>
          </w:tcPr>
          <w:p>
            <w:pPr>
              <w:rPr>
                <w:sz w:val="2"/>
                <w:szCs w:val="2"/>
              </w:rPr>
            </w:pPr>
          </w:p>
        </w:tc>
        <w:tc>
          <w:tcPr>
            <w:tcW w:w="653" w:type="dxa"/>
            <w:vMerge w:val="continue"/>
            <w:tcBorders>
              <w:top w:val="nil"/>
            </w:tcBorders>
          </w:tcPr>
          <w:p>
            <w:pPr>
              <w:rPr>
                <w:sz w:val="2"/>
                <w:szCs w:val="2"/>
              </w:rPr>
            </w:pPr>
          </w:p>
        </w:tc>
        <w:tc>
          <w:tcPr>
            <w:tcW w:w="3567" w:type="dxa"/>
          </w:tcPr>
          <w:p>
            <w:pPr>
              <w:pStyle w:val="11"/>
              <w:spacing w:line="260" w:lineRule="atLeast"/>
              <w:ind w:left="107" w:right="95"/>
              <w:rPr>
                <w:sz w:val="18"/>
              </w:rPr>
            </w:pPr>
            <w:r>
              <w:rPr>
                <w:spacing w:val="-2"/>
                <w:sz w:val="18"/>
              </w:rPr>
              <w:t>若被保险人等待期后确诊初次患本合同定义的轻症疾病</w:t>
            </w:r>
          </w:p>
        </w:tc>
        <w:tc>
          <w:tcPr>
            <w:tcW w:w="4196" w:type="dxa"/>
          </w:tcPr>
          <w:p>
            <w:pPr>
              <w:pStyle w:val="11"/>
              <w:spacing w:before="160"/>
              <w:ind w:left="109"/>
              <w:rPr>
                <w:sz w:val="18"/>
              </w:rPr>
            </w:pPr>
            <w:r>
              <w:rPr>
                <w:spacing w:val="-4"/>
                <w:sz w:val="18"/>
              </w:rPr>
              <w:t xml:space="preserve">给付基本保险金额的 </w:t>
            </w:r>
            <w:r>
              <w:rPr>
                <w:spacing w:val="-2"/>
                <w:sz w:val="18"/>
              </w:rPr>
              <w:t>30</w:t>
            </w:r>
            <w:r>
              <w:rPr>
                <w:spacing w:val="-4"/>
                <w:sz w:val="18"/>
              </w:rPr>
              <w:t>%，以三次为限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994" w:type="dxa"/>
            <w:vMerge w:val="continue"/>
            <w:tcBorders>
              <w:top w:val="nil"/>
            </w:tcBorders>
          </w:tcPr>
          <w:p>
            <w:pPr>
              <w:rPr>
                <w:sz w:val="2"/>
                <w:szCs w:val="2"/>
              </w:rPr>
            </w:pPr>
          </w:p>
        </w:tc>
        <w:tc>
          <w:tcPr>
            <w:tcW w:w="653" w:type="dxa"/>
            <w:vMerge w:val="continue"/>
            <w:tcBorders>
              <w:top w:val="nil"/>
            </w:tcBorders>
          </w:tcPr>
          <w:p>
            <w:pPr>
              <w:rPr>
                <w:sz w:val="2"/>
                <w:szCs w:val="2"/>
              </w:rPr>
            </w:pPr>
          </w:p>
        </w:tc>
        <w:tc>
          <w:tcPr>
            <w:tcW w:w="3567" w:type="dxa"/>
          </w:tcPr>
          <w:p>
            <w:pPr>
              <w:pStyle w:val="11"/>
              <w:spacing w:before="17"/>
              <w:rPr>
                <w:rFonts w:ascii="微软雅黑"/>
                <w:b/>
                <w:sz w:val="10"/>
              </w:rPr>
            </w:pPr>
          </w:p>
          <w:p>
            <w:pPr>
              <w:pStyle w:val="11"/>
              <w:ind w:left="107"/>
              <w:rPr>
                <w:sz w:val="18"/>
              </w:rPr>
            </w:pPr>
            <w:r>
              <w:rPr>
                <w:spacing w:val="-1"/>
                <w:sz w:val="18"/>
              </w:rPr>
              <w:t>若被保险人等待期后身故</w:t>
            </w:r>
          </w:p>
        </w:tc>
        <w:tc>
          <w:tcPr>
            <w:tcW w:w="4196" w:type="dxa"/>
          </w:tcPr>
          <w:p>
            <w:pPr>
              <w:pStyle w:val="11"/>
              <w:spacing w:before="69"/>
              <w:ind w:left="109"/>
              <w:rPr>
                <w:sz w:val="18"/>
              </w:rPr>
            </w:pPr>
            <w:r>
              <w:rPr>
                <w:spacing w:val="-6"/>
                <w:sz w:val="18"/>
              </w:rPr>
              <w:t xml:space="preserve">若被保险人在 </w:t>
            </w:r>
            <w:r>
              <w:rPr>
                <w:spacing w:val="-2"/>
                <w:sz w:val="18"/>
              </w:rPr>
              <w:t>18</w:t>
            </w:r>
            <w:r>
              <w:rPr>
                <w:spacing w:val="-8"/>
                <w:sz w:val="18"/>
              </w:rPr>
              <w:t xml:space="preserve"> 周岁前身故，给付已交纳的保险</w:t>
            </w:r>
          </w:p>
          <w:p>
            <w:pPr>
              <w:pStyle w:val="11"/>
              <w:spacing w:before="31"/>
              <w:ind w:left="109"/>
              <w:rPr>
                <w:sz w:val="18"/>
              </w:rPr>
            </w:pPr>
            <w:r>
              <w:rPr>
                <w:spacing w:val="-9"/>
                <w:sz w:val="18"/>
              </w:rPr>
              <w:t xml:space="preserve">费，在 </w:t>
            </w:r>
            <w:r>
              <w:rPr>
                <w:spacing w:val="-2"/>
                <w:sz w:val="18"/>
              </w:rPr>
              <w:t>18</w:t>
            </w:r>
            <w:r>
              <w:rPr>
                <w:spacing w:val="-10"/>
                <w:sz w:val="18"/>
              </w:rPr>
              <w:t xml:space="preserve"> 周岁</w:t>
            </w:r>
            <w:r>
              <w:rPr>
                <w:spacing w:val="-2"/>
                <w:sz w:val="18"/>
              </w:rPr>
              <w:t>（含）</w:t>
            </w:r>
            <w:r>
              <w:rPr>
                <w:spacing w:val="-3"/>
                <w:sz w:val="18"/>
              </w:rPr>
              <w:t>后身故，给付基本保险金额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994" w:type="dxa"/>
            <w:vMerge w:val="continue"/>
            <w:tcBorders>
              <w:top w:val="nil"/>
            </w:tcBorders>
          </w:tcPr>
          <w:p>
            <w:pPr>
              <w:rPr>
                <w:sz w:val="2"/>
                <w:szCs w:val="2"/>
              </w:rPr>
            </w:pPr>
          </w:p>
        </w:tc>
        <w:tc>
          <w:tcPr>
            <w:tcW w:w="653" w:type="dxa"/>
          </w:tcPr>
          <w:p>
            <w:pPr>
              <w:pStyle w:val="11"/>
              <w:spacing w:before="37" w:line="187" w:lineRule="auto"/>
              <w:ind w:left="145" w:right="130"/>
              <w:jc w:val="center"/>
              <w:rPr>
                <w:rFonts w:ascii="微软雅黑" w:eastAsia="微软雅黑"/>
                <w:b/>
                <w:sz w:val="18"/>
              </w:rPr>
            </w:pPr>
            <w:r>
              <w:rPr>
                <w:rFonts w:ascii="微软雅黑" w:eastAsia="微软雅黑"/>
                <w:b/>
                <w:spacing w:val="-6"/>
                <w:sz w:val="18"/>
              </w:rPr>
              <w:t>可选</w:t>
            </w:r>
            <w:r>
              <w:rPr>
                <w:rFonts w:ascii="微软雅黑" w:eastAsia="微软雅黑"/>
                <w:b/>
                <w:spacing w:val="-5"/>
                <w:sz w:val="18"/>
              </w:rPr>
              <w:t>方案</w:t>
            </w:r>
          </w:p>
          <w:p>
            <w:pPr>
              <w:pStyle w:val="11"/>
              <w:spacing w:line="233" w:lineRule="exact"/>
              <w:ind w:left="10"/>
              <w:jc w:val="center"/>
              <w:rPr>
                <w:rFonts w:ascii="微软雅黑" w:eastAsia="微软雅黑"/>
                <w:b/>
                <w:sz w:val="18"/>
              </w:rPr>
            </w:pPr>
            <w:r>
              <w:rPr>
                <w:rFonts w:ascii="微软雅黑" w:eastAsia="微软雅黑"/>
                <w:b/>
                <w:sz w:val="18"/>
              </w:rPr>
              <w:t>一</w:t>
            </w:r>
          </w:p>
        </w:tc>
        <w:tc>
          <w:tcPr>
            <w:tcW w:w="3567" w:type="dxa"/>
          </w:tcPr>
          <w:p>
            <w:pPr>
              <w:pStyle w:val="11"/>
              <w:spacing w:before="43" w:line="268" w:lineRule="auto"/>
              <w:ind w:left="107" w:right="89"/>
              <w:rPr>
                <w:sz w:val="18"/>
              </w:rPr>
            </w:pPr>
            <w:r>
              <w:rPr>
                <w:spacing w:val="-2"/>
                <w:sz w:val="18"/>
              </w:rPr>
              <w:t>若被保险人自第一次重大疾病确诊365天以</w:t>
            </w:r>
            <w:r>
              <w:rPr>
                <w:spacing w:val="-10"/>
                <w:sz w:val="18"/>
              </w:rPr>
              <w:t>后，确诊患与第一次重大疾病不同种类的其</w:t>
            </w:r>
          </w:p>
          <w:p>
            <w:pPr>
              <w:pStyle w:val="11"/>
              <w:spacing w:before="4" w:line="225" w:lineRule="exact"/>
              <w:ind w:left="107"/>
              <w:rPr>
                <w:sz w:val="18"/>
              </w:rPr>
            </w:pPr>
            <w:r>
              <w:rPr>
                <w:spacing w:val="-2"/>
                <w:sz w:val="18"/>
              </w:rPr>
              <w:t>他重大疾病</w:t>
            </w:r>
          </w:p>
        </w:tc>
        <w:tc>
          <w:tcPr>
            <w:tcW w:w="4196" w:type="dxa"/>
          </w:tcPr>
          <w:p>
            <w:pPr>
              <w:pStyle w:val="11"/>
              <w:spacing w:before="7"/>
              <w:rPr>
                <w:rFonts w:ascii="微软雅黑"/>
                <w:b/>
                <w:sz w:val="16"/>
              </w:rPr>
            </w:pPr>
          </w:p>
          <w:p>
            <w:pPr>
              <w:pStyle w:val="11"/>
              <w:ind w:left="109"/>
              <w:rPr>
                <w:sz w:val="18"/>
              </w:rPr>
            </w:pPr>
            <w:r>
              <w:rPr>
                <w:spacing w:val="-1"/>
                <w:sz w:val="18"/>
              </w:rPr>
              <w:t>给付基本保险金额，以一次为限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vMerge w:val="continue"/>
            <w:tcBorders>
              <w:top w:val="nil"/>
            </w:tcBorders>
          </w:tcPr>
          <w:p>
            <w:pPr>
              <w:rPr>
                <w:sz w:val="2"/>
                <w:szCs w:val="2"/>
              </w:rPr>
            </w:pPr>
          </w:p>
        </w:tc>
        <w:tc>
          <w:tcPr>
            <w:tcW w:w="653" w:type="dxa"/>
            <w:vMerge w:val="restart"/>
          </w:tcPr>
          <w:p>
            <w:pPr>
              <w:pStyle w:val="11"/>
              <w:spacing w:before="160" w:line="187" w:lineRule="auto"/>
              <w:ind w:left="145" w:right="130"/>
              <w:jc w:val="both"/>
              <w:rPr>
                <w:rFonts w:ascii="微软雅黑" w:eastAsia="微软雅黑"/>
                <w:b/>
                <w:sz w:val="18"/>
              </w:rPr>
            </w:pPr>
            <w:r>
              <w:rPr>
                <w:rFonts w:ascii="微软雅黑" w:eastAsia="微软雅黑"/>
                <w:b/>
                <w:spacing w:val="-6"/>
                <w:sz w:val="18"/>
              </w:rPr>
              <w:t>可选方案</w:t>
            </w:r>
            <w:r>
              <w:rPr>
                <w:rFonts w:ascii="微软雅黑" w:eastAsia="微软雅黑"/>
                <w:b/>
                <w:spacing w:val="-10"/>
                <w:sz w:val="18"/>
              </w:rPr>
              <w:t>二</w:t>
            </w:r>
          </w:p>
        </w:tc>
        <w:tc>
          <w:tcPr>
            <w:tcW w:w="3567" w:type="dxa"/>
          </w:tcPr>
          <w:p>
            <w:pPr>
              <w:pStyle w:val="11"/>
              <w:spacing w:before="28"/>
              <w:ind w:left="107"/>
              <w:rPr>
                <w:sz w:val="18"/>
              </w:rPr>
            </w:pPr>
            <w:r>
              <w:rPr>
                <w:spacing w:val="-9"/>
                <w:sz w:val="18"/>
              </w:rPr>
              <w:t>若被保险人第二次确诊发生“恶性肿瘤——</w:t>
            </w:r>
          </w:p>
          <w:p>
            <w:pPr>
              <w:pStyle w:val="11"/>
              <w:spacing w:before="31" w:line="210" w:lineRule="exact"/>
              <w:ind w:left="107"/>
              <w:rPr>
                <w:sz w:val="18"/>
              </w:rPr>
            </w:pPr>
            <w:r>
              <w:rPr>
                <w:spacing w:val="-4"/>
                <w:sz w:val="18"/>
              </w:rPr>
              <w:t>重度”</w:t>
            </w:r>
          </w:p>
        </w:tc>
        <w:tc>
          <w:tcPr>
            <w:tcW w:w="4196" w:type="dxa"/>
          </w:tcPr>
          <w:p>
            <w:pPr>
              <w:pStyle w:val="11"/>
              <w:spacing w:before="28"/>
              <w:ind w:left="109"/>
              <w:rPr>
                <w:sz w:val="18"/>
              </w:rPr>
            </w:pPr>
            <w:r>
              <w:rPr>
                <w:sz w:val="18"/>
              </w:rPr>
              <w:t>给付基本保险金额，以一次为限（</w:t>
            </w:r>
            <w:r>
              <w:rPr>
                <w:spacing w:val="-2"/>
                <w:sz w:val="18"/>
              </w:rPr>
              <w:t>再次确诊患恶性</w:t>
            </w:r>
          </w:p>
          <w:p>
            <w:pPr>
              <w:pStyle w:val="11"/>
              <w:spacing w:before="31" w:line="210" w:lineRule="exact"/>
              <w:ind w:left="109"/>
              <w:rPr>
                <w:sz w:val="18"/>
              </w:rPr>
            </w:pPr>
            <w:r>
              <w:rPr>
                <w:sz w:val="18"/>
              </w:rPr>
              <w:t>肿瘤——重度需间隔满三年</w:t>
            </w:r>
            <w:r>
              <w:rPr>
                <w:spacing w:val="-10"/>
                <w:sz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4" w:type="dxa"/>
            <w:vMerge w:val="continue"/>
            <w:tcBorders>
              <w:top w:val="nil"/>
            </w:tcBorders>
          </w:tcPr>
          <w:p>
            <w:pPr>
              <w:rPr>
                <w:sz w:val="2"/>
                <w:szCs w:val="2"/>
              </w:rPr>
            </w:pPr>
          </w:p>
        </w:tc>
        <w:tc>
          <w:tcPr>
            <w:tcW w:w="653" w:type="dxa"/>
            <w:vMerge w:val="continue"/>
            <w:tcBorders>
              <w:top w:val="nil"/>
            </w:tcBorders>
          </w:tcPr>
          <w:p>
            <w:pPr>
              <w:rPr>
                <w:sz w:val="2"/>
                <w:szCs w:val="2"/>
              </w:rPr>
            </w:pPr>
          </w:p>
        </w:tc>
        <w:tc>
          <w:tcPr>
            <w:tcW w:w="3567" w:type="dxa"/>
          </w:tcPr>
          <w:p>
            <w:pPr>
              <w:pStyle w:val="11"/>
              <w:spacing w:line="260" w:lineRule="atLeast"/>
              <w:ind w:left="107" w:right="94"/>
              <w:rPr>
                <w:sz w:val="18"/>
              </w:rPr>
            </w:pPr>
            <w:r>
              <w:rPr>
                <w:spacing w:val="-8"/>
                <w:sz w:val="18"/>
              </w:rPr>
              <w:t>若被保险人第二次确诊发生“心脑血管特定</w:t>
            </w:r>
            <w:r>
              <w:rPr>
                <w:spacing w:val="-4"/>
                <w:sz w:val="18"/>
              </w:rPr>
              <w:t>疾病”</w:t>
            </w:r>
          </w:p>
        </w:tc>
        <w:tc>
          <w:tcPr>
            <w:tcW w:w="4196" w:type="dxa"/>
          </w:tcPr>
          <w:p>
            <w:pPr>
              <w:pStyle w:val="11"/>
              <w:spacing w:line="260" w:lineRule="atLeast"/>
              <w:ind w:left="109" w:right="96"/>
              <w:rPr>
                <w:sz w:val="18"/>
              </w:rPr>
            </w:pPr>
            <w:r>
              <w:rPr>
                <w:spacing w:val="-2"/>
                <w:sz w:val="18"/>
              </w:rPr>
              <w:t>给付基本保险金额，以一次为限（再次确诊患心脑血管特定疾病需间隔满三年）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994" w:type="dxa"/>
            <w:vMerge w:val="continue"/>
            <w:tcBorders>
              <w:top w:val="nil"/>
            </w:tcBorders>
          </w:tcPr>
          <w:p>
            <w:pPr>
              <w:rPr>
                <w:sz w:val="2"/>
                <w:szCs w:val="2"/>
              </w:rPr>
            </w:pPr>
          </w:p>
        </w:tc>
        <w:tc>
          <w:tcPr>
            <w:tcW w:w="8416" w:type="dxa"/>
            <w:gridSpan w:val="3"/>
          </w:tcPr>
          <w:p>
            <w:pPr>
              <w:pStyle w:val="11"/>
              <w:spacing w:before="139"/>
              <w:ind w:left="109"/>
              <w:rPr>
                <w:sz w:val="18"/>
              </w:rPr>
            </w:pPr>
            <w:r>
              <w:rPr>
                <w:spacing w:val="-1"/>
                <w:sz w:val="18"/>
              </w:rPr>
              <w:t>注：因意外伤害导致的保险事故，不受等待期限制</w:t>
            </w:r>
          </w:p>
        </w:tc>
      </w:tr>
    </w:tbl>
    <w:p>
      <w:pPr>
        <w:pStyle w:val="6"/>
        <w:spacing w:before="12"/>
        <w:rPr>
          <w:rFonts w:ascii="微软雅黑"/>
          <w:b/>
          <w:sz w:val="11"/>
        </w:rPr>
      </w:pPr>
      <w:r>
        <w:drawing>
          <wp:anchor distT="0" distB="0" distL="0" distR="0" simplePos="0" relativeHeight="251699200" behindDoc="1" locked="0" layoutInCell="1" allowOverlap="1">
            <wp:simplePos x="0" y="0"/>
            <wp:positionH relativeFrom="page">
              <wp:posOffset>2776855</wp:posOffset>
            </wp:positionH>
            <wp:positionV relativeFrom="paragraph">
              <wp:posOffset>151765</wp:posOffset>
            </wp:positionV>
            <wp:extent cx="2456180" cy="523875"/>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1" cstate="print"/>
                    <a:stretch>
                      <a:fillRect/>
                    </a:stretch>
                  </pic:blipFill>
                  <pic:spPr>
                    <a:xfrm>
                      <a:off x="0" y="0"/>
                      <a:ext cx="2456179" cy="523875"/>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2840990</wp:posOffset>
            </wp:positionH>
            <wp:positionV relativeFrom="paragraph">
              <wp:posOffset>252730</wp:posOffset>
            </wp:positionV>
            <wp:extent cx="9525" cy="35369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2" cstate="print"/>
                    <a:stretch>
                      <a:fillRect/>
                    </a:stretch>
                  </pic:blipFill>
                  <pic:spPr>
                    <a:xfrm>
                      <a:off x="0" y="0"/>
                      <a:ext cx="9525" cy="353694"/>
                    </a:xfrm>
                    <a:prstGeom prst="rect">
                      <a:avLst/>
                    </a:prstGeom>
                  </pic:spPr>
                </pic:pic>
              </a:graphicData>
            </a:graphic>
          </wp:anchor>
        </w:drawing>
      </w:r>
      <w:r>
        <w:pict>
          <v:shape id="docshape3" o:spid="_x0000_s1028" o:spt="202" type="#_x0000_t202" style="position:absolute;left:0pt;margin-left:218.65pt;margin-top:11.95pt;height:41.25pt;width:193.4pt;mso-position-horizontal-relative:page;mso-wrap-distance-bottom:0pt;mso-wrap-distance-top:0pt;z-index:-251585536;mso-width-relative:page;mso-height-relative:page;" filled="f" stroked="f" coordsize="21600,21600">
            <v:path/>
            <v:fill on="f" focussize="0,0"/>
            <v:stroke on="f" joinstyle="miter"/>
            <v:imagedata o:title=""/>
            <o:lock v:ext="edit"/>
            <v:textbox inset="0mm,0mm,0mm,0mm">
              <w:txbxContent>
                <w:p>
                  <w:pPr>
                    <w:spacing w:before="187"/>
                    <w:ind w:left="552" w:right="0" w:firstLine="0"/>
                    <w:jc w:val="left"/>
                    <w:rPr>
                      <w:rFonts w:ascii="微软雅黑" w:eastAsia="微软雅黑"/>
                      <w:b/>
                      <w:sz w:val="24"/>
                    </w:rPr>
                  </w:pPr>
                  <w:r>
                    <w:rPr>
                      <w:rFonts w:ascii="微软雅黑" w:eastAsia="微软雅黑"/>
                      <w:b/>
                      <w:spacing w:val="-1"/>
                      <w:sz w:val="24"/>
                    </w:rPr>
                    <w:t>您需要注意的几个关键期间</w:t>
                  </w:r>
                </w:p>
              </w:txbxContent>
            </v:textbox>
            <w10:wrap type="topAndBottom"/>
          </v:shape>
        </w:pict>
      </w:r>
    </w:p>
    <w:p>
      <w:pPr>
        <w:spacing w:before="95" w:line="213" w:lineRule="auto"/>
        <w:ind w:left="2089" w:right="477" w:firstLine="0"/>
        <w:jc w:val="left"/>
        <w:rPr>
          <w:sz w:val="18"/>
        </w:rPr>
      </w:pPr>
      <w:r>
        <w:rPr>
          <w:rFonts w:ascii="微软雅黑" w:eastAsia="微软雅黑"/>
          <w:b/>
          <w:spacing w:val="-2"/>
          <w:sz w:val="21"/>
        </w:rPr>
        <w:t>犹豫期：</w:t>
      </w:r>
      <w:r>
        <w:rPr>
          <w:spacing w:val="-2"/>
          <w:sz w:val="18"/>
        </w:rPr>
        <w:t>自收到本合同之日起有15日的犹豫期，在犹豫期内您可向我们书面提出解除本合同的申请，合同解除前发生的保险事故我们不承担保险责任，我们将向您退还所有已缴的保险费。如果您在犹豫期</w:t>
      </w:r>
    </w:p>
    <w:p>
      <w:pPr>
        <w:spacing w:before="35"/>
        <w:ind w:left="2089" w:right="0" w:firstLine="0"/>
        <w:jc w:val="left"/>
        <w:rPr>
          <w:sz w:val="18"/>
        </w:rPr>
      </w:pPr>
      <w:r>
        <w:drawing>
          <wp:anchor distT="0" distB="0" distL="0" distR="0" simplePos="0" relativeHeight="251661312" behindDoc="0" locked="0" layoutInCell="1" allowOverlap="1">
            <wp:simplePos x="0" y="0"/>
            <wp:positionH relativeFrom="page">
              <wp:posOffset>848360</wp:posOffset>
            </wp:positionH>
            <wp:positionV relativeFrom="paragraph">
              <wp:posOffset>-401955</wp:posOffset>
            </wp:positionV>
            <wp:extent cx="717550" cy="39497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3" cstate="print"/>
                    <a:stretch>
                      <a:fillRect/>
                    </a:stretch>
                  </pic:blipFill>
                  <pic:spPr>
                    <a:xfrm>
                      <a:off x="0" y="0"/>
                      <a:ext cx="717422" cy="394969"/>
                    </a:xfrm>
                    <a:prstGeom prst="rect">
                      <a:avLst/>
                    </a:prstGeom>
                  </pic:spPr>
                </pic:pic>
              </a:graphicData>
            </a:graphic>
          </wp:anchor>
        </w:drawing>
      </w:r>
      <w:r>
        <w:pict>
          <v:shape id="docshape4" o:spid="_x0000_s1029" o:spt="202" type="#_x0000_t202" style="position:absolute;left:0pt;margin-left:66.8pt;margin-top:-31.65pt;height:31.1pt;width:56.5pt;mso-position-horizontal-relative:page;z-index:251662336;mso-width-relative:page;mso-height-relative:page;" filled="f" stroked="f" coordsize="21600,21600">
            <v:path/>
            <v:fill on="f" focussize="0,0"/>
            <v:stroke on="f" joinstyle="miter"/>
            <v:imagedata o:title=""/>
            <o:lock v:ext="edit"/>
            <v:textbox inset="0mm,0mm,0mm,0mm">
              <w:txbxContent>
                <w:p>
                  <w:pPr>
                    <w:spacing w:before="113"/>
                    <w:ind w:left="300" w:right="0" w:firstLine="0"/>
                    <w:jc w:val="left"/>
                    <w:rPr>
                      <w:rFonts w:ascii="微软雅黑" w:eastAsia="微软雅黑"/>
                      <w:b/>
                      <w:sz w:val="21"/>
                    </w:rPr>
                  </w:pPr>
                  <w:r>
                    <w:rPr>
                      <w:rFonts w:ascii="Times New Roman" w:eastAsia="Times New Roman"/>
                      <w:b/>
                      <w:sz w:val="21"/>
                    </w:rPr>
                    <w:t>15</w:t>
                  </w:r>
                  <w:r>
                    <w:rPr>
                      <w:rFonts w:ascii="Times New Roman" w:eastAsia="Times New Roman"/>
                      <w:b/>
                      <w:spacing w:val="-3"/>
                      <w:sz w:val="21"/>
                    </w:rPr>
                    <w:t xml:space="preserve"> </w:t>
                  </w:r>
                  <w:r>
                    <w:rPr>
                      <w:rFonts w:ascii="微软雅黑" w:eastAsia="微软雅黑"/>
                      <w:b/>
                      <w:spacing w:val="-10"/>
                      <w:sz w:val="21"/>
                    </w:rPr>
                    <w:t>天</w:t>
                  </w:r>
                </w:p>
              </w:txbxContent>
            </v:textbox>
          </v:shape>
        </w:pict>
      </w:r>
      <w:r>
        <w:drawing>
          <wp:anchor distT="0" distB="0" distL="0" distR="0" simplePos="0" relativeHeight="251662336" behindDoc="0" locked="0" layoutInCell="1" allowOverlap="1">
            <wp:simplePos x="0" y="0"/>
            <wp:positionH relativeFrom="page">
              <wp:posOffset>948055</wp:posOffset>
            </wp:positionH>
            <wp:positionV relativeFrom="paragraph">
              <wp:posOffset>69215</wp:posOffset>
            </wp:positionV>
            <wp:extent cx="127635" cy="7366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4" cstate="print"/>
                    <a:stretch>
                      <a:fillRect/>
                    </a:stretch>
                  </pic:blipFill>
                  <pic:spPr>
                    <a:xfrm>
                      <a:off x="0" y="0"/>
                      <a:ext cx="127533" cy="73786"/>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812800</wp:posOffset>
            </wp:positionH>
            <wp:positionV relativeFrom="paragraph">
              <wp:posOffset>229235</wp:posOffset>
            </wp:positionV>
            <wp:extent cx="819785" cy="45339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5" cstate="print"/>
                    <a:stretch>
                      <a:fillRect/>
                    </a:stretch>
                  </pic:blipFill>
                  <pic:spPr>
                    <a:xfrm>
                      <a:off x="0" y="0"/>
                      <a:ext cx="819632" cy="453517"/>
                    </a:xfrm>
                    <a:prstGeom prst="rect">
                      <a:avLst/>
                    </a:prstGeom>
                  </pic:spPr>
                </pic:pic>
              </a:graphicData>
            </a:graphic>
          </wp:anchor>
        </w:drawing>
      </w:r>
      <w:r>
        <w:pict>
          <v:shape id="docshape5" o:spid="_x0000_s1030" o:spt="202" type="#_x0000_t202" style="position:absolute;left:0pt;margin-left:64pt;margin-top:18.05pt;height:35.75pt;width:64.55pt;mso-position-horizontal-relative:page;z-index:251666432;mso-width-relative:page;mso-height-relative:page;" filled="f" stroked="f" coordsize="21600,21600">
            <v:path/>
            <v:fill on="f" focussize="0,0"/>
            <v:stroke on="f" joinstyle="miter"/>
            <v:imagedata o:title=""/>
            <o:lock v:ext="edit"/>
            <v:textbox inset="0mm,0mm,0mm,0mm">
              <w:txbxContent>
                <w:p>
                  <w:pPr>
                    <w:spacing w:before="192"/>
                    <w:ind w:left="342" w:right="0" w:firstLine="0"/>
                    <w:jc w:val="left"/>
                    <w:rPr>
                      <w:rFonts w:ascii="微软雅黑" w:eastAsia="微软雅黑"/>
                      <w:b/>
                      <w:sz w:val="21"/>
                    </w:rPr>
                  </w:pPr>
                  <w:r>
                    <w:rPr>
                      <w:rFonts w:ascii="Times New Roman" w:eastAsia="Times New Roman"/>
                      <w:b/>
                      <w:sz w:val="21"/>
                    </w:rPr>
                    <w:t>180</w:t>
                  </w:r>
                  <w:r>
                    <w:rPr>
                      <w:rFonts w:ascii="Times New Roman" w:eastAsia="Times New Roman"/>
                      <w:b/>
                      <w:spacing w:val="-3"/>
                      <w:sz w:val="21"/>
                    </w:rPr>
                    <w:t xml:space="preserve"> </w:t>
                  </w:r>
                  <w:r>
                    <w:rPr>
                      <w:rFonts w:ascii="微软雅黑" w:eastAsia="微软雅黑"/>
                      <w:b/>
                      <w:spacing w:val="-10"/>
                      <w:sz w:val="21"/>
                    </w:rPr>
                    <w:t>天</w:t>
                  </w:r>
                </w:p>
              </w:txbxContent>
            </v:textbox>
          </v:shape>
        </w:pict>
      </w:r>
      <w:r>
        <w:rPr>
          <w:spacing w:val="-1"/>
          <w:sz w:val="18"/>
        </w:rPr>
        <w:t>后解除合同，将会承担一定的损失。</w:t>
      </w:r>
    </w:p>
    <w:p>
      <w:pPr>
        <w:pStyle w:val="6"/>
        <w:spacing w:before="5"/>
        <w:rPr>
          <w:sz w:val="17"/>
        </w:rPr>
      </w:pPr>
    </w:p>
    <w:p>
      <w:pPr>
        <w:spacing w:before="1" w:line="213" w:lineRule="auto"/>
        <w:ind w:left="2089" w:right="532" w:firstLine="0"/>
        <w:jc w:val="left"/>
        <w:rPr>
          <w:sz w:val="18"/>
        </w:rPr>
      </w:pPr>
      <w:r>
        <w:rPr>
          <w:rFonts w:ascii="微软雅黑" w:eastAsia="微软雅黑"/>
          <w:b/>
          <w:spacing w:val="-2"/>
          <w:sz w:val="21"/>
        </w:rPr>
        <w:t>等待期：</w:t>
      </w:r>
      <w:r>
        <w:rPr>
          <w:spacing w:val="-2"/>
          <w:sz w:val="18"/>
        </w:rPr>
        <w:t>本合同生效（或本合同中止后最后复效）</w:t>
      </w:r>
      <w:r>
        <w:rPr>
          <w:spacing w:val="-7"/>
          <w:sz w:val="18"/>
        </w:rPr>
        <w:t xml:space="preserve">之日起 </w:t>
      </w:r>
      <w:r>
        <w:rPr>
          <w:spacing w:val="-2"/>
          <w:sz w:val="18"/>
        </w:rPr>
        <w:t>180</w:t>
      </w:r>
      <w:r>
        <w:rPr>
          <w:spacing w:val="-11"/>
          <w:sz w:val="18"/>
        </w:rPr>
        <w:t xml:space="preserve"> 天</w:t>
      </w:r>
      <w:r>
        <w:rPr>
          <w:spacing w:val="-2"/>
          <w:sz w:val="18"/>
        </w:rPr>
        <w:t>（含当日）的时间为等待期。若在等</w:t>
      </w:r>
      <w:r>
        <w:rPr>
          <w:spacing w:val="-3"/>
          <w:sz w:val="18"/>
        </w:rPr>
        <w:t>待期内被保险人身故，或经医学检查确诊初次患本合同定义的重大疾病、中症疾病、轻症疾病，我们不</w:t>
      </w:r>
    </w:p>
    <w:p>
      <w:pPr>
        <w:spacing w:before="38"/>
        <w:ind w:left="2089" w:right="0" w:firstLine="0"/>
        <w:jc w:val="left"/>
        <w:rPr>
          <w:sz w:val="18"/>
        </w:rPr>
      </w:pPr>
      <w:r>
        <w:drawing>
          <wp:anchor distT="0" distB="0" distL="0" distR="0" simplePos="0" relativeHeight="251666432" behindDoc="0" locked="0" layoutInCell="1" allowOverlap="1">
            <wp:simplePos x="0" y="0"/>
            <wp:positionH relativeFrom="page">
              <wp:posOffset>956310</wp:posOffset>
            </wp:positionH>
            <wp:positionV relativeFrom="paragraph">
              <wp:posOffset>96520</wp:posOffset>
            </wp:positionV>
            <wp:extent cx="138430" cy="7493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6" cstate="print"/>
                    <a:stretch>
                      <a:fillRect/>
                    </a:stretch>
                  </pic:blipFill>
                  <pic:spPr>
                    <a:xfrm>
                      <a:off x="0" y="0"/>
                      <a:ext cx="138633" cy="75184"/>
                    </a:xfrm>
                    <a:prstGeom prst="rect">
                      <a:avLst/>
                    </a:prstGeom>
                  </pic:spPr>
                </pic:pic>
              </a:graphicData>
            </a:graphic>
          </wp:anchor>
        </w:drawing>
      </w:r>
      <w:r>
        <w:rPr>
          <w:spacing w:val="-1"/>
          <w:sz w:val="18"/>
        </w:rPr>
        <w:t>承担给付保险金的责任，本合同效力终止，我们将无息全额退还本合同已交纳的保险费。</w:t>
      </w:r>
    </w:p>
    <w:p>
      <w:pPr>
        <w:pStyle w:val="6"/>
        <w:spacing w:before="11"/>
        <w:rPr>
          <w:sz w:val="14"/>
        </w:rPr>
      </w:pPr>
    </w:p>
    <w:p>
      <w:pPr>
        <w:spacing w:before="0" w:line="247" w:lineRule="auto"/>
        <w:ind w:left="2089" w:right="559" w:firstLine="0"/>
        <w:jc w:val="left"/>
        <w:rPr>
          <w:sz w:val="18"/>
        </w:rPr>
      </w:pPr>
      <w:r>
        <w:drawing>
          <wp:anchor distT="0" distB="0" distL="0" distR="0" simplePos="0" relativeHeight="251663360" behindDoc="0" locked="0" layoutInCell="1" allowOverlap="1">
            <wp:simplePos x="0" y="0"/>
            <wp:positionH relativeFrom="page">
              <wp:posOffset>810895</wp:posOffset>
            </wp:positionH>
            <wp:positionV relativeFrom="paragraph">
              <wp:posOffset>-36830</wp:posOffset>
            </wp:positionV>
            <wp:extent cx="821690" cy="44196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7" cstate="print"/>
                    <a:stretch>
                      <a:fillRect/>
                    </a:stretch>
                  </pic:blipFill>
                  <pic:spPr>
                    <a:xfrm>
                      <a:off x="0" y="0"/>
                      <a:ext cx="821512" cy="441833"/>
                    </a:xfrm>
                    <a:prstGeom prst="rect">
                      <a:avLst/>
                    </a:prstGeom>
                  </pic:spPr>
                </pic:pic>
              </a:graphicData>
            </a:graphic>
          </wp:anchor>
        </w:drawing>
      </w:r>
      <w:r>
        <w:pict>
          <v:shape id="docshape6" o:spid="_x0000_s1031" o:spt="202" type="#_x0000_t202" style="position:absolute;left:0pt;margin-left:63.85pt;margin-top:-2.9pt;height:34.8pt;width:64.7pt;mso-position-horizontal-relative:page;z-index:251663360;mso-width-relative:page;mso-height-relative:page;" filled="f" stroked="f" coordsize="21600,21600">
            <v:path/>
            <v:fill on="f" focussize="0,0"/>
            <v:stroke on="f" joinstyle="miter"/>
            <v:imagedata o:title=""/>
            <o:lock v:ext="edit"/>
            <v:textbox inset="0mm,0mm,0mm,0mm">
              <w:txbxContent>
                <w:p>
                  <w:pPr>
                    <w:pStyle w:val="6"/>
                    <w:spacing w:before="9"/>
                    <w:rPr>
                      <w:sz w:val="15"/>
                    </w:rPr>
                  </w:pPr>
                </w:p>
                <w:p>
                  <w:pPr>
                    <w:spacing w:before="1"/>
                    <w:ind w:left="462" w:right="0" w:firstLine="0"/>
                    <w:jc w:val="left"/>
                    <w:rPr>
                      <w:rFonts w:ascii="微软雅黑" w:eastAsia="微软雅黑"/>
                      <w:b/>
                      <w:sz w:val="21"/>
                    </w:rPr>
                  </w:pPr>
                  <w:r>
                    <w:rPr>
                      <w:rFonts w:ascii="Times New Roman" w:eastAsia="Times New Roman"/>
                      <w:b/>
                      <w:sz w:val="21"/>
                    </w:rPr>
                    <w:t>60</w:t>
                  </w:r>
                  <w:r>
                    <w:rPr>
                      <w:rFonts w:ascii="Times New Roman" w:eastAsia="Times New Roman"/>
                      <w:b/>
                      <w:spacing w:val="-3"/>
                      <w:sz w:val="21"/>
                    </w:rPr>
                    <w:t xml:space="preserve"> </w:t>
                  </w:r>
                  <w:r>
                    <w:rPr>
                      <w:rFonts w:ascii="微软雅黑" w:eastAsia="微软雅黑"/>
                      <w:b/>
                      <w:spacing w:val="-10"/>
                      <w:sz w:val="21"/>
                    </w:rPr>
                    <w:t>天</w:t>
                  </w:r>
                </w:p>
              </w:txbxContent>
            </v:textbox>
          </v:shape>
        </w:pict>
      </w:r>
      <w:r>
        <w:drawing>
          <wp:anchor distT="0" distB="0" distL="0" distR="0" simplePos="0" relativeHeight="251664384" behindDoc="0" locked="0" layoutInCell="1" allowOverlap="1">
            <wp:simplePos x="0" y="0"/>
            <wp:positionH relativeFrom="page">
              <wp:posOffset>1016000</wp:posOffset>
            </wp:positionH>
            <wp:positionV relativeFrom="paragraph">
              <wp:posOffset>487680</wp:posOffset>
            </wp:positionV>
            <wp:extent cx="127635" cy="71755"/>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8" cstate="print"/>
                    <a:stretch>
                      <a:fillRect/>
                    </a:stretch>
                  </pic:blipFill>
                  <pic:spPr>
                    <a:xfrm>
                      <a:off x="0" y="0"/>
                      <a:ext cx="127850" cy="71755"/>
                    </a:xfrm>
                    <a:prstGeom prst="rect">
                      <a:avLst/>
                    </a:prstGeom>
                  </pic:spPr>
                </pic:pic>
              </a:graphicData>
            </a:graphic>
          </wp:anchor>
        </w:drawing>
      </w:r>
      <w:r>
        <w:rPr>
          <w:rFonts w:ascii="微软雅黑" w:eastAsia="微软雅黑"/>
          <w:b/>
          <w:sz w:val="21"/>
        </w:rPr>
        <w:t>宽限期：</w:t>
      </w:r>
      <w:r>
        <w:rPr>
          <w:spacing w:val="-1"/>
          <w:sz w:val="18"/>
        </w:rPr>
        <w:t xml:space="preserve">在支付首期保险费后，如果您到期未支付续期保险费，自保险费到期日的次日起 </w:t>
      </w:r>
      <w:r>
        <w:rPr>
          <w:sz w:val="18"/>
        </w:rPr>
        <w:t>60</w:t>
      </w:r>
      <w:r>
        <w:rPr>
          <w:spacing w:val="-8"/>
          <w:sz w:val="18"/>
        </w:rPr>
        <w:t xml:space="preserve"> 日为宽</w:t>
      </w:r>
      <w:r>
        <w:rPr>
          <w:spacing w:val="-2"/>
          <w:sz w:val="18"/>
        </w:rPr>
        <w:t>限期，宽限期内本合同仍然有效。若超过宽限期仍未缴付保险费，除非本合同另有约定，否则本合同自</w:t>
      </w:r>
      <w:r>
        <w:rPr>
          <w:spacing w:val="-3"/>
          <w:sz w:val="18"/>
        </w:rPr>
        <w:t xml:space="preserve">宽限期满的当日 </w:t>
      </w:r>
      <w:r>
        <w:rPr>
          <w:sz w:val="18"/>
        </w:rPr>
        <w:t>24</w:t>
      </w:r>
      <w:r>
        <w:rPr>
          <w:spacing w:val="-4"/>
          <w:sz w:val="18"/>
        </w:rPr>
        <w:t xml:space="preserve"> 时起效力中止。</w:t>
      </w:r>
    </w:p>
    <w:p>
      <w:pPr>
        <w:pStyle w:val="6"/>
        <w:spacing w:before="6"/>
        <w:rPr>
          <w:sz w:val="15"/>
        </w:rPr>
      </w:pPr>
    </w:p>
    <w:p>
      <w:pPr>
        <w:spacing w:before="0" w:line="213" w:lineRule="auto"/>
        <w:ind w:left="2089" w:right="558" w:firstLine="0"/>
        <w:jc w:val="left"/>
        <w:rPr>
          <w:sz w:val="18"/>
        </w:rPr>
      </w:pPr>
      <w:r>
        <w:drawing>
          <wp:anchor distT="0" distB="0" distL="0" distR="0" simplePos="0" relativeHeight="251664384" behindDoc="0" locked="0" layoutInCell="1" allowOverlap="1">
            <wp:simplePos x="0" y="0"/>
            <wp:positionH relativeFrom="page">
              <wp:posOffset>877570</wp:posOffset>
            </wp:positionH>
            <wp:positionV relativeFrom="paragraph">
              <wp:posOffset>-29210</wp:posOffset>
            </wp:positionV>
            <wp:extent cx="755015" cy="42418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9" cstate="print"/>
                    <a:stretch>
                      <a:fillRect/>
                    </a:stretch>
                  </pic:blipFill>
                  <pic:spPr>
                    <a:xfrm>
                      <a:off x="0" y="0"/>
                      <a:ext cx="754926" cy="424256"/>
                    </a:xfrm>
                    <a:prstGeom prst="rect">
                      <a:avLst/>
                    </a:prstGeom>
                  </pic:spPr>
                </pic:pic>
              </a:graphicData>
            </a:graphic>
          </wp:anchor>
        </w:drawing>
      </w:r>
      <w:r>
        <w:pict>
          <v:shape id="docshape7" o:spid="_x0000_s1032" o:spt="202" type="#_x0000_t202" style="position:absolute;left:0pt;margin-left:69.1pt;margin-top:-2.3pt;height:33.45pt;width:59.45pt;mso-position-horizontal-relative:page;z-index:251665408;mso-width-relative:page;mso-height-relative:page;" filled="f" stroked="f" coordsize="21600,21600">
            <v:path/>
            <v:fill on="f" focussize="0,0"/>
            <v:stroke on="f" joinstyle="miter"/>
            <v:imagedata o:title=""/>
            <o:lock v:ext="edit"/>
            <v:textbox inset="0mm,0mm,0mm,0mm">
              <w:txbxContent>
                <w:p>
                  <w:pPr>
                    <w:spacing w:before="126"/>
                    <w:ind w:left="391" w:right="400" w:firstLine="0"/>
                    <w:jc w:val="center"/>
                    <w:rPr>
                      <w:rFonts w:ascii="微软雅黑" w:eastAsia="微软雅黑"/>
                      <w:b/>
                      <w:sz w:val="21"/>
                    </w:rPr>
                  </w:pPr>
                  <w:r>
                    <w:rPr>
                      <w:rFonts w:ascii="Times New Roman" w:eastAsia="Times New Roman"/>
                      <w:b/>
                      <w:sz w:val="21"/>
                    </w:rPr>
                    <w:t xml:space="preserve">2 </w:t>
                  </w:r>
                  <w:r>
                    <w:rPr>
                      <w:rFonts w:ascii="微软雅黑" w:eastAsia="微软雅黑"/>
                      <w:b/>
                      <w:spacing w:val="-10"/>
                      <w:sz w:val="21"/>
                    </w:rPr>
                    <w:t>年</w:t>
                  </w:r>
                </w:p>
              </w:txbxContent>
            </v:textbox>
          </v:shape>
        </w:pict>
      </w:r>
      <w:r>
        <w:rPr>
          <w:rFonts w:ascii="微软雅黑" w:eastAsia="微软雅黑"/>
          <w:b/>
          <w:spacing w:val="-2"/>
          <w:sz w:val="21"/>
        </w:rPr>
        <w:t>诉讼时效：</w:t>
      </w:r>
      <w:r>
        <w:rPr>
          <w:spacing w:val="-4"/>
          <w:sz w:val="18"/>
        </w:rPr>
        <w:t xml:space="preserve">受益人对本合同请求给付保险金的诉讼时效期间为 </w:t>
      </w:r>
      <w:r>
        <w:rPr>
          <w:spacing w:val="-2"/>
          <w:sz w:val="18"/>
        </w:rPr>
        <w:t>2</w:t>
      </w:r>
      <w:r>
        <w:rPr>
          <w:spacing w:val="-9"/>
          <w:sz w:val="18"/>
        </w:rPr>
        <w:t xml:space="preserve"> 年，自其知道或者应当知道保险事故</w:t>
      </w:r>
      <w:r>
        <w:rPr>
          <w:spacing w:val="-2"/>
          <w:sz w:val="18"/>
        </w:rPr>
        <w:t>发生之日起计算。</w:t>
      </w:r>
    </w:p>
    <w:p>
      <w:pPr>
        <w:pStyle w:val="6"/>
        <w:spacing w:before="9"/>
        <w:rPr>
          <w:sz w:val="11"/>
        </w:rPr>
      </w:pPr>
      <w:r>
        <w:drawing>
          <wp:anchor distT="0" distB="0" distL="0" distR="0" simplePos="0" relativeHeight="251659264" behindDoc="0" locked="0" layoutInCell="1" allowOverlap="1">
            <wp:simplePos x="0" y="0"/>
            <wp:positionH relativeFrom="page">
              <wp:posOffset>1001395</wp:posOffset>
            </wp:positionH>
            <wp:positionV relativeFrom="paragraph">
              <wp:posOffset>109855</wp:posOffset>
            </wp:positionV>
            <wp:extent cx="128270" cy="77470"/>
            <wp:effectExtent l="0" t="0" r="0" b="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20" cstate="print"/>
                    <a:stretch>
                      <a:fillRect/>
                    </a:stretch>
                  </pic:blipFill>
                  <pic:spPr>
                    <a:xfrm>
                      <a:off x="0" y="0"/>
                      <a:ext cx="128578" cy="7772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929005</wp:posOffset>
            </wp:positionH>
            <wp:positionV relativeFrom="paragraph">
              <wp:posOffset>264160</wp:posOffset>
            </wp:positionV>
            <wp:extent cx="89535" cy="55245"/>
            <wp:effectExtent l="0" t="0" r="0" b="0"/>
            <wp:wrapTopAndBottom/>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1" cstate="print"/>
                    <a:stretch>
                      <a:fillRect/>
                    </a:stretch>
                  </pic:blipFill>
                  <pic:spPr>
                    <a:xfrm>
                      <a:off x="0" y="0"/>
                      <a:ext cx="89743" cy="5553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870585</wp:posOffset>
            </wp:positionH>
            <wp:positionV relativeFrom="paragraph">
              <wp:posOffset>396240</wp:posOffset>
            </wp:positionV>
            <wp:extent cx="48895" cy="31750"/>
            <wp:effectExtent l="0" t="0" r="0" b="0"/>
            <wp:wrapTopAndBottom/>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2" cstate="print"/>
                    <a:stretch>
                      <a:fillRect/>
                    </a:stretch>
                  </pic:blipFill>
                  <pic:spPr>
                    <a:xfrm>
                      <a:off x="0" y="0"/>
                      <a:ext cx="48829" cy="32004"/>
                    </a:xfrm>
                    <a:prstGeom prst="rect">
                      <a:avLst/>
                    </a:prstGeom>
                  </pic:spPr>
                </pic:pic>
              </a:graphicData>
            </a:graphic>
          </wp:anchor>
        </w:drawing>
      </w:r>
    </w:p>
    <w:p>
      <w:pPr>
        <w:pStyle w:val="6"/>
        <w:spacing w:before="6"/>
        <w:rPr>
          <w:sz w:val="7"/>
        </w:rPr>
      </w:pPr>
    </w:p>
    <w:p>
      <w:pPr>
        <w:pStyle w:val="6"/>
        <w:spacing w:before="7"/>
        <w:rPr>
          <w:sz w:val="7"/>
        </w:rPr>
      </w:pPr>
    </w:p>
    <w:p>
      <w:pPr>
        <w:spacing w:after="0"/>
        <w:rPr>
          <w:sz w:val="7"/>
        </w:rPr>
        <w:sectPr>
          <w:type w:val="continuous"/>
          <w:pgSz w:w="11910" w:h="16840"/>
          <w:pgMar w:top="280" w:right="660" w:bottom="280" w:left="580" w:header="720" w:footer="720" w:gutter="0"/>
          <w:cols w:space="720" w:num="1"/>
        </w:sectPr>
      </w:pPr>
    </w:p>
    <w:p>
      <w:pPr>
        <w:pStyle w:val="6"/>
        <w:spacing w:before="10"/>
        <w:rPr>
          <w:sz w:val="13"/>
        </w:rPr>
      </w:pPr>
    </w:p>
    <w:p>
      <w:pPr>
        <w:pStyle w:val="10"/>
        <w:numPr>
          <w:ilvl w:val="0"/>
          <w:numId w:val="1"/>
        </w:numPr>
        <w:tabs>
          <w:tab w:val="left" w:pos="2272"/>
        </w:tabs>
        <w:spacing w:before="203" w:after="0" w:line="513" w:lineRule="exact"/>
        <w:ind w:left="2271" w:right="0" w:hanging="416"/>
        <w:jc w:val="left"/>
        <w:rPr>
          <w:rFonts w:ascii="微软雅黑" w:hAnsi="微软雅黑" w:eastAsia="微软雅黑"/>
          <w:b/>
          <w:sz w:val="24"/>
        </w:rPr>
      </w:pPr>
      <w:r>
        <w:drawing>
          <wp:anchor distT="0" distB="0" distL="0" distR="0" simplePos="0" relativeHeight="251668480" behindDoc="0" locked="0" layoutInCell="1" allowOverlap="1">
            <wp:simplePos x="0" y="0"/>
            <wp:positionH relativeFrom="page">
              <wp:posOffset>606425</wp:posOffset>
            </wp:positionH>
            <wp:positionV relativeFrom="paragraph">
              <wp:posOffset>-105410</wp:posOffset>
            </wp:positionV>
            <wp:extent cx="924560" cy="887095"/>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3" cstate="print"/>
                    <a:stretch>
                      <a:fillRect/>
                    </a:stretch>
                  </pic:blipFill>
                  <pic:spPr>
                    <a:xfrm>
                      <a:off x="0" y="0"/>
                      <a:ext cx="924560" cy="887095"/>
                    </a:xfrm>
                    <a:prstGeom prst="rect">
                      <a:avLst/>
                    </a:prstGeom>
                  </pic:spPr>
                </pic:pic>
              </a:graphicData>
            </a:graphic>
          </wp:anchor>
        </w:drawing>
      </w:r>
      <w:r>
        <w:pict>
          <v:shape id="docshape8" o:spid="_x0000_s1033" o:spt="202" type="#_x0000_t202" style="position:absolute;left:0pt;margin-left:47.75pt;margin-top:-8.3pt;height:69.85pt;width:72.8pt;mso-position-horizontal-relative:page;z-index:251669504;mso-width-relative:page;mso-height-relative:page;" filled="f" stroked="f" coordsize="21600,21600">
            <v:path/>
            <v:fill on="f" focussize="0,0"/>
            <v:stroke on="f" joinstyle="miter"/>
            <v:imagedata o:title=""/>
            <o:lock v:ext="edit"/>
            <v:textbox inset="0mm,0mm,0mm,0mm">
              <w:txbxContent>
                <w:p>
                  <w:pPr>
                    <w:spacing w:before="265" w:line="184" w:lineRule="auto"/>
                    <w:ind w:left="378" w:right="373" w:firstLine="0"/>
                    <w:jc w:val="left"/>
                    <w:rPr>
                      <w:rFonts w:ascii="微软雅黑" w:eastAsia="微软雅黑"/>
                      <w:b/>
                      <w:sz w:val="28"/>
                    </w:rPr>
                  </w:pPr>
                  <w:r>
                    <w:rPr>
                      <w:rFonts w:ascii="微软雅黑" w:eastAsia="微软雅黑"/>
                      <w:b/>
                      <w:spacing w:val="6"/>
                      <w:sz w:val="28"/>
                    </w:rPr>
                    <w:t>阅 读</w:t>
                  </w:r>
                  <w:r>
                    <w:rPr>
                      <w:rFonts w:ascii="微软雅黑" w:eastAsia="微软雅黑"/>
                      <w:b/>
                      <w:spacing w:val="14"/>
                      <w:sz w:val="28"/>
                    </w:rPr>
                    <w:t>提 示</w:t>
                  </w:r>
                </w:p>
              </w:txbxContent>
            </v:textbox>
          </v:shape>
        </w:pict>
      </w:r>
      <w:r>
        <w:rPr>
          <w:rFonts w:ascii="微软雅黑" w:hAnsi="微软雅黑" w:eastAsia="微软雅黑"/>
          <w:b/>
          <w:spacing w:val="-1"/>
          <w:sz w:val="24"/>
        </w:rPr>
        <w:t>保险条款中常用的术语</w:t>
      </w:r>
    </w:p>
    <w:p>
      <w:pPr>
        <w:pStyle w:val="10"/>
        <w:numPr>
          <w:ilvl w:val="0"/>
          <w:numId w:val="2"/>
        </w:numPr>
        <w:tabs>
          <w:tab w:val="left" w:pos="2150"/>
        </w:tabs>
        <w:spacing w:before="0" w:after="0" w:line="261" w:lineRule="exact"/>
        <w:ind w:left="2149" w:right="0" w:hanging="294"/>
        <w:jc w:val="left"/>
        <w:rPr>
          <w:sz w:val="21"/>
        </w:rPr>
      </w:pPr>
      <w:r>
        <w:rPr>
          <w:spacing w:val="-3"/>
          <w:sz w:val="21"/>
        </w:rPr>
        <w:t>投保人就是与保险人订立保险合同，并负有支付保险费义务的人。</w:t>
      </w:r>
    </w:p>
    <w:p>
      <w:pPr>
        <w:pStyle w:val="10"/>
        <w:numPr>
          <w:ilvl w:val="0"/>
          <w:numId w:val="2"/>
        </w:numPr>
        <w:tabs>
          <w:tab w:val="left" w:pos="2150"/>
        </w:tabs>
        <w:spacing w:before="53" w:after="0" w:line="240" w:lineRule="auto"/>
        <w:ind w:left="2149" w:right="0" w:hanging="294"/>
        <w:jc w:val="left"/>
        <w:rPr>
          <w:sz w:val="21"/>
        </w:rPr>
      </w:pPr>
      <w:r>
        <w:rPr>
          <w:spacing w:val="-3"/>
          <w:sz w:val="21"/>
        </w:rPr>
        <w:t>被保险人就是受保险合同保障的人。</w:t>
      </w:r>
    </w:p>
    <w:p>
      <w:pPr>
        <w:pStyle w:val="10"/>
        <w:numPr>
          <w:ilvl w:val="0"/>
          <w:numId w:val="2"/>
        </w:numPr>
        <w:tabs>
          <w:tab w:val="left" w:pos="2150"/>
        </w:tabs>
        <w:spacing w:before="50" w:after="0" w:line="240" w:lineRule="auto"/>
        <w:ind w:left="2149" w:right="0" w:hanging="294"/>
        <w:jc w:val="left"/>
        <w:rPr>
          <w:sz w:val="21"/>
        </w:rPr>
      </w:pPr>
      <w:r>
        <w:rPr>
          <w:spacing w:val="-3"/>
          <w:sz w:val="21"/>
        </w:rPr>
        <w:t>受益人就是发生保险事故后享有保险金请求权的人。</w:t>
      </w:r>
    </w:p>
    <w:p>
      <w:pPr>
        <w:pStyle w:val="10"/>
        <w:numPr>
          <w:ilvl w:val="0"/>
          <w:numId w:val="2"/>
        </w:numPr>
        <w:tabs>
          <w:tab w:val="left" w:pos="2150"/>
        </w:tabs>
        <w:spacing w:before="50" w:after="0" w:line="240" w:lineRule="auto"/>
        <w:ind w:left="2149" w:right="0" w:hanging="294"/>
        <w:jc w:val="left"/>
        <w:rPr>
          <w:sz w:val="21"/>
        </w:rPr>
      </w:pPr>
      <w:r>
        <w:rPr>
          <w:spacing w:val="-3"/>
          <w:sz w:val="21"/>
        </w:rPr>
        <w:t>保险人就是承担赔偿或者给付保险金责任的保险公司。</w:t>
      </w:r>
    </w:p>
    <w:p>
      <w:pPr>
        <w:pStyle w:val="10"/>
        <w:numPr>
          <w:ilvl w:val="0"/>
          <w:numId w:val="1"/>
        </w:numPr>
        <w:tabs>
          <w:tab w:val="left" w:pos="2272"/>
        </w:tabs>
        <w:spacing w:before="186" w:after="0" w:line="513" w:lineRule="exact"/>
        <w:ind w:left="2271" w:right="0" w:hanging="416"/>
        <w:jc w:val="left"/>
        <w:rPr>
          <w:rFonts w:ascii="微软雅黑" w:hAnsi="微软雅黑" w:eastAsia="微软雅黑"/>
          <w:b/>
          <w:sz w:val="24"/>
        </w:rPr>
      </w:pPr>
      <w:r>
        <w:rPr>
          <w:rFonts w:ascii="微软雅黑" w:hAnsi="微软雅黑" w:eastAsia="微软雅黑"/>
          <w:b/>
          <w:spacing w:val="-1"/>
          <w:sz w:val="24"/>
        </w:rPr>
        <w:t>投保人、被保险人拥有的重要权益</w:t>
      </w:r>
    </w:p>
    <w:p>
      <w:pPr>
        <w:pStyle w:val="10"/>
        <w:numPr>
          <w:ilvl w:val="0"/>
          <w:numId w:val="2"/>
        </w:numPr>
        <w:tabs>
          <w:tab w:val="left" w:pos="2166"/>
          <w:tab w:val="right" w:leader="dot" w:pos="10142"/>
        </w:tabs>
        <w:spacing w:before="0" w:after="0" w:line="261" w:lineRule="exact"/>
        <w:ind w:left="2166" w:right="0" w:hanging="310"/>
        <w:jc w:val="left"/>
        <w:rPr>
          <w:sz w:val="21"/>
        </w:rPr>
      </w:pPr>
      <w:r>
        <w:rPr>
          <w:sz w:val="21"/>
        </w:rPr>
        <w:t>被保险人可以享受本合同提供的保</w:t>
      </w:r>
      <w:r>
        <w:rPr>
          <w:spacing w:val="-10"/>
          <w:sz w:val="21"/>
        </w:rPr>
        <w:t>障</w:t>
      </w:r>
      <w:r>
        <w:rPr>
          <w:rFonts w:ascii="Times New Roman" w:hAnsi="Times New Roman" w:eastAsia="Times New Roman"/>
          <w:sz w:val="21"/>
        </w:rPr>
        <w:tab/>
      </w:r>
      <w:r>
        <w:rPr>
          <w:spacing w:val="-5"/>
          <w:sz w:val="21"/>
        </w:rPr>
        <w:t>1.1</w:t>
      </w:r>
    </w:p>
    <w:p>
      <w:pPr>
        <w:pStyle w:val="10"/>
        <w:numPr>
          <w:ilvl w:val="0"/>
          <w:numId w:val="2"/>
        </w:numPr>
        <w:tabs>
          <w:tab w:val="left" w:pos="2183"/>
          <w:tab w:val="right" w:leader="dot" w:pos="10135"/>
        </w:tabs>
        <w:spacing w:before="53" w:after="0" w:line="240" w:lineRule="auto"/>
        <w:ind w:left="2182" w:right="0" w:hanging="327"/>
        <w:jc w:val="left"/>
        <w:rPr>
          <w:sz w:val="21"/>
        </w:rPr>
      </w:pPr>
      <w:r>
        <w:rPr>
          <w:spacing w:val="16"/>
          <w:sz w:val="21"/>
        </w:rPr>
        <w:t>投</w:t>
      </w:r>
      <w:r>
        <w:rPr>
          <w:spacing w:val="14"/>
          <w:sz w:val="21"/>
        </w:rPr>
        <w:t>保人</w:t>
      </w:r>
      <w:r>
        <w:rPr>
          <w:spacing w:val="16"/>
          <w:sz w:val="21"/>
        </w:rPr>
        <w:t>有</w:t>
      </w:r>
      <w:r>
        <w:rPr>
          <w:spacing w:val="14"/>
          <w:sz w:val="21"/>
        </w:rPr>
        <w:t>解</w:t>
      </w:r>
      <w:r>
        <w:rPr>
          <w:spacing w:val="16"/>
          <w:sz w:val="21"/>
        </w:rPr>
        <w:t>除</w:t>
      </w:r>
      <w:r>
        <w:rPr>
          <w:spacing w:val="14"/>
          <w:sz w:val="21"/>
        </w:rPr>
        <w:t>合</w:t>
      </w:r>
      <w:r>
        <w:rPr>
          <w:spacing w:val="16"/>
          <w:sz w:val="21"/>
        </w:rPr>
        <w:t>同</w:t>
      </w:r>
      <w:r>
        <w:rPr>
          <w:spacing w:val="14"/>
          <w:sz w:val="21"/>
        </w:rPr>
        <w:t>的</w:t>
      </w:r>
      <w:r>
        <w:rPr>
          <w:spacing w:val="16"/>
          <w:sz w:val="21"/>
        </w:rPr>
        <w:t>权</w:t>
      </w:r>
      <w:r>
        <w:rPr>
          <w:spacing w:val="-10"/>
          <w:sz w:val="21"/>
        </w:rPr>
        <w:t>利</w:t>
      </w:r>
      <w:r>
        <w:rPr>
          <w:rFonts w:ascii="Times New Roman" w:hAnsi="Times New Roman" w:eastAsia="Times New Roman"/>
          <w:sz w:val="21"/>
        </w:rPr>
        <w:tab/>
      </w:r>
      <w:r>
        <w:rPr>
          <w:spacing w:val="5"/>
          <w:sz w:val="21"/>
        </w:rPr>
        <w:t>5.2</w:t>
      </w:r>
    </w:p>
    <w:p>
      <w:pPr>
        <w:pStyle w:val="10"/>
        <w:numPr>
          <w:ilvl w:val="0"/>
          <w:numId w:val="1"/>
        </w:numPr>
        <w:tabs>
          <w:tab w:val="left" w:pos="2272"/>
        </w:tabs>
        <w:spacing w:before="184" w:after="0" w:line="514" w:lineRule="exact"/>
        <w:ind w:left="2271" w:right="0" w:hanging="416"/>
        <w:jc w:val="left"/>
        <w:rPr>
          <w:rFonts w:ascii="微软雅黑" w:hAnsi="微软雅黑" w:eastAsia="微软雅黑"/>
          <w:b/>
          <w:sz w:val="24"/>
        </w:rPr>
      </w:pPr>
      <w:r>
        <w:rPr>
          <w:rFonts w:ascii="微软雅黑" w:hAnsi="微软雅黑" w:eastAsia="微软雅黑"/>
          <w:b/>
          <w:spacing w:val="-1"/>
          <w:sz w:val="24"/>
        </w:rPr>
        <w:t>投保人、被保险人、受益人应当特别注意的事项</w:t>
      </w:r>
    </w:p>
    <w:p>
      <w:pPr>
        <w:pStyle w:val="10"/>
        <w:numPr>
          <w:ilvl w:val="0"/>
          <w:numId w:val="2"/>
        </w:numPr>
        <w:tabs>
          <w:tab w:val="left" w:pos="2198"/>
          <w:tab w:val="right" w:leader="dot" w:pos="10130"/>
        </w:tabs>
        <w:spacing w:before="0" w:after="0" w:line="262" w:lineRule="exact"/>
        <w:ind w:left="2197" w:right="0" w:hanging="323"/>
        <w:jc w:val="left"/>
        <w:rPr>
          <w:sz w:val="21"/>
        </w:rPr>
      </w:pPr>
      <w:r>
        <w:rPr>
          <w:spacing w:val="14"/>
          <w:sz w:val="21"/>
        </w:rPr>
        <w:t>投</w:t>
      </w:r>
      <w:r>
        <w:rPr>
          <w:spacing w:val="11"/>
          <w:sz w:val="21"/>
        </w:rPr>
        <w:t>保</w:t>
      </w:r>
      <w:r>
        <w:rPr>
          <w:spacing w:val="14"/>
          <w:sz w:val="21"/>
        </w:rPr>
        <w:t>人</w:t>
      </w:r>
      <w:r>
        <w:rPr>
          <w:spacing w:val="11"/>
          <w:sz w:val="21"/>
        </w:rPr>
        <w:t>应</w:t>
      </w:r>
      <w:r>
        <w:rPr>
          <w:spacing w:val="14"/>
          <w:sz w:val="21"/>
        </w:rPr>
        <w:t>当</w:t>
      </w:r>
      <w:r>
        <w:rPr>
          <w:spacing w:val="11"/>
          <w:sz w:val="21"/>
        </w:rPr>
        <w:t>按</w:t>
      </w:r>
      <w:r>
        <w:rPr>
          <w:spacing w:val="14"/>
          <w:sz w:val="21"/>
        </w:rPr>
        <w:t>时</w:t>
      </w:r>
      <w:r>
        <w:rPr>
          <w:spacing w:val="11"/>
          <w:sz w:val="21"/>
        </w:rPr>
        <w:t>交纳</w:t>
      </w:r>
      <w:r>
        <w:rPr>
          <w:spacing w:val="14"/>
          <w:sz w:val="21"/>
        </w:rPr>
        <w:t>保险</w:t>
      </w:r>
      <w:r>
        <w:rPr>
          <w:spacing w:val="-10"/>
          <w:sz w:val="21"/>
        </w:rPr>
        <w:t>费</w:t>
      </w:r>
      <w:r>
        <w:rPr>
          <w:rFonts w:ascii="Times New Roman" w:hAnsi="Times New Roman" w:eastAsia="Times New Roman"/>
          <w:sz w:val="21"/>
        </w:rPr>
        <w:tab/>
      </w:r>
      <w:r>
        <w:rPr>
          <w:spacing w:val="-5"/>
          <w:sz w:val="21"/>
        </w:rPr>
        <w:t>3.1</w:t>
      </w:r>
    </w:p>
    <w:p>
      <w:pPr>
        <w:pStyle w:val="10"/>
        <w:numPr>
          <w:ilvl w:val="0"/>
          <w:numId w:val="2"/>
        </w:numPr>
        <w:tabs>
          <w:tab w:val="left" w:pos="2193"/>
          <w:tab w:val="right" w:leader="dot" w:pos="10140"/>
        </w:tabs>
        <w:spacing w:before="50" w:after="0" w:line="240" w:lineRule="auto"/>
        <w:ind w:left="2192" w:right="0" w:hanging="318"/>
        <w:jc w:val="left"/>
        <w:rPr>
          <w:sz w:val="21"/>
        </w:rPr>
      </w:pPr>
      <w:r>
        <w:rPr>
          <w:sz w:val="21"/>
        </w:rPr>
        <w:t>保险事故发生后请及时通知我</w:t>
      </w:r>
      <w:r>
        <w:rPr>
          <w:spacing w:val="-10"/>
          <w:sz w:val="21"/>
        </w:rPr>
        <w:t>们</w:t>
      </w:r>
      <w:r>
        <w:rPr>
          <w:rFonts w:ascii="Times New Roman" w:hAnsi="Times New Roman" w:eastAsia="Times New Roman"/>
          <w:sz w:val="21"/>
        </w:rPr>
        <w:tab/>
      </w:r>
      <w:r>
        <w:rPr>
          <w:spacing w:val="-5"/>
          <w:sz w:val="21"/>
        </w:rPr>
        <w:t>4.2</w:t>
      </w:r>
    </w:p>
    <w:p>
      <w:pPr>
        <w:pStyle w:val="10"/>
        <w:numPr>
          <w:ilvl w:val="0"/>
          <w:numId w:val="2"/>
        </w:numPr>
        <w:tabs>
          <w:tab w:val="left" w:pos="2181"/>
          <w:tab w:val="right" w:leader="dot" w:pos="10135"/>
        </w:tabs>
        <w:spacing w:before="50" w:after="0" w:line="240" w:lineRule="auto"/>
        <w:ind w:left="2180" w:right="0" w:hanging="306"/>
        <w:jc w:val="left"/>
        <w:rPr>
          <w:sz w:val="21"/>
        </w:rPr>
      </w:pPr>
      <w:r>
        <w:rPr>
          <w:sz w:val="21"/>
        </w:rPr>
        <w:t>申请保险金给付时，应当提供的证明和资</w:t>
      </w:r>
      <w:r>
        <w:rPr>
          <w:spacing w:val="-10"/>
          <w:sz w:val="21"/>
        </w:rPr>
        <w:t>料</w:t>
      </w:r>
      <w:r>
        <w:rPr>
          <w:rFonts w:ascii="Times New Roman" w:hAnsi="Times New Roman" w:eastAsia="Times New Roman"/>
          <w:sz w:val="21"/>
        </w:rPr>
        <w:tab/>
      </w:r>
      <w:r>
        <w:rPr>
          <w:spacing w:val="-5"/>
          <w:sz w:val="21"/>
        </w:rPr>
        <w:t>4.3</w:t>
      </w:r>
    </w:p>
    <w:p>
      <w:pPr>
        <w:pStyle w:val="10"/>
        <w:numPr>
          <w:ilvl w:val="0"/>
          <w:numId w:val="2"/>
        </w:numPr>
        <w:tabs>
          <w:tab w:val="left" w:pos="2181"/>
          <w:tab w:val="right" w:leader="dot" w:pos="10133"/>
        </w:tabs>
        <w:spacing w:before="52" w:after="0" w:line="240" w:lineRule="auto"/>
        <w:ind w:left="2180" w:right="0" w:hanging="306"/>
        <w:jc w:val="left"/>
        <w:rPr>
          <w:sz w:val="21"/>
        </w:rPr>
      </w:pPr>
      <w:r>
        <w:rPr>
          <w:sz w:val="21"/>
        </w:rPr>
        <w:t>解除合同会造成一定的损失，请投保人慎重决</w:t>
      </w:r>
      <w:r>
        <w:rPr>
          <w:spacing w:val="-10"/>
          <w:sz w:val="21"/>
        </w:rPr>
        <w:t>策</w:t>
      </w:r>
      <w:r>
        <w:rPr>
          <w:rFonts w:ascii="Times New Roman" w:hAnsi="Times New Roman" w:eastAsia="Times New Roman"/>
          <w:sz w:val="21"/>
        </w:rPr>
        <w:tab/>
      </w:r>
      <w:r>
        <w:rPr>
          <w:spacing w:val="-5"/>
          <w:sz w:val="21"/>
        </w:rPr>
        <w:t>5.2</w:t>
      </w:r>
    </w:p>
    <w:p>
      <w:pPr>
        <w:pStyle w:val="10"/>
        <w:numPr>
          <w:ilvl w:val="0"/>
          <w:numId w:val="2"/>
        </w:numPr>
        <w:tabs>
          <w:tab w:val="left" w:pos="2219"/>
          <w:tab w:val="right" w:leader="dot" w:pos="10159"/>
        </w:tabs>
        <w:spacing w:before="51" w:after="0" w:line="240" w:lineRule="auto"/>
        <w:ind w:left="2218" w:right="0" w:hanging="341"/>
        <w:jc w:val="left"/>
        <w:rPr>
          <w:sz w:val="21"/>
        </w:rPr>
      </w:pPr>
      <w:r>
        <w:rPr>
          <w:spacing w:val="21"/>
          <w:sz w:val="21"/>
        </w:rPr>
        <w:t>投保</w:t>
      </w:r>
      <w:r>
        <w:rPr>
          <w:spacing w:val="23"/>
          <w:sz w:val="21"/>
        </w:rPr>
        <w:t>人</w:t>
      </w:r>
      <w:r>
        <w:rPr>
          <w:spacing w:val="21"/>
          <w:sz w:val="21"/>
        </w:rPr>
        <w:t>有保</w:t>
      </w:r>
      <w:r>
        <w:rPr>
          <w:spacing w:val="23"/>
          <w:sz w:val="21"/>
        </w:rPr>
        <w:t>单</w:t>
      </w:r>
      <w:r>
        <w:rPr>
          <w:spacing w:val="24"/>
          <w:sz w:val="21"/>
        </w:rPr>
        <w:t>借</w:t>
      </w:r>
      <w:r>
        <w:rPr>
          <w:spacing w:val="21"/>
          <w:sz w:val="21"/>
        </w:rPr>
        <w:t>款的</w:t>
      </w:r>
      <w:r>
        <w:rPr>
          <w:spacing w:val="23"/>
          <w:sz w:val="21"/>
        </w:rPr>
        <w:t>权</w:t>
      </w:r>
      <w:r>
        <w:rPr>
          <w:spacing w:val="-10"/>
          <w:sz w:val="21"/>
        </w:rPr>
        <w:t>利</w:t>
      </w:r>
      <w:r>
        <w:rPr>
          <w:rFonts w:ascii="Times New Roman" w:hAnsi="Times New Roman" w:eastAsia="Times New Roman"/>
          <w:sz w:val="21"/>
        </w:rPr>
        <w:tab/>
      </w:r>
      <w:r>
        <w:rPr>
          <w:spacing w:val="-10"/>
          <w:sz w:val="21"/>
        </w:rPr>
        <w:t xml:space="preserve">6 </w:t>
      </w:r>
      <w:r>
        <w:rPr>
          <w:sz w:val="21"/>
        </w:rPr>
        <w:t>. 1</w:t>
      </w:r>
    </w:p>
    <w:p>
      <w:pPr>
        <w:pStyle w:val="10"/>
        <w:numPr>
          <w:ilvl w:val="0"/>
          <w:numId w:val="2"/>
        </w:numPr>
        <w:tabs>
          <w:tab w:val="left" w:pos="2171"/>
          <w:tab w:val="right" w:leader="dot" w:pos="10135"/>
        </w:tabs>
        <w:spacing w:before="50" w:after="0" w:line="240" w:lineRule="auto"/>
        <w:ind w:left="2170" w:right="0" w:hanging="296"/>
        <w:jc w:val="left"/>
        <w:rPr>
          <w:sz w:val="21"/>
        </w:rPr>
      </w:pPr>
      <w:r>
        <w:rPr>
          <w:sz w:val="21"/>
        </w:rPr>
        <w:t>投保人有如实告知的义</w:t>
      </w:r>
      <w:r>
        <w:rPr>
          <w:spacing w:val="-10"/>
          <w:sz w:val="21"/>
        </w:rPr>
        <w:t>务</w:t>
      </w:r>
      <w:r>
        <w:rPr>
          <w:rFonts w:ascii="Times New Roman" w:hAnsi="Times New Roman" w:eastAsia="Times New Roman"/>
          <w:sz w:val="21"/>
        </w:rPr>
        <w:tab/>
      </w:r>
      <w:r>
        <w:rPr>
          <w:spacing w:val="-5"/>
          <w:w w:val="95"/>
          <w:sz w:val="21"/>
        </w:rPr>
        <w:t>7.2</w:t>
      </w:r>
    </w:p>
    <w:p>
      <w:pPr>
        <w:pStyle w:val="10"/>
        <w:numPr>
          <w:ilvl w:val="0"/>
          <w:numId w:val="2"/>
        </w:numPr>
        <w:tabs>
          <w:tab w:val="left" w:pos="2169"/>
        </w:tabs>
        <w:spacing w:before="52" w:after="0" w:line="285" w:lineRule="auto"/>
        <w:ind w:left="1856" w:right="531" w:firstLine="19"/>
        <w:jc w:val="left"/>
        <w:rPr>
          <w:sz w:val="21"/>
        </w:rPr>
      </w:pPr>
      <w:r>
        <w:rPr>
          <w:spacing w:val="-2"/>
          <w:sz w:val="21"/>
        </w:rPr>
        <w:t>在某些情况下，我们不承担保险责任，并作了显著标识，请注意条款正文背景突出显示</w:t>
      </w:r>
      <w:r>
        <w:rPr>
          <w:spacing w:val="-6"/>
          <w:sz w:val="21"/>
        </w:rPr>
        <w:t>部分</w:t>
      </w:r>
    </w:p>
    <w:p>
      <w:pPr>
        <w:pStyle w:val="10"/>
        <w:numPr>
          <w:ilvl w:val="0"/>
          <w:numId w:val="2"/>
        </w:numPr>
        <w:tabs>
          <w:tab w:val="left" w:pos="2169"/>
        </w:tabs>
        <w:spacing w:before="0" w:after="0" w:line="267" w:lineRule="exact"/>
        <w:ind w:left="2168" w:right="0" w:hanging="294"/>
        <w:jc w:val="left"/>
        <w:rPr>
          <w:sz w:val="21"/>
        </w:rPr>
      </w:pPr>
      <w:r>
        <w:rPr>
          <w:spacing w:val="-3"/>
          <w:sz w:val="21"/>
        </w:rPr>
        <w:t>我们对一些重要术语进行了解释，并作了显著标识，请投保人注意</w:t>
      </w:r>
    </w:p>
    <w:p>
      <w:pPr>
        <w:pStyle w:val="6"/>
        <w:spacing w:before="6"/>
      </w:pPr>
      <w:r>
        <w:drawing>
          <wp:anchor distT="0" distB="0" distL="0" distR="0" simplePos="0" relativeHeight="251702272" behindDoc="1" locked="0" layoutInCell="1" allowOverlap="1">
            <wp:simplePos x="0" y="0"/>
            <wp:positionH relativeFrom="page">
              <wp:posOffset>434975</wp:posOffset>
            </wp:positionH>
            <wp:positionV relativeFrom="paragraph">
              <wp:posOffset>189865</wp:posOffset>
            </wp:positionV>
            <wp:extent cx="1003935" cy="93345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4" cstate="print"/>
                    <a:stretch>
                      <a:fillRect/>
                    </a:stretch>
                  </pic:blipFill>
                  <pic:spPr>
                    <a:xfrm>
                      <a:off x="0" y="0"/>
                      <a:ext cx="1003935" cy="933450"/>
                    </a:xfrm>
                    <a:prstGeom prst="rect">
                      <a:avLst/>
                    </a:prstGeom>
                  </pic:spPr>
                </pic:pic>
              </a:graphicData>
            </a:graphic>
          </wp:anchor>
        </w:drawing>
      </w:r>
      <w:r>
        <w:pict>
          <v:shape id="docshape9" o:spid="_x0000_s1034" o:spt="202" type="#_x0000_t202" style="position:absolute;left:0pt;margin-left:34.25pt;margin-top:14.95pt;height:73.5pt;width:79.05pt;mso-position-horizontal-relative:page;mso-wrap-distance-bottom:0pt;mso-wrap-distance-top:0pt;z-index:-251584512;mso-width-relative:page;mso-height-relative:page;" filled="f" stroked="f" coordsize="21600,21600">
            <v:path/>
            <v:fill on="f" focussize="0,0"/>
            <v:stroke on="f" joinstyle="miter"/>
            <v:imagedata o:title=""/>
            <o:lock v:ext="edit"/>
            <v:textbox inset="0mm,0mm,0mm,0mm">
              <w:txbxContent>
                <w:p>
                  <w:pPr>
                    <w:spacing w:before="281" w:line="184" w:lineRule="auto"/>
                    <w:ind w:left="440" w:right="437" w:firstLine="0"/>
                    <w:jc w:val="left"/>
                    <w:rPr>
                      <w:rFonts w:ascii="微软雅黑" w:eastAsia="微软雅黑"/>
                      <w:b/>
                      <w:sz w:val="28"/>
                    </w:rPr>
                  </w:pPr>
                  <w:r>
                    <w:rPr>
                      <w:rFonts w:ascii="微软雅黑" w:eastAsia="微软雅黑"/>
                      <w:b/>
                      <w:spacing w:val="6"/>
                      <w:sz w:val="28"/>
                    </w:rPr>
                    <w:t>条 款</w:t>
                  </w:r>
                  <w:r>
                    <w:rPr>
                      <w:rFonts w:ascii="微软雅黑" w:eastAsia="微软雅黑"/>
                      <w:b/>
                      <w:spacing w:val="14"/>
                      <w:sz w:val="28"/>
                    </w:rPr>
                    <w:t>目 录</w:t>
                  </w:r>
                </w:p>
              </w:txbxContent>
            </v:textbox>
            <w10:wrap type="topAndBottom"/>
          </v:shape>
        </w:pict>
      </w:r>
      <w:r>
        <w:pict>
          <v:shape id="docshape10" o:spid="_x0000_s1035" o:spt="202" type="#_x0000_t202" style="position:absolute;left:0pt;margin-left:116.75pt;margin-top:47.1pt;height:271.75pt;width:424.45pt;mso-position-horizontal-relative:page;mso-wrap-distance-bottom:0pt;mso-wrap-distance-top:0pt;z-index:-251586560;mso-width-relative:page;mso-height-relative:page;" filled="f" stroked="f" coordsize="21600,21600">
            <v:path/>
            <v:fill on="f" focussize="0,0"/>
            <v:stroke on="f" joinstyle="miter"/>
            <v:imagedata o:title=""/>
            <o:lock v:ext="edit"/>
            <v:textbox inset="0mm,0mm,0mm,0mm">
              <w:txbxContent>
                <w:tbl>
                  <w:tblPr>
                    <w:tblStyle w:val="7"/>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0"/>
                    <w:gridCol w:w="1994"/>
                    <w:gridCol w:w="269"/>
                    <w:gridCol w:w="2569"/>
                    <w:gridCol w:w="689"/>
                    <w:gridCol w:w="23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2644" w:type="dxa"/>
                        <w:gridSpan w:val="2"/>
                        <w:tcBorders>
                          <w:right w:val="dashSmallGap" w:color="000000" w:sz="2" w:space="0"/>
                        </w:tcBorders>
                      </w:tcPr>
                      <w:p>
                        <w:pPr>
                          <w:pStyle w:val="11"/>
                          <w:spacing w:line="303" w:lineRule="exact"/>
                          <w:ind w:left="67"/>
                          <w:rPr>
                            <w:rFonts w:ascii="微软雅黑" w:eastAsia="微软雅黑"/>
                            <w:b/>
                            <w:sz w:val="21"/>
                          </w:rPr>
                        </w:pPr>
                        <w:r>
                          <w:rPr>
                            <w:rFonts w:ascii="微软雅黑" w:eastAsia="微软雅黑"/>
                            <w:b/>
                            <w:sz w:val="21"/>
                          </w:rPr>
                          <w:t>1</w:t>
                        </w:r>
                        <w:r>
                          <w:rPr>
                            <w:rFonts w:ascii="微软雅黑" w:eastAsia="微软雅黑"/>
                            <w:b/>
                            <w:spacing w:val="-1"/>
                            <w:sz w:val="21"/>
                          </w:rPr>
                          <w:t xml:space="preserve"> 我们保什么、保多久</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spacing w:before="23"/>
                          <w:ind w:left="49"/>
                          <w:rPr>
                            <w:sz w:val="21"/>
                          </w:rPr>
                        </w:pPr>
                        <w:r>
                          <w:rPr>
                            <w:spacing w:val="-2"/>
                            <w:sz w:val="21"/>
                          </w:rPr>
                          <w:t>4.3</w:t>
                        </w:r>
                        <w:r>
                          <w:rPr>
                            <w:spacing w:val="-10"/>
                            <w:sz w:val="21"/>
                          </w:rPr>
                          <w:t xml:space="preserve"> 申请保险金应提供的</w:t>
                        </w:r>
                      </w:p>
                    </w:tc>
                    <w:tc>
                      <w:tcPr>
                        <w:tcW w:w="689" w:type="dxa"/>
                        <w:tcBorders>
                          <w:left w:val="dashSmallGap" w:color="000000" w:sz="2" w:space="0"/>
                        </w:tcBorders>
                      </w:tcPr>
                      <w:p>
                        <w:pPr>
                          <w:pStyle w:val="11"/>
                          <w:spacing w:before="23"/>
                          <w:ind w:right="49"/>
                          <w:jc w:val="right"/>
                          <w:rPr>
                            <w:sz w:val="21"/>
                          </w:rPr>
                        </w:pPr>
                        <w:r>
                          <w:rPr>
                            <w:spacing w:val="-5"/>
                            <w:sz w:val="21"/>
                          </w:rPr>
                          <w:t>7.3</w:t>
                        </w:r>
                      </w:p>
                    </w:tc>
                    <w:tc>
                      <w:tcPr>
                        <w:tcW w:w="2319" w:type="dxa"/>
                      </w:tcPr>
                      <w:p>
                        <w:pPr>
                          <w:pStyle w:val="11"/>
                          <w:spacing w:before="23"/>
                          <w:ind w:left="51"/>
                          <w:rPr>
                            <w:sz w:val="21"/>
                          </w:rPr>
                        </w:pPr>
                        <w:r>
                          <w:rPr>
                            <w:spacing w:val="-3"/>
                            <w:sz w:val="21"/>
                          </w:rPr>
                          <w:t>合同成立及保险责任开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3" w:hRule="atLeast"/>
                    </w:trPr>
                    <w:tc>
                      <w:tcPr>
                        <w:tcW w:w="2644" w:type="dxa"/>
                        <w:gridSpan w:val="2"/>
                        <w:tcBorders>
                          <w:right w:val="dashSmallGap" w:color="000000" w:sz="2" w:space="0"/>
                        </w:tcBorders>
                      </w:tcPr>
                      <w:p>
                        <w:pPr>
                          <w:pStyle w:val="11"/>
                          <w:numPr>
                            <w:ilvl w:val="1"/>
                            <w:numId w:val="3"/>
                          </w:numPr>
                          <w:tabs>
                            <w:tab w:val="left" w:pos="649"/>
                          </w:tabs>
                          <w:spacing w:before="31" w:after="0" w:line="240" w:lineRule="auto"/>
                          <w:ind w:left="648" w:right="0" w:hanging="371"/>
                          <w:jc w:val="left"/>
                          <w:rPr>
                            <w:sz w:val="21"/>
                          </w:rPr>
                        </w:pPr>
                        <w:r>
                          <w:rPr>
                            <w:spacing w:val="-4"/>
                            <w:sz w:val="21"/>
                          </w:rPr>
                          <w:t>保险责任</w:t>
                        </w:r>
                      </w:p>
                      <w:p>
                        <w:pPr>
                          <w:pStyle w:val="11"/>
                          <w:numPr>
                            <w:ilvl w:val="1"/>
                            <w:numId w:val="3"/>
                          </w:numPr>
                          <w:tabs>
                            <w:tab w:val="left" w:pos="649"/>
                          </w:tabs>
                          <w:spacing w:before="43" w:after="0" w:line="240" w:lineRule="auto"/>
                          <w:ind w:left="648" w:right="0" w:hanging="371"/>
                          <w:jc w:val="left"/>
                          <w:rPr>
                            <w:sz w:val="21"/>
                          </w:rPr>
                        </w:pPr>
                        <w:r>
                          <w:rPr>
                            <w:spacing w:val="-4"/>
                            <w:sz w:val="21"/>
                          </w:rPr>
                          <w:t>保险期间</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spacing w:before="31"/>
                          <w:ind w:left="49"/>
                          <w:rPr>
                            <w:sz w:val="21"/>
                          </w:rPr>
                        </w:pPr>
                        <w:r>
                          <w:rPr>
                            <w:spacing w:val="-5"/>
                            <w:sz w:val="21"/>
                          </w:rPr>
                          <w:t>材料</w:t>
                        </w:r>
                      </w:p>
                      <w:p>
                        <w:pPr>
                          <w:pStyle w:val="11"/>
                          <w:spacing w:before="43"/>
                          <w:ind w:left="49"/>
                          <w:rPr>
                            <w:sz w:val="21"/>
                          </w:rPr>
                        </w:pPr>
                        <w:r>
                          <w:rPr>
                            <w:spacing w:val="-2"/>
                            <w:sz w:val="21"/>
                          </w:rPr>
                          <w:t>4.4</w:t>
                        </w:r>
                        <w:r>
                          <w:rPr>
                            <w:spacing w:val="-11"/>
                            <w:sz w:val="21"/>
                          </w:rPr>
                          <w:t xml:space="preserve"> 保险金的给付</w:t>
                        </w:r>
                      </w:p>
                    </w:tc>
                    <w:tc>
                      <w:tcPr>
                        <w:tcW w:w="689" w:type="dxa"/>
                        <w:tcBorders>
                          <w:left w:val="dashSmallGap" w:color="000000" w:sz="2" w:space="0"/>
                        </w:tcBorders>
                      </w:tcPr>
                      <w:p>
                        <w:pPr>
                          <w:pStyle w:val="11"/>
                          <w:spacing w:before="31"/>
                          <w:ind w:left="315"/>
                          <w:rPr>
                            <w:sz w:val="21"/>
                          </w:rPr>
                        </w:pPr>
                        <w:r>
                          <w:rPr>
                            <w:w w:val="100"/>
                            <w:sz w:val="21"/>
                          </w:rPr>
                          <w:t>始</w:t>
                        </w:r>
                      </w:p>
                      <w:p>
                        <w:pPr>
                          <w:pStyle w:val="11"/>
                          <w:spacing w:before="43"/>
                          <w:ind w:left="315"/>
                          <w:rPr>
                            <w:sz w:val="21"/>
                          </w:rPr>
                        </w:pPr>
                        <w:r>
                          <w:rPr>
                            <w:spacing w:val="-5"/>
                            <w:sz w:val="21"/>
                          </w:rPr>
                          <w:t>7.4</w:t>
                        </w:r>
                      </w:p>
                    </w:tc>
                    <w:tc>
                      <w:tcPr>
                        <w:tcW w:w="2319" w:type="dxa"/>
                      </w:tcPr>
                      <w:p>
                        <w:pPr>
                          <w:pStyle w:val="11"/>
                          <w:spacing w:before="10"/>
                          <w:rPr>
                            <w:sz w:val="26"/>
                          </w:rPr>
                        </w:pPr>
                      </w:p>
                      <w:p>
                        <w:pPr>
                          <w:pStyle w:val="11"/>
                          <w:ind w:left="51"/>
                          <w:rPr>
                            <w:sz w:val="21"/>
                          </w:rPr>
                        </w:pPr>
                        <w:r>
                          <w:rPr>
                            <w:spacing w:val="-4"/>
                            <w:sz w:val="21"/>
                          </w:rPr>
                          <w:t>合同效力的终止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trPr>
                    <w:tc>
                      <w:tcPr>
                        <w:tcW w:w="2644" w:type="dxa"/>
                        <w:gridSpan w:val="2"/>
                        <w:tcBorders>
                          <w:right w:val="dashSmallGap" w:color="000000" w:sz="2" w:space="0"/>
                        </w:tcBorders>
                      </w:tcPr>
                      <w:p>
                        <w:pPr>
                          <w:pStyle w:val="11"/>
                          <w:rPr>
                            <w:rFonts w:ascii="Times New Roman"/>
                            <w:sz w:val="20"/>
                          </w:rPr>
                        </w:pP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spacing w:before="22"/>
                          <w:ind w:left="49"/>
                          <w:rPr>
                            <w:sz w:val="21"/>
                          </w:rPr>
                        </w:pPr>
                        <w:r>
                          <w:rPr>
                            <w:spacing w:val="-2"/>
                            <w:sz w:val="21"/>
                          </w:rPr>
                          <w:t>4.5</w:t>
                        </w:r>
                        <w:r>
                          <w:rPr>
                            <w:spacing w:val="-14"/>
                            <w:sz w:val="21"/>
                          </w:rPr>
                          <w:t xml:space="preserve"> 诉讼时效</w:t>
                        </w:r>
                      </w:p>
                    </w:tc>
                    <w:tc>
                      <w:tcPr>
                        <w:tcW w:w="689" w:type="dxa"/>
                        <w:tcBorders>
                          <w:left w:val="dashSmallGap" w:color="000000" w:sz="2" w:space="0"/>
                        </w:tcBorders>
                      </w:tcPr>
                      <w:p>
                        <w:pPr>
                          <w:pStyle w:val="11"/>
                          <w:spacing w:before="22"/>
                          <w:ind w:right="49"/>
                          <w:jc w:val="right"/>
                          <w:rPr>
                            <w:sz w:val="21"/>
                          </w:rPr>
                        </w:pPr>
                        <w:r>
                          <w:rPr>
                            <w:spacing w:val="-5"/>
                            <w:sz w:val="21"/>
                          </w:rPr>
                          <w:t>7.5</w:t>
                        </w:r>
                      </w:p>
                    </w:tc>
                    <w:tc>
                      <w:tcPr>
                        <w:tcW w:w="2319" w:type="dxa"/>
                      </w:tcPr>
                      <w:p>
                        <w:pPr>
                          <w:pStyle w:val="11"/>
                          <w:spacing w:before="22"/>
                          <w:ind w:left="51"/>
                          <w:rPr>
                            <w:sz w:val="21"/>
                          </w:rPr>
                        </w:pPr>
                        <w:r>
                          <w:rPr>
                            <w:spacing w:val="-3"/>
                            <w:sz w:val="21"/>
                          </w:rPr>
                          <w:t>年龄或性别错误的处理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2644" w:type="dxa"/>
                        <w:gridSpan w:val="2"/>
                        <w:tcBorders>
                          <w:right w:val="dashSmallGap" w:color="000000" w:sz="2" w:space="0"/>
                        </w:tcBorders>
                      </w:tcPr>
                      <w:p>
                        <w:pPr>
                          <w:pStyle w:val="11"/>
                          <w:spacing w:line="320" w:lineRule="exact"/>
                          <w:ind w:left="67"/>
                          <w:rPr>
                            <w:rFonts w:ascii="微软雅黑" w:eastAsia="微软雅黑"/>
                            <w:b/>
                            <w:sz w:val="21"/>
                          </w:rPr>
                        </w:pPr>
                        <w:r>
                          <w:rPr>
                            <w:rFonts w:ascii="微软雅黑" w:eastAsia="微软雅黑"/>
                            <w:b/>
                            <w:sz w:val="21"/>
                          </w:rPr>
                          <w:t>2</w:t>
                        </w:r>
                        <w:r>
                          <w:rPr>
                            <w:rFonts w:ascii="微软雅黑" w:eastAsia="微软雅黑"/>
                            <w:b/>
                            <w:spacing w:val="-1"/>
                            <w:sz w:val="21"/>
                          </w:rPr>
                          <w:t xml:space="preserve"> 我们不保什么</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rPr>
                            <w:rFonts w:ascii="Times New Roman"/>
                            <w:sz w:val="20"/>
                          </w:rPr>
                        </w:pPr>
                      </w:p>
                    </w:tc>
                    <w:tc>
                      <w:tcPr>
                        <w:tcW w:w="689" w:type="dxa"/>
                        <w:tcBorders>
                          <w:left w:val="dashSmallGap" w:color="000000" w:sz="2" w:space="0"/>
                        </w:tcBorders>
                      </w:tcPr>
                      <w:p>
                        <w:pPr>
                          <w:pStyle w:val="11"/>
                          <w:spacing w:before="35"/>
                          <w:ind w:right="49"/>
                          <w:jc w:val="right"/>
                          <w:rPr>
                            <w:sz w:val="21"/>
                          </w:rPr>
                        </w:pPr>
                        <w:r>
                          <w:rPr>
                            <w:spacing w:val="-5"/>
                            <w:sz w:val="21"/>
                          </w:rPr>
                          <w:t>7.6</w:t>
                        </w:r>
                      </w:p>
                    </w:tc>
                    <w:tc>
                      <w:tcPr>
                        <w:tcW w:w="2319" w:type="dxa"/>
                      </w:tcPr>
                      <w:p>
                        <w:pPr>
                          <w:pStyle w:val="11"/>
                          <w:spacing w:before="35"/>
                          <w:ind w:left="51"/>
                          <w:rPr>
                            <w:sz w:val="21"/>
                          </w:rPr>
                        </w:pPr>
                        <w:r>
                          <w:rPr>
                            <w:spacing w:val="-3"/>
                            <w:sz w:val="21"/>
                          </w:rPr>
                          <w:t>被保险人失踪的处理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rPr>
                    <w:tc>
                      <w:tcPr>
                        <w:tcW w:w="2644" w:type="dxa"/>
                        <w:gridSpan w:val="2"/>
                        <w:tcBorders>
                          <w:right w:val="dashSmallGap" w:color="000000" w:sz="2" w:space="0"/>
                        </w:tcBorders>
                      </w:tcPr>
                      <w:p>
                        <w:pPr>
                          <w:pStyle w:val="11"/>
                          <w:spacing w:before="36"/>
                          <w:ind w:left="278"/>
                          <w:rPr>
                            <w:sz w:val="21"/>
                          </w:rPr>
                        </w:pPr>
                        <w:r>
                          <w:rPr>
                            <w:spacing w:val="-2"/>
                            <w:sz w:val="21"/>
                          </w:rPr>
                          <w:t>2.1</w:t>
                        </w:r>
                        <w:r>
                          <w:rPr>
                            <w:spacing w:val="-14"/>
                            <w:sz w:val="21"/>
                          </w:rPr>
                          <w:t xml:space="preserve"> 责任免除</w:t>
                        </w:r>
                      </w:p>
                    </w:tc>
                    <w:tc>
                      <w:tcPr>
                        <w:tcW w:w="269" w:type="dxa"/>
                        <w:tcBorders>
                          <w:left w:val="dashSmallGap" w:color="000000" w:sz="2" w:space="0"/>
                        </w:tcBorders>
                      </w:tcPr>
                      <w:p>
                        <w:pPr>
                          <w:pStyle w:val="11"/>
                          <w:spacing w:line="306" w:lineRule="exact"/>
                          <w:ind w:right="49"/>
                          <w:jc w:val="right"/>
                          <w:rPr>
                            <w:rFonts w:ascii="微软雅黑"/>
                            <w:b/>
                            <w:sz w:val="21"/>
                          </w:rPr>
                        </w:pPr>
                        <w:r>
                          <w:rPr>
                            <w:rFonts w:ascii="微软雅黑"/>
                            <w:b/>
                            <w:w w:val="81"/>
                            <w:sz w:val="21"/>
                          </w:rPr>
                          <w:t>5</w:t>
                        </w:r>
                      </w:p>
                    </w:tc>
                    <w:tc>
                      <w:tcPr>
                        <w:tcW w:w="2569" w:type="dxa"/>
                        <w:tcBorders>
                          <w:right w:val="dashSmallGap" w:color="000000" w:sz="2" w:space="0"/>
                        </w:tcBorders>
                      </w:tcPr>
                      <w:p>
                        <w:pPr>
                          <w:pStyle w:val="11"/>
                          <w:spacing w:line="306" w:lineRule="exact"/>
                          <w:ind w:left="49"/>
                          <w:rPr>
                            <w:rFonts w:ascii="微软雅黑" w:eastAsia="微软雅黑"/>
                            <w:b/>
                            <w:sz w:val="21"/>
                          </w:rPr>
                        </w:pPr>
                        <w:r>
                          <w:rPr>
                            <w:rFonts w:ascii="微软雅黑" w:eastAsia="微软雅黑"/>
                            <w:b/>
                            <w:spacing w:val="-3"/>
                            <w:sz w:val="21"/>
                          </w:rPr>
                          <w:t>如何退保</w:t>
                        </w:r>
                      </w:p>
                    </w:tc>
                    <w:tc>
                      <w:tcPr>
                        <w:tcW w:w="689" w:type="dxa"/>
                        <w:tcBorders>
                          <w:left w:val="dashSmallGap" w:color="000000" w:sz="2" w:space="0"/>
                        </w:tcBorders>
                      </w:tcPr>
                      <w:p>
                        <w:pPr>
                          <w:pStyle w:val="11"/>
                          <w:spacing w:before="36"/>
                          <w:ind w:right="49"/>
                          <w:jc w:val="right"/>
                          <w:rPr>
                            <w:sz w:val="21"/>
                          </w:rPr>
                        </w:pPr>
                        <w:r>
                          <w:rPr>
                            <w:spacing w:val="-5"/>
                            <w:sz w:val="21"/>
                          </w:rPr>
                          <w:t>7.7</w:t>
                        </w:r>
                      </w:p>
                    </w:tc>
                    <w:tc>
                      <w:tcPr>
                        <w:tcW w:w="2319" w:type="dxa"/>
                      </w:tcPr>
                      <w:p>
                        <w:pPr>
                          <w:pStyle w:val="11"/>
                          <w:spacing w:before="36"/>
                          <w:ind w:left="51"/>
                          <w:rPr>
                            <w:sz w:val="21"/>
                          </w:rPr>
                        </w:pPr>
                        <w:r>
                          <w:rPr>
                            <w:spacing w:val="-4"/>
                            <w:sz w:val="21"/>
                          </w:rPr>
                          <w:t>身体检查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644" w:type="dxa"/>
                        <w:gridSpan w:val="2"/>
                        <w:tcBorders>
                          <w:right w:val="dashSmallGap" w:color="000000" w:sz="2" w:space="0"/>
                        </w:tcBorders>
                      </w:tcPr>
                      <w:p>
                        <w:pPr>
                          <w:pStyle w:val="11"/>
                          <w:spacing w:before="22"/>
                          <w:ind w:left="278"/>
                          <w:rPr>
                            <w:sz w:val="21"/>
                          </w:rPr>
                        </w:pPr>
                        <w:r>
                          <w:rPr>
                            <w:spacing w:val="-2"/>
                            <w:sz w:val="21"/>
                          </w:rPr>
                          <w:t>2.2</w:t>
                        </w:r>
                        <w:r>
                          <w:rPr>
                            <w:spacing w:val="-11"/>
                            <w:sz w:val="21"/>
                          </w:rPr>
                          <w:t xml:space="preserve"> 其他免责条款</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spacing w:before="22"/>
                          <w:ind w:left="51"/>
                          <w:rPr>
                            <w:sz w:val="21"/>
                          </w:rPr>
                        </w:pPr>
                        <w:r>
                          <w:rPr>
                            <w:sz w:val="21"/>
                          </w:rPr>
                          <w:t>5.1</w:t>
                        </w:r>
                        <w:r>
                          <w:rPr>
                            <w:spacing w:val="-5"/>
                            <w:sz w:val="21"/>
                          </w:rPr>
                          <w:t xml:space="preserve"> 犹豫期</w:t>
                        </w:r>
                      </w:p>
                    </w:tc>
                    <w:tc>
                      <w:tcPr>
                        <w:tcW w:w="689" w:type="dxa"/>
                        <w:tcBorders>
                          <w:left w:val="dashSmallGap" w:color="000000" w:sz="2" w:space="0"/>
                        </w:tcBorders>
                      </w:tcPr>
                      <w:p>
                        <w:pPr>
                          <w:pStyle w:val="11"/>
                          <w:spacing w:before="22"/>
                          <w:ind w:right="49"/>
                          <w:jc w:val="right"/>
                          <w:rPr>
                            <w:sz w:val="21"/>
                          </w:rPr>
                        </w:pPr>
                        <w:r>
                          <w:rPr>
                            <w:spacing w:val="-5"/>
                            <w:sz w:val="21"/>
                          </w:rPr>
                          <w:t>7.8</w:t>
                        </w:r>
                      </w:p>
                    </w:tc>
                    <w:tc>
                      <w:tcPr>
                        <w:tcW w:w="2319" w:type="dxa"/>
                      </w:tcPr>
                      <w:p>
                        <w:pPr>
                          <w:pStyle w:val="11"/>
                          <w:spacing w:before="22"/>
                          <w:ind w:left="51"/>
                          <w:rPr>
                            <w:sz w:val="21"/>
                          </w:rPr>
                        </w:pPr>
                        <w:r>
                          <w:rPr>
                            <w:spacing w:val="-4"/>
                            <w:sz w:val="21"/>
                          </w:rPr>
                          <w:t>欠款扣除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4" w:hRule="atLeast"/>
                    </w:trPr>
                    <w:tc>
                      <w:tcPr>
                        <w:tcW w:w="2644" w:type="dxa"/>
                        <w:gridSpan w:val="2"/>
                        <w:tcBorders>
                          <w:right w:val="dashSmallGap" w:color="000000" w:sz="2" w:space="0"/>
                        </w:tcBorders>
                      </w:tcPr>
                      <w:p>
                        <w:pPr>
                          <w:pStyle w:val="11"/>
                          <w:spacing w:before="10"/>
                          <w:rPr>
                            <w:sz w:val="20"/>
                          </w:rPr>
                        </w:pPr>
                      </w:p>
                      <w:p>
                        <w:pPr>
                          <w:pStyle w:val="11"/>
                          <w:ind w:left="67"/>
                          <w:rPr>
                            <w:rFonts w:ascii="微软雅黑" w:eastAsia="微软雅黑"/>
                            <w:b/>
                            <w:sz w:val="21"/>
                          </w:rPr>
                        </w:pPr>
                        <w:r>
                          <w:rPr>
                            <w:rFonts w:ascii="微软雅黑" w:eastAsia="微软雅黑"/>
                            <w:b/>
                            <w:sz w:val="21"/>
                          </w:rPr>
                          <w:t>3</w:t>
                        </w:r>
                        <w:r>
                          <w:rPr>
                            <w:rFonts w:ascii="微软雅黑" w:eastAsia="微软雅黑"/>
                            <w:b/>
                            <w:spacing w:val="-2"/>
                            <w:sz w:val="21"/>
                          </w:rPr>
                          <w:t xml:space="preserve"> 如何支付保险费</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spacing w:before="22"/>
                          <w:ind w:left="49"/>
                          <w:rPr>
                            <w:sz w:val="21"/>
                          </w:rPr>
                        </w:pPr>
                        <w:r>
                          <w:rPr>
                            <w:sz w:val="21"/>
                          </w:rPr>
                          <w:t>5.2</w:t>
                        </w:r>
                        <w:r>
                          <w:rPr>
                            <w:spacing w:val="-4"/>
                            <w:sz w:val="21"/>
                          </w:rPr>
                          <w:t xml:space="preserve"> 解除合同</w:t>
                        </w:r>
                        <w:r>
                          <w:rPr>
                            <w:sz w:val="21"/>
                          </w:rPr>
                          <w:t>（退保</w:t>
                        </w:r>
                        <w:r>
                          <w:rPr>
                            <w:spacing w:val="-10"/>
                            <w:sz w:val="21"/>
                          </w:rPr>
                          <w:t>）</w:t>
                        </w:r>
                      </w:p>
                    </w:tc>
                    <w:tc>
                      <w:tcPr>
                        <w:tcW w:w="689" w:type="dxa"/>
                        <w:tcBorders>
                          <w:left w:val="dashSmallGap" w:color="000000" w:sz="2" w:space="0"/>
                        </w:tcBorders>
                      </w:tcPr>
                      <w:p>
                        <w:pPr>
                          <w:pStyle w:val="11"/>
                          <w:spacing w:before="22"/>
                          <w:ind w:left="315"/>
                          <w:rPr>
                            <w:sz w:val="21"/>
                          </w:rPr>
                        </w:pPr>
                        <w:r>
                          <w:rPr>
                            <w:spacing w:val="-5"/>
                            <w:sz w:val="21"/>
                          </w:rPr>
                          <w:t>7.9</w:t>
                        </w:r>
                      </w:p>
                      <w:p>
                        <w:pPr>
                          <w:pStyle w:val="11"/>
                          <w:spacing w:before="43"/>
                          <w:ind w:left="315"/>
                          <w:rPr>
                            <w:sz w:val="21"/>
                          </w:rPr>
                        </w:pPr>
                        <w:r>
                          <w:rPr>
                            <w:w w:val="100"/>
                            <w:sz w:val="21"/>
                          </w:rPr>
                          <w:t>制</w:t>
                        </w:r>
                      </w:p>
                    </w:tc>
                    <w:tc>
                      <w:tcPr>
                        <w:tcW w:w="2319" w:type="dxa"/>
                      </w:tcPr>
                      <w:p>
                        <w:pPr>
                          <w:pStyle w:val="11"/>
                          <w:spacing w:before="22"/>
                          <w:ind w:left="51"/>
                          <w:rPr>
                            <w:sz w:val="21"/>
                          </w:rPr>
                        </w:pPr>
                        <w:r>
                          <w:rPr>
                            <w:spacing w:val="-3"/>
                            <w:sz w:val="21"/>
                          </w:rPr>
                          <w:t>未成年人身故保险金限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650" w:type="dxa"/>
                      </w:tcPr>
                      <w:p>
                        <w:pPr>
                          <w:pStyle w:val="11"/>
                          <w:spacing w:line="241" w:lineRule="exact"/>
                          <w:ind w:right="51"/>
                          <w:jc w:val="right"/>
                          <w:rPr>
                            <w:sz w:val="21"/>
                          </w:rPr>
                        </w:pPr>
                        <w:r>
                          <w:rPr>
                            <w:spacing w:val="-5"/>
                            <w:sz w:val="21"/>
                          </w:rPr>
                          <w:t>3.1</w:t>
                        </w:r>
                      </w:p>
                    </w:tc>
                    <w:tc>
                      <w:tcPr>
                        <w:tcW w:w="1994" w:type="dxa"/>
                        <w:tcBorders>
                          <w:right w:val="dashSmallGap" w:color="000000" w:sz="2" w:space="0"/>
                        </w:tcBorders>
                      </w:tcPr>
                      <w:p>
                        <w:pPr>
                          <w:pStyle w:val="11"/>
                          <w:spacing w:line="241" w:lineRule="exact"/>
                          <w:ind w:left="51"/>
                          <w:rPr>
                            <w:sz w:val="21"/>
                          </w:rPr>
                        </w:pPr>
                        <w:r>
                          <w:rPr>
                            <w:spacing w:val="-4"/>
                            <w:sz w:val="21"/>
                          </w:rPr>
                          <w:t>保险费的缴付</w:t>
                        </w:r>
                      </w:p>
                    </w:tc>
                    <w:tc>
                      <w:tcPr>
                        <w:tcW w:w="269" w:type="dxa"/>
                        <w:tcBorders>
                          <w:left w:val="dashSmallGap" w:color="000000" w:sz="2" w:space="0"/>
                        </w:tcBorders>
                      </w:tcPr>
                      <w:p>
                        <w:pPr>
                          <w:pStyle w:val="11"/>
                          <w:spacing w:line="242" w:lineRule="exact"/>
                          <w:ind w:right="49"/>
                          <w:jc w:val="right"/>
                          <w:rPr>
                            <w:rFonts w:ascii="微软雅黑"/>
                            <w:b/>
                            <w:sz w:val="21"/>
                          </w:rPr>
                        </w:pPr>
                        <w:r>
                          <w:rPr>
                            <w:rFonts w:ascii="微软雅黑"/>
                            <w:b/>
                            <w:w w:val="81"/>
                            <w:sz w:val="21"/>
                          </w:rPr>
                          <w:t>6</w:t>
                        </w:r>
                      </w:p>
                    </w:tc>
                    <w:tc>
                      <w:tcPr>
                        <w:tcW w:w="2569" w:type="dxa"/>
                        <w:tcBorders>
                          <w:right w:val="dashSmallGap" w:color="000000" w:sz="2" w:space="0"/>
                        </w:tcBorders>
                      </w:tcPr>
                      <w:p>
                        <w:pPr>
                          <w:pStyle w:val="11"/>
                          <w:spacing w:line="242" w:lineRule="exact"/>
                          <w:ind w:left="49"/>
                          <w:rPr>
                            <w:rFonts w:ascii="微软雅黑" w:eastAsia="微软雅黑"/>
                            <w:b/>
                            <w:sz w:val="21"/>
                          </w:rPr>
                        </w:pPr>
                        <w:r>
                          <w:rPr>
                            <w:rFonts w:ascii="微软雅黑" w:eastAsia="微软雅黑"/>
                            <w:b/>
                            <w:spacing w:val="-3"/>
                            <w:sz w:val="21"/>
                          </w:rPr>
                          <w:t>其他权益</w:t>
                        </w:r>
                      </w:p>
                    </w:tc>
                    <w:tc>
                      <w:tcPr>
                        <w:tcW w:w="3008" w:type="dxa"/>
                        <w:gridSpan w:val="2"/>
                        <w:tcBorders>
                          <w:left w:val="dashSmallGap" w:color="000000" w:sz="2" w:space="0"/>
                        </w:tcBorders>
                      </w:tcPr>
                      <w:p>
                        <w:pPr>
                          <w:pStyle w:val="11"/>
                          <w:spacing w:line="241" w:lineRule="exact"/>
                          <w:ind w:left="315"/>
                          <w:rPr>
                            <w:sz w:val="21"/>
                          </w:rPr>
                        </w:pPr>
                        <w:r>
                          <w:rPr>
                            <w:sz w:val="21"/>
                          </w:rPr>
                          <w:t>7.10</w:t>
                        </w:r>
                        <w:r>
                          <w:rPr>
                            <w:spacing w:val="-22"/>
                            <w:sz w:val="21"/>
                          </w:rPr>
                          <w:t xml:space="preserve"> 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650" w:type="dxa"/>
                      </w:tcPr>
                      <w:p>
                        <w:pPr>
                          <w:pStyle w:val="11"/>
                          <w:spacing w:before="22"/>
                          <w:ind w:right="50"/>
                          <w:jc w:val="right"/>
                          <w:rPr>
                            <w:sz w:val="21"/>
                          </w:rPr>
                        </w:pPr>
                        <w:r>
                          <w:rPr>
                            <w:spacing w:val="-5"/>
                            <w:sz w:val="21"/>
                          </w:rPr>
                          <w:t>3.2</w:t>
                        </w:r>
                      </w:p>
                    </w:tc>
                    <w:tc>
                      <w:tcPr>
                        <w:tcW w:w="1994" w:type="dxa"/>
                        <w:tcBorders>
                          <w:right w:val="dashSmallGap" w:color="000000" w:sz="2" w:space="0"/>
                        </w:tcBorders>
                      </w:tcPr>
                      <w:p>
                        <w:pPr>
                          <w:pStyle w:val="11"/>
                          <w:spacing w:before="22"/>
                          <w:ind w:left="51"/>
                          <w:rPr>
                            <w:sz w:val="21"/>
                          </w:rPr>
                        </w:pPr>
                        <w:r>
                          <w:rPr>
                            <w:spacing w:val="-5"/>
                            <w:sz w:val="21"/>
                          </w:rPr>
                          <w:t>宽限期</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spacing w:before="22"/>
                          <w:ind w:left="49"/>
                          <w:rPr>
                            <w:sz w:val="21"/>
                          </w:rPr>
                        </w:pPr>
                        <w:r>
                          <w:rPr>
                            <w:sz w:val="21"/>
                          </w:rPr>
                          <w:t>6.1</w:t>
                        </w:r>
                        <w:r>
                          <w:rPr>
                            <w:spacing w:val="-4"/>
                            <w:sz w:val="21"/>
                          </w:rPr>
                          <w:t xml:space="preserve"> 保单借款</w:t>
                        </w:r>
                      </w:p>
                    </w:tc>
                    <w:tc>
                      <w:tcPr>
                        <w:tcW w:w="3008" w:type="dxa"/>
                        <w:gridSpan w:val="2"/>
                        <w:tcBorders>
                          <w:left w:val="dashSmallGap" w:color="000000" w:sz="2" w:space="0"/>
                        </w:tcBorders>
                      </w:tcPr>
                      <w:p>
                        <w:pPr>
                          <w:pStyle w:val="11"/>
                          <w:spacing w:before="22"/>
                          <w:ind w:left="315"/>
                          <w:rPr>
                            <w:sz w:val="21"/>
                          </w:rPr>
                        </w:pPr>
                        <w:r>
                          <w:rPr>
                            <w:spacing w:val="-2"/>
                            <w:sz w:val="21"/>
                          </w:rPr>
                          <w:t>7.11</w:t>
                        </w:r>
                        <w:r>
                          <w:rPr>
                            <w:spacing w:val="-14"/>
                            <w:sz w:val="21"/>
                          </w:rPr>
                          <w:t xml:space="preserve"> 争议处理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rPr>
                    <w:tc>
                      <w:tcPr>
                        <w:tcW w:w="650" w:type="dxa"/>
                      </w:tcPr>
                      <w:p>
                        <w:pPr>
                          <w:pStyle w:val="11"/>
                          <w:spacing w:before="22"/>
                          <w:ind w:right="50"/>
                          <w:jc w:val="right"/>
                          <w:rPr>
                            <w:sz w:val="21"/>
                          </w:rPr>
                        </w:pPr>
                        <w:r>
                          <w:rPr>
                            <w:spacing w:val="-5"/>
                            <w:sz w:val="21"/>
                          </w:rPr>
                          <w:t>3.3</w:t>
                        </w:r>
                      </w:p>
                    </w:tc>
                    <w:tc>
                      <w:tcPr>
                        <w:tcW w:w="1994" w:type="dxa"/>
                        <w:tcBorders>
                          <w:right w:val="dashSmallGap" w:color="000000" w:sz="2" w:space="0"/>
                        </w:tcBorders>
                      </w:tcPr>
                      <w:p>
                        <w:pPr>
                          <w:pStyle w:val="11"/>
                          <w:spacing w:before="22"/>
                          <w:ind w:left="51"/>
                          <w:rPr>
                            <w:sz w:val="21"/>
                          </w:rPr>
                        </w:pPr>
                        <w:r>
                          <w:rPr>
                            <w:spacing w:val="-4"/>
                            <w:sz w:val="21"/>
                          </w:rPr>
                          <w:t>效力中止</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rPr>
                            <w:rFonts w:ascii="Times New Roman"/>
                            <w:sz w:val="20"/>
                          </w:rPr>
                        </w:pPr>
                      </w:p>
                    </w:tc>
                    <w:tc>
                      <w:tcPr>
                        <w:tcW w:w="3008" w:type="dxa"/>
                        <w:gridSpan w:val="2"/>
                        <w:tcBorders>
                          <w:left w:val="dashSmallGap" w:color="000000" w:sz="2"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rPr>
                    <w:tc>
                      <w:tcPr>
                        <w:tcW w:w="650" w:type="dxa"/>
                      </w:tcPr>
                      <w:p>
                        <w:pPr>
                          <w:pStyle w:val="11"/>
                          <w:spacing w:before="36"/>
                          <w:ind w:right="49"/>
                          <w:jc w:val="right"/>
                          <w:rPr>
                            <w:sz w:val="21"/>
                          </w:rPr>
                        </w:pPr>
                        <w:r>
                          <w:rPr>
                            <w:spacing w:val="-5"/>
                            <w:sz w:val="21"/>
                          </w:rPr>
                          <w:t>3.4</w:t>
                        </w:r>
                      </w:p>
                    </w:tc>
                    <w:tc>
                      <w:tcPr>
                        <w:tcW w:w="1994" w:type="dxa"/>
                        <w:tcBorders>
                          <w:right w:val="dashSmallGap" w:color="000000" w:sz="2" w:space="0"/>
                        </w:tcBorders>
                      </w:tcPr>
                      <w:p>
                        <w:pPr>
                          <w:pStyle w:val="11"/>
                          <w:spacing w:before="36"/>
                          <w:ind w:left="48"/>
                          <w:rPr>
                            <w:sz w:val="21"/>
                          </w:rPr>
                        </w:pPr>
                        <w:r>
                          <w:rPr>
                            <w:spacing w:val="-4"/>
                            <w:sz w:val="21"/>
                          </w:rPr>
                          <w:t>效力恢复</w:t>
                        </w: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rPr>
                            <w:rFonts w:ascii="Times New Roman"/>
                            <w:sz w:val="20"/>
                          </w:rPr>
                        </w:pPr>
                      </w:p>
                    </w:tc>
                    <w:tc>
                      <w:tcPr>
                        <w:tcW w:w="3008" w:type="dxa"/>
                        <w:gridSpan w:val="2"/>
                        <w:tcBorders>
                          <w:left w:val="dashSmallGap" w:color="000000" w:sz="2" w:space="0"/>
                        </w:tcBorders>
                      </w:tcPr>
                      <w:p>
                        <w:pPr>
                          <w:pStyle w:val="11"/>
                          <w:spacing w:line="307" w:lineRule="exact"/>
                          <w:ind w:left="104"/>
                          <w:rPr>
                            <w:rFonts w:ascii="微软雅黑" w:eastAsia="微软雅黑"/>
                            <w:b/>
                            <w:sz w:val="21"/>
                          </w:rPr>
                        </w:pPr>
                        <w:r>
                          <w:rPr>
                            <w:rFonts w:ascii="微软雅黑" w:eastAsia="微软雅黑"/>
                            <w:b/>
                            <w:w w:val="95"/>
                            <w:sz w:val="21"/>
                          </w:rPr>
                          <w:t>8</w:t>
                        </w:r>
                        <w:r>
                          <w:rPr>
                            <w:rFonts w:ascii="微软雅黑" w:eastAsia="微软雅黑"/>
                            <w:b/>
                            <w:spacing w:val="22"/>
                            <w:sz w:val="21"/>
                          </w:rPr>
                          <w:t xml:space="preserve"> </w:t>
                        </w:r>
                        <w:r>
                          <w:rPr>
                            <w:rFonts w:ascii="微软雅黑" w:eastAsia="微软雅黑"/>
                            <w:b/>
                            <w:w w:val="95"/>
                            <w:sz w:val="21"/>
                          </w:rPr>
                          <w:t>重大疾病、中症疾病、轻症</w:t>
                        </w:r>
                        <w:r>
                          <w:rPr>
                            <w:rFonts w:ascii="微软雅黑" w:eastAsia="微软雅黑"/>
                            <w:b/>
                            <w:spacing w:val="-10"/>
                            <w:w w:val="95"/>
                            <w:sz w:val="21"/>
                          </w:rPr>
                          <w:t>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650" w:type="dxa"/>
                      </w:tcPr>
                      <w:p>
                        <w:pPr>
                          <w:pStyle w:val="11"/>
                          <w:rPr>
                            <w:rFonts w:ascii="Times New Roman"/>
                            <w:sz w:val="20"/>
                          </w:rPr>
                        </w:pPr>
                      </w:p>
                    </w:tc>
                    <w:tc>
                      <w:tcPr>
                        <w:tcW w:w="1994" w:type="dxa"/>
                        <w:tcBorders>
                          <w:right w:val="dashSmallGap" w:color="000000" w:sz="2" w:space="0"/>
                        </w:tcBorders>
                      </w:tcPr>
                      <w:p>
                        <w:pPr>
                          <w:pStyle w:val="11"/>
                          <w:rPr>
                            <w:rFonts w:ascii="Times New Roman"/>
                            <w:sz w:val="20"/>
                          </w:rPr>
                        </w:pPr>
                      </w:p>
                    </w:tc>
                    <w:tc>
                      <w:tcPr>
                        <w:tcW w:w="269" w:type="dxa"/>
                        <w:tcBorders>
                          <w:left w:val="dashSmallGap" w:color="000000" w:sz="2" w:space="0"/>
                        </w:tcBorders>
                      </w:tcPr>
                      <w:p>
                        <w:pPr>
                          <w:pStyle w:val="11"/>
                          <w:rPr>
                            <w:rFonts w:ascii="Times New Roman"/>
                            <w:sz w:val="20"/>
                          </w:rPr>
                        </w:pPr>
                      </w:p>
                    </w:tc>
                    <w:tc>
                      <w:tcPr>
                        <w:tcW w:w="2569" w:type="dxa"/>
                        <w:tcBorders>
                          <w:right w:val="dashSmallGap" w:color="000000" w:sz="2" w:space="0"/>
                        </w:tcBorders>
                      </w:tcPr>
                      <w:p>
                        <w:pPr>
                          <w:pStyle w:val="11"/>
                          <w:rPr>
                            <w:rFonts w:ascii="Times New Roman"/>
                            <w:sz w:val="20"/>
                          </w:rPr>
                        </w:pPr>
                      </w:p>
                    </w:tc>
                    <w:tc>
                      <w:tcPr>
                        <w:tcW w:w="3008" w:type="dxa"/>
                        <w:gridSpan w:val="2"/>
                        <w:tcBorders>
                          <w:left w:val="dashSmallGap" w:color="000000" w:sz="2" w:space="0"/>
                        </w:tcBorders>
                      </w:tcPr>
                      <w:p>
                        <w:pPr>
                          <w:pStyle w:val="11"/>
                          <w:spacing w:line="292" w:lineRule="exact"/>
                          <w:ind w:left="104"/>
                          <w:rPr>
                            <w:rFonts w:ascii="微软雅黑" w:eastAsia="微软雅黑"/>
                            <w:b/>
                            <w:sz w:val="21"/>
                          </w:rPr>
                        </w:pPr>
                        <w:r>
                          <w:rPr>
                            <w:rFonts w:ascii="微软雅黑" w:eastAsia="微软雅黑"/>
                            <w:b/>
                            <w:w w:val="100"/>
                            <w:sz w:val="21"/>
                          </w:rPr>
                          <w:t>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1" w:hRule="atLeast"/>
                    </w:trPr>
                    <w:tc>
                      <w:tcPr>
                        <w:tcW w:w="2644" w:type="dxa"/>
                        <w:gridSpan w:val="2"/>
                        <w:tcBorders>
                          <w:right w:val="dashSmallGap" w:color="000000" w:sz="2" w:space="0"/>
                        </w:tcBorders>
                      </w:tcPr>
                      <w:p>
                        <w:pPr>
                          <w:pStyle w:val="11"/>
                          <w:numPr>
                            <w:ilvl w:val="0"/>
                            <w:numId w:val="4"/>
                          </w:numPr>
                          <w:tabs>
                            <w:tab w:val="left" w:pos="279"/>
                          </w:tabs>
                          <w:spacing w:before="0" w:after="0" w:line="338" w:lineRule="exact"/>
                          <w:ind w:left="278" w:right="0" w:hanging="212"/>
                          <w:jc w:val="left"/>
                          <w:rPr>
                            <w:rFonts w:ascii="微软雅黑" w:eastAsia="微软雅黑"/>
                            <w:b/>
                            <w:sz w:val="21"/>
                          </w:rPr>
                        </w:pPr>
                        <w:r>
                          <w:rPr>
                            <w:rFonts w:ascii="微软雅黑" w:eastAsia="微软雅黑"/>
                            <w:b/>
                            <w:spacing w:val="-2"/>
                            <w:sz w:val="21"/>
                          </w:rPr>
                          <w:t>如何领取保险金</w:t>
                        </w:r>
                      </w:p>
                      <w:p>
                        <w:pPr>
                          <w:pStyle w:val="11"/>
                          <w:numPr>
                            <w:ilvl w:val="1"/>
                            <w:numId w:val="4"/>
                          </w:numPr>
                          <w:tabs>
                            <w:tab w:val="left" w:pos="646"/>
                          </w:tabs>
                          <w:spacing w:before="0" w:after="0" w:line="265" w:lineRule="exact"/>
                          <w:ind w:left="645" w:right="0" w:hanging="368"/>
                          <w:jc w:val="left"/>
                          <w:rPr>
                            <w:sz w:val="21"/>
                          </w:rPr>
                        </w:pPr>
                        <w:r>
                          <w:rPr>
                            <w:spacing w:val="-3"/>
                            <w:sz w:val="21"/>
                          </w:rPr>
                          <w:t>受益人的指定与变更</w:t>
                        </w:r>
                      </w:p>
                      <w:p>
                        <w:pPr>
                          <w:pStyle w:val="11"/>
                          <w:numPr>
                            <w:ilvl w:val="1"/>
                            <w:numId w:val="4"/>
                          </w:numPr>
                          <w:tabs>
                            <w:tab w:val="left" w:pos="649"/>
                          </w:tabs>
                          <w:spacing w:before="43" w:after="0" w:line="240" w:lineRule="auto"/>
                          <w:ind w:left="648" w:right="0" w:hanging="371"/>
                          <w:jc w:val="left"/>
                          <w:rPr>
                            <w:sz w:val="21"/>
                          </w:rPr>
                        </w:pPr>
                        <w:r>
                          <w:rPr>
                            <w:spacing w:val="-4"/>
                            <w:sz w:val="21"/>
                          </w:rPr>
                          <w:t>保险事故通知</w:t>
                        </w:r>
                      </w:p>
                    </w:tc>
                    <w:tc>
                      <w:tcPr>
                        <w:tcW w:w="2838" w:type="dxa"/>
                        <w:gridSpan w:val="2"/>
                        <w:tcBorders>
                          <w:left w:val="dashSmallGap" w:color="000000" w:sz="2" w:space="0"/>
                          <w:right w:val="dashSmallGap" w:color="000000" w:sz="2" w:space="0"/>
                        </w:tcBorders>
                      </w:tcPr>
                      <w:p>
                        <w:pPr>
                          <w:pStyle w:val="11"/>
                          <w:numPr>
                            <w:ilvl w:val="0"/>
                            <w:numId w:val="5"/>
                          </w:numPr>
                          <w:tabs>
                            <w:tab w:val="left" w:pos="319"/>
                          </w:tabs>
                          <w:spacing w:before="0" w:after="0" w:line="338" w:lineRule="exact"/>
                          <w:ind w:left="318" w:right="0" w:hanging="212"/>
                          <w:jc w:val="left"/>
                          <w:rPr>
                            <w:rFonts w:ascii="微软雅黑" w:eastAsia="微软雅黑"/>
                            <w:b/>
                            <w:sz w:val="21"/>
                          </w:rPr>
                        </w:pPr>
                        <w:r>
                          <w:rPr>
                            <w:rFonts w:ascii="微软雅黑" w:eastAsia="微软雅黑"/>
                            <w:b/>
                            <w:spacing w:val="-2"/>
                            <w:sz w:val="21"/>
                          </w:rPr>
                          <w:t>需关注的其他内容</w:t>
                        </w:r>
                      </w:p>
                      <w:p>
                        <w:pPr>
                          <w:pStyle w:val="11"/>
                          <w:numPr>
                            <w:ilvl w:val="1"/>
                            <w:numId w:val="5"/>
                          </w:numPr>
                          <w:tabs>
                            <w:tab w:val="left" w:pos="739"/>
                          </w:tabs>
                          <w:spacing w:before="0" w:after="0" w:line="265" w:lineRule="exact"/>
                          <w:ind w:left="738" w:right="0" w:hanging="419"/>
                          <w:jc w:val="left"/>
                          <w:rPr>
                            <w:sz w:val="21"/>
                          </w:rPr>
                        </w:pPr>
                        <w:r>
                          <w:rPr>
                            <w:spacing w:val="-4"/>
                            <w:sz w:val="21"/>
                          </w:rPr>
                          <w:t>合同构成</w:t>
                        </w:r>
                      </w:p>
                      <w:p>
                        <w:pPr>
                          <w:pStyle w:val="11"/>
                          <w:numPr>
                            <w:ilvl w:val="1"/>
                            <w:numId w:val="5"/>
                          </w:numPr>
                          <w:tabs>
                            <w:tab w:val="left" w:pos="741"/>
                          </w:tabs>
                          <w:spacing w:before="43" w:after="0" w:line="240" w:lineRule="auto"/>
                          <w:ind w:left="740" w:right="0" w:hanging="423"/>
                          <w:jc w:val="left"/>
                          <w:rPr>
                            <w:sz w:val="21"/>
                          </w:rPr>
                        </w:pPr>
                        <w:r>
                          <w:rPr>
                            <w:spacing w:val="-4"/>
                            <w:sz w:val="21"/>
                          </w:rPr>
                          <w:t>如实告知</w:t>
                        </w:r>
                      </w:p>
                    </w:tc>
                    <w:tc>
                      <w:tcPr>
                        <w:tcW w:w="3008" w:type="dxa"/>
                        <w:gridSpan w:val="2"/>
                        <w:tcBorders>
                          <w:left w:val="dashSmallGap" w:color="000000" w:sz="2" w:space="0"/>
                        </w:tcBorders>
                      </w:tcPr>
                      <w:p>
                        <w:pPr>
                          <w:pStyle w:val="11"/>
                          <w:numPr>
                            <w:ilvl w:val="1"/>
                            <w:numId w:val="6"/>
                          </w:numPr>
                          <w:tabs>
                            <w:tab w:val="left" w:pos="736"/>
                          </w:tabs>
                          <w:spacing w:before="22" w:after="0" w:line="240" w:lineRule="auto"/>
                          <w:ind w:left="735" w:right="0" w:hanging="419"/>
                          <w:jc w:val="left"/>
                          <w:rPr>
                            <w:sz w:val="21"/>
                          </w:rPr>
                        </w:pPr>
                        <w:r>
                          <w:rPr>
                            <w:spacing w:val="-4"/>
                            <w:sz w:val="21"/>
                          </w:rPr>
                          <w:t>重大疾病的定义</w:t>
                        </w:r>
                      </w:p>
                      <w:p>
                        <w:pPr>
                          <w:pStyle w:val="11"/>
                          <w:numPr>
                            <w:ilvl w:val="1"/>
                            <w:numId w:val="6"/>
                          </w:numPr>
                          <w:tabs>
                            <w:tab w:val="left" w:pos="736"/>
                          </w:tabs>
                          <w:spacing w:before="43" w:after="0" w:line="240" w:lineRule="auto"/>
                          <w:ind w:left="735" w:right="0" w:hanging="419"/>
                          <w:jc w:val="left"/>
                          <w:rPr>
                            <w:sz w:val="21"/>
                          </w:rPr>
                        </w:pPr>
                        <w:r>
                          <w:rPr>
                            <w:spacing w:val="-4"/>
                            <w:sz w:val="21"/>
                          </w:rPr>
                          <w:t>中症疾病的定义</w:t>
                        </w:r>
                      </w:p>
                      <w:p>
                        <w:pPr>
                          <w:pStyle w:val="11"/>
                          <w:numPr>
                            <w:ilvl w:val="1"/>
                            <w:numId w:val="6"/>
                          </w:numPr>
                          <w:tabs>
                            <w:tab w:val="left" w:pos="738"/>
                          </w:tabs>
                          <w:spacing w:before="42" w:after="0" w:line="240" w:lineRule="auto"/>
                          <w:ind w:left="737" w:right="0" w:hanging="423"/>
                          <w:jc w:val="left"/>
                          <w:rPr>
                            <w:sz w:val="21"/>
                          </w:rPr>
                        </w:pPr>
                        <w:r>
                          <w:rPr>
                            <w:spacing w:val="-4"/>
                            <w:sz w:val="21"/>
                          </w:rPr>
                          <w:t>轻症疾病的定义</w:t>
                        </w:r>
                      </w:p>
                    </w:tc>
                  </w:tr>
                </w:tbl>
                <w:p>
                  <w:pPr>
                    <w:pStyle w:val="6"/>
                  </w:pPr>
                </w:p>
              </w:txbxContent>
            </v:textbox>
            <w10:wrap type="topAndBottom"/>
          </v:shape>
        </w:pict>
      </w:r>
    </w:p>
    <w:p>
      <w:pPr>
        <w:spacing w:after="0"/>
        <w:sectPr>
          <w:pgSz w:w="11910" w:h="16840"/>
          <w:pgMar w:top="1580" w:right="660" w:bottom="280" w:left="580" w:header="720" w:footer="720" w:gutter="0"/>
          <w:cols w:space="720" w:num="1"/>
        </w:sectPr>
      </w:pPr>
    </w:p>
    <w:p>
      <w:pPr>
        <w:pStyle w:val="6"/>
        <w:ind w:left="4054"/>
        <w:rPr>
          <w:sz w:val="20"/>
        </w:rPr>
      </w:pPr>
      <w:r>
        <w:rPr>
          <w:sz w:val="20"/>
        </w:rPr>
        <w:pict>
          <v:shape id="docshape12" o:spid="_x0000_s1036" o:spt="202" type="#_x0000_t202" style="height:39pt;width:131.25pt;" filled="f" stroked="t" coordsize="21600,21600">
            <v:path/>
            <v:fill on="f" focussize="0,0"/>
            <v:stroke weight="3pt" color="#000000" linestyle="thinThin"/>
            <v:imagedata o:title=""/>
            <o:lock v:ext="edit"/>
            <v:textbox inset="0mm,0mm,0mm,0mm">
              <w:txbxContent>
                <w:p>
                  <w:pPr>
                    <w:spacing w:before="70"/>
                    <w:ind w:left="402" w:right="0" w:firstLine="0"/>
                    <w:jc w:val="left"/>
                    <w:rPr>
                      <w:rFonts w:ascii="微软雅黑" w:eastAsia="微软雅黑"/>
                      <w:b/>
                      <w:sz w:val="32"/>
                    </w:rPr>
                  </w:pPr>
                  <w:r>
                    <w:rPr>
                      <w:rFonts w:ascii="微软雅黑" w:eastAsia="微软雅黑"/>
                      <w:b/>
                      <w:spacing w:val="22"/>
                      <w:sz w:val="32"/>
                    </w:rPr>
                    <w:t>条 款 正 文</w:t>
                  </w:r>
                </w:p>
              </w:txbxContent>
            </v:textbox>
            <w10:wrap type="none"/>
            <w10:anchorlock/>
          </v:shape>
        </w:pict>
      </w:r>
    </w:p>
    <w:p>
      <w:pPr>
        <w:pStyle w:val="6"/>
        <w:rPr>
          <w:sz w:val="19"/>
        </w:rPr>
      </w:pPr>
    </w:p>
    <w:p>
      <w:pPr>
        <w:pStyle w:val="6"/>
        <w:spacing w:before="79" w:line="266" w:lineRule="auto"/>
        <w:ind w:left="723" w:right="300" w:firstLine="420"/>
      </w:pPr>
      <w:r>
        <w:rPr>
          <w:spacing w:val="-7"/>
        </w:rPr>
        <w:t xml:space="preserve">中荷互联网超越 </w:t>
      </w:r>
      <w:r>
        <w:rPr>
          <w:rFonts w:ascii="Times New Roman" w:hAnsi="Times New Roman" w:eastAsia="Times New Roman"/>
          <w:spacing w:val="-2"/>
        </w:rPr>
        <w:t xml:space="preserve">1 </w:t>
      </w:r>
      <w:r>
        <w:rPr>
          <w:spacing w:val="-2"/>
        </w:rPr>
        <w:t>号重大疾病保险合同（以下简称本合同）依投保人的申请，经本公司同意而订立。</w:t>
      </w:r>
      <w:r>
        <w:rPr>
          <w:spacing w:val="-6"/>
        </w:rPr>
        <w:t xml:space="preserve">本合同的代码为 </w:t>
      </w:r>
      <w:r>
        <w:t>EDG。在本条款中，“我们”、“本公司”均指中荷人寿保险有限公司。</w:t>
      </w:r>
    </w:p>
    <w:p>
      <w:pPr>
        <w:pStyle w:val="6"/>
        <w:rPr>
          <w:sz w:val="22"/>
        </w:rPr>
      </w:pPr>
    </w:p>
    <w:p>
      <w:pPr>
        <w:pStyle w:val="2"/>
        <w:tabs>
          <w:tab w:val="left" w:pos="1825"/>
        </w:tabs>
        <w:spacing w:line="528" w:lineRule="exact"/>
      </w:pPr>
      <w:r>
        <w:rPr>
          <w:rFonts w:ascii="Wingdings" w:hAnsi="Wingdings" w:eastAsia="Wingdings"/>
          <w:spacing w:val="-10"/>
          <w:position w:val="-11"/>
          <w:sz w:val="36"/>
        </w:rPr>
        <w:t></w:t>
      </w:r>
      <w:r>
        <w:rPr>
          <w:rFonts w:ascii="Times New Roman" w:hAnsi="Times New Roman" w:eastAsia="Times New Roman"/>
          <w:b w:val="0"/>
          <w:position w:val="-11"/>
          <w:sz w:val="36"/>
        </w:rPr>
        <w:tab/>
      </w:r>
      <w:r>
        <w:rPr>
          <w:spacing w:val="-2"/>
        </w:rPr>
        <w:t>我们保什么、保多久</w:t>
      </w:r>
    </w:p>
    <w:p>
      <w:pPr>
        <w:pStyle w:val="5"/>
        <w:spacing w:line="350" w:lineRule="exact"/>
      </w:pPr>
      <w:r>
        <w:drawing>
          <wp:anchor distT="0" distB="0" distL="0" distR="0" simplePos="0" relativeHeight="251670528" behindDoc="0" locked="0" layoutInCell="1" allowOverlap="1">
            <wp:simplePos x="0" y="0"/>
            <wp:positionH relativeFrom="page">
              <wp:posOffset>758825</wp:posOffset>
            </wp:positionH>
            <wp:positionV relativeFrom="paragraph">
              <wp:posOffset>203835</wp:posOffset>
            </wp:positionV>
            <wp:extent cx="6188710" cy="18415"/>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a:picLocks noChangeAspect="1"/>
                    </pic:cNvPicPr>
                  </pic:nvPicPr>
                  <pic:blipFill>
                    <a:blip r:embed="rId25" cstate="print"/>
                    <a:stretch>
                      <a:fillRect/>
                    </a:stretch>
                  </pic:blipFill>
                  <pic:spPr>
                    <a:xfrm>
                      <a:off x="0" y="0"/>
                      <a:ext cx="6188583" cy="18288"/>
                    </a:xfrm>
                    <a:prstGeom prst="rect">
                      <a:avLst/>
                    </a:prstGeom>
                  </pic:spPr>
                </pic:pic>
              </a:graphicData>
            </a:graphic>
          </wp:anchor>
        </w:drawing>
      </w:r>
      <w:r>
        <w:rPr>
          <w:spacing w:val="-3"/>
        </w:rPr>
        <w:t>这部分讲的是我们提供的保障范围以及我们提供保障的期间。</w:t>
      </w:r>
    </w:p>
    <w:p>
      <w:pPr>
        <w:pStyle w:val="6"/>
        <w:spacing w:before="13"/>
        <w:rPr>
          <w:rFonts w:ascii="微软雅黑"/>
          <w:b/>
          <w:sz w:val="14"/>
        </w:rPr>
      </w:pPr>
    </w:p>
    <w:p>
      <w:pPr>
        <w:pStyle w:val="10"/>
        <w:numPr>
          <w:ilvl w:val="1"/>
          <w:numId w:val="7"/>
        </w:numPr>
        <w:tabs>
          <w:tab w:val="left" w:pos="1825"/>
          <w:tab w:val="left" w:pos="1826"/>
          <w:tab w:val="left" w:pos="3385"/>
        </w:tabs>
        <w:spacing w:before="0" w:after="0" w:line="256" w:lineRule="auto"/>
        <w:ind w:left="3385" w:right="409" w:hanging="2662"/>
        <w:jc w:val="left"/>
        <w:rPr>
          <w:sz w:val="21"/>
        </w:rPr>
      </w:pPr>
      <w:r>
        <w:rPr>
          <w:rFonts w:ascii="微软雅黑" w:eastAsia="微软雅黑"/>
          <w:b/>
          <w:w w:val="100"/>
          <w:sz w:val="21"/>
        </w:rPr>
        <w:t>保险责任</w:t>
      </w:r>
      <w:r>
        <w:rPr>
          <w:rFonts w:ascii="微软雅黑" w:eastAsia="微软雅黑"/>
          <w:b/>
          <w:sz w:val="21"/>
        </w:rPr>
        <w:tab/>
      </w:r>
      <w:r>
        <w:rPr>
          <w:w w:val="100"/>
          <w:sz w:val="21"/>
        </w:rPr>
        <w:t>本合</w:t>
      </w:r>
      <w:r>
        <w:rPr>
          <w:spacing w:val="-3"/>
          <w:w w:val="100"/>
          <w:sz w:val="21"/>
        </w:rPr>
        <w:t>同</w:t>
      </w:r>
      <w:r>
        <w:rPr>
          <w:w w:val="100"/>
          <w:sz w:val="21"/>
        </w:rPr>
        <w:t>的</w:t>
      </w:r>
      <w:r>
        <w:rPr>
          <w:spacing w:val="-3"/>
          <w:w w:val="100"/>
          <w:sz w:val="21"/>
        </w:rPr>
        <w:t>保</w:t>
      </w:r>
      <w:r>
        <w:rPr>
          <w:w w:val="100"/>
          <w:sz w:val="21"/>
        </w:rPr>
        <w:t>险</w:t>
      </w:r>
      <w:r>
        <w:rPr>
          <w:spacing w:val="-3"/>
          <w:w w:val="100"/>
          <w:sz w:val="21"/>
        </w:rPr>
        <w:t>责</w:t>
      </w:r>
      <w:r>
        <w:rPr>
          <w:w w:val="100"/>
          <w:sz w:val="21"/>
        </w:rPr>
        <w:t>任</w:t>
      </w:r>
      <w:r>
        <w:rPr>
          <w:spacing w:val="-3"/>
          <w:w w:val="100"/>
          <w:sz w:val="21"/>
        </w:rPr>
        <w:t>分</w:t>
      </w:r>
      <w:r>
        <w:rPr>
          <w:w w:val="100"/>
          <w:sz w:val="21"/>
        </w:rPr>
        <w:t>为</w:t>
      </w:r>
      <w:r>
        <w:rPr>
          <w:spacing w:val="-3"/>
          <w:w w:val="100"/>
          <w:sz w:val="21"/>
        </w:rPr>
        <w:t>基</w:t>
      </w:r>
      <w:r>
        <w:rPr>
          <w:w w:val="100"/>
          <w:sz w:val="21"/>
        </w:rPr>
        <w:t>本责</w:t>
      </w:r>
      <w:r>
        <w:rPr>
          <w:spacing w:val="-3"/>
          <w:w w:val="100"/>
          <w:sz w:val="21"/>
        </w:rPr>
        <w:t>任</w:t>
      </w:r>
      <w:r>
        <w:rPr>
          <w:w w:val="100"/>
          <w:sz w:val="21"/>
        </w:rPr>
        <w:t>和</w:t>
      </w:r>
      <w:r>
        <w:rPr>
          <w:spacing w:val="-3"/>
          <w:w w:val="100"/>
          <w:sz w:val="21"/>
        </w:rPr>
        <w:t>可</w:t>
      </w:r>
      <w:r>
        <w:rPr>
          <w:w w:val="100"/>
          <w:sz w:val="21"/>
        </w:rPr>
        <w:t>选</w:t>
      </w:r>
      <w:r>
        <w:rPr>
          <w:spacing w:val="-3"/>
          <w:w w:val="100"/>
          <w:sz w:val="21"/>
        </w:rPr>
        <w:t>责</w:t>
      </w:r>
      <w:r>
        <w:rPr>
          <w:w w:val="100"/>
          <w:sz w:val="21"/>
        </w:rPr>
        <w:t>任</w:t>
      </w:r>
      <w:r>
        <w:rPr>
          <w:spacing w:val="-3"/>
          <w:w w:val="100"/>
          <w:sz w:val="21"/>
        </w:rPr>
        <w:t>。</w:t>
      </w:r>
      <w:r>
        <w:rPr>
          <w:w w:val="100"/>
          <w:sz w:val="21"/>
        </w:rPr>
        <w:t>投</w:t>
      </w:r>
      <w:r>
        <w:rPr>
          <w:spacing w:val="-3"/>
          <w:w w:val="100"/>
          <w:sz w:val="21"/>
        </w:rPr>
        <w:t>保</w:t>
      </w:r>
      <w:r>
        <w:rPr>
          <w:w w:val="100"/>
          <w:sz w:val="21"/>
        </w:rPr>
        <w:t>人可</w:t>
      </w:r>
      <w:r>
        <w:rPr>
          <w:spacing w:val="-3"/>
          <w:w w:val="100"/>
          <w:sz w:val="21"/>
        </w:rPr>
        <w:t>以</w:t>
      </w:r>
      <w:r>
        <w:rPr>
          <w:w w:val="100"/>
          <w:sz w:val="21"/>
        </w:rPr>
        <w:t>单</w:t>
      </w:r>
      <w:r>
        <w:rPr>
          <w:spacing w:val="-3"/>
          <w:w w:val="100"/>
          <w:sz w:val="21"/>
        </w:rPr>
        <w:t>独</w:t>
      </w:r>
      <w:r>
        <w:rPr>
          <w:w w:val="100"/>
          <w:sz w:val="21"/>
        </w:rPr>
        <w:t>投</w:t>
      </w:r>
      <w:r>
        <w:rPr>
          <w:spacing w:val="-3"/>
          <w:w w:val="100"/>
          <w:sz w:val="21"/>
        </w:rPr>
        <w:t>保</w:t>
      </w:r>
      <w:r>
        <w:rPr>
          <w:w w:val="100"/>
          <w:sz w:val="21"/>
        </w:rPr>
        <w:t>基</w:t>
      </w:r>
      <w:r>
        <w:rPr>
          <w:spacing w:val="-3"/>
          <w:w w:val="100"/>
          <w:sz w:val="21"/>
        </w:rPr>
        <w:t>本</w:t>
      </w:r>
      <w:r>
        <w:rPr>
          <w:w w:val="100"/>
          <w:sz w:val="21"/>
        </w:rPr>
        <w:t>责任</w:t>
      </w:r>
      <w:r>
        <w:rPr>
          <w:spacing w:val="-34"/>
          <w:w w:val="100"/>
          <w:sz w:val="21"/>
        </w:rPr>
        <w:t>，</w:t>
      </w:r>
      <w:r>
        <w:rPr>
          <w:w w:val="100"/>
          <w:sz w:val="21"/>
        </w:rPr>
        <w:t>也</w:t>
      </w:r>
      <w:r>
        <w:rPr>
          <w:spacing w:val="-3"/>
          <w:w w:val="100"/>
          <w:sz w:val="21"/>
        </w:rPr>
        <w:t>可</w:t>
      </w:r>
      <w:r>
        <w:rPr>
          <w:w w:val="100"/>
          <w:sz w:val="21"/>
        </w:rPr>
        <w:t>以</w:t>
      </w:r>
      <w:r>
        <w:rPr>
          <w:spacing w:val="-3"/>
          <w:w w:val="100"/>
          <w:sz w:val="21"/>
        </w:rPr>
        <w:t>在</w:t>
      </w:r>
      <w:r>
        <w:rPr>
          <w:w w:val="100"/>
          <w:sz w:val="21"/>
        </w:rPr>
        <w:t>投</w:t>
      </w:r>
      <w:r>
        <w:rPr>
          <w:spacing w:val="-3"/>
          <w:w w:val="100"/>
          <w:sz w:val="21"/>
        </w:rPr>
        <w:t>保</w:t>
      </w:r>
      <w:r>
        <w:rPr>
          <w:w w:val="100"/>
          <w:sz w:val="21"/>
        </w:rPr>
        <w:t>基</w:t>
      </w:r>
      <w:r>
        <w:rPr>
          <w:spacing w:val="-3"/>
          <w:w w:val="100"/>
          <w:sz w:val="21"/>
        </w:rPr>
        <w:t>本责</w:t>
      </w:r>
      <w:r>
        <w:rPr>
          <w:w w:val="100"/>
          <w:sz w:val="21"/>
        </w:rPr>
        <w:t>任的</w:t>
      </w:r>
      <w:r>
        <w:rPr>
          <w:spacing w:val="-3"/>
          <w:w w:val="100"/>
          <w:sz w:val="21"/>
        </w:rPr>
        <w:t>基</w:t>
      </w:r>
      <w:r>
        <w:rPr>
          <w:w w:val="100"/>
          <w:sz w:val="21"/>
        </w:rPr>
        <w:t>础</w:t>
      </w:r>
      <w:r>
        <w:rPr>
          <w:spacing w:val="-3"/>
          <w:w w:val="100"/>
          <w:sz w:val="21"/>
        </w:rPr>
        <w:t>上</w:t>
      </w:r>
      <w:r>
        <w:rPr>
          <w:w w:val="100"/>
          <w:sz w:val="21"/>
        </w:rPr>
        <w:t>投</w:t>
      </w:r>
      <w:r>
        <w:rPr>
          <w:spacing w:val="-3"/>
          <w:w w:val="100"/>
          <w:sz w:val="21"/>
        </w:rPr>
        <w:t>保</w:t>
      </w:r>
      <w:r>
        <w:rPr>
          <w:w w:val="100"/>
          <w:sz w:val="21"/>
        </w:rPr>
        <w:t>可</w:t>
      </w:r>
      <w:r>
        <w:rPr>
          <w:spacing w:val="-3"/>
          <w:w w:val="100"/>
          <w:sz w:val="21"/>
        </w:rPr>
        <w:t>选</w:t>
      </w:r>
      <w:r>
        <w:rPr>
          <w:w w:val="100"/>
          <w:sz w:val="21"/>
        </w:rPr>
        <w:t>责</w:t>
      </w:r>
      <w:r>
        <w:rPr>
          <w:spacing w:val="-3"/>
          <w:w w:val="100"/>
          <w:sz w:val="21"/>
        </w:rPr>
        <w:t>任</w:t>
      </w:r>
      <w:r>
        <w:rPr>
          <w:spacing w:val="-32"/>
          <w:w w:val="100"/>
          <w:sz w:val="21"/>
        </w:rPr>
        <w:t>，</w:t>
      </w:r>
      <w:r>
        <w:rPr>
          <w:spacing w:val="-3"/>
          <w:w w:val="100"/>
          <w:sz w:val="21"/>
        </w:rPr>
        <w:t>但</w:t>
      </w:r>
      <w:r>
        <w:rPr>
          <w:w w:val="100"/>
          <w:sz w:val="21"/>
        </w:rPr>
        <w:t>不</w:t>
      </w:r>
      <w:r>
        <w:rPr>
          <w:spacing w:val="-3"/>
          <w:w w:val="100"/>
          <w:sz w:val="21"/>
        </w:rPr>
        <w:t>能</w:t>
      </w:r>
      <w:r>
        <w:rPr>
          <w:w w:val="100"/>
          <w:sz w:val="21"/>
        </w:rPr>
        <w:t>单</w:t>
      </w:r>
      <w:r>
        <w:rPr>
          <w:spacing w:val="-3"/>
          <w:w w:val="100"/>
          <w:sz w:val="21"/>
        </w:rPr>
        <w:t>独</w:t>
      </w:r>
      <w:r>
        <w:rPr>
          <w:w w:val="100"/>
          <w:sz w:val="21"/>
        </w:rPr>
        <w:t>投</w:t>
      </w:r>
      <w:r>
        <w:rPr>
          <w:spacing w:val="-3"/>
          <w:w w:val="100"/>
          <w:sz w:val="21"/>
        </w:rPr>
        <w:t>保</w:t>
      </w:r>
      <w:r>
        <w:rPr>
          <w:w w:val="100"/>
          <w:sz w:val="21"/>
        </w:rPr>
        <w:t>可</w:t>
      </w:r>
      <w:r>
        <w:rPr>
          <w:spacing w:val="-3"/>
          <w:w w:val="100"/>
          <w:sz w:val="21"/>
        </w:rPr>
        <w:t>选</w:t>
      </w:r>
      <w:r>
        <w:rPr>
          <w:w w:val="100"/>
          <w:sz w:val="21"/>
        </w:rPr>
        <w:t>责任。</w:t>
      </w:r>
    </w:p>
    <w:p>
      <w:pPr>
        <w:pStyle w:val="6"/>
        <w:spacing w:before="8"/>
        <w:rPr>
          <w:sz w:val="24"/>
        </w:rPr>
      </w:pPr>
    </w:p>
    <w:p>
      <w:pPr>
        <w:pStyle w:val="4"/>
        <w:numPr>
          <w:ilvl w:val="2"/>
          <w:numId w:val="7"/>
        </w:numPr>
        <w:tabs>
          <w:tab w:val="left" w:pos="1825"/>
          <w:tab w:val="left" w:pos="1826"/>
        </w:tabs>
        <w:spacing w:before="0" w:after="0" w:line="240" w:lineRule="auto"/>
        <w:ind w:left="1825" w:right="0" w:hanging="1103"/>
        <w:jc w:val="left"/>
      </w:pPr>
      <w:r>
        <w:pict>
          <v:shape id="docshape13" o:spid="_x0000_s1037" o:spt="202" type="#_x0000_t202" style="position:absolute;left:0pt;margin-left:198.25pt;margin-top:-0.6pt;height:61.45pt;width:346.75pt;mso-position-horizontal-relative:page;z-index:251671552;mso-width-relative:page;mso-height-relative:page;" filled="f" stroked="f" coordsize="21600,21600">
            <v:path/>
            <v:fill on="f" focussize="0,0"/>
            <v:stroke on="f" joinstyle="miter"/>
            <v:imagedata o:title=""/>
            <o:lock v:ext="edit"/>
            <v:textbox inset="0mm,0mm,0mm,0mm">
              <w:txbxContent>
                <w:tbl>
                  <w:tblPr>
                    <w:tblStyle w:val="7"/>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77"/>
                    <w:gridCol w:w="238"/>
                    <w:gridCol w:w="16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936" w:type="dxa"/>
                        <w:gridSpan w:val="3"/>
                        <w:tcBorders>
                          <w:bottom w:val="single" w:color="FFFFFF" w:sz="8" w:space="0"/>
                        </w:tcBorders>
                        <w:shd w:val="clear" w:color="auto" w:fill="C0C0C0"/>
                      </w:tcPr>
                      <w:p>
                        <w:pPr>
                          <w:pStyle w:val="11"/>
                          <w:spacing w:before="23" w:line="251" w:lineRule="exact"/>
                          <w:rPr>
                            <w:sz w:val="21"/>
                          </w:rPr>
                        </w:pPr>
                        <w:r>
                          <w:rPr>
                            <w:spacing w:val="-2"/>
                            <w:sz w:val="21"/>
                          </w:rPr>
                          <w:t>本合同生效（或本合同中止后最后复效）</w:t>
                        </w:r>
                        <w:r>
                          <w:rPr>
                            <w:spacing w:val="-13"/>
                            <w:sz w:val="21"/>
                          </w:rPr>
                          <w:t xml:space="preserve">之日起 </w:t>
                        </w:r>
                        <w:r>
                          <w:rPr>
                            <w:spacing w:val="-2"/>
                            <w:sz w:val="21"/>
                          </w:rPr>
                          <w:t>180</w:t>
                        </w:r>
                        <w:r>
                          <w:rPr>
                            <w:spacing w:val="-22"/>
                            <w:sz w:val="21"/>
                          </w:rPr>
                          <w:t xml:space="preserve"> 天</w:t>
                        </w:r>
                        <w:r>
                          <w:rPr>
                            <w:spacing w:val="-2"/>
                            <w:sz w:val="21"/>
                          </w:rPr>
                          <w:t>（含当日）</w:t>
                        </w:r>
                        <w:r>
                          <w:rPr>
                            <w:spacing w:val="-4"/>
                            <w:sz w:val="21"/>
                          </w:rPr>
                          <w:t>的时间为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936" w:type="dxa"/>
                        <w:gridSpan w:val="3"/>
                        <w:tcBorders>
                          <w:top w:val="single" w:color="FFFFFF" w:sz="8" w:space="0"/>
                          <w:bottom w:val="single" w:color="FFFFFF" w:sz="8" w:space="0"/>
                        </w:tcBorders>
                        <w:shd w:val="clear" w:color="auto" w:fill="C0C0C0"/>
                      </w:tcPr>
                      <w:p>
                        <w:pPr>
                          <w:pStyle w:val="11"/>
                          <w:spacing w:before="21" w:line="251" w:lineRule="exact"/>
                          <w:ind w:right="-15"/>
                          <w:rPr>
                            <w:sz w:val="21"/>
                          </w:rPr>
                        </w:pPr>
                        <w:r>
                          <w:rPr>
                            <w:spacing w:val="-3"/>
                            <w:sz w:val="21"/>
                          </w:rPr>
                          <w:t>等待期。若在等待期内被保险人身故，或经医学检查确诊初次患本合同定义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6936" w:type="dxa"/>
                        <w:gridSpan w:val="3"/>
                        <w:tcBorders>
                          <w:top w:val="single" w:color="FFFFFF" w:sz="8" w:space="0"/>
                          <w:bottom w:val="single" w:color="FFFFFF" w:sz="8" w:space="0"/>
                        </w:tcBorders>
                        <w:shd w:val="clear" w:color="auto" w:fill="C0C0C0"/>
                      </w:tcPr>
                      <w:p>
                        <w:pPr>
                          <w:pStyle w:val="11"/>
                          <w:spacing w:before="21" w:line="251" w:lineRule="exact"/>
                          <w:ind w:right="-15"/>
                          <w:rPr>
                            <w:sz w:val="21"/>
                          </w:rPr>
                        </w:pPr>
                        <w:r>
                          <w:rPr>
                            <w:spacing w:val="-3"/>
                            <w:sz w:val="21"/>
                          </w:rPr>
                          <w:t>的重大疾病、中症疾病、轻症疾病，我们不承担给付保险金的责任，本合同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5077" w:type="dxa"/>
                        <w:tcBorders>
                          <w:top w:val="single" w:color="FFFFFF" w:sz="8" w:space="0"/>
                          <w:right w:val="single" w:color="FFFFFF" w:sz="24" w:space="0"/>
                        </w:tcBorders>
                        <w:shd w:val="clear" w:color="auto" w:fill="C0C0C0"/>
                      </w:tcPr>
                      <w:p>
                        <w:pPr>
                          <w:pStyle w:val="11"/>
                          <w:spacing w:line="274" w:lineRule="exact"/>
                          <w:ind w:left="-30" w:right="-15"/>
                          <w:rPr>
                            <w:rFonts w:ascii="微软雅黑" w:eastAsia="微软雅黑"/>
                            <w:b/>
                            <w:sz w:val="21"/>
                          </w:rPr>
                        </w:pPr>
                        <w:r>
                          <w:rPr>
                            <w:spacing w:val="-2"/>
                            <w:sz w:val="21"/>
                          </w:rPr>
                          <w:t>效力终止，我们将无息全额退还本合同</w:t>
                        </w:r>
                        <w:r>
                          <w:rPr>
                            <w:rFonts w:ascii="微软雅黑" w:eastAsia="微软雅黑"/>
                            <w:b/>
                            <w:spacing w:val="-4"/>
                            <w:sz w:val="21"/>
                          </w:rPr>
                          <w:t>已交纳的保险费</w:t>
                        </w:r>
                      </w:p>
                    </w:tc>
                    <w:tc>
                      <w:tcPr>
                        <w:tcW w:w="238" w:type="dxa"/>
                        <w:tcBorders>
                          <w:top w:val="single" w:color="FFFFFF" w:sz="8" w:space="0"/>
                          <w:left w:val="single" w:color="FFFFFF" w:sz="24" w:space="0"/>
                        </w:tcBorders>
                        <w:shd w:val="clear" w:color="auto" w:fill="C0C0C0"/>
                      </w:tcPr>
                      <w:p>
                        <w:pPr>
                          <w:pStyle w:val="11"/>
                          <w:spacing w:before="21" w:line="252" w:lineRule="exact"/>
                          <w:ind w:left="-2" w:right="-44"/>
                          <w:rPr>
                            <w:sz w:val="21"/>
                          </w:rPr>
                        </w:pPr>
                        <w:r>
                          <w:rPr>
                            <w:w w:val="100"/>
                            <w:sz w:val="21"/>
                          </w:rPr>
                          <w:t>。</w:t>
                        </w:r>
                      </w:p>
                    </w:tc>
                    <w:tc>
                      <w:tcPr>
                        <w:tcW w:w="1621" w:type="dxa"/>
                        <w:tcBorders>
                          <w:top w:val="single" w:color="FFFFFF" w:sz="8" w:space="0"/>
                        </w:tcBorders>
                      </w:tcPr>
                      <w:p>
                        <w:pPr>
                          <w:pStyle w:val="11"/>
                          <w:rPr>
                            <w:rFonts w:ascii="Times New Roman"/>
                            <w:sz w:val="18"/>
                          </w:rPr>
                        </w:pPr>
                      </w:p>
                    </w:tc>
                  </w:tr>
                </w:tbl>
                <w:p>
                  <w:pPr>
                    <w:pStyle w:val="6"/>
                  </w:pPr>
                </w:p>
              </w:txbxContent>
            </v:textbox>
          </v:shape>
        </w:pict>
      </w:r>
      <w:r>
        <w:rPr>
          <w:w w:val="95"/>
        </w:rPr>
        <w:t>等待</w:t>
      </w:r>
      <w:r>
        <w:rPr>
          <w:spacing w:val="-10"/>
          <w:w w:val="95"/>
        </w:rPr>
        <w:t>期</w:t>
      </w:r>
    </w:p>
    <w:p>
      <w:pPr>
        <w:pStyle w:val="6"/>
        <w:rPr>
          <w:sz w:val="22"/>
        </w:rPr>
      </w:pPr>
    </w:p>
    <w:p>
      <w:pPr>
        <w:pStyle w:val="6"/>
        <w:spacing w:before="3"/>
        <w:rPr>
          <w:sz w:val="26"/>
        </w:rPr>
      </w:pPr>
    </w:p>
    <w:p>
      <w:pPr>
        <w:spacing w:before="1"/>
        <w:ind w:left="0" w:right="2175" w:firstLine="0"/>
        <w:jc w:val="right"/>
        <w:rPr>
          <w:rFonts w:ascii="微软雅黑"/>
          <w:b/>
          <w:sz w:val="11"/>
        </w:rPr>
      </w:pPr>
      <w:r>
        <w:rPr>
          <w:rFonts w:ascii="微软雅黑"/>
          <w:b/>
          <w:w w:val="81"/>
          <w:sz w:val="11"/>
        </w:rPr>
        <w:t>1</w:t>
      </w:r>
    </w:p>
    <w:p>
      <w:pPr>
        <w:pStyle w:val="6"/>
        <w:rPr>
          <w:rFonts w:ascii="微软雅黑"/>
          <w:b/>
          <w:sz w:val="10"/>
        </w:rPr>
      </w:pPr>
    </w:p>
    <w:p>
      <w:pPr>
        <w:pStyle w:val="6"/>
        <w:spacing w:before="12"/>
        <w:rPr>
          <w:rFonts w:ascii="微软雅黑"/>
          <w:b/>
          <w:sz w:val="11"/>
        </w:rPr>
      </w:pPr>
    </w:p>
    <w:p>
      <w:pPr>
        <w:pStyle w:val="6"/>
        <w:ind w:left="3385"/>
      </w:pPr>
      <w:r>
        <w:rPr>
          <w:w w:val="95"/>
        </w:rPr>
        <w:t>被保险人因</w:t>
      </w:r>
      <w:r>
        <w:rPr>
          <w:rFonts w:ascii="微软雅黑" w:eastAsia="微软雅黑"/>
          <w:b/>
          <w:w w:val="95"/>
        </w:rPr>
        <w:t>意外伤害</w:t>
      </w:r>
      <w:r>
        <w:rPr>
          <w:rFonts w:ascii="微软雅黑" w:eastAsia="微软雅黑"/>
          <w:b/>
          <w:w w:val="95"/>
          <w:position w:val="11"/>
          <w:sz w:val="11"/>
        </w:rPr>
        <w:t>2</w:t>
      </w:r>
      <w:r>
        <w:rPr>
          <w:w w:val="95"/>
        </w:rPr>
        <w:t>发生上述情形的，无等待期限制</w:t>
      </w:r>
      <w:r>
        <w:rPr>
          <w:spacing w:val="-10"/>
          <w:w w:val="95"/>
        </w:rPr>
        <w:t>。</w:t>
      </w:r>
    </w:p>
    <w:p>
      <w:pPr>
        <w:pStyle w:val="6"/>
        <w:spacing w:before="12"/>
        <w:rPr>
          <w:sz w:val="22"/>
        </w:rPr>
      </w:pPr>
    </w:p>
    <w:p>
      <w:pPr>
        <w:pStyle w:val="10"/>
        <w:numPr>
          <w:ilvl w:val="2"/>
          <w:numId w:val="7"/>
        </w:numPr>
        <w:tabs>
          <w:tab w:val="left" w:pos="1825"/>
          <w:tab w:val="left" w:pos="1826"/>
          <w:tab w:val="left" w:pos="3385"/>
        </w:tabs>
        <w:spacing w:before="0" w:after="0" w:line="273" w:lineRule="auto"/>
        <w:ind w:left="3385" w:right="303" w:hanging="2662"/>
        <w:jc w:val="left"/>
        <w:rPr>
          <w:sz w:val="21"/>
        </w:rPr>
      </w:pPr>
      <w:r>
        <w:rPr>
          <w:spacing w:val="-4"/>
          <w:sz w:val="22"/>
        </w:rPr>
        <w:t>基本责任</w:t>
      </w:r>
      <w:r>
        <w:rPr>
          <w:sz w:val="22"/>
        </w:rPr>
        <w:tab/>
      </w:r>
      <w:r>
        <w:rPr>
          <w:spacing w:val="-2"/>
          <w:sz w:val="21"/>
        </w:rPr>
        <w:t>本合同的基本责任包括“1.1.2.1</w:t>
      </w:r>
      <w:r>
        <w:rPr>
          <w:spacing w:val="-40"/>
          <w:sz w:val="21"/>
        </w:rPr>
        <w:t xml:space="preserve"> </w:t>
      </w:r>
      <w:r>
        <w:rPr>
          <w:spacing w:val="-2"/>
          <w:sz w:val="21"/>
        </w:rPr>
        <w:t>重大疾病保险金</w:t>
      </w:r>
      <w:r>
        <w:rPr>
          <w:spacing w:val="-108"/>
          <w:sz w:val="21"/>
        </w:rPr>
        <w:t>”</w:t>
      </w:r>
      <w:r>
        <w:rPr>
          <w:spacing w:val="-140"/>
          <w:sz w:val="21"/>
        </w:rPr>
        <w:t>、</w:t>
      </w:r>
      <w:r>
        <w:rPr>
          <w:spacing w:val="-2"/>
          <w:sz w:val="21"/>
        </w:rPr>
        <w:t>“1.1.2.2</w:t>
      </w:r>
      <w:r>
        <w:rPr>
          <w:spacing w:val="-43"/>
          <w:sz w:val="21"/>
        </w:rPr>
        <w:t xml:space="preserve"> </w:t>
      </w:r>
      <w:r>
        <w:rPr>
          <w:spacing w:val="-2"/>
          <w:sz w:val="21"/>
        </w:rPr>
        <w:t>中症疾病保险</w:t>
      </w:r>
      <w:r>
        <w:rPr>
          <w:sz w:val="21"/>
        </w:rPr>
        <w:t>金</w:t>
      </w:r>
      <w:r>
        <w:rPr>
          <w:spacing w:val="-106"/>
          <w:sz w:val="21"/>
        </w:rPr>
        <w:t>”、</w:t>
      </w:r>
      <w:r>
        <w:rPr>
          <w:sz w:val="21"/>
        </w:rPr>
        <w:t>“1.1.2.3</w:t>
      </w:r>
      <w:r>
        <w:rPr>
          <w:spacing w:val="-26"/>
          <w:sz w:val="21"/>
        </w:rPr>
        <w:t xml:space="preserve"> </w:t>
      </w:r>
      <w:r>
        <w:rPr>
          <w:sz w:val="21"/>
        </w:rPr>
        <w:t>轻症疾病保险金</w:t>
      </w:r>
      <w:r>
        <w:rPr>
          <w:spacing w:val="-106"/>
          <w:sz w:val="21"/>
        </w:rPr>
        <w:t>”、</w:t>
      </w:r>
      <w:r>
        <w:rPr>
          <w:sz w:val="21"/>
        </w:rPr>
        <w:t>“1.1.2.4</w:t>
      </w:r>
      <w:r>
        <w:rPr>
          <w:spacing w:val="-26"/>
          <w:sz w:val="21"/>
        </w:rPr>
        <w:t xml:space="preserve"> </w:t>
      </w:r>
      <w:r>
        <w:rPr>
          <w:sz w:val="21"/>
        </w:rPr>
        <w:t>身故保险金”四项保险责任。</w:t>
      </w:r>
    </w:p>
    <w:p>
      <w:pPr>
        <w:pStyle w:val="6"/>
        <w:spacing w:before="5"/>
        <w:rPr>
          <w:sz w:val="17"/>
        </w:rPr>
      </w:pPr>
    </w:p>
    <w:p>
      <w:pPr>
        <w:spacing w:after="0"/>
        <w:rPr>
          <w:sz w:val="17"/>
        </w:rPr>
        <w:sectPr>
          <w:footerReference r:id="rId5" w:type="default"/>
          <w:pgSz w:w="11910" w:h="16840"/>
          <w:pgMar w:top="1580" w:right="660" w:bottom="1260" w:left="580" w:header="0" w:footer="1060" w:gutter="0"/>
          <w:pgNumType w:start="1"/>
          <w:cols w:space="720" w:num="1"/>
        </w:sectPr>
      </w:pPr>
    </w:p>
    <w:p>
      <w:pPr>
        <w:pStyle w:val="4"/>
        <w:numPr>
          <w:ilvl w:val="3"/>
          <w:numId w:val="7"/>
        </w:numPr>
        <w:tabs>
          <w:tab w:val="left" w:pos="1825"/>
          <w:tab w:val="left" w:pos="1826"/>
        </w:tabs>
        <w:spacing w:before="86" w:after="0" w:line="266" w:lineRule="auto"/>
        <w:ind w:left="1825" w:right="0" w:hanging="1102"/>
        <w:jc w:val="left"/>
      </w:pPr>
      <w:r>
        <w:rPr>
          <w:spacing w:val="-2"/>
          <w:w w:val="95"/>
        </w:rPr>
        <w:t>重大疾病保险</w:t>
      </w:r>
      <w:r>
        <w:rPr>
          <w:spacing w:val="-10"/>
        </w:rPr>
        <w:t>金</w:t>
      </w:r>
    </w:p>
    <w:p>
      <w:pPr>
        <w:pStyle w:val="6"/>
        <w:spacing w:before="43" w:line="228" w:lineRule="auto"/>
        <w:ind w:left="257" w:right="303"/>
      </w:pPr>
      <w:r>
        <w:br w:type="column"/>
      </w:r>
      <w:r>
        <w:rPr>
          <w:spacing w:val="-2"/>
        </w:rPr>
        <w:t>若被保险人因意外伤害事故或等待期后经我们指定</w:t>
      </w:r>
      <w:r>
        <w:rPr>
          <w:rFonts w:ascii="微软雅黑" w:hAnsi="微软雅黑" w:eastAsia="微软雅黑"/>
          <w:b/>
          <w:spacing w:val="-2"/>
        </w:rPr>
        <w:t>医院</w:t>
      </w:r>
      <w:r>
        <w:rPr>
          <w:rFonts w:ascii="微软雅黑" w:hAnsi="微软雅黑" w:eastAsia="微软雅黑"/>
          <w:b/>
          <w:spacing w:val="-2"/>
          <w:position w:val="11"/>
          <w:sz w:val="11"/>
        </w:rPr>
        <w:t>3</w:t>
      </w:r>
      <w:r>
        <w:rPr>
          <w:spacing w:val="-2"/>
        </w:rPr>
        <w:t>的</w:t>
      </w:r>
      <w:r>
        <w:rPr>
          <w:rFonts w:ascii="微软雅黑" w:hAnsi="微软雅黑" w:eastAsia="微软雅黑"/>
          <w:b/>
          <w:spacing w:val="-2"/>
        </w:rPr>
        <w:t>专科医生</w:t>
      </w:r>
      <w:r>
        <w:rPr>
          <w:rFonts w:ascii="微软雅黑" w:hAnsi="微软雅黑" w:eastAsia="微软雅黑"/>
          <w:b/>
          <w:spacing w:val="-2"/>
          <w:position w:val="11"/>
          <w:sz w:val="11"/>
        </w:rPr>
        <w:t>4</w:t>
      </w:r>
      <w:r>
        <w:rPr>
          <w:spacing w:val="-2"/>
        </w:rPr>
        <w:t>确诊初</w:t>
      </w:r>
      <w:r>
        <w:rPr>
          <w:spacing w:val="-6"/>
        </w:rPr>
        <w:t>次患符合本合同重大疾病定义的疾病</w:t>
      </w:r>
      <w:r>
        <w:rPr>
          <w:spacing w:val="-2"/>
        </w:rPr>
        <w:t>（</w:t>
      </w:r>
      <w:r>
        <w:rPr>
          <w:spacing w:val="-12"/>
        </w:rPr>
        <w:t>具体定义见“</w:t>
      </w:r>
      <w:r>
        <w:rPr>
          <w:spacing w:val="-2"/>
        </w:rPr>
        <w:t>8.1</w:t>
      </w:r>
      <w:r>
        <w:rPr>
          <w:spacing w:val="-9"/>
        </w:rPr>
        <w:t>重大疾病的定义”</w:t>
      </w:r>
      <w:r>
        <w:rPr>
          <w:spacing w:val="-108"/>
        </w:rPr>
        <w:t>）</w:t>
      </w:r>
      <w:r>
        <w:t>，</w:t>
      </w:r>
      <w:r>
        <w:rPr>
          <w:spacing w:val="-2"/>
        </w:rPr>
        <w:t>我们按本合同</w:t>
      </w:r>
      <w:r>
        <w:rPr>
          <w:rFonts w:ascii="微软雅黑" w:hAnsi="微软雅黑" w:eastAsia="微软雅黑"/>
          <w:b/>
          <w:spacing w:val="-2"/>
        </w:rPr>
        <w:t>基本保险金额</w:t>
      </w:r>
      <w:r>
        <w:rPr>
          <w:rFonts w:ascii="微软雅黑" w:hAnsi="微软雅黑" w:eastAsia="微软雅黑"/>
          <w:b/>
          <w:spacing w:val="-2"/>
          <w:position w:val="11"/>
          <w:sz w:val="11"/>
        </w:rPr>
        <w:t>5</w:t>
      </w:r>
      <w:r>
        <w:rPr>
          <w:spacing w:val="-2"/>
        </w:rPr>
        <w:t>给付重大疾病保险金。</w:t>
      </w:r>
    </w:p>
    <w:p>
      <w:pPr>
        <w:spacing w:after="0" w:line="228" w:lineRule="auto"/>
        <w:sectPr>
          <w:type w:val="continuous"/>
          <w:pgSz w:w="11910" w:h="16840"/>
          <w:pgMar w:top="280" w:right="660" w:bottom="280" w:left="580" w:header="0" w:footer="1060" w:gutter="0"/>
          <w:cols w:equalWidth="0" w:num="2">
            <w:col w:w="3088" w:space="40"/>
            <w:col w:w="7542"/>
          </w:cols>
        </w:sectPr>
      </w:pPr>
    </w:p>
    <w:p>
      <w:pPr>
        <w:pStyle w:val="6"/>
        <w:spacing w:before="5"/>
        <w:rPr>
          <w:sz w:val="22"/>
        </w:rPr>
      </w:pPr>
    </w:p>
    <w:p>
      <w:pPr>
        <w:pStyle w:val="6"/>
        <w:ind w:left="3385"/>
        <w:rPr>
          <w:sz w:val="20"/>
        </w:rPr>
      </w:pPr>
      <w:r>
        <w:rPr>
          <w:sz w:val="20"/>
        </w:rPr>
        <w:pict>
          <v:shape id="docshape14" o:spid="_x0000_s1038" o:spt="202" type="#_x0000_t202" style="height:16pt;width:325.75pt;"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spacing w:val="-5"/>
                    </w:rPr>
                    <w:t>无论被保险人患一种或多种重大疾病，本项保险金给付均以一次为限。</w:t>
                  </w:r>
                </w:p>
              </w:txbxContent>
            </v:textbox>
            <w10:wrap type="none"/>
            <w10:anchorlock/>
          </v:shape>
        </w:pict>
      </w:r>
    </w:p>
    <w:p>
      <w:pPr>
        <w:pStyle w:val="6"/>
        <w:spacing w:before="1"/>
        <w:rPr>
          <w:sz w:val="19"/>
        </w:rPr>
      </w:pPr>
    </w:p>
    <w:p>
      <w:pPr>
        <w:pStyle w:val="6"/>
        <w:spacing w:before="71" w:line="278" w:lineRule="auto"/>
        <w:ind w:left="3385" w:right="408"/>
      </w:pPr>
      <w:r>
        <w:rPr>
          <w:spacing w:val="-2"/>
        </w:rPr>
        <w:t>我们在给付前述重大疾病保险金后，本项责任终止，若投保人在投保时选择</w:t>
      </w:r>
      <w:r>
        <w:rPr>
          <w:spacing w:val="-5"/>
        </w:rPr>
        <w:t>了可选责任，则本合同继续有效，我们将豁免本合同缴费期间内的自重大疾</w:t>
      </w:r>
    </w:p>
    <w:p>
      <w:pPr>
        <w:pStyle w:val="6"/>
        <w:tabs>
          <w:tab w:val="right" w:pos="8906"/>
        </w:tabs>
        <w:spacing w:line="270" w:lineRule="exact"/>
        <w:ind w:left="3385"/>
        <w:rPr>
          <w:rFonts w:ascii="微软雅黑" w:eastAsia="微软雅黑"/>
          <w:b/>
          <w:sz w:val="11"/>
        </w:rPr>
      </w:pPr>
      <w:r>
        <w:pict>
          <v:shape id="docshape15" o:spid="_x0000_s1039" o:spt="202" type="#_x0000_t202" style="position:absolute;left:0pt;margin-left:474.45pt;margin-top:-1.1pt;height:14.8pt;width:63pt;mso-position-horizontal-relative:page;z-index:251670528;mso-width-relative:page;mso-height-relative:page;"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4"/>
                    </w:rPr>
                    <w:t>自重大疾病确</w:t>
                  </w:r>
                </w:p>
              </w:txbxContent>
            </v:textbox>
          </v:shape>
        </w:pict>
      </w:r>
      <w:r>
        <w:pict>
          <v:shape id="docshape16" o:spid="_x0000_s1040" o:spt="202" type="#_x0000_t202" style="position:absolute;left:0pt;margin-left:387.4pt;margin-top:-1.1pt;height:14.8pt;width:84.15pt;mso-position-horizontal-relative:page;z-index:-251613184;mso-width-relative:page;mso-height-relative:page;" fillcolor="#C0C0C0" filled="t" stroked="f" coordsize="21600,21600">
            <v:path/>
            <v:fill on="t" focussize="0,0"/>
            <v:stroke on="f" joinstyle="miter"/>
            <v:imagedata o:title=""/>
            <o:lock v:ext="edit"/>
            <v:textbox inset="0mm,0mm,0mm,0mm">
              <w:txbxContent>
                <w:p>
                  <w:pPr>
                    <w:spacing w:before="0" w:line="295" w:lineRule="exact"/>
                    <w:ind w:left="0" w:right="-15" w:firstLine="0"/>
                    <w:jc w:val="left"/>
                    <w:rPr>
                      <w:rFonts w:ascii="微软雅黑" w:eastAsia="微软雅黑"/>
                      <w:b/>
                      <w:color w:val="000000"/>
                      <w:sz w:val="21"/>
                    </w:rPr>
                  </w:pPr>
                  <w:r>
                    <w:rPr>
                      <w:color w:val="000000"/>
                      <w:spacing w:val="-2"/>
                      <w:sz w:val="21"/>
                    </w:rPr>
                    <w:t>本合同的</w:t>
                  </w:r>
                  <w:r>
                    <w:rPr>
                      <w:rFonts w:ascii="微软雅黑" w:eastAsia="微软雅黑"/>
                      <w:b/>
                      <w:color w:val="000000"/>
                      <w:spacing w:val="-4"/>
                      <w:sz w:val="21"/>
                    </w:rPr>
                    <w:t>现金价值</w:t>
                  </w:r>
                </w:p>
              </w:txbxContent>
            </v:textbox>
          </v:shape>
        </w:pict>
      </w:r>
      <w:r>
        <w:rPr>
          <w:spacing w:val="-2"/>
        </w:rPr>
        <w:t>病首次确诊日以后本合同的各期保险费</w:t>
      </w:r>
      <w:r>
        <w:rPr>
          <w:spacing w:val="-10"/>
        </w:rPr>
        <w:t>。</w:t>
      </w:r>
      <w:r>
        <w:rPr>
          <w:rFonts w:ascii="Times New Roman" w:eastAsia="Times New Roman"/>
        </w:rPr>
        <w:tab/>
      </w:r>
      <w:r>
        <w:rPr>
          <w:rFonts w:ascii="微软雅黑" w:eastAsia="微软雅黑"/>
          <w:b/>
          <w:spacing w:val="-10"/>
          <w:position w:val="11"/>
          <w:sz w:val="11"/>
        </w:rPr>
        <w:t>6</w:t>
      </w:r>
    </w:p>
    <w:p>
      <w:pPr>
        <w:pStyle w:val="6"/>
        <w:spacing w:before="13"/>
        <w:rPr>
          <w:rFonts w:ascii="微软雅黑"/>
          <w:b/>
          <w:sz w:val="20"/>
        </w:rPr>
      </w:pPr>
      <w:r>
        <w:drawing>
          <wp:anchor distT="0" distB="0" distL="0" distR="0" simplePos="0" relativeHeight="251659264" behindDoc="0" locked="0" layoutInCell="1" allowOverlap="1">
            <wp:simplePos x="0" y="0"/>
            <wp:positionH relativeFrom="page">
              <wp:posOffset>827405</wp:posOffset>
            </wp:positionH>
            <wp:positionV relativeFrom="paragraph">
              <wp:posOffset>257810</wp:posOffset>
            </wp:positionV>
            <wp:extent cx="1829435" cy="6350"/>
            <wp:effectExtent l="0" t="0" r="0" b="0"/>
            <wp:wrapTopAndBottom/>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a:picLocks noChangeAspect="1"/>
                    </pic:cNvPicPr>
                  </pic:nvPicPr>
                  <pic:blipFill>
                    <a:blip r:embed="rId26" cstate="print"/>
                    <a:stretch>
                      <a:fillRect/>
                    </a:stretch>
                  </pic:blipFill>
                  <pic:spPr>
                    <a:xfrm>
                      <a:off x="0" y="0"/>
                      <a:ext cx="1829511" cy="6095"/>
                    </a:xfrm>
                    <a:prstGeom prst="rect">
                      <a:avLst/>
                    </a:prstGeom>
                  </pic:spPr>
                </pic:pic>
              </a:graphicData>
            </a:graphic>
          </wp:anchor>
        </w:drawing>
      </w:r>
    </w:p>
    <w:p>
      <w:pPr>
        <w:spacing w:before="71" w:line="206" w:lineRule="auto"/>
        <w:ind w:left="723" w:right="423" w:firstLine="0"/>
        <w:jc w:val="left"/>
        <w:rPr>
          <w:sz w:val="18"/>
        </w:rPr>
      </w:pPr>
      <w:r>
        <w:rPr>
          <w:rFonts w:ascii="Times New Roman" w:eastAsia="Times New Roman"/>
          <w:sz w:val="18"/>
          <w:vertAlign w:val="superscript"/>
        </w:rPr>
        <w:t>1</w:t>
      </w:r>
      <w:r>
        <w:rPr>
          <w:rFonts w:ascii="Times New Roman" w:eastAsia="Times New Roman"/>
          <w:spacing w:val="18"/>
          <w:sz w:val="18"/>
          <w:vertAlign w:val="baseline"/>
        </w:rPr>
        <w:t xml:space="preserve"> </w:t>
      </w:r>
      <w:r>
        <w:rPr>
          <w:rFonts w:ascii="微软雅黑" w:eastAsia="微软雅黑"/>
          <w:b/>
          <w:sz w:val="18"/>
          <w:vertAlign w:val="baseline"/>
        </w:rPr>
        <w:t>已交纳的保险费：</w:t>
      </w:r>
      <w:r>
        <w:rPr>
          <w:sz w:val="18"/>
          <w:vertAlign w:val="baseline"/>
        </w:rPr>
        <w:t>指投保人依据本合同已经向本公司交纳的保险费，如本合同发生过豁免保险费情形，被豁免的保险费</w:t>
      </w:r>
      <w:r>
        <w:rPr>
          <w:spacing w:val="-2"/>
          <w:sz w:val="18"/>
          <w:vertAlign w:val="baseline"/>
        </w:rPr>
        <w:t>视为投保人已交纳。</w:t>
      </w:r>
    </w:p>
    <w:p>
      <w:pPr>
        <w:spacing w:before="0" w:line="249" w:lineRule="exact"/>
        <w:ind w:left="723" w:right="0" w:firstLine="0"/>
        <w:jc w:val="left"/>
        <w:rPr>
          <w:sz w:val="18"/>
        </w:rPr>
      </w:pPr>
      <w:r>
        <w:rPr>
          <w:rFonts w:ascii="Times New Roman" w:eastAsia="Times New Roman"/>
          <w:sz w:val="18"/>
          <w:vertAlign w:val="superscript"/>
        </w:rPr>
        <w:t>2</w:t>
      </w:r>
      <w:r>
        <w:rPr>
          <w:rFonts w:ascii="Times New Roman" w:eastAsia="Times New Roman"/>
          <w:spacing w:val="47"/>
          <w:sz w:val="18"/>
          <w:vertAlign w:val="baseline"/>
        </w:rPr>
        <w:t xml:space="preserve"> </w:t>
      </w:r>
      <w:r>
        <w:rPr>
          <w:rFonts w:ascii="微软雅黑" w:eastAsia="微软雅黑"/>
          <w:b/>
          <w:sz w:val="18"/>
          <w:vertAlign w:val="baseline"/>
        </w:rPr>
        <w:t>意外伤害：</w:t>
      </w:r>
      <w:r>
        <w:rPr>
          <w:spacing w:val="-1"/>
          <w:sz w:val="18"/>
          <w:vertAlign w:val="baseline"/>
        </w:rPr>
        <w:t>指外来的、突发的、非本意的、非疾病的客观事件为直接且单独的原因所导致身体受到的伤害。</w:t>
      </w:r>
    </w:p>
    <w:p>
      <w:pPr>
        <w:spacing w:before="0" w:line="269" w:lineRule="exact"/>
        <w:ind w:left="723" w:right="0" w:firstLine="0"/>
        <w:jc w:val="left"/>
        <w:rPr>
          <w:sz w:val="18"/>
        </w:rPr>
      </w:pPr>
      <w:r>
        <w:rPr>
          <w:rFonts w:ascii="Times New Roman" w:eastAsia="Times New Roman"/>
          <w:sz w:val="18"/>
          <w:vertAlign w:val="superscript"/>
        </w:rPr>
        <w:t>3</w:t>
      </w:r>
      <w:r>
        <w:rPr>
          <w:rFonts w:ascii="Times New Roman" w:eastAsia="Times New Roman"/>
          <w:spacing w:val="47"/>
          <w:sz w:val="18"/>
          <w:vertAlign w:val="baseline"/>
        </w:rPr>
        <w:t xml:space="preserve"> </w:t>
      </w:r>
      <w:r>
        <w:rPr>
          <w:rFonts w:ascii="微软雅黑" w:eastAsia="微软雅黑"/>
          <w:b/>
          <w:sz w:val="18"/>
          <w:vertAlign w:val="baseline"/>
        </w:rPr>
        <w:t>医院：</w:t>
      </w:r>
      <w:r>
        <w:rPr>
          <w:sz w:val="18"/>
          <w:vertAlign w:val="baseline"/>
        </w:rPr>
        <w:t>指经国家卫生行政部门评审确定的二级或二级以上的公立医院，</w:t>
      </w:r>
      <w:r>
        <w:rPr>
          <w:color w:val="000000"/>
          <w:spacing w:val="-1"/>
          <w:sz w:val="18"/>
          <w:shd w:val="clear" w:color="auto" w:fill="C0C0C0"/>
          <w:vertAlign w:val="baseline"/>
        </w:rPr>
        <w:t>但不包括精神病院及专供康复、休养、戒毒、戒</w:t>
      </w:r>
    </w:p>
    <w:p>
      <w:pPr>
        <w:spacing w:before="0" w:line="214" w:lineRule="exact"/>
        <w:ind w:left="723" w:right="0" w:firstLine="0"/>
        <w:jc w:val="left"/>
        <w:rPr>
          <w:sz w:val="18"/>
        </w:rPr>
      </w:pPr>
      <w:r>
        <w:rPr>
          <w:color w:val="000000"/>
          <w:spacing w:val="-15"/>
          <w:sz w:val="18"/>
          <w:shd w:val="clear" w:color="auto" w:fill="C0C0C0"/>
        </w:rPr>
        <w:t>酒、护理、养老等非以直接诊治病人为目的的医疗机构。</w:t>
      </w:r>
      <w:r>
        <w:rPr>
          <w:color w:val="000000"/>
          <w:spacing w:val="-1"/>
          <w:sz w:val="18"/>
        </w:rPr>
        <w:t>该医院必须具有符合国家有关医院管理规则设置标准的医疗设备，</w:t>
      </w:r>
    </w:p>
    <w:p>
      <w:pPr>
        <w:spacing w:before="10" w:line="207" w:lineRule="exact"/>
        <w:ind w:left="723" w:right="0" w:firstLine="0"/>
        <w:jc w:val="left"/>
        <w:rPr>
          <w:sz w:val="18"/>
        </w:rPr>
      </w:pPr>
      <w:r>
        <w:rPr>
          <w:spacing w:val="-11"/>
          <w:sz w:val="18"/>
        </w:rPr>
        <w:t xml:space="preserve">且全天 </w:t>
      </w:r>
      <w:r>
        <w:rPr>
          <w:rFonts w:ascii="Times New Roman" w:eastAsia="Times New Roman"/>
          <w:sz w:val="18"/>
        </w:rPr>
        <w:t>24</w:t>
      </w:r>
      <w:r>
        <w:rPr>
          <w:rFonts w:ascii="Times New Roman" w:eastAsia="Times New Roman"/>
          <w:spacing w:val="-1"/>
          <w:sz w:val="18"/>
        </w:rPr>
        <w:t xml:space="preserve"> </w:t>
      </w:r>
      <w:r>
        <w:rPr>
          <w:spacing w:val="-1"/>
          <w:sz w:val="18"/>
        </w:rPr>
        <w:t>小时有合格医师及护士驻院提供医疗及护理服务。</w:t>
      </w:r>
    </w:p>
    <w:p>
      <w:pPr>
        <w:spacing w:before="4" w:line="211" w:lineRule="auto"/>
        <w:ind w:left="723" w:right="413" w:firstLine="0"/>
        <w:jc w:val="left"/>
        <w:rPr>
          <w:sz w:val="18"/>
        </w:rPr>
      </w:pPr>
      <w:r>
        <w:rPr>
          <w:rFonts w:ascii="Times New Roman" w:eastAsia="Times New Roman"/>
          <w:spacing w:val="-6"/>
          <w:position w:val="7"/>
          <w:sz w:val="14"/>
        </w:rPr>
        <w:t>4</w:t>
      </w:r>
      <w:r>
        <w:rPr>
          <w:rFonts w:ascii="Times New Roman" w:eastAsia="Times New Roman"/>
          <w:spacing w:val="40"/>
          <w:position w:val="7"/>
          <w:sz w:val="14"/>
        </w:rPr>
        <w:t xml:space="preserve"> </w:t>
      </w:r>
      <w:r>
        <w:rPr>
          <w:rFonts w:ascii="微软雅黑" w:eastAsia="微软雅黑"/>
          <w:b/>
          <w:spacing w:val="-6"/>
          <w:sz w:val="18"/>
        </w:rPr>
        <w:t>专科医生：</w:t>
      </w:r>
      <w:r>
        <w:rPr>
          <w:spacing w:val="-10"/>
          <w:sz w:val="18"/>
        </w:rPr>
        <w:t>专科医生应当同时满足以下四项资格条件：</w:t>
      </w:r>
      <w:r>
        <w:rPr>
          <w:spacing w:val="24"/>
          <w:sz w:val="18"/>
        </w:rPr>
        <w:t>（</w:t>
      </w:r>
      <w:r>
        <w:rPr>
          <w:spacing w:val="25"/>
          <w:sz w:val="18"/>
        </w:rPr>
        <w:t>1</w:t>
      </w:r>
      <w:r>
        <w:rPr>
          <w:spacing w:val="9"/>
          <w:sz w:val="18"/>
        </w:rPr>
        <w:t>）</w:t>
      </w:r>
      <w:r>
        <w:rPr>
          <w:spacing w:val="-15"/>
          <w:sz w:val="18"/>
        </w:rPr>
        <w:t>具有有效的中华人民共和国《医师资格证书》；</w:t>
      </w:r>
      <w:r>
        <w:rPr>
          <w:spacing w:val="24"/>
          <w:sz w:val="18"/>
        </w:rPr>
        <w:t>（2</w:t>
      </w:r>
      <w:r>
        <w:rPr>
          <w:spacing w:val="8"/>
          <w:sz w:val="18"/>
        </w:rPr>
        <w:t>）</w:t>
      </w:r>
      <w:r>
        <w:rPr>
          <w:spacing w:val="-6"/>
          <w:sz w:val="18"/>
        </w:rPr>
        <w:t>具有有效</w:t>
      </w:r>
      <w:r>
        <w:rPr>
          <w:spacing w:val="-8"/>
          <w:sz w:val="18"/>
        </w:rPr>
        <w:t>的中华人民共和国《医师执业证书》，并按期到相关部门登记注册；</w:t>
      </w:r>
      <w:r>
        <w:rPr>
          <w:spacing w:val="-2"/>
          <w:sz w:val="18"/>
        </w:rPr>
        <w:t>（3）</w:t>
      </w:r>
      <w:r>
        <w:rPr>
          <w:spacing w:val="-3"/>
          <w:sz w:val="18"/>
        </w:rPr>
        <w:t>具有有效的中华人民共和国主治医师或主治医师</w:t>
      </w:r>
    </w:p>
    <w:p>
      <w:pPr>
        <w:spacing w:before="14" w:line="206" w:lineRule="exact"/>
        <w:ind w:left="723" w:right="0" w:firstLine="0"/>
        <w:jc w:val="left"/>
        <w:rPr>
          <w:sz w:val="18"/>
        </w:rPr>
      </w:pPr>
      <w:r>
        <w:rPr>
          <w:spacing w:val="-17"/>
          <w:sz w:val="18"/>
        </w:rPr>
        <w:t>以上职称的《医师职称证书》；</w:t>
      </w:r>
      <w:r>
        <w:rPr>
          <w:spacing w:val="29"/>
          <w:sz w:val="18"/>
        </w:rPr>
        <w:t>（</w:t>
      </w:r>
      <w:r>
        <w:rPr>
          <w:spacing w:val="30"/>
          <w:sz w:val="18"/>
        </w:rPr>
        <w:t>4</w:t>
      </w:r>
      <w:r>
        <w:rPr>
          <w:spacing w:val="7"/>
          <w:sz w:val="18"/>
        </w:rPr>
        <w:t>）</w:t>
      </w:r>
      <w:r>
        <w:rPr>
          <w:spacing w:val="-5"/>
          <w:sz w:val="18"/>
        </w:rPr>
        <w:t>在国家《医院分级管理标准》二级或二级以上医院的相应科室从事临床工作三年以上。</w:t>
      </w:r>
    </w:p>
    <w:p>
      <w:pPr>
        <w:spacing w:before="5" w:line="211" w:lineRule="auto"/>
        <w:ind w:left="723" w:right="423" w:firstLine="0"/>
        <w:jc w:val="left"/>
        <w:rPr>
          <w:sz w:val="18"/>
        </w:rPr>
      </w:pPr>
      <w:r>
        <w:rPr>
          <w:rFonts w:ascii="Times New Roman" w:eastAsia="Times New Roman"/>
          <w:sz w:val="18"/>
          <w:vertAlign w:val="superscript"/>
        </w:rPr>
        <w:t>5</w:t>
      </w:r>
      <w:r>
        <w:rPr>
          <w:rFonts w:ascii="Times New Roman" w:eastAsia="Times New Roman"/>
          <w:spacing w:val="18"/>
          <w:sz w:val="18"/>
          <w:vertAlign w:val="baseline"/>
        </w:rPr>
        <w:t xml:space="preserve"> </w:t>
      </w:r>
      <w:r>
        <w:rPr>
          <w:rFonts w:ascii="微软雅黑" w:eastAsia="微软雅黑"/>
          <w:b/>
          <w:sz w:val="18"/>
          <w:vertAlign w:val="baseline"/>
        </w:rPr>
        <w:t>基本保险金额：</w:t>
      </w:r>
      <w:r>
        <w:rPr>
          <w:sz w:val="18"/>
          <w:vertAlign w:val="baseline"/>
        </w:rPr>
        <w:t>本合同所称的基本保险金额是指由投保人在投保时与我们约定，并在保险单上载明的金额。若该金额按</w:t>
      </w:r>
      <w:r>
        <w:rPr>
          <w:spacing w:val="-2"/>
          <w:sz w:val="18"/>
          <w:vertAlign w:val="baseline"/>
        </w:rPr>
        <w:t>本合同其它条款的约定而发生变更，则以变更后的金额为基本保险金额。</w:t>
      </w:r>
    </w:p>
    <w:p>
      <w:pPr>
        <w:spacing w:before="0" w:line="288" w:lineRule="exact"/>
        <w:ind w:left="723" w:right="0" w:firstLine="0"/>
        <w:jc w:val="left"/>
        <w:rPr>
          <w:sz w:val="18"/>
        </w:rPr>
      </w:pPr>
      <w:r>
        <w:rPr>
          <w:rFonts w:ascii="Times New Roman" w:eastAsia="Times New Roman"/>
          <w:sz w:val="18"/>
          <w:vertAlign w:val="superscript"/>
        </w:rPr>
        <w:t>6</w:t>
      </w:r>
      <w:r>
        <w:rPr>
          <w:rFonts w:ascii="Times New Roman" w:eastAsia="Times New Roman"/>
          <w:spacing w:val="47"/>
          <w:sz w:val="18"/>
          <w:vertAlign w:val="baseline"/>
        </w:rPr>
        <w:t xml:space="preserve"> </w:t>
      </w:r>
      <w:r>
        <w:rPr>
          <w:rFonts w:ascii="微软雅黑" w:eastAsia="微软雅黑"/>
          <w:b/>
          <w:sz w:val="18"/>
          <w:vertAlign w:val="baseline"/>
        </w:rPr>
        <w:t>现金价值：</w:t>
      </w:r>
      <w:r>
        <w:rPr>
          <w:spacing w:val="-1"/>
          <w:sz w:val="18"/>
          <w:vertAlign w:val="baseline"/>
        </w:rPr>
        <w:t>指保险单所具有的价值，通常体现为解除合同时，由本公司退还的那部分金额。</w:t>
      </w:r>
    </w:p>
    <w:p>
      <w:pPr>
        <w:spacing w:after="0" w:line="288" w:lineRule="exact"/>
        <w:jc w:val="left"/>
        <w:rPr>
          <w:sz w:val="18"/>
        </w:rPr>
        <w:sectPr>
          <w:type w:val="continuous"/>
          <w:pgSz w:w="11910" w:h="16840"/>
          <w:pgMar w:top="280" w:right="660" w:bottom="280" w:left="580" w:header="0" w:footer="1060" w:gutter="0"/>
          <w:cols w:space="720" w:num="1"/>
        </w:sectPr>
      </w:pPr>
    </w:p>
    <w:p>
      <w:pPr>
        <w:pStyle w:val="6"/>
        <w:ind w:left="3385"/>
        <w:rPr>
          <w:sz w:val="20"/>
        </w:rPr>
      </w:pPr>
      <w:r>
        <w:rPr>
          <w:sz w:val="20"/>
        </w:rPr>
        <w:pict>
          <v:shape id="docshape17" o:spid="_x0000_s1041" o:spt="202" type="#_x0000_t202" style="height:14.8pt;width:343.4pt;"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12"/>
                    </w:rPr>
                    <w:t>诊之日起降低为零，同时“1.1.2.2中症疾病保险金”、“1.1.2.3轻症疾病保</w:t>
                  </w:r>
                </w:p>
              </w:txbxContent>
            </v:textbox>
            <w10:wrap type="none"/>
            <w10:anchorlock/>
          </v:shape>
        </w:pict>
      </w:r>
    </w:p>
    <w:p>
      <w:pPr>
        <w:pStyle w:val="6"/>
        <w:ind w:left="3385"/>
        <w:rPr>
          <w:sz w:val="20"/>
        </w:rPr>
      </w:pPr>
      <w:r>
        <w:rPr>
          <w:sz w:val="20"/>
        </w:rPr>
        <w:pict>
          <v:shape id="docshape18" o:spid="_x0000_s1042" o:spt="202" type="#_x0000_t202" style="height:14.8pt;width:237.2pt;" fillcolor="#C0C0C0" filled="t" stroked="f" coordsize="21600,21600">
            <v:path/>
            <v:fill on="t" focussize="0,0"/>
            <v:stroke on="f" joinstyle="miter"/>
            <v:imagedata o:title=""/>
            <o:lock v:ext="edit"/>
            <v:textbox inset="0mm,0mm,0mm,0mm">
              <w:txbxContent>
                <w:p>
                  <w:pPr>
                    <w:pStyle w:val="6"/>
                    <w:spacing w:before="23"/>
                    <w:rPr>
                      <w:color w:val="000000"/>
                    </w:rPr>
                  </w:pPr>
                  <w:r>
                    <w:rPr>
                      <w:color w:val="000000"/>
                      <w:spacing w:val="-55"/>
                    </w:rPr>
                    <w:t>险金”、</w:t>
                  </w:r>
                  <w:r>
                    <w:rPr>
                      <w:color w:val="000000"/>
                      <w:spacing w:val="-4"/>
                    </w:rPr>
                    <w:t>“1.1.2.4</w:t>
                  </w:r>
                  <w:r>
                    <w:rPr>
                      <w:color w:val="000000"/>
                      <w:spacing w:val="-5"/>
                    </w:rPr>
                    <w:t>身故保险金”的保险责任均终止。</w:t>
                  </w:r>
                </w:p>
              </w:txbxContent>
            </v:textbox>
            <w10:wrap type="none"/>
            <w10:anchorlock/>
          </v:shape>
        </w:pict>
      </w:r>
    </w:p>
    <w:p>
      <w:pPr>
        <w:pStyle w:val="6"/>
        <w:spacing w:before="6"/>
        <w:rPr>
          <w:sz w:val="22"/>
        </w:rPr>
      </w:pPr>
      <w:r>
        <w:pict>
          <v:shape id="docshape19" o:spid="_x0000_s1043" o:spt="202" type="#_x0000_t202" style="position:absolute;left:0pt;margin-left:198.25pt;margin-top:31.6pt;height:16.1pt;width:115.6pt;mso-position-horizontal-relative:page;z-index:-251612160;mso-width-relative:page;mso-height-relative:page;"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spacing w:val="-3"/>
                    </w:rPr>
                    <w:t>金后，本合同效力终止。</w:t>
                  </w:r>
                </w:p>
              </w:txbxContent>
            </v:textbox>
          </v:shape>
        </w:pict>
      </w:r>
      <w:r>
        <w:pict>
          <v:shape id="docshape20" o:spid="_x0000_s1044" o:spt="202" type="#_x0000_t202" style="position:absolute;left:0pt;margin-left:198.25pt;margin-top:15.6pt;height:16pt;width:341.35pt;mso-position-horizontal-relative:page;mso-wrap-distance-bottom:0pt;mso-wrap-distance-top:0pt;z-index:-251583488;mso-width-relative:page;mso-height-relative:page;" fillcolor="#C0C0C0" filled="t" stroked="f" coordsize="21600,21600">
            <v:path/>
            <v:fill on="t" focussize="0,0"/>
            <v:stroke on="f" joinstyle="miter"/>
            <v:imagedata o:title=""/>
            <o:lock v:ext="edit"/>
            <v:textbox inset="0mm,0mm,0mm,0mm">
              <w:txbxContent>
                <w:p>
                  <w:pPr>
                    <w:pStyle w:val="6"/>
                    <w:spacing w:before="46"/>
                    <w:ind w:right="-15"/>
                    <w:rPr>
                      <w:color w:val="000000"/>
                    </w:rPr>
                  </w:pPr>
                  <w:r>
                    <w:rPr>
                      <w:color w:val="000000"/>
                      <w:spacing w:val="-9"/>
                    </w:rPr>
                    <w:t>若投保人在投保时仅选择投保“基本责任”，我们在给付本项重大疾病保险</w:t>
                  </w:r>
                </w:p>
              </w:txbxContent>
            </v:textbox>
            <w10:wrap type="topAndBottom"/>
          </v:shape>
        </w:pict>
      </w:r>
    </w:p>
    <w:p>
      <w:pPr>
        <w:pStyle w:val="6"/>
        <w:spacing w:before="4"/>
        <w:rPr>
          <w:sz w:val="20"/>
        </w:rPr>
      </w:pPr>
    </w:p>
    <w:p>
      <w:pPr>
        <w:spacing w:after="0"/>
        <w:rPr>
          <w:sz w:val="20"/>
        </w:rPr>
        <w:sectPr>
          <w:pgSz w:w="11910" w:h="16840"/>
          <w:pgMar w:top="1480" w:right="660" w:bottom="1260" w:left="580" w:header="0" w:footer="1060" w:gutter="0"/>
          <w:cols w:space="720" w:num="1"/>
        </w:sectPr>
      </w:pPr>
    </w:p>
    <w:p>
      <w:pPr>
        <w:pStyle w:val="4"/>
        <w:numPr>
          <w:ilvl w:val="3"/>
          <w:numId w:val="7"/>
        </w:numPr>
        <w:tabs>
          <w:tab w:val="left" w:pos="1825"/>
          <w:tab w:val="left" w:pos="1826"/>
        </w:tabs>
        <w:spacing w:before="71" w:after="0" w:line="266" w:lineRule="auto"/>
        <w:ind w:left="1825" w:right="0" w:hanging="1102"/>
        <w:jc w:val="left"/>
      </w:pPr>
      <w:r>
        <w:pict>
          <v:shape id="docshape21" o:spid="_x0000_s1045" o:spt="202" type="#_x0000_t202" style="position:absolute;left:0pt;margin-left:198.25pt;margin-top:114.95pt;height:16.15pt;width:168.2pt;mso-position-horizontal-relative:page;z-index:-251607040;mso-width-relative:page;mso-height-relative:page;"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spacing w:val="-3"/>
                    </w:rPr>
                    <w:t>付达到两次时，本项保险责任终止。</w:t>
                  </w:r>
                </w:p>
              </w:txbxContent>
            </v:textbox>
          </v:shape>
        </w:pict>
      </w:r>
      <w:r>
        <w:pict>
          <v:shape id="docshape22" o:spid="_x0000_s1046" o:spt="202" type="#_x0000_t202" style="position:absolute;left:0pt;margin-left:198.25pt;margin-top:99pt;height:16pt;width:346.55pt;mso-position-horizontal-relative:page;z-index:-251607040;mso-width-relative:page;mso-height-relative:page;" fillcolor="#C0C0C0" filled="t" stroked="f" coordsize="21600,21600">
            <v:path/>
            <v:fill on="t" focussize="0,0"/>
            <v:stroke on="f" joinstyle="miter"/>
            <v:imagedata o:title=""/>
            <o:lock v:ext="edit"/>
            <v:textbox inset="0mm,0mm,0mm,0mm">
              <w:txbxContent>
                <w:p>
                  <w:pPr>
                    <w:pStyle w:val="6"/>
                    <w:spacing w:before="46"/>
                    <w:ind w:right="-15"/>
                    <w:rPr>
                      <w:color w:val="000000"/>
                    </w:rPr>
                  </w:pPr>
                  <w:r>
                    <w:rPr>
                      <w:color w:val="000000"/>
                      <w:spacing w:val="-3"/>
                    </w:rPr>
                    <w:t>每种中症疾病只给付一次，本项中症疾病保险金给付以两次为限，当累计给</w:t>
                  </w:r>
                </w:p>
              </w:txbxContent>
            </v:textbox>
          </v:shape>
        </w:pict>
      </w:r>
      <w:r>
        <w:rPr>
          <w:spacing w:val="-2"/>
          <w:w w:val="95"/>
        </w:rPr>
        <w:t>中症疾病保险</w:t>
      </w:r>
      <w:r>
        <w:rPr>
          <w:spacing w:val="-10"/>
        </w:rPr>
        <w:t>金</w:t>
      </w:r>
    </w:p>
    <w:p>
      <w:pPr>
        <w:pStyle w:val="6"/>
        <w:spacing w:before="105" w:line="285" w:lineRule="auto"/>
        <w:ind w:left="257" w:right="303"/>
      </w:pPr>
      <w:r>
        <w:br w:type="column"/>
      </w:r>
      <w:r>
        <w:rPr>
          <w:spacing w:val="1"/>
          <w:w w:val="100"/>
        </w:rPr>
        <w:t>若被保险人因意外伤害事故或等待期后经我们指定医院的专科医生确诊初</w:t>
      </w:r>
      <w:r>
        <w:rPr>
          <w:spacing w:val="-9"/>
          <w:w w:val="100"/>
        </w:rPr>
        <w:t>次患符合本合同中症疾病定义的疾病</w:t>
      </w:r>
      <w:r>
        <w:rPr>
          <w:w w:val="100"/>
        </w:rPr>
        <w:t>（</w:t>
      </w:r>
      <w:r>
        <w:rPr>
          <w:spacing w:val="-18"/>
          <w:w w:val="100"/>
        </w:rPr>
        <w:t>具体定义见“</w:t>
      </w:r>
      <w:r>
        <w:rPr>
          <w:w w:val="100"/>
        </w:rPr>
        <w:t>8.2</w:t>
      </w:r>
      <w:r>
        <w:rPr>
          <w:spacing w:val="-53"/>
        </w:rPr>
        <w:t xml:space="preserve"> </w:t>
      </w:r>
      <w:r>
        <w:rPr>
          <w:spacing w:val="-13"/>
          <w:w w:val="100"/>
        </w:rPr>
        <w:t>中症疾病的定义”</w:t>
      </w:r>
      <w:r>
        <w:rPr>
          <w:spacing w:val="-84"/>
          <w:w w:val="100"/>
        </w:rPr>
        <w:t>）</w:t>
      </w:r>
      <w:r>
        <w:rPr>
          <w:w w:val="100"/>
        </w:rPr>
        <w:t>，</w:t>
      </w:r>
      <w:r>
        <w:rPr>
          <w:spacing w:val="-3"/>
          <w:w w:val="100"/>
        </w:rPr>
        <w:t>我们按本合同基本保险金额的</w:t>
      </w:r>
      <w:r>
        <w:rPr>
          <w:spacing w:val="-52"/>
        </w:rPr>
        <w:t xml:space="preserve"> </w:t>
      </w:r>
      <w:r>
        <w:rPr>
          <w:spacing w:val="-3"/>
          <w:w w:val="100"/>
        </w:rPr>
        <w:t>6</w:t>
      </w:r>
      <w:r>
        <w:rPr>
          <w:w w:val="100"/>
        </w:rPr>
        <w:t>0</w:t>
      </w:r>
      <w:r>
        <w:rPr>
          <w:spacing w:val="-5"/>
          <w:w w:val="100"/>
        </w:rPr>
        <w:t>%给付中症疾病保险金，并豁免本合同缴费</w:t>
      </w:r>
      <w:r>
        <w:rPr>
          <w:spacing w:val="1"/>
          <w:w w:val="100"/>
        </w:rPr>
        <w:t>期间内的自中症疾病首次确诊日以后本合同的各期保险费，本合同继续有效。</w:t>
      </w:r>
    </w:p>
    <w:p>
      <w:pPr>
        <w:spacing w:after="0" w:line="285" w:lineRule="auto"/>
        <w:sectPr>
          <w:type w:val="continuous"/>
          <w:pgSz w:w="11910" w:h="16840"/>
          <w:pgMar w:top="280" w:right="660" w:bottom="280" w:left="580" w:header="0" w:footer="1060" w:gutter="0"/>
          <w:cols w:equalWidth="0" w:num="2">
            <w:col w:w="3088" w:space="40"/>
            <w:col w:w="7542"/>
          </w:cols>
        </w:sectPr>
      </w:pPr>
    </w:p>
    <w:p>
      <w:pPr>
        <w:pStyle w:val="6"/>
        <w:spacing w:before="6"/>
      </w:pPr>
    </w:p>
    <w:p>
      <w:pPr>
        <w:pStyle w:val="6"/>
        <w:spacing w:before="2"/>
        <w:rPr>
          <w:sz w:val="23"/>
        </w:rPr>
      </w:pPr>
      <w:r>
        <w:pict>
          <v:shape id="docshape23" o:spid="_x0000_s1047" o:spt="202" type="#_x0000_t202" style="position:absolute;left:0pt;margin-left:198.25pt;margin-top:47.95pt;height:16.1pt;width:21.05pt;mso-position-horizontal-relative:page;z-index:-251611136;mso-width-relative:page;mso-height-relative:page;"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spacing w:val="-5"/>
                    </w:rPr>
                    <w:t>金。</w:t>
                  </w:r>
                </w:p>
              </w:txbxContent>
            </v:textbox>
          </v:shape>
        </w:pict>
      </w:r>
      <w:r>
        <w:pict>
          <v:shape id="docshape24" o:spid="_x0000_s1048" o:spt="202" type="#_x0000_t202" style="position:absolute;left:0pt;margin-left:198.25pt;margin-top:16pt;height:31.95pt;width:343.4pt;mso-position-horizontal-relative:page;mso-wrap-distance-bottom:0pt;mso-wrap-distance-top:0pt;z-index:-251582464;mso-width-relative:page;mso-height-relative:page;" fillcolor="#C0C0C0" filled="t" stroked="f" coordsize="21600,21600">
            <v:path/>
            <v:fill on="t" focussize="0,0"/>
            <v:stroke on="f" joinstyle="miter"/>
            <v:imagedata o:title=""/>
            <o:lock v:ext="edit"/>
            <v:textbox inset="0mm,0mm,0mm,0mm">
              <w:txbxContent>
                <w:p>
                  <w:pPr>
                    <w:pStyle w:val="6"/>
                    <w:spacing w:line="320" w:lineRule="exact"/>
                    <w:ind w:right="-15"/>
                    <w:rPr>
                      <w:color w:val="000000"/>
                    </w:rPr>
                  </w:pPr>
                  <w:r>
                    <w:rPr>
                      <w:color w:val="000000"/>
                      <w:spacing w:val="-2"/>
                    </w:rPr>
                    <w:t>若被保险人由于同一疾病原因、同次医疗行为或同次意外伤害事故，确诊初</w:t>
                  </w:r>
                  <w:r>
                    <w:rPr>
                      <w:color w:val="000000"/>
                      <w:spacing w:val="-8"/>
                    </w:rPr>
                    <w:t>次患多种本合同定义的中症疾病，我们仅按一种中症疾病给付中症疾病保险</w:t>
                  </w:r>
                </w:p>
              </w:txbxContent>
            </v:textbox>
            <w10:wrap type="topAndBottom"/>
          </v:shape>
        </w:pict>
      </w:r>
    </w:p>
    <w:p>
      <w:pPr>
        <w:pStyle w:val="6"/>
        <w:spacing w:before="4"/>
        <w:rPr>
          <w:sz w:val="20"/>
        </w:rPr>
      </w:pPr>
    </w:p>
    <w:p>
      <w:pPr>
        <w:spacing w:after="0"/>
        <w:rPr>
          <w:sz w:val="20"/>
        </w:rPr>
        <w:sectPr>
          <w:type w:val="continuous"/>
          <w:pgSz w:w="11910" w:h="16840"/>
          <w:pgMar w:top="280" w:right="660" w:bottom="280" w:left="580" w:header="0" w:footer="1060" w:gutter="0"/>
          <w:cols w:space="720" w:num="1"/>
        </w:sectPr>
      </w:pPr>
    </w:p>
    <w:p>
      <w:pPr>
        <w:pStyle w:val="4"/>
        <w:numPr>
          <w:ilvl w:val="3"/>
          <w:numId w:val="7"/>
        </w:numPr>
        <w:tabs>
          <w:tab w:val="left" w:pos="1825"/>
          <w:tab w:val="left" w:pos="1826"/>
        </w:tabs>
        <w:spacing w:before="71" w:after="0" w:line="266" w:lineRule="auto"/>
        <w:ind w:left="1825" w:right="0" w:hanging="1102"/>
        <w:jc w:val="left"/>
      </w:pPr>
      <w:r>
        <w:pict>
          <v:shape id="docshape25" o:spid="_x0000_s1049" o:spt="202" type="#_x0000_t202" style="position:absolute;left:0pt;margin-left:198.25pt;margin-top:115pt;height:16.1pt;width:168.2pt;mso-position-horizontal-relative:page;z-index:-251608064;mso-width-relative:page;mso-height-relative:page;" fillcolor="#C0C0C0" filled="t" stroked="f" coordsize="21600,21600">
            <v:path/>
            <v:fill on="t" focussize="0,0"/>
            <v:stroke on="f" joinstyle="miter"/>
            <v:imagedata o:title=""/>
            <o:lock v:ext="edit"/>
            <v:textbox inset="0mm,0mm,0mm,0mm">
              <w:txbxContent>
                <w:p>
                  <w:pPr>
                    <w:pStyle w:val="6"/>
                    <w:spacing w:before="46"/>
                    <w:ind w:right="-15"/>
                    <w:rPr>
                      <w:color w:val="000000"/>
                    </w:rPr>
                  </w:pPr>
                  <w:r>
                    <w:rPr>
                      <w:color w:val="000000"/>
                      <w:spacing w:val="-3"/>
                    </w:rPr>
                    <w:t>付达到三次时，本项保险责任终止。</w:t>
                  </w:r>
                </w:p>
              </w:txbxContent>
            </v:textbox>
          </v:shape>
        </w:pict>
      </w:r>
      <w:r>
        <w:pict>
          <v:shape id="docshape26" o:spid="_x0000_s1050" o:spt="202" type="#_x0000_t202" style="position:absolute;left:0pt;margin-left:198.25pt;margin-top:99pt;height:16pt;width:346.55pt;mso-position-horizontal-relative:page;z-index:-251608064;mso-width-relative:page;mso-height-relative:page;"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spacing w:val="-3"/>
                    </w:rPr>
                    <w:t>每种轻症疾病只给付一次，本项轻症疾病保险金给付以三次为限，当累计给</w:t>
                  </w:r>
                </w:p>
              </w:txbxContent>
            </v:textbox>
          </v:shape>
        </w:pict>
      </w:r>
      <w:r>
        <w:rPr>
          <w:spacing w:val="-2"/>
          <w:w w:val="95"/>
        </w:rPr>
        <w:t>轻症疾病保险</w:t>
      </w:r>
      <w:r>
        <w:rPr>
          <w:spacing w:val="-10"/>
        </w:rPr>
        <w:t>金</w:t>
      </w:r>
    </w:p>
    <w:p>
      <w:pPr>
        <w:pStyle w:val="6"/>
        <w:spacing w:before="105" w:line="285" w:lineRule="auto"/>
        <w:ind w:left="257" w:right="303"/>
      </w:pPr>
      <w:r>
        <w:br w:type="column"/>
      </w:r>
      <w:r>
        <w:rPr>
          <w:spacing w:val="1"/>
          <w:w w:val="100"/>
        </w:rPr>
        <w:t>若被保险人因意外伤害事故或等待期后经我们指定医院的专科医生确诊初</w:t>
      </w:r>
      <w:r>
        <w:rPr>
          <w:spacing w:val="-9"/>
          <w:w w:val="100"/>
        </w:rPr>
        <w:t>次患符合本合同轻症疾病定义的疾病</w:t>
      </w:r>
      <w:r>
        <w:rPr>
          <w:w w:val="100"/>
        </w:rPr>
        <w:t>（</w:t>
      </w:r>
      <w:r>
        <w:rPr>
          <w:spacing w:val="-18"/>
          <w:w w:val="100"/>
        </w:rPr>
        <w:t>具体定义见“</w:t>
      </w:r>
      <w:r>
        <w:rPr>
          <w:w w:val="100"/>
        </w:rPr>
        <w:t>8.3</w:t>
      </w:r>
      <w:r>
        <w:rPr>
          <w:spacing w:val="-53"/>
        </w:rPr>
        <w:t xml:space="preserve"> </w:t>
      </w:r>
      <w:r>
        <w:rPr>
          <w:spacing w:val="-13"/>
          <w:w w:val="100"/>
        </w:rPr>
        <w:t>轻症疾病的定义”</w:t>
      </w:r>
      <w:r>
        <w:rPr>
          <w:spacing w:val="-85"/>
          <w:w w:val="100"/>
        </w:rPr>
        <w:t>）</w:t>
      </w:r>
      <w:r>
        <w:rPr>
          <w:w w:val="100"/>
        </w:rPr>
        <w:t>，</w:t>
      </w:r>
      <w:r>
        <w:rPr>
          <w:spacing w:val="-3"/>
          <w:w w:val="100"/>
        </w:rPr>
        <w:t>我们按本合同基本保险金额的</w:t>
      </w:r>
      <w:r>
        <w:rPr>
          <w:spacing w:val="-52"/>
        </w:rPr>
        <w:t xml:space="preserve"> </w:t>
      </w:r>
      <w:r>
        <w:rPr>
          <w:spacing w:val="-3"/>
          <w:w w:val="100"/>
        </w:rPr>
        <w:t>3</w:t>
      </w:r>
      <w:r>
        <w:rPr>
          <w:w w:val="100"/>
        </w:rPr>
        <w:t>0</w:t>
      </w:r>
      <w:r>
        <w:rPr>
          <w:spacing w:val="-5"/>
          <w:w w:val="100"/>
        </w:rPr>
        <w:t>%给付轻症疾病保险金，并豁免本合同缴费</w:t>
      </w:r>
      <w:r>
        <w:rPr>
          <w:spacing w:val="1"/>
          <w:w w:val="100"/>
        </w:rPr>
        <w:t>期间内的自轻症疾病首次确诊日以后本合同的各期保险费，本合同继续有效。</w:t>
      </w:r>
    </w:p>
    <w:p>
      <w:pPr>
        <w:spacing w:after="0" w:line="285" w:lineRule="auto"/>
        <w:sectPr>
          <w:type w:val="continuous"/>
          <w:pgSz w:w="11910" w:h="16840"/>
          <w:pgMar w:top="280" w:right="660" w:bottom="280" w:left="580" w:header="0" w:footer="1060" w:gutter="0"/>
          <w:cols w:equalWidth="0" w:num="2">
            <w:col w:w="3088" w:space="40"/>
            <w:col w:w="7542"/>
          </w:cols>
        </w:sectPr>
      </w:pPr>
    </w:p>
    <w:p>
      <w:pPr>
        <w:pStyle w:val="6"/>
        <w:spacing w:before="6"/>
      </w:pPr>
    </w:p>
    <w:p>
      <w:pPr>
        <w:pStyle w:val="6"/>
        <w:spacing w:before="6"/>
      </w:pPr>
      <w:r>
        <w:pict>
          <v:shape id="docshape27" o:spid="_x0000_s1051" o:spt="202" type="#_x0000_t202" style="position:absolute;left:0pt;margin-left:198.25pt;margin-top:14.95pt;height:14.8pt;width:346.75pt;mso-position-horizontal-relative:page;mso-wrap-distance-bottom:0pt;mso-wrap-distance-top:0pt;z-index:-251582464;mso-width-relative:page;mso-height-relative:page;"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3"/>
                    </w:rPr>
                    <w:t>若被保险人由于同一疾病原因、同次医疗行为或同次意外伤害事故，确诊初</w:t>
                  </w:r>
                </w:p>
              </w:txbxContent>
            </v:textbox>
            <w10:wrap type="topAndBottom"/>
          </v:shape>
        </w:pict>
      </w:r>
    </w:p>
    <w:p>
      <w:pPr>
        <w:pStyle w:val="6"/>
        <w:ind w:left="3385"/>
        <w:rPr>
          <w:sz w:val="20"/>
        </w:rPr>
      </w:pPr>
      <w:r>
        <w:rPr>
          <w:sz w:val="20"/>
        </w:rPr>
        <w:pict>
          <v:shape id="docshape28" o:spid="_x0000_s1052" o:spt="202" type="#_x0000_t202" style="height:14.8pt;width:346.75pt;"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5"/>
                    </w:rPr>
                    <w:t>次患多种本合同定义的轻症疾病，我们仅按一种轻症疾病给付轻症疾病保险</w:t>
                  </w:r>
                </w:p>
              </w:txbxContent>
            </v:textbox>
            <w10:wrap type="none"/>
            <w10:anchorlock/>
          </v:shape>
        </w:pict>
      </w:r>
    </w:p>
    <w:p>
      <w:pPr>
        <w:pStyle w:val="6"/>
        <w:ind w:left="3385"/>
        <w:rPr>
          <w:sz w:val="20"/>
        </w:rPr>
      </w:pPr>
      <w:r>
        <w:rPr>
          <w:sz w:val="20"/>
        </w:rPr>
        <w:pict>
          <v:shape id="docshape29" o:spid="_x0000_s1053" o:spt="202" type="#_x0000_t202" style="height:14.8pt;width:21.05pt;"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8"/>
                    </w:rPr>
                    <w:t>金。</w:t>
                  </w:r>
                </w:p>
              </w:txbxContent>
            </v:textbox>
            <w10:wrap type="none"/>
            <w10:anchorlock/>
          </v:shape>
        </w:pict>
      </w:r>
    </w:p>
    <w:p>
      <w:pPr>
        <w:pStyle w:val="6"/>
        <w:spacing w:before="4"/>
        <w:rPr>
          <w:sz w:val="23"/>
        </w:rPr>
      </w:pPr>
      <w:r>
        <w:drawing>
          <wp:anchor distT="0" distB="0" distL="0" distR="0" simplePos="0" relativeHeight="251706368" behindDoc="1" locked="0" layoutInCell="1" allowOverlap="1">
            <wp:simplePos x="0" y="0"/>
            <wp:positionH relativeFrom="page">
              <wp:posOffset>2517775</wp:posOffset>
            </wp:positionH>
            <wp:positionV relativeFrom="paragraph">
              <wp:posOffset>600710</wp:posOffset>
            </wp:positionV>
            <wp:extent cx="4137025" cy="187325"/>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1.png"/>
                    <pic:cNvPicPr>
                      <a:picLocks noChangeAspect="1"/>
                    </pic:cNvPicPr>
                  </pic:nvPicPr>
                  <pic:blipFill>
                    <a:blip r:embed="rId27" cstate="print"/>
                    <a:stretch>
                      <a:fillRect/>
                    </a:stretch>
                  </pic:blipFill>
                  <pic:spPr>
                    <a:xfrm>
                      <a:off x="0" y="0"/>
                      <a:ext cx="4137025" cy="187451"/>
                    </a:xfrm>
                    <a:prstGeom prst="rect">
                      <a:avLst/>
                    </a:prstGeom>
                  </pic:spPr>
                </pic:pic>
              </a:graphicData>
            </a:graphic>
          </wp:anchor>
        </w:drawing>
      </w:r>
      <w:r>
        <w:pict>
          <v:shape id="docshape30" o:spid="_x0000_s1054" o:spt="202" type="#_x0000_t202" style="position:absolute;left:0pt;margin-left:198.25pt;margin-top:47.3pt;height:14.8pt;width:325.75pt;mso-position-horizontal-relative:page;z-index:-251609088;mso-width-relative:page;mso-height-relative:page;" filled="f" stroked="f" coordsize="21600,21600">
            <v:path/>
            <v:fill on="f" focussize="0,0"/>
            <v:stroke on="f" joinstyle="miter"/>
            <v:imagedata o:title=""/>
            <o:lock v:ext="edit"/>
            <v:textbox inset="0mm,0mm,0mm,0mm">
              <w:txbxContent>
                <w:p>
                  <w:pPr>
                    <w:pStyle w:val="6"/>
                    <w:spacing w:before="22"/>
                    <w:ind w:right="-15"/>
                  </w:pPr>
                  <w:r>
                    <w:rPr>
                      <w:spacing w:val="-3"/>
                    </w:rPr>
                    <w:t>多项责任的给付条件，我们仅承担其中给付金额最高的一项保险责任。</w:t>
                  </w:r>
                </w:p>
              </w:txbxContent>
            </v:textbox>
          </v:shape>
        </w:pict>
      </w:r>
      <w:r>
        <w:pict>
          <v:shape id="docshape31" o:spid="_x0000_s1055" o:spt="202" type="#_x0000_t202" style="position:absolute;left:0pt;margin-left:198.25pt;margin-top:31.7pt;height:14.8pt;width:348.7pt;mso-position-horizontal-relative:page;z-index:-251609088;mso-width-relative:page;mso-height-relative:page;" fillcolor="#C0C0C0" filled="t" stroked="f" coordsize="21600,21600">
            <v:path/>
            <v:fill on="t" focussize="0,0"/>
            <v:stroke on="f" joinstyle="miter"/>
            <v:imagedata o:title=""/>
            <o:lock v:ext="edit"/>
            <v:textbox inset="0mm,0mm,0mm,0mm">
              <w:txbxContent>
                <w:p>
                  <w:pPr>
                    <w:pStyle w:val="6"/>
                    <w:spacing w:before="23"/>
                    <w:rPr>
                      <w:color w:val="000000"/>
                    </w:rPr>
                  </w:pPr>
                  <w:r>
                    <w:rPr>
                      <w:color w:val="000000"/>
                      <w:spacing w:val="-25"/>
                    </w:rPr>
                    <w:t>合同所列的“重大疾病保险金”、“中症疾病保险金”、“轻症疾病保险金”中</w:t>
                  </w:r>
                </w:p>
              </w:txbxContent>
            </v:textbox>
          </v:shape>
        </w:pict>
      </w:r>
      <w:r>
        <w:pict>
          <v:shape id="docshape32" o:spid="_x0000_s1056" o:spt="202" type="#_x0000_t202" style="position:absolute;left:0pt;margin-left:198.25pt;margin-top:16.1pt;height:14.8pt;width:348.7pt;mso-position-horizontal-relative:page;mso-wrap-distance-bottom:0pt;mso-wrap-distance-top:0pt;z-index:-251581440;mso-width-relative:page;mso-height-relative:page;" fillcolor="#C0C0C0" filled="t" stroked="f" coordsize="21600,21600">
            <v:path/>
            <v:fill on="t" focussize="0,0"/>
            <v:stroke on="f" joinstyle="miter"/>
            <v:imagedata o:title=""/>
            <o:lock v:ext="edit"/>
            <v:textbox inset="0mm,0mm,0mm,0mm">
              <w:txbxContent>
                <w:p>
                  <w:pPr>
                    <w:pStyle w:val="6"/>
                    <w:spacing w:before="22"/>
                    <w:rPr>
                      <w:color w:val="000000"/>
                    </w:rPr>
                  </w:pPr>
                  <w:r>
                    <w:rPr>
                      <w:color w:val="000000"/>
                      <w:spacing w:val="-3"/>
                    </w:rPr>
                    <w:t>若被保险人因同一疾病原因、同次医疗行为或同次意外伤害事故导致符合本</w:t>
                  </w:r>
                </w:p>
              </w:txbxContent>
            </v:textbox>
            <w10:wrap type="topAndBottom"/>
          </v:shape>
        </w:pict>
      </w:r>
    </w:p>
    <w:p>
      <w:pPr>
        <w:pStyle w:val="6"/>
        <w:spacing w:before="8"/>
      </w:pPr>
    </w:p>
    <w:p>
      <w:pPr>
        <w:pStyle w:val="10"/>
        <w:numPr>
          <w:ilvl w:val="3"/>
          <w:numId w:val="7"/>
        </w:numPr>
        <w:tabs>
          <w:tab w:val="left" w:pos="1825"/>
          <w:tab w:val="left" w:pos="1826"/>
          <w:tab w:val="left" w:pos="3385"/>
        </w:tabs>
        <w:spacing w:before="75" w:after="0" w:line="283" w:lineRule="auto"/>
        <w:ind w:left="3385" w:right="409" w:hanging="2662"/>
        <w:jc w:val="left"/>
        <w:rPr>
          <w:sz w:val="21"/>
        </w:rPr>
      </w:pPr>
      <w:r>
        <w:rPr>
          <w:spacing w:val="-2"/>
          <w:position w:val="2"/>
          <w:sz w:val="22"/>
        </w:rPr>
        <w:t>身故保险金</w:t>
      </w:r>
      <w:r>
        <w:rPr>
          <w:position w:val="2"/>
          <w:sz w:val="22"/>
        </w:rPr>
        <w:tab/>
      </w:r>
    </w:p>
    <w:p>
      <w:pPr>
        <w:pStyle w:val="10"/>
        <w:numPr>
          <w:numId w:val="0"/>
        </w:numPr>
        <w:tabs>
          <w:tab w:val="left" w:pos="1825"/>
          <w:tab w:val="left" w:pos="1826"/>
          <w:tab w:val="left" w:pos="3385"/>
        </w:tabs>
        <w:spacing w:before="75" w:after="0" w:line="283" w:lineRule="auto"/>
        <w:ind w:left="3362" w:leftChars="328" w:right="409" w:rightChars="0" w:hanging="2640" w:hangingChars="1200"/>
        <w:jc w:val="left"/>
        <w:rPr>
          <w:sz w:val="21"/>
        </w:rPr>
      </w:pPr>
      <w:r>
        <w:rPr>
          <w:rFonts w:hint="eastAsia"/>
          <w:position w:val="2"/>
          <w:sz w:val="22"/>
          <w:lang w:val="en-US" w:eastAsia="zh-CN"/>
        </w:rPr>
        <w:t xml:space="preserve">                        </w:t>
      </w:r>
      <w:r>
        <w:rPr>
          <w:spacing w:val="-2"/>
          <w:sz w:val="21"/>
        </w:rPr>
        <w:t>若被保险人因意外伤害事故导致身故</w:t>
      </w:r>
      <w:r>
        <w:rPr>
          <w:spacing w:val="-65"/>
          <w:sz w:val="21"/>
        </w:rPr>
        <w:t>，</w:t>
      </w:r>
      <w:r>
        <w:rPr>
          <w:spacing w:val="-2"/>
          <w:sz w:val="21"/>
        </w:rPr>
        <w:t>或等待期后因意外伤害事故以外的原因导致身故，我们按以下约定给付身故保险金，本合同效力终止：</w:t>
      </w:r>
    </w:p>
    <w:p>
      <w:pPr>
        <w:pStyle w:val="6"/>
        <w:spacing w:line="324" w:lineRule="exact"/>
        <w:ind w:left="3385"/>
      </w:pPr>
      <w:r>
        <w:rPr>
          <w:w w:val="95"/>
        </w:rPr>
        <w:t>1、若被保险人在</w:t>
      </w:r>
      <w:r>
        <w:rPr>
          <w:spacing w:val="34"/>
          <w:w w:val="150"/>
        </w:rPr>
        <w:t xml:space="preserve"> </w:t>
      </w:r>
      <w:r>
        <w:rPr>
          <w:w w:val="95"/>
        </w:rPr>
        <w:t>18</w:t>
      </w:r>
      <w:r>
        <w:rPr>
          <w:spacing w:val="79"/>
        </w:rPr>
        <w:t xml:space="preserve"> </w:t>
      </w:r>
      <w:r>
        <w:rPr>
          <w:rFonts w:ascii="微软雅黑" w:eastAsia="微软雅黑"/>
          <w:b/>
          <w:w w:val="95"/>
        </w:rPr>
        <w:t>周岁</w:t>
      </w:r>
      <w:r>
        <w:rPr>
          <w:rFonts w:ascii="微软雅黑" w:eastAsia="微软雅黑"/>
          <w:b/>
          <w:w w:val="95"/>
          <w:position w:val="11"/>
          <w:sz w:val="11"/>
        </w:rPr>
        <w:t>7</w:t>
      </w:r>
      <w:r>
        <w:rPr>
          <w:w w:val="95"/>
        </w:rPr>
        <w:t>前身故，我们按本合同已交纳的保险费给付身</w:t>
      </w:r>
      <w:r>
        <w:rPr>
          <w:spacing w:val="-10"/>
          <w:w w:val="95"/>
        </w:rPr>
        <w:t>故</w:t>
      </w:r>
    </w:p>
    <w:p>
      <w:pPr>
        <w:pStyle w:val="6"/>
        <w:spacing w:line="269" w:lineRule="exact"/>
        <w:ind w:left="3385"/>
      </w:pPr>
      <w:r>
        <w:rPr>
          <w:spacing w:val="-4"/>
        </w:rPr>
        <w:t>保险金。</w:t>
      </w:r>
    </w:p>
    <w:p>
      <w:pPr>
        <w:pStyle w:val="6"/>
        <w:spacing w:before="51"/>
        <w:ind w:left="3385"/>
      </w:pPr>
      <w:r>
        <w:rPr>
          <w:spacing w:val="-4"/>
        </w:rPr>
        <w:t>2</w:t>
      </w:r>
      <w:r>
        <w:rPr>
          <w:spacing w:val="-9"/>
        </w:rPr>
        <w:t xml:space="preserve">、若被保险人在 </w:t>
      </w:r>
      <w:r>
        <w:rPr>
          <w:spacing w:val="-4"/>
        </w:rPr>
        <w:t>18</w:t>
      </w:r>
      <w:r>
        <w:rPr>
          <w:spacing w:val="-16"/>
        </w:rPr>
        <w:t xml:space="preserve"> 周岁</w:t>
      </w:r>
      <w:r>
        <w:rPr>
          <w:spacing w:val="-4"/>
        </w:rPr>
        <w:t>（含）</w:t>
      </w:r>
      <w:r>
        <w:rPr>
          <w:spacing w:val="-5"/>
        </w:rPr>
        <w:t>后身故，我们按本合同的基本保险金额给付</w:t>
      </w:r>
    </w:p>
    <w:p>
      <w:pPr>
        <w:pStyle w:val="6"/>
        <w:spacing w:before="5"/>
      </w:pPr>
      <w:r>
        <w:drawing>
          <wp:anchor distT="0" distB="0" distL="0" distR="0" simplePos="0" relativeHeight="251659264" behindDoc="0" locked="0" layoutInCell="1" allowOverlap="1">
            <wp:simplePos x="0" y="0"/>
            <wp:positionH relativeFrom="page">
              <wp:posOffset>827405</wp:posOffset>
            </wp:positionH>
            <wp:positionV relativeFrom="paragraph">
              <wp:posOffset>189230</wp:posOffset>
            </wp:positionV>
            <wp:extent cx="1829435" cy="6350"/>
            <wp:effectExtent l="0" t="0" r="0" b="0"/>
            <wp:wrapTopAndBottom/>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a:picLocks noChangeAspect="1"/>
                    </pic:cNvPicPr>
                  </pic:nvPicPr>
                  <pic:blipFill>
                    <a:blip r:embed="rId26" cstate="print"/>
                    <a:stretch>
                      <a:fillRect/>
                    </a:stretch>
                  </pic:blipFill>
                  <pic:spPr>
                    <a:xfrm>
                      <a:off x="0" y="0"/>
                      <a:ext cx="1829511" cy="6096"/>
                    </a:xfrm>
                    <a:prstGeom prst="rect">
                      <a:avLst/>
                    </a:prstGeom>
                  </pic:spPr>
                </pic:pic>
              </a:graphicData>
            </a:graphic>
          </wp:anchor>
        </w:drawing>
      </w:r>
    </w:p>
    <w:p>
      <w:pPr>
        <w:spacing w:before="71" w:line="206" w:lineRule="auto"/>
        <w:ind w:left="723" w:right="429" w:firstLine="0"/>
        <w:jc w:val="left"/>
        <w:rPr>
          <w:sz w:val="18"/>
        </w:rPr>
      </w:pPr>
      <w:r>
        <w:rPr>
          <w:rFonts w:ascii="Times New Roman" w:eastAsia="Times New Roman"/>
          <w:sz w:val="18"/>
          <w:vertAlign w:val="superscript"/>
        </w:rPr>
        <w:t>7</w:t>
      </w:r>
      <w:r>
        <w:rPr>
          <w:rFonts w:ascii="Times New Roman" w:eastAsia="Times New Roman"/>
          <w:spacing w:val="14"/>
          <w:sz w:val="18"/>
          <w:vertAlign w:val="baseline"/>
        </w:rPr>
        <w:t xml:space="preserve"> </w:t>
      </w:r>
      <w:r>
        <w:rPr>
          <w:rFonts w:ascii="微软雅黑" w:eastAsia="微软雅黑"/>
          <w:b/>
          <w:sz w:val="18"/>
          <w:vertAlign w:val="baseline"/>
        </w:rPr>
        <w:t>周岁：</w:t>
      </w:r>
      <w:r>
        <w:rPr>
          <w:sz w:val="18"/>
          <w:vertAlign w:val="baseline"/>
        </w:rPr>
        <w:t>以法定身份证明文件中记载的出生日期为基础计算的年龄，自出生之日起为零周岁，每经过一年增加一周岁，不</w:t>
      </w:r>
      <w:r>
        <w:rPr>
          <w:spacing w:val="-2"/>
          <w:sz w:val="18"/>
          <w:vertAlign w:val="baseline"/>
        </w:rPr>
        <w:t>足一年的不计。</w:t>
      </w:r>
    </w:p>
    <w:p>
      <w:pPr>
        <w:spacing w:after="0" w:line="206" w:lineRule="auto"/>
        <w:jc w:val="left"/>
        <w:rPr>
          <w:sz w:val="18"/>
        </w:rPr>
        <w:sectPr>
          <w:type w:val="continuous"/>
          <w:pgSz w:w="11910" w:h="16840"/>
          <w:pgMar w:top="280" w:right="660" w:bottom="280"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69"/>
        <w:gridCol w:w="1593"/>
        <w:gridCol w:w="71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8" w:hRule="atLeast"/>
        </w:trPr>
        <w:tc>
          <w:tcPr>
            <w:tcW w:w="2562" w:type="dxa"/>
            <w:gridSpan w:val="2"/>
          </w:tcPr>
          <w:p>
            <w:pPr>
              <w:pStyle w:val="11"/>
              <w:rPr>
                <w:rFonts w:ascii="Times New Roman"/>
                <w:sz w:val="20"/>
              </w:rPr>
            </w:pPr>
          </w:p>
        </w:tc>
        <w:tc>
          <w:tcPr>
            <w:tcW w:w="7135" w:type="dxa"/>
          </w:tcPr>
          <w:p>
            <w:pPr>
              <w:pStyle w:val="11"/>
              <w:spacing w:line="235" w:lineRule="exact"/>
              <w:ind w:left="149"/>
              <w:rPr>
                <w:sz w:val="21"/>
              </w:rPr>
            </w:pPr>
            <w:r>
              <w:rPr>
                <w:spacing w:val="-4"/>
                <w:sz w:val="21"/>
              </w:rPr>
              <w:t>身故保险金。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969" w:type="dxa"/>
          </w:tcPr>
          <w:p>
            <w:pPr>
              <w:pStyle w:val="11"/>
              <w:spacing w:before="162"/>
              <w:ind w:left="50"/>
              <w:rPr>
                <w:sz w:val="22"/>
              </w:rPr>
            </w:pPr>
            <w:r>
              <w:rPr>
                <w:spacing w:val="-2"/>
                <w:sz w:val="22"/>
              </w:rPr>
              <w:t>1.1.3</w:t>
            </w:r>
          </w:p>
        </w:tc>
        <w:tc>
          <w:tcPr>
            <w:tcW w:w="1593" w:type="dxa"/>
          </w:tcPr>
          <w:p>
            <w:pPr>
              <w:pStyle w:val="11"/>
              <w:spacing w:before="162"/>
              <w:ind w:left="182"/>
              <w:rPr>
                <w:sz w:val="22"/>
              </w:rPr>
            </w:pPr>
            <w:r>
              <w:rPr>
                <w:w w:val="95"/>
                <w:sz w:val="22"/>
              </w:rPr>
              <w:t>可选</w:t>
            </w:r>
            <w:r>
              <w:rPr>
                <w:spacing w:val="-5"/>
                <w:w w:val="95"/>
                <w:sz w:val="22"/>
              </w:rPr>
              <w:t>责任</w:t>
            </w:r>
          </w:p>
        </w:tc>
        <w:tc>
          <w:tcPr>
            <w:tcW w:w="7135" w:type="dxa"/>
          </w:tcPr>
          <w:p>
            <w:pPr>
              <w:pStyle w:val="11"/>
              <w:spacing w:before="172"/>
              <w:ind w:left="149"/>
              <w:rPr>
                <w:sz w:val="21"/>
              </w:rPr>
            </w:pPr>
            <w:r>
              <w:rPr>
                <w:spacing w:val="-3"/>
                <w:sz w:val="21"/>
              </w:rPr>
              <w:t>本合同的可选责任是在已投保基本责任的前提下可选择的责任，可选责任由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trPr>
        <w:tc>
          <w:tcPr>
            <w:tcW w:w="969" w:type="dxa"/>
          </w:tcPr>
          <w:p>
            <w:pPr>
              <w:pStyle w:val="11"/>
              <w:rPr>
                <w:rFonts w:ascii="Times New Roman"/>
                <w:sz w:val="20"/>
              </w:rPr>
            </w:pPr>
          </w:p>
        </w:tc>
        <w:tc>
          <w:tcPr>
            <w:tcW w:w="1593" w:type="dxa"/>
          </w:tcPr>
          <w:p>
            <w:pPr>
              <w:pStyle w:val="11"/>
              <w:rPr>
                <w:rFonts w:ascii="Times New Roman"/>
                <w:sz w:val="20"/>
              </w:rPr>
            </w:pPr>
          </w:p>
        </w:tc>
        <w:tc>
          <w:tcPr>
            <w:tcW w:w="7135" w:type="dxa"/>
          </w:tcPr>
          <w:p>
            <w:pPr>
              <w:pStyle w:val="11"/>
              <w:spacing w:before="15"/>
              <w:ind w:left="149"/>
              <w:rPr>
                <w:sz w:val="21"/>
              </w:rPr>
            </w:pPr>
            <w:r>
              <w:rPr>
                <w:spacing w:val="-3"/>
                <w:sz w:val="21"/>
              </w:rPr>
              <w:t>投保人在投保时与我们约定，并在保险单上载明。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969" w:type="dxa"/>
          </w:tcPr>
          <w:p>
            <w:pPr>
              <w:pStyle w:val="11"/>
              <w:rPr>
                <w:rFonts w:ascii="Times New Roman"/>
                <w:sz w:val="20"/>
              </w:rPr>
            </w:pPr>
          </w:p>
        </w:tc>
        <w:tc>
          <w:tcPr>
            <w:tcW w:w="1593" w:type="dxa"/>
          </w:tcPr>
          <w:p>
            <w:pPr>
              <w:pStyle w:val="11"/>
              <w:rPr>
                <w:rFonts w:ascii="Times New Roman"/>
                <w:sz w:val="20"/>
              </w:rPr>
            </w:pPr>
          </w:p>
        </w:tc>
        <w:tc>
          <w:tcPr>
            <w:tcW w:w="7135" w:type="dxa"/>
          </w:tcPr>
          <w:p>
            <w:pPr>
              <w:pStyle w:val="11"/>
              <w:spacing w:before="29"/>
              <w:ind w:left="149"/>
              <w:rPr>
                <w:sz w:val="21"/>
              </w:rPr>
            </w:pPr>
            <w:r>
              <w:rPr>
                <w:spacing w:val="-15"/>
                <w:sz w:val="21"/>
              </w:rPr>
              <w:t>本合同的可选责任包括“可选方案一”、“可选方案二”两项。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6" w:hRule="atLeast"/>
        </w:trPr>
        <w:tc>
          <w:tcPr>
            <w:tcW w:w="969" w:type="dxa"/>
          </w:tcPr>
          <w:p>
            <w:pPr>
              <w:pStyle w:val="11"/>
              <w:spacing w:before="159"/>
              <w:ind w:left="50"/>
              <w:rPr>
                <w:sz w:val="22"/>
              </w:rPr>
            </w:pPr>
            <w:r>
              <w:rPr>
                <w:spacing w:val="-2"/>
                <w:sz w:val="22"/>
              </w:rPr>
              <w:t>1.1.3.1</w:t>
            </w:r>
          </w:p>
        </w:tc>
        <w:tc>
          <w:tcPr>
            <w:tcW w:w="1593" w:type="dxa"/>
          </w:tcPr>
          <w:p>
            <w:pPr>
              <w:pStyle w:val="11"/>
              <w:spacing w:before="159"/>
              <w:ind w:left="182"/>
              <w:rPr>
                <w:sz w:val="22"/>
              </w:rPr>
            </w:pPr>
            <w:r>
              <w:rPr>
                <w:w w:val="95"/>
                <w:sz w:val="22"/>
              </w:rPr>
              <w:t>可选方案</w:t>
            </w:r>
            <w:r>
              <w:rPr>
                <w:spacing w:val="-10"/>
                <w:w w:val="95"/>
                <w:sz w:val="22"/>
              </w:rPr>
              <w:t>一</w:t>
            </w:r>
          </w:p>
        </w:tc>
        <w:tc>
          <w:tcPr>
            <w:tcW w:w="7135" w:type="dxa"/>
          </w:tcPr>
          <w:p>
            <w:pPr>
              <w:pStyle w:val="11"/>
              <w:spacing w:before="3"/>
              <w:rPr>
                <w:sz w:val="15"/>
              </w:rPr>
            </w:pPr>
          </w:p>
          <w:p>
            <w:pPr>
              <w:pStyle w:val="11"/>
              <w:ind w:left="149"/>
              <w:rPr>
                <w:sz w:val="21"/>
              </w:rPr>
            </w:pPr>
            <w:r>
              <w:rPr>
                <w:spacing w:val="-3"/>
                <w:sz w:val="21"/>
              </w:rPr>
              <w:t>本可选方案为“第二次重大疾病保险金”保险责任。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8" w:hRule="atLeast"/>
        </w:trPr>
        <w:tc>
          <w:tcPr>
            <w:tcW w:w="969" w:type="dxa"/>
          </w:tcPr>
          <w:p>
            <w:pPr>
              <w:pStyle w:val="11"/>
              <w:rPr>
                <w:rFonts w:ascii="Times New Roman"/>
                <w:sz w:val="20"/>
              </w:rPr>
            </w:pPr>
          </w:p>
        </w:tc>
        <w:tc>
          <w:tcPr>
            <w:tcW w:w="1593" w:type="dxa"/>
          </w:tcPr>
          <w:p>
            <w:pPr>
              <w:pStyle w:val="11"/>
              <w:spacing w:before="161" w:line="266" w:lineRule="auto"/>
              <w:ind w:left="182" w:right="145"/>
              <w:rPr>
                <w:sz w:val="22"/>
              </w:rPr>
            </w:pPr>
            <w:r>
              <w:rPr>
                <w:spacing w:val="-2"/>
                <w:w w:val="95"/>
                <w:sz w:val="22"/>
              </w:rPr>
              <w:t>第二次重大疾</w:t>
            </w:r>
            <w:r>
              <w:rPr>
                <w:spacing w:val="-4"/>
                <w:sz w:val="22"/>
              </w:rPr>
              <w:t>病保险金</w:t>
            </w:r>
          </w:p>
        </w:tc>
        <w:tc>
          <w:tcPr>
            <w:tcW w:w="7135" w:type="dxa"/>
          </w:tcPr>
          <w:p>
            <w:pPr>
              <w:pStyle w:val="11"/>
              <w:spacing w:before="146" w:line="320" w:lineRule="atLeast"/>
              <w:ind w:left="149" w:right="110"/>
              <w:rPr>
                <w:sz w:val="21"/>
              </w:rPr>
            </w:pPr>
            <w:r>
              <w:rPr>
                <w:spacing w:val="-2"/>
                <w:sz w:val="21"/>
              </w:rPr>
              <w:t>在我们已按本合同的约定给付“1.1.2.1</w:t>
            </w:r>
            <w:r>
              <w:rPr>
                <w:spacing w:val="-9"/>
                <w:sz w:val="21"/>
              </w:rPr>
              <w:t xml:space="preserve"> 重大疾病保险金”的情况下，若被</w:t>
            </w:r>
            <w:r>
              <w:rPr>
                <w:spacing w:val="-5"/>
                <w:sz w:val="21"/>
              </w:rPr>
              <w:t xml:space="preserve">保险人自第一次重大疾病确诊 </w:t>
            </w:r>
            <w:r>
              <w:rPr>
                <w:spacing w:val="-2"/>
                <w:sz w:val="21"/>
              </w:rPr>
              <w:t>365</w:t>
            </w:r>
            <w:r>
              <w:rPr>
                <w:spacing w:val="-13"/>
                <w:sz w:val="21"/>
              </w:rPr>
              <w:t xml:space="preserve"> 天以后发生意外伤害事故或疾病，并因此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969" w:type="dxa"/>
          </w:tcPr>
          <w:p>
            <w:pPr>
              <w:pStyle w:val="11"/>
              <w:rPr>
                <w:rFonts w:ascii="Times New Roman"/>
                <w:sz w:val="20"/>
              </w:rPr>
            </w:pPr>
          </w:p>
        </w:tc>
        <w:tc>
          <w:tcPr>
            <w:tcW w:w="1593" w:type="dxa"/>
          </w:tcPr>
          <w:p>
            <w:pPr>
              <w:pStyle w:val="11"/>
              <w:rPr>
                <w:rFonts w:ascii="Times New Roman"/>
                <w:sz w:val="20"/>
              </w:rPr>
            </w:pPr>
          </w:p>
        </w:tc>
        <w:tc>
          <w:tcPr>
            <w:tcW w:w="7135" w:type="dxa"/>
          </w:tcPr>
          <w:p>
            <w:pPr>
              <w:pStyle w:val="11"/>
              <w:spacing w:before="20"/>
              <w:ind w:left="149"/>
              <w:rPr>
                <w:sz w:val="21"/>
              </w:rPr>
            </w:pPr>
            <w:r>
              <w:rPr>
                <w:spacing w:val="-1"/>
                <w:sz w:val="21"/>
              </w:rPr>
              <w:t>导致我们指定的医院确诊初次患与第一次确诊的重大疾病不同种类的其他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969" w:type="dxa"/>
          </w:tcPr>
          <w:p>
            <w:pPr>
              <w:pStyle w:val="11"/>
              <w:rPr>
                <w:rFonts w:ascii="Times New Roman"/>
                <w:sz w:val="20"/>
              </w:rPr>
            </w:pPr>
          </w:p>
        </w:tc>
        <w:tc>
          <w:tcPr>
            <w:tcW w:w="1593" w:type="dxa"/>
          </w:tcPr>
          <w:p>
            <w:pPr>
              <w:pStyle w:val="11"/>
              <w:rPr>
                <w:rFonts w:ascii="Times New Roman"/>
                <w:sz w:val="20"/>
              </w:rPr>
            </w:pPr>
          </w:p>
        </w:tc>
        <w:tc>
          <w:tcPr>
            <w:tcW w:w="7135" w:type="dxa"/>
          </w:tcPr>
          <w:p>
            <w:pPr>
              <w:pStyle w:val="11"/>
              <w:spacing w:before="20"/>
              <w:ind w:left="149"/>
              <w:rPr>
                <w:sz w:val="21"/>
              </w:rPr>
            </w:pPr>
            <w:r>
              <w:rPr>
                <w:sz w:val="21"/>
              </w:rPr>
              <w:t>重大疾病（无论一种或多种</w:t>
            </w:r>
            <w:r>
              <w:rPr>
                <w:spacing w:val="-106"/>
                <w:sz w:val="21"/>
              </w:rPr>
              <w:t>）</w:t>
            </w:r>
            <w:r>
              <w:rPr>
                <w:spacing w:val="-1"/>
                <w:sz w:val="21"/>
              </w:rPr>
              <w:t>，我们将按本合同的基本保险金额给付第二次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8" w:hRule="atLeast"/>
        </w:trPr>
        <w:tc>
          <w:tcPr>
            <w:tcW w:w="969" w:type="dxa"/>
          </w:tcPr>
          <w:p>
            <w:pPr>
              <w:pStyle w:val="11"/>
              <w:rPr>
                <w:rFonts w:ascii="Times New Roman"/>
                <w:sz w:val="20"/>
              </w:rPr>
            </w:pPr>
          </w:p>
        </w:tc>
        <w:tc>
          <w:tcPr>
            <w:tcW w:w="1593" w:type="dxa"/>
          </w:tcPr>
          <w:p>
            <w:pPr>
              <w:pStyle w:val="11"/>
              <w:rPr>
                <w:rFonts w:ascii="Times New Roman"/>
                <w:sz w:val="20"/>
              </w:rPr>
            </w:pPr>
          </w:p>
        </w:tc>
        <w:tc>
          <w:tcPr>
            <w:tcW w:w="7135" w:type="dxa"/>
          </w:tcPr>
          <w:p>
            <w:pPr>
              <w:pStyle w:val="11"/>
              <w:spacing w:before="21"/>
              <w:ind w:left="149"/>
              <w:rPr>
                <w:sz w:val="21"/>
              </w:rPr>
            </w:pPr>
            <w:r>
              <w:rPr>
                <w:spacing w:val="-3"/>
                <w:sz w:val="21"/>
              </w:rPr>
              <w:t>重大疾病保险金，本项责任终止。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trPr>
        <w:tc>
          <w:tcPr>
            <w:tcW w:w="969" w:type="dxa"/>
          </w:tcPr>
          <w:p>
            <w:pPr>
              <w:pStyle w:val="11"/>
              <w:spacing w:before="158"/>
              <w:ind w:left="50"/>
              <w:rPr>
                <w:sz w:val="22"/>
              </w:rPr>
            </w:pPr>
            <w:r>
              <w:rPr>
                <w:spacing w:val="-2"/>
                <w:sz w:val="22"/>
              </w:rPr>
              <w:t>1.1.3.2</w:t>
            </w:r>
          </w:p>
        </w:tc>
        <w:tc>
          <w:tcPr>
            <w:tcW w:w="1593" w:type="dxa"/>
          </w:tcPr>
          <w:p>
            <w:pPr>
              <w:pStyle w:val="11"/>
              <w:spacing w:before="158"/>
              <w:ind w:left="182"/>
              <w:rPr>
                <w:sz w:val="22"/>
              </w:rPr>
            </w:pPr>
            <w:r>
              <w:rPr>
                <w:w w:val="95"/>
                <w:sz w:val="22"/>
              </w:rPr>
              <w:t>可选</w:t>
            </w:r>
            <w:r>
              <w:rPr>
                <w:spacing w:val="-4"/>
                <w:w w:val="95"/>
                <w:sz w:val="22"/>
              </w:rPr>
              <w:t>方案二</w:t>
            </w:r>
          </w:p>
        </w:tc>
        <w:tc>
          <w:tcPr>
            <w:tcW w:w="7135" w:type="dxa"/>
          </w:tcPr>
          <w:p>
            <w:pPr>
              <w:pStyle w:val="11"/>
              <w:spacing w:before="168"/>
              <w:ind w:left="149"/>
              <w:rPr>
                <w:sz w:val="21"/>
              </w:rPr>
            </w:pPr>
            <w:r>
              <w:rPr>
                <w:spacing w:val="-3"/>
                <w:sz w:val="21"/>
              </w:rPr>
              <w:t>本可选方案同时包括第二次“恶性肿瘤——重度”保险金、第二次“心脑血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2562" w:type="dxa"/>
            <w:gridSpan w:val="2"/>
            <w:vMerge w:val="restart"/>
          </w:tcPr>
          <w:p>
            <w:pPr>
              <w:pStyle w:val="11"/>
              <w:rPr>
                <w:rFonts w:ascii="Times New Roman"/>
                <w:sz w:val="20"/>
              </w:rPr>
            </w:pPr>
          </w:p>
        </w:tc>
        <w:tc>
          <w:tcPr>
            <w:tcW w:w="7135" w:type="dxa"/>
          </w:tcPr>
          <w:p>
            <w:pPr>
              <w:pStyle w:val="11"/>
              <w:spacing w:before="15"/>
              <w:ind w:left="149"/>
              <w:rPr>
                <w:sz w:val="21"/>
              </w:rPr>
            </w:pPr>
            <w:r>
              <w:rPr>
                <w:spacing w:val="-3"/>
                <w:sz w:val="21"/>
              </w:rPr>
              <w:t>管特定疾病”保险金两项保险责任。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trPr>
        <w:tc>
          <w:tcPr>
            <w:tcW w:w="2562" w:type="dxa"/>
            <w:gridSpan w:val="2"/>
            <w:vMerge w:val="continue"/>
            <w:tcBorders>
              <w:top w:val="nil"/>
            </w:tcBorders>
          </w:tcPr>
          <w:p>
            <w:pPr>
              <w:rPr>
                <w:sz w:val="2"/>
                <w:szCs w:val="2"/>
              </w:rPr>
            </w:pPr>
          </w:p>
        </w:tc>
        <w:tc>
          <w:tcPr>
            <w:tcW w:w="7135" w:type="dxa"/>
          </w:tcPr>
          <w:p>
            <w:pPr>
              <w:pStyle w:val="11"/>
              <w:spacing w:before="180"/>
              <w:ind w:left="149"/>
              <w:rPr>
                <w:sz w:val="22"/>
              </w:rPr>
            </w:pPr>
            <w:r>
              <w:rPr>
                <w:w w:val="95"/>
                <w:sz w:val="22"/>
              </w:rPr>
              <w:t>1、第二次“恶性肿瘤——重度</w:t>
            </w:r>
            <w:r>
              <w:rPr>
                <w:spacing w:val="-3"/>
                <w:w w:val="95"/>
                <w:sz w:val="22"/>
              </w:rPr>
              <w:t>”保险金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562" w:type="dxa"/>
            <w:gridSpan w:val="2"/>
            <w:vMerge w:val="continue"/>
            <w:tcBorders>
              <w:top w:val="nil"/>
            </w:tcBorders>
          </w:tcPr>
          <w:p>
            <w:pPr>
              <w:rPr>
                <w:sz w:val="2"/>
                <w:szCs w:val="2"/>
              </w:rPr>
            </w:pPr>
          </w:p>
        </w:tc>
        <w:tc>
          <w:tcPr>
            <w:tcW w:w="7135" w:type="dxa"/>
          </w:tcPr>
          <w:p>
            <w:pPr>
              <w:pStyle w:val="11"/>
              <w:spacing w:before="19"/>
              <w:ind w:left="149"/>
              <w:rPr>
                <w:sz w:val="21"/>
              </w:rPr>
            </w:pPr>
            <w:r>
              <w:rPr>
                <w:spacing w:val="-6"/>
                <w:sz w:val="21"/>
              </w:rPr>
              <w:t>若被保险人等待期后在我们指定的医院确诊初次患本合同定义的“恶性肿瘤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562" w:type="dxa"/>
            <w:gridSpan w:val="2"/>
            <w:vMerge w:val="continue"/>
            <w:tcBorders>
              <w:top w:val="nil"/>
            </w:tcBorders>
          </w:tcPr>
          <w:p>
            <w:pPr>
              <w:rPr>
                <w:sz w:val="2"/>
                <w:szCs w:val="2"/>
              </w:rPr>
            </w:pPr>
          </w:p>
        </w:tc>
        <w:tc>
          <w:tcPr>
            <w:tcW w:w="7135" w:type="dxa"/>
          </w:tcPr>
          <w:p>
            <w:pPr>
              <w:pStyle w:val="11"/>
              <w:spacing w:before="21"/>
              <w:ind w:left="149"/>
              <w:rPr>
                <w:sz w:val="21"/>
              </w:rPr>
            </w:pPr>
            <w:r>
              <w:rPr>
                <w:spacing w:val="-15"/>
                <w:sz w:val="21"/>
              </w:rPr>
              <w:t>——重度”</w:t>
            </w:r>
            <w:r>
              <w:rPr>
                <w:spacing w:val="49"/>
                <w:sz w:val="21"/>
              </w:rPr>
              <w:t>（</w:t>
            </w:r>
            <w:r>
              <w:rPr>
                <w:spacing w:val="-4"/>
                <w:sz w:val="21"/>
              </w:rPr>
              <w:t>无论一种或多种</w:t>
            </w:r>
            <w:r>
              <w:rPr>
                <w:spacing w:val="-59"/>
                <w:sz w:val="21"/>
              </w:rPr>
              <w:t>）</w:t>
            </w:r>
            <w:r>
              <w:rPr>
                <w:spacing w:val="-4"/>
                <w:sz w:val="21"/>
              </w:rPr>
              <w:t>，且针对该疾病我们已根据本合同 1.1.2.1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562" w:type="dxa"/>
            <w:gridSpan w:val="2"/>
            <w:vMerge w:val="continue"/>
            <w:tcBorders>
              <w:top w:val="nil"/>
            </w:tcBorders>
          </w:tcPr>
          <w:p>
            <w:pPr>
              <w:rPr>
                <w:sz w:val="2"/>
                <w:szCs w:val="2"/>
              </w:rPr>
            </w:pPr>
          </w:p>
        </w:tc>
        <w:tc>
          <w:tcPr>
            <w:tcW w:w="7135" w:type="dxa"/>
          </w:tcPr>
          <w:p>
            <w:pPr>
              <w:pStyle w:val="11"/>
              <w:spacing w:before="20"/>
              <w:ind w:left="149"/>
              <w:rPr>
                <w:sz w:val="21"/>
              </w:rPr>
            </w:pPr>
            <w:r>
              <w:rPr>
                <w:spacing w:val="-12"/>
                <w:sz w:val="21"/>
              </w:rPr>
              <w:t xml:space="preserve">的约定给付“重大疾病保险金”，或我们已根据本合同 </w:t>
            </w:r>
            <w:r>
              <w:rPr>
                <w:spacing w:val="-2"/>
                <w:sz w:val="21"/>
              </w:rPr>
              <w:t>1.1.3.1</w:t>
            </w:r>
            <w:r>
              <w:rPr>
                <w:spacing w:val="-11"/>
                <w:sz w:val="21"/>
              </w:rPr>
              <w:t xml:space="preserve"> 的约定给付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562" w:type="dxa"/>
            <w:gridSpan w:val="2"/>
            <w:vMerge w:val="continue"/>
            <w:tcBorders>
              <w:top w:val="nil"/>
            </w:tcBorders>
          </w:tcPr>
          <w:p>
            <w:pPr>
              <w:rPr>
                <w:sz w:val="2"/>
                <w:szCs w:val="2"/>
              </w:rPr>
            </w:pPr>
          </w:p>
        </w:tc>
        <w:tc>
          <w:tcPr>
            <w:tcW w:w="7135" w:type="dxa"/>
          </w:tcPr>
          <w:p>
            <w:pPr>
              <w:pStyle w:val="11"/>
              <w:spacing w:before="20"/>
              <w:ind w:left="149"/>
              <w:rPr>
                <w:sz w:val="21"/>
              </w:rPr>
            </w:pPr>
            <w:r>
              <w:rPr>
                <w:spacing w:val="-2"/>
                <w:sz w:val="21"/>
              </w:rPr>
              <w:t>“第二次重大疾病保险金</w:t>
            </w:r>
            <w:r>
              <w:rPr>
                <w:spacing w:val="-140"/>
                <w:sz w:val="21"/>
              </w:rPr>
              <w:t>”</w:t>
            </w:r>
            <w:r>
              <w:rPr>
                <w:sz w:val="21"/>
              </w:rPr>
              <w:t>（</w:t>
            </w:r>
            <w:r>
              <w:rPr>
                <w:spacing w:val="-2"/>
                <w:sz w:val="21"/>
              </w:rPr>
              <w:t>若投保人在投保时选择投保可选方案一</w:t>
            </w:r>
            <w:r>
              <w:rPr>
                <w:spacing w:val="-70"/>
                <w:sz w:val="21"/>
              </w:rPr>
              <w:t>）</w:t>
            </w:r>
            <w:r>
              <w:rPr>
                <w:spacing w:val="-28"/>
                <w:sz w:val="21"/>
              </w:rPr>
              <w:t>，则自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562" w:type="dxa"/>
            <w:gridSpan w:val="2"/>
            <w:vMerge w:val="continue"/>
            <w:tcBorders>
              <w:top w:val="nil"/>
            </w:tcBorders>
          </w:tcPr>
          <w:p>
            <w:pPr>
              <w:rPr>
                <w:sz w:val="2"/>
                <w:szCs w:val="2"/>
              </w:rPr>
            </w:pPr>
          </w:p>
        </w:tc>
        <w:tc>
          <w:tcPr>
            <w:tcW w:w="7135" w:type="dxa"/>
          </w:tcPr>
          <w:p>
            <w:pPr>
              <w:pStyle w:val="11"/>
              <w:spacing w:before="21"/>
              <w:ind w:left="149"/>
              <w:rPr>
                <w:sz w:val="21"/>
              </w:rPr>
            </w:pPr>
            <w:r>
              <w:rPr>
                <w:spacing w:val="-5"/>
                <w:sz w:val="21"/>
              </w:rPr>
              <w:t>“恶性肿瘤——重度”确诊之日起三年后，在我们指定的医院再次确诊发生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562" w:type="dxa"/>
            <w:gridSpan w:val="2"/>
            <w:vMerge w:val="continue"/>
            <w:tcBorders>
              <w:top w:val="nil"/>
            </w:tcBorders>
          </w:tcPr>
          <w:p>
            <w:pPr>
              <w:rPr>
                <w:sz w:val="2"/>
                <w:szCs w:val="2"/>
              </w:rPr>
            </w:pPr>
          </w:p>
        </w:tc>
        <w:tc>
          <w:tcPr>
            <w:tcW w:w="7135" w:type="dxa"/>
          </w:tcPr>
          <w:p>
            <w:pPr>
              <w:pStyle w:val="11"/>
              <w:spacing w:before="20"/>
              <w:ind w:left="149"/>
              <w:rPr>
                <w:sz w:val="21"/>
              </w:rPr>
            </w:pPr>
            <w:r>
              <w:rPr>
                <w:spacing w:val="-4"/>
                <w:sz w:val="21"/>
              </w:rPr>
              <w:t>本合同定义的“恶性肿瘤——重度”（无论一种或多种）</w:t>
            </w:r>
            <w:r>
              <w:rPr>
                <w:spacing w:val="-5"/>
                <w:sz w:val="21"/>
              </w:rPr>
              <w:t>，我们按本合同的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562" w:type="dxa"/>
            <w:gridSpan w:val="2"/>
            <w:vMerge w:val="continue"/>
            <w:tcBorders>
              <w:top w:val="nil"/>
            </w:tcBorders>
          </w:tcPr>
          <w:p>
            <w:pPr>
              <w:rPr>
                <w:sz w:val="2"/>
                <w:szCs w:val="2"/>
              </w:rPr>
            </w:pPr>
          </w:p>
        </w:tc>
        <w:tc>
          <w:tcPr>
            <w:tcW w:w="7135" w:type="dxa"/>
          </w:tcPr>
          <w:p>
            <w:pPr>
              <w:pStyle w:val="11"/>
              <w:spacing w:before="20"/>
              <w:ind w:left="149"/>
              <w:rPr>
                <w:sz w:val="21"/>
              </w:rPr>
            </w:pPr>
            <w:r>
              <w:rPr>
                <w:spacing w:val="-5"/>
                <w:sz w:val="21"/>
              </w:rPr>
              <w:t>基本保险金额给付第二次“恶性肿瘤——重度”保险金，本项第二次“恶性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562" w:type="dxa"/>
            <w:gridSpan w:val="2"/>
            <w:vMerge w:val="continue"/>
            <w:tcBorders>
              <w:top w:val="nil"/>
            </w:tcBorders>
          </w:tcPr>
          <w:p>
            <w:pPr>
              <w:rPr>
                <w:sz w:val="2"/>
                <w:szCs w:val="2"/>
              </w:rPr>
            </w:pPr>
          </w:p>
        </w:tc>
        <w:tc>
          <w:tcPr>
            <w:tcW w:w="7135" w:type="dxa"/>
          </w:tcPr>
          <w:p>
            <w:pPr>
              <w:pStyle w:val="11"/>
              <w:spacing w:before="21"/>
              <w:ind w:left="149"/>
              <w:rPr>
                <w:sz w:val="21"/>
              </w:rPr>
            </w:pPr>
            <w:r>
              <w:rPr>
                <w:spacing w:val="-1"/>
                <w:sz w:val="21"/>
              </w:rPr>
              <w:t>肿瘤——重度”保险金责任终止。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562" w:type="dxa"/>
            <w:gridSpan w:val="2"/>
            <w:vMerge w:val="continue"/>
            <w:tcBorders>
              <w:top w:val="nil"/>
            </w:tcBorders>
          </w:tcPr>
          <w:p>
            <w:pPr>
              <w:rPr>
                <w:sz w:val="2"/>
                <w:szCs w:val="2"/>
              </w:rPr>
            </w:pPr>
          </w:p>
        </w:tc>
        <w:tc>
          <w:tcPr>
            <w:tcW w:w="7135" w:type="dxa"/>
          </w:tcPr>
          <w:p>
            <w:pPr>
              <w:pStyle w:val="11"/>
              <w:spacing w:before="20"/>
              <w:ind w:left="149"/>
              <w:rPr>
                <w:sz w:val="21"/>
              </w:rPr>
            </w:pPr>
            <w:r>
              <w:rPr>
                <w:spacing w:val="-6"/>
                <w:sz w:val="21"/>
              </w:rPr>
              <w:t>若被保险人第一次重大疾病及第二次重大疾病</w:t>
            </w:r>
            <w:r>
              <w:rPr>
                <w:spacing w:val="-2"/>
                <w:sz w:val="21"/>
              </w:rPr>
              <w:t>（</w:t>
            </w:r>
            <w:r>
              <w:rPr>
                <w:spacing w:val="-3"/>
                <w:sz w:val="21"/>
              </w:rPr>
              <w:t>若投保人在投保时选择投保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562" w:type="dxa"/>
            <w:gridSpan w:val="2"/>
            <w:vMerge w:val="continue"/>
            <w:tcBorders>
              <w:top w:val="nil"/>
            </w:tcBorders>
          </w:tcPr>
          <w:p>
            <w:pPr>
              <w:rPr>
                <w:sz w:val="2"/>
                <w:szCs w:val="2"/>
              </w:rPr>
            </w:pPr>
          </w:p>
        </w:tc>
        <w:tc>
          <w:tcPr>
            <w:tcW w:w="7135" w:type="dxa"/>
          </w:tcPr>
          <w:p>
            <w:pPr>
              <w:pStyle w:val="11"/>
              <w:spacing w:before="20"/>
              <w:ind w:left="149"/>
              <w:rPr>
                <w:sz w:val="21"/>
              </w:rPr>
            </w:pPr>
            <w:r>
              <w:rPr>
                <w:spacing w:val="-4"/>
                <w:sz w:val="21"/>
              </w:rPr>
              <w:t>可选方案一）</w:t>
            </w:r>
            <w:r>
              <w:rPr>
                <w:spacing w:val="-5"/>
                <w:sz w:val="21"/>
              </w:rPr>
              <w:t>均确诊患除本合同约定的“恶性肿瘤——重度”之外的其他重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6" w:hRule="atLeast"/>
        </w:trPr>
        <w:tc>
          <w:tcPr>
            <w:tcW w:w="2562" w:type="dxa"/>
            <w:gridSpan w:val="2"/>
            <w:vMerge w:val="continue"/>
            <w:tcBorders>
              <w:top w:val="nil"/>
            </w:tcBorders>
          </w:tcPr>
          <w:p>
            <w:pPr>
              <w:rPr>
                <w:sz w:val="2"/>
                <w:szCs w:val="2"/>
              </w:rPr>
            </w:pPr>
          </w:p>
        </w:tc>
        <w:tc>
          <w:tcPr>
            <w:tcW w:w="7135" w:type="dxa"/>
          </w:tcPr>
          <w:p>
            <w:pPr>
              <w:pStyle w:val="11"/>
              <w:spacing w:before="21"/>
              <w:ind w:left="149"/>
              <w:rPr>
                <w:sz w:val="21"/>
              </w:rPr>
            </w:pPr>
            <w:r>
              <w:rPr>
                <w:spacing w:val="-3"/>
                <w:sz w:val="21"/>
              </w:rPr>
              <w:t>大疾病，本项第二次“恶性肿瘤——重度”保险金责任终止。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 w:hRule="atLeast"/>
        </w:trPr>
        <w:tc>
          <w:tcPr>
            <w:tcW w:w="2562" w:type="dxa"/>
            <w:gridSpan w:val="2"/>
            <w:vMerge w:val="continue"/>
            <w:tcBorders>
              <w:top w:val="nil"/>
            </w:tcBorders>
          </w:tcPr>
          <w:p>
            <w:pPr>
              <w:rPr>
                <w:sz w:val="2"/>
                <w:szCs w:val="2"/>
              </w:rPr>
            </w:pPr>
          </w:p>
        </w:tc>
        <w:tc>
          <w:tcPr>
            <w:tcW w:w="7135" w:type="dxa"/>
          </w:tcPr>
          <w:p>
            <w:pPr>
              <w:pStyle w:val="11"/>
              <w:spacing w:before="166"/>
              <w:ind w:left="149"/>
              <w:rPr>
                <w:sz w:val="21"/>
              </w:rPr>
            </w:pPr>
            <w:r>
              <w:rPr>
                <w:spacing w:val="-3"/>
                <w:sz w:val="21"/>
              </w:rPr>
              <w:t>第二次确诊的“恶性肿瘤——重度”包括以下情况：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562" w:type="dxa"/>
            <w:gridSpan w:val="2"/>
            <w:vMerge w:val="continue"/>
            <w:tcBorders>
              <w:top w:val="nil"/>
            </w:tcBorders>
          </w:tcPr>
          <w:p>
            <w:pPr>
              <w:rPr>
                <w:sz w:val="2"/>
                <w:szCs w:val="2"/>
              </w:rPr>
            </w:pPr>
          </w:p>
        </w:tc>
        <w:tc>
          <w:tcPr>
            <w:tcW w:w="7135" w:type="dxa"/>
          </w:tcPr>
          <w:p>
            <w:pPr>
              <w:pStyle w:val="11"/>
              <w:spacing w:before="16"/>
              <w:ind w:left="149"/>
              <w:rPr>
                <w:sz w:val="21"/>
              </w:rPr>
            </w:pPr>
            <w:r>
              <w:rPr>
                <w:spacing w:val="-2"/>
                <w:sz w:val="21"/>
              </w:rPr>
              <w:t>（1）</w:t>
            </w:r>
            <w:r>
              <w:rPr>
                <w:spacing w:val="-4"/>
                <w:sz w:val="21"/>
              </w:rPr>
              <w:t>与前一次“恶性肿瘤——重度”无关的新发“恶性肿瘤——重度”；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trPr>
        <w:tc>
          <w:tcPr>
            <w:tcW w:w="2562" w:type="dxa"/>
            <w:gridSpan w:val="2"/>
            <w:vMerge w:val="continue"/>
            <w:tcBorders>
              <w:top w:val="nil"/>
            </w:tcBorders>
          </w:tcPr>
          <w:p>
            <w:pPr>
              <w:rPr>
                <w:sz w:val="2"/>
                <w:szCs w:val="2"/>
              </w:rPr>
            </w:pPr>
          </w:p>
        </w:tc>
        <w:tc>
          <w:tcPr>
            <w:tcW w:w="7135" w:type="dxa"/>
          </w:tcPr>
          <w:p>
            <w:pPr>
              <w:pStyle w:val="11"/>
              <w:spacing w:before="16"/>
              <w:ind w:left="149"/>
              <w:rPr>
                <w:sz w:val="21"/>
              </w:rPr>
            </w:pPr>
            <w:r>
              <w:rPr>
                <w:spacing w:val="-2"/>
                <w:sz w:val="21"/>
              </w:rPr>
              <w:t>（2）</w:t>
            </w:r>
            <w:r>
              <w:rPr>
                <w:spacing w:val="-3"/>
                <w:sz w:val="21"/>
              </w:rPr>
              <w:t>前一次“恶性肿瘤——重度”复发、转移；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4" w:hRule="atLeast"/>
        </w:trPr>
        <w:tc>
          <w:tcPr>
            <w:tcW w:w="2562" w:type="dxa"/>
            <w:gridSpan w:val="2"/>
            <w:vMerge w:val="continue"/>
            <w:tcBorders>
              <w:top w:val="nil"/>
            </w:tcBorders>
          </w:tcPr>
          <w:p>
            <w:pPr>
              <w:rPr>
                <w:sz w:val="2"/>
                <w:szCs w:val="2"/>
              </w:rPr>
            </w:pPr>
          </w:p>
        </w:tc>
        <w:tc>
          <w:tcPr>
            <w:tcW w:w="7135" w:type="dxa"/>
          </w:tcPr>
          <w:p>
            <w:pPr>
              <w:pStyle w:val="11"/>
              <w:spacing w:before="29"/>
              <w:ind w:left="149"/>
              <w:rPr>
                <w:sz w:val="21"/>
              </w:rPr>
            </w:pPr>
            <w:r>
              <w:rPr>
                <w:spacing w:val="-2"/>
                <w:sz w:val="21"/>
              </w:rPr>
              <w:t>（3）</w:t>
            </w:r>
            <w:r>
              <w:rPr>
                <w:spacing w:val="-3"/>
                <w:sz w:val="21"/>
              </w:rPr>
              <w:t>前一次“恶性肿瘤——重度”仍持续存在。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5" w:hRule="atLeast"/>
        </w:trPr>
        <w:tc>
          <w:tcPr>
            <w:tcW w:w="2562" w:type="dxa"/>
            <w:gridSpan w:val="2"/>
            <w:vMerge w:val="continue"/>
            <w:tcBorders>
              <w:top w:val="nil"/>
            </w:tcBorders>
          </w:tcPr>
          <w:p>
            <w:pPr>
              <w:rPr>
                <w:sz w:val="2"/>
                <w:szCs w:val="2"/>
              </w:rPr>
            </w:pPr>
          </w:p>
        </w:tc>
        <w:tc>
          <w:tcPr>
            <w:tcW w:w="7135" w:type="dxa"/>
          </w:tcPr>
          <w:p>
            <w:pPr>
              <w:pStyle w:val="11"/>
              <w:spacing w:before="175"/>
              <w:ind w:left="149"/>
              <w:rPr>
                <w:sz w:val="22"/>
              </w:rPr>
            </w:pPr>
            <w:r>
              <w:rPr>
                <w:w w:val="95"/>
                <w:sz w:val="22"/>
              </w:rPr>
              <w:t>2、第二次“心脑血管特定疾病</w:t>
            </w:r>
            <w:r>
              <w:rPr>
                <w:spacing w:val="-3"/>
                <w:w w:val="95"/>
                <w:sz w:val="22"/>
              </w:rPr>
              <w:t>”保险金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562" w:type="dxa"/>
            <w:gridSpan w:val="2"/>
            <w:vMerge w:val="continue"/>
            <w:tcBorders>
              <w:top w:val="nil"/>
            </w:tcBorders>
          </w:tcPr>
          <w:p>
            <w:pPr>
              <w:rPr>
                <w:sz w:val="2"/>
                <w:szCs w:val="2"/>
              </w:rPr>
            </w:pPr>
          </w:p>
        </w:tc>
        <w:tc>
          <w:tcPr>
            <w:tcW w:w="7135" w:type="dxa"/>
          </w:tcPr>
          <w:p>
            <w:pPr>
              <w:pStyle w:val="11"/>
              <w:spacing w:before="19"/>
              <w:ind w:left="149"/>
              <w:rPr>
                <w:sz w:val="21"/>
              </w:rPr>
            </w:pPr>
            <w:r>
              <w:rPr>
                <w:spacing w:val="-5"/>
                <w:sz w:val="21"/>
              </w:rPr>
              <w:t>“心脑血管特定疾病”包括：较重急性心肌梗死、严重脑中风后遗症、冠状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2562" w:type="dxa"/>
            <w:gridSpan w:val="2"/>
            <w:vMerge w:val="continue"/>
            <w:tcBorders>
              <w:top w:val="nil"/>
            </w:tcBorders>
          </w:tcPr>
          <w:p>
            <w:pPr>
              <w:rPr>
                <w:sz w:val="2"/>
                <w:szCs w:val="2"/>
              </w:rPr>
            </w:pPr>
          </w:p>
        </w:tc>
        <w:tc>
          <w:tcPr>
            <w:tcW w:w="7135" w:type="dxa"/>
          </w:tcPr>
          <w:p>
            <w:pPr>
              <w:pStyle w:val="11"/>
              <w:spacing w:before="21"/>
              <w:ind w:left="149"/>
              <w:rPr>
                <w:sz w:val="21"/>
              </w:rPr>
            </w:pPr>
            <w:r>
              <w:rPr>
                <w:spacing w:val="-2"/>
                <w:sz w:val="21"/>
              </w:rPr>
              <w:t>动脉搭桥术（或称冠状动脉旁路移植术</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2562" w:type="dxa"/>
            <w:gridSpan w:val="2"/>
            <w:vMerge w:val="continue"/>
            <w:tcBorders>
              <w:top w:val="nil"/>
            </w:tcBorders>
          </w:tcPr>
          <w:p>
            <w:pPr>
              <w:rPr>
                <w:sz w:val="2"/>
                <w:szCs w:val="2"/>
              </w:rPr>
            </w:pPr>
          </w:p>
        </w:tc>
        <w:tc>
          <w:tcPr>
            <w:tcW w:w="7135" w:type="dxa"/>
          </w:tcPr>
          <w:p>
            <w:pPr>
              <w:pStyle w:val="11"/>
              <w:spacing w:before="179"/>
              <w:ind w:left="149"/>
              <w:rPr>
                <w:sz w:val="21"/>
              </w:rPr>
            </w:pPr>
            <w:r>
              <w:rPr>
                <w:spacing w:val="-6"/>
                <w:sz w:val="21"/>
              </w:rPr>
              <w:t>若被保险人等待期后在我们指定的医院确诊初次患本合同定义的“心脑血管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562" w:type="dxa"/>
            <w:gridSpan w:val="2"/>
            <w:vMerge w:val="continue"/>
            <w:tcBorders>
              <w:top w:val="nil"/>
            </w:tcBorders>
          </w:tcPr>
          <w:p>
            <w:pPr>
              <w:rPr>
                <w:sz w:val="2"/>
                <w:szCs w:val="2"/>
              </w:rPr>
            </w:pPr>
          </w:p>
        </w:tc>
        <w:tc>
          <w:tcPr>
            <w:tcW w:w="7135" w:type="dxa"/>
          </w:tcPr>
          <w:p>
            <w:pPr>
              <w:pStyle w:val="11"/>
              <w:spacing w:before="21"/>
              <w:ind w:left="149"/>
              <w:rPr>
                <w:sz w:val="21"/>
              </w:rPr>
            </w:pPr>
            <w:r>
              <w:rPr>
                <w:spacing w:val="-15"/>
                <w:sz w:val="21"/>
              </w:rPr>
              <w:t>特定疾病”</w:t>
            </w:r>
            <w:r>
              <w:rPr>
                <w:spacing w:val="50"/>
                <w:sz w:val="21"/>
              </w:rPr>
              <w:t>（</w:t>
            </w:r>
            <w:r>
              <w:rPr>
                <w:spacing w:val="-4"/>
                <w:sz w:val="21"/>
              </w:rPr>
              <w:t>无论一种或多种</w:t>
            </w:r>
            <w:r>
              <w:rPr>
                <w:spacing w:val="-59"/>
                <w:sz w:val="21"/>
              </w:rPr>
              <w:t>）</w:t>
            </w:r>
            <w:r>
              <w:rPr>
                <w:spacing w:val="-4"/>
                <w:sz w:val="21"/>
              </w:rPr>
              <w:t>，且针对该疾病我们已根据本合同 1.1.2.1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562" w:type="dxa"/>
            <w:gridSpan w:val="2"/>
            <w:vMerge w:val="continue"/>
            <w:tcBorders>
              <w:top w:val="nil"/>
            </w:tcBorders>
          </w:tcPr>
          <w:p>
            <w:pPr>
              <w:rPr>
                <w:sz w:val="2"/>
                <w:szCs w:val="2"/>
              </w:rPr>
            </w:pPr>
          </w:p>
        </w:tc>
        <w:tc>
          <w:tcPr>
            <w:tcW w:w="7135" w:type="dxa"/>
          </w:tcPr>
          <w:p>
            <w:pPr>
              <w:pStyle w:val="11"/>
              <w:spacing w:before="20"/>
              <w:ind w:left="149"/>
              <w:rPr>
                <w:sz w:val="21"/>
              </w:rPr>
            </w:pPr>
            <w:r>
              <w:rPr>
                <w:spacing w:val="-12"/>
                <w:sz w:val="21"/>
              </w:rPr>
              <w:t xml:space="preserve">的约定给付“重大疾病保险金”，或我们已根据本合同 </w:t>
            </w:r>
            <w:r>
              <w:rPr>
                <w:spacing w:val="-2"/>
                <w:sz w:val="21"/>
              </w:rPr>
              <w:t>1.1.3.1</w:t>
            </w:r>
            <w:r>
              <w:rPr>
                <w:spacing w:val="-11"/>
                <w:sz w:val="21"/>
              </w:rPr>
              <w:t xml:space="preserve"> 的约定给付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2562" w:type="dxa"/>
            <w:gridSpan w:val="2"/>
            <w:vMerge w:val="continue"/>
            <w:tcBorders>
              <w:top w:val="nil"/>
            </w:tcBorders>
          </w:tcPr>
          <w:p>
            <w:pPr>
              <w:rPr>
                <w:sz w:val="2"/>
                <w:szCs w:val="2"/>
              </w:rPr>
            </w:pPr>
          </w:p>
        </w:tc>
        <w:tc>
          <w:tcPr>
            <w:tcW w:w="7135" w:type="dxa"/>
          </w:tcPr>
          <w:p>
            <w:pPr>
              <w:pStyle w:val="11"/>
              <w:spacing w:before="20" w:line="225" w:lineRule="exact"/>
              <w:ind w:left="149"/>
              <w:rPr>
                <w:sz w:val="21"/>
              </w:rPr>
            </w:pPr>
            <w:r>
              <w:rPr>
                <w:spacing w:val="-2"/>
                <w:sz w:val="21"/>
              </w:rPr>
              <w:t>“第二次重大疾病保险金</w:t>
            </w:r>
            <w:r>
              <w:rPr>
                <w:spacing w:val="-140"/>
                <w:sz w:val="21"/>
              </w:rPr>
              <w:t>”</w:t>
            </w:r>
            <w:r>
              <w:rPr>
                <w:sz w:val="21"/>
              </w:rPr>
              <w:t>（</w:t>
            </w:r>
            <w:r>
              <w:rPr>
                <w:spacing w:val="-2"/>
                <w:sz w:val="21"/>
              </w:rPr>
              <w:t>若投保人在投保时选择投保可选方案一</w:t>
            </w:r>
            <w:r>
              <w:rPr>
                <w:spacing w:val="-70"/>
                <w:sz w:val="21"/>
              </w:rPr>
              <w:t>）</w:t>
            </w:r>
            <w:r>
              <w:rPr>
                <w:spacing w:val="-28"/>
                <w:sz w:val="21"/>
              </w:rPr>
              <w:t>，则自</w:t>
            </w:r>
          </w:p>
        </w:tc>
      </w:tr>
    </w:tbl>
    <w:p>
      <w:pPr>
        <w:spacing w:after="0" w:line="225" w:lineRule="exact"/>
        <w:rPr>
          <w:sz w:val="21"/>
        </w:rPr>
        <w:sectPr>
          <w:pgSz w:w="11910" w:h="16840"/>
          <w:pgMar w:top="1560" w:right="660" w:bottom="1260" w:left="580" w:header="0" w:footer="1060" w:gutter="0"/>
          <w:cols w:space="720" w:num="1"/>
        </w:sectPr>
      </w:pPr>
    </w:p>
    <w:p>
      <w:pPr>
        <w:pStyle w:val="6"/>
        <w:spacing w:before="48" w:line="285" w:lineRule="auto"/>
        <w:ind w:left="3385" w:right="394"/>
        <w:jc w:val="both"/>
      </w:pPr>
      <w:r>
        <w:rPr>
          <w:spacing w:val="-2"/>
        </w:rPr>
        <w:t>“心脑血管特定疾病”确诊之日起三年后，在我们指定的医院再次确诊发生</w:t>
      </w:r>
      <w:r>
        <w:rPr>
          <w:spacing w:val="-26"/>
        </w:rPr>
        <w:t>与第一次确诊的“心脑血管特定疾病”同一疾病种类的“心脑血管特定疾病”，</w:t>
      </w:r>
      <w:r>
        <w:rPr>
          <w:spacing w:val="-2"/>
        </w:rPr>
        <w:t>我们按本合同的基本保险金额给付第二次“心脑血管特定疾病”保险金，本项第二次“心脑血管特定疾病”保险金责任终止。</w:t>
      </w:r>
    </w:p>
    <w:p>
      <w:pPr>
        <w:pStyle w:val="6"/>
        <w:spacing w:line="285" w:lineRule="auto"/>
        <w:ind w:left="3385" w:right="406"/>
        <w:jc w:val="both"/>
      </w:pPr>
      <w:r>
        <w:rPr>
          <w:spacing w:val="-6"/>
        </w:rPr>
        <w:t>若被保险人第一次重大疾病及第二次重大疾病</w:t>
      </w:r>
      <w:r>
        <w:rPr>
          <w:spacing w:val="-2"/>
        </w:rPr>
        <w:t>（若投保人在投保时选择投保可选方案一）均确诊患除本合同约定的“心脑血管特定疾病”之外的其他重大疾病，本项第二次“心脑血管特定疾病”保险金责任终止。</w:t>
      </w:r>
    </w:p>
    <w:p>
      <w:pPr>
        <w:pStyle w:val="6"/>
        <w:spacing w:before="8"/>
        <w:rPr>
          <w:sz w:val="16"/>
        </w:rPr>
      </w:pPr>
    </w:p>
    <w:p>
      <w:pPr>
        <w:tabs>
          <w:tab w:val="left" w:pos="1825"/>
          <w:tab w:val="left" w:pos="3385"/>
        </w:tabs>
        <w:spacing w:before="0"/>
        <w:ind w:left="723" w:right="0" w:firstLine="0"/>
        <w:jc w:val="left"/>
        <w:rPr>
          <w:sz w:val="21"/>
        </w:rPr>
      </w:pPr>
      <w:r>
        <w:rPr>
          <w:rFonts w:ascii="微软雅黑" w:eastAsia="微软雅黑"/>
          <w:b/>
          <w:spacing w:val="-5"/>
          <w:position w:val="3"/>
          <w:sz w:val="21"/>
        </w:rPr>
        <w:t>1.2</w:t>
      </w:r>
      <w:r>
        <w:rPr>
          <w:rFonts w:ascii="微软雅黑" w:eastAsia="微软雅黑"/>
          <w:b/>
          <w:position w:val="3"/>
          <w:sz w:val="21"/>
        </w:rPr>
        <w:tab/>
      </w:r>
      <w:r>
        <w:rPr>
          <w:rFonts w:ascii="微软雅黑" w:eastAsia="微软雅黑"/>
          <w:b/>
          <w:position w:val="3"/>
          <w:sz w:val="21"/>
        </w:rPr>
        <w:t>保险期</w:t>
      </w:r>
      <w:r>
        <w:rPr>
          <w:rFonts w:ascii="微软雅黑" w:eastAsia="微软雅黑"/>
          <w:b/>
          <w:spacing w:val="-10"/>
          <w:position w:val="3"/>
          <w:sz w:val="21"/>
        </w:rPr>
        <w:t>间</w:t>
      </w:r>
      <w:r>
        <w:rPr>
          <w:rFonts w:ascii="微软雅黑" w:eastAsia="微软雅黑"/>
          <w:b/>
          <w:position w:val="3"/>
          <w:sz w:val="21"/>
        </w:rPr>
        <w:tab/>
      </w:r>
      <w:r>
        <w:rPr>
          <w:spacing w:val="-2"/>
          <w:sz w:val="21"/>
        </w:rPr>
        <w:t>本合同的保险期间为终身</w:t>
      </w:r>
      <w:r>
        <w:rPr>
          <w:spacing w:val="-10"/>
          <w:sz w:val="21"/>
        </w:rPr>
        <w:t>。</w:t>
      </w:r>
    </w:p>
    <w:p>
      <w:pPr>
        <w:pStyle w:val="6"/>
        <w:spacing w:before="11"/>
        <w:rPr>
          <w:sz w:val="18"/>
        </w:rPr>
      </w:pPr>
    </w:p>
    <w:p>
      <w:pPr>
        <w:tabs>
          <w:tab w:val="left" w:pos="1825"/>
        </w:tabs>
        <w:spacing w:before="0" w:line="529" w:lineRule="exact"/>
        <w:ind w:left="1004" w:right="0" w:firstLine="0"/>
        <w:jc w:val="left"/>
        <w:rPr>
          <w:rFonts w:ascii="微软雅黑" w:hAnsi="微软雅黑" w:eastAsia="微软雅黑"/>
          <w:b/>
          <w:sz w:val="28"/>
        </w:rPr>
      </w:pPr>
      <w:r>
        <w:rPr>
          <w:rFonts w:ascii="Wingdings" w:hAnsi="Wingdings" w:eastAsia="Wingdings"/>
          <w:b/>
          <w:spacing w:val="-10"/>
          <w:position w:val="-11"/>
          <w:sz w:val="36"/>
        </w:rPr>
        <w:t></w:t>
      </w:r>
      <w:r>
        <w:rPr>
          <w:rFonts w:ascii="Times New Roman" w:hAnsi="Times New Roman" w:eastAsia="Times New Roman"/>
          <w:position w:val="-11"/>
          <w:sz w:val="36"/>
        </w:rPr>
        <w:tab/>
      </w:r>
      <w:r>
        <w:rPr>
          <w:rFonts w:ascii="微软雅黑" w:hAnsi="微软雅黑" w:eastAsia="微软雅黑"/>
          <w:b/>
          <w:spacing w:val="-2"/>
          <w:sz w:val="28"/>
        </w:rPr>
        <w:t>我们不保什么</w:t>
      </w:r>
    </w:p>
    <w:p>
      <w:pPr>
        <w:pStyle w:val="5"/>
        <w:spacing w:line="351" w:lineRule="exact"/>
      </w:pPr>
      <w:r>
        <w:drawing>
          <wp:anchor distT="0" distB="0" distL="0" distR="0" simplePos="0" relativeHeight="251672576" behindDoc="0" locked="0" layoutInCell="1" allowOverlap="1">
            <wp:simplePos x="0" y="0"/>
            <wp:positionH relativeFrom="page">
              <wp:posOffset>758825</wp:posOffset>
            </wp:positionH>
            <wp:positionV relativeFrom="paragraph">
              <wp:posOffset>204470</wp:posOffset>
            </wp:positionV>
            <wp:extent cx="6188710" cy="18415"/>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a:picLocks noChangeAspect="1"/>
                    </pic:cNvPicPr>
                  </pic:nvPicPr>
                  <pic:blipFill>
                    <a:blip r:embed="rId28" cstate="print"/>
                    <a:stretch>
                      <a:fillRect/>
                    </a:stretch>
                  </pic:blipFill>
                  <pic:spPr>
                    <a:xfrm>
                      <a:off x="0" y="0"/>
                      <a:ext cx="6188583" cy="18288"/>
                    </a:xfrm>
                    <a:prstGeom prst="rect">
                      <a:avLst/>
                    </a:prstGeom>
                  </pic:spPr>
                </pic:pic>
              </a:graphicData>
            </a:graphic>
          </wp:anchor>
        </w:drawing>
      </w:r>
      <w:r>
        <w:rPr>
          <w:spacing w:val="-3"/>
        </w:rPr>
        <w:t>这部分讲的是我们不承担保险责任的情况。</w:t>
      </w:r>
    </w:p>
    <w:p>
      <w:pPr>
        <w:pStyle w:val="6"/>
        <w:spacing w:before="11"/>
        <w:rPr>
          <w:rFonts w:ascii="微软雅黑"/>
          <w:b/>
          <w:sz w:val="14"/>
        </w:rPr>
      </w:pPr>
    </w:p>
    <w:p>
      <w:pPr>
        <w:pStyle w:val="10"/>
        <w:numPr>
          <w:ilvl w:val="1"/>
          <w:numId w:val="8"/>
        </w:numPr>
        <w:tabs>
          <w:tab w:val="left" w:pos="1825"/>
          <w:tab w:val="left" w:pos="1826"/>
        </w:tabs>
        <w:spacing w:before="0" w:after="0" w:line="240" w:lineRule="auto"/>
        <w:ind w:left="1825" w:right="0" w:hanging="1103"/>
        <w:jc w:val="left"/>
        <w:rPr>
          <w:rFonts w:ascii="微软雅黑" w:eastAsia="微软雅黑"/>
          <w:b/>
          <w:sz w:val="21"/>
        </w:rPr>
      </w:pPr>
      <w:r>
        <w:pict>
          <v:shape id="docshape33" o:spid="_x0000_s1057" o:spt="202" type="#_x0000_t202" style="position:absolute;left:0pt;margin-left:198.25pt;margin-top:100.25pt;height:14.05pt;width:99.4pt;mso-position-horizontal-relative:page;z-index:251673600;mso-width-relative:page;mso-height-relative:page;" fillcolor="#C0C0C0" filled="t" stroked="f" coordsize="21600,21600">
            <v:path/>
            <v:fill on="t" focussize="0,0"/>
            <v:stroke on="f" joinstyle="miter"/>
            <v:imagedata o:title=""/>
            <o:lock v:ext="edit"/>
            <v:textbox inset="0mm,0mm,0mm,0mm">
              <w:txbxContent>
                <w:p>
                  <w:pPr>
                    <w:spacing w:before="0" w:line="281" w:lineRule="exact"/>
                    <w:ind w:left="0" w:right="-15" w:firstLine="0"/>
                    <w:jc w:val="left"/>
                    <w:rPr>
                      <w:rFonts w:ascii="微软雅黑" w:eastAsia="微软雅黑"/>
                      <w:b/>
                      <w:color w:val="000000"/>
                      <w:sz w:val="21"/>
                    </w:rPr>
                  </w:pPr>
                  <w:r>
                    <w:rPr>
                      <w:color w:val="000000"/>
                      <w:spacing w:val="-4"/>
                      <w:sz w:val="21"/>
                    </w:rPr>
                    <w:t>5、被保险人</w:t>
                  </w:r>
                  <w:r>
                    <w:rPr>
                      <w:rFonts w:ascii="微软雅黑" w:eastAsia="微软雅黑"/>
                      <w:b/>
                      <w:color w:val="000000"/>
                      <w:spacing w:val="-6"/>
                      <w:sz w:val="21"/>
                    </w:rPr>
                    <w:t>酒后驾驶</w:t>
                  </w:r>
                </w:p>
              </w:txbxContent>
            </v:textbox>
          </v:shape>
        </w:pict>
      </w:r>
      <w:r>
        <w:pict>
          <v:shape id="docshape34" o:spid="_x0000_s1058" o:spt="202" type="#_x0000_t202" style="position:absolute;left:0pt;margin-left:198.25pt;margin-top:86.2pt;height:14.05pt;width:162.9pt;mso-position-horizontal-relative:page;z-index:-251604992;mso-width-relative:page;mso-height-relative:page;" fillcolor="#C0C0C0" filled="t" stroked="f" coordsize="21600,21600">
            <v:path/>
            <v:fill on="t" focussize="0,0"/>
            <v:stroke on="f" joinstyle="miter"/>
            <v:imagedata o:title=""/>
            <o:lock v:ext="edit"/>
            <v:textbox inset="0mm,0mm,0mm,0mm">
              <w:txbxContent>
                <w:p>
                  <w:pPr>
                    <w:pStyle w:val="6"/>
                    <w:spacing w:line="281" w:lineRule="exact"/>
                    <w:ind w:right="-15"/>
                    <w:rPr>
                      <w:rFonts w:ascii="微软雅黑" w:eastAsia="微软雅黑"/>
                      <w:b/>
                      <w:color w:val="000000"/>
                    </w:rPr>
                  </w:pPr>
                  <w:r>
                    <w:rPr>
                      <w:color w:val="000000"/>
                      <w:spacing w:val="-2"/>
                    </w:rPr>
                    <w:t>4、被保险人服用、吸食或注射</w:t>
                  </w:r>
                  <w:r>
                    <w:rPr>
                      <w:rFonts w:ascii="微软雅黑" w:eastAsia="微软雅黑"/>
                      <w:b/>
                      <w:color w:val="000000"/>
                      <w:spacing w:val="-6"/>
                    </w:rPr>
                    <w:t>毒品</w:t>
                  </w:r>
                </w:p>
              </w:txbxContent>
            </v:textbox>
          </v:shape>
        </w:pict>
      </w:r>
      <w:r>
        <w:pict>
          <v:shape id="docshape35" o:spid="_x0000_s1059" o:spt="202" type="#_x0000_t202" style="position:absolute;left:0pt;margin-left:198.25pt;margin-top:72.25pt;height:13.95pt;width:241.75pt;mso-position-horizontal-relative:page;z-index:251674624;mso-width-relative:page;mso-height-relative:page;" fillcolor="#C0C0C0" filled="t" stroked="f" coordsize="21600,21600">
            <v:path/>
            <v:fill on="t" focussize="0,0"/>
            <v:stroke on="f" joinstyle="miter"/>
            <v:imagedata o:title=""/>
            <o:lock v:ext="edit"/>
            <v:textbox inset="0mm,0mm,0mm,0mm">
              <w:txbxContent>
                <w:p>
                  <w:pPr>
                    <w:pStyle w:val="6"/>
                    <w:spacing w:before="13" w:line="265" w:lineRule="exact"/>
                    <w:rPr>
                      <w:color w:val="000000"/>
                    </w:rPr>
                  </w:pPr>
                  <w:r>
                    <w:rPr>
                      <w:color w:val="000000"/>
                      <w:spacing w:val="-3"/>
                    </w:rPr>
                    <w:t>杀，但被保险人自杀时为无民事行为能力人的除外；</w:t>
                  </w:r>
                </w:p>
              </w:txbxContent>
            </v:textbox>
          </v:shape>
        </w:pict>
      </w:r>
      <w:r>
        <w:pict>
          <v:shape id="docshape36" o:spid="_x0000_s1060" o:spt="202" type="#_x0000_t202" style="position:absolute;left:0pt;margin-left:198.25pt;margin-top:58.25pt;height:14.05pt;width:348.7pt;mso-position-horizontal-relative:page;z-index:251674624;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ind w:right="-15"/>
                    <w:rPr>
                      <w:color w:val="000000"/>
                    </w:rPr>
                  </w:pPr>
                  <w:r>
                    <w:rPr>
                      <w:color w:val="000000"/>
                      <w:spacing w:val="-4"/>
                    </w:rPr>
                    <w:t>3</w:t>
                  </w:r>
                  <w:r>
                    <w:rPr>
                      <w:color w:val="000000"/>
                      <w:spacing w:val="-6"/>
                    </w:rPr>
                    <w:t xml:space="preserve">、被保险人故意自伤、或自本合同成立或者本合同效力恢复之日起 </w:t>
                  </w:r>
                  <w:r>
                    <w:rPr>
                      <w:color w:val="000000"/>
                      <w:spacing w:val="-4"/>
                    </w:rPr>
                    <w:t>2</w:t>
                  </w:r>
                  <w:r>
                    <w:rPr>
                      <w:color w:val="000000"/>
                      <w:spacing w:val="-16"/>
                    </w:rPr>
                    <w:t xml:space="preserve"> 年内自</w:t>
                  </w:r>
                </w:p>
              </w:txbxContent>
            </v:textbox>
          </v:shape>
        </w:pict>
      </w:r>
      <w:r>
        <w:pict>
          <v:shape id="docshape37" o:spid="_x0000_s1061" o:spt="202" type="#_x0000_t202" style="position:absolute;left:0pt;margin-left:198.25pt;margin-top:44.2pt;height:14.05pt;width:257.35pt;mso-position-horizontal-relative:page;z-index:251675648;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ind w:right="-15"/>
                    <w:rPr>
                      <w:color w:val="000000"/>
                    </w:rPr>
                  </w:pPr>
                  <w:r>
                    <w:rPr>
                      <w:color w:val="000000"/>
                      <w:spacing w:val="-2"/>
                    </w:rPr>
                    <w:t>2</w:t>
                  </w:r>
                  <w:r>
                    <w:rPr>
                      <w:color w:val="000000"/>
                      <w:spacing w:val="-3"/>
                    </w:rPr>
                    <w:t>、被保险人故意犯罪或抗拒依法采取的刑事强制措施；</w:t>
                  </w:r>
                </w:p>
              </w:txbxContent>
            </v:textbox>
          </v:shape>
        </w:pict>
      </w:r>
      <w:r>
        <w:pict>
          <v:shape id="docshape38" o:spid="_x0000_s1062" o:spt="202" type="#_x0000_t202" style="position:absolute;left:0pt;margin-left:198.25pt;margin-top:30.25pt;height:13.95pt;width:215.35pt;mso-position-horizontal-relative:page;z-index:251675648;mso-width-relative:page;mso-height-relative:page;" fillcolor="#C0C0C0" filled="t" stroked="f" coordsize="21600,21600">
            <v:path/>
            <v:fill on="t" focussize="0,0"/>
            <v:stroke on="f" joinstyle="miter"/>
            <v:imagedata o:title=""/>
            <o:lock v:ext="edit"/>
            <v:textbox inset="0mm,0mm,0mm,0mm">
              <w:txbxContent>
                <w:p>
                  <w:pPr>
                    <w:pStyle w:val="6"/>
                    <w:spacing w:before="13" w:line="265" w:lineRule="exact"/>
                    <w:ind w:right="-15"/>
                    <w:rPr>
                      <w:color w:val="000000"/>
                    </w:rPr>
                  </w:pPr>
                  <w:r>
                    <w:rPr>
                      <w:color w:val="000000"/>
                      <w:spacing w:val="-2"/>
                    </w:rPr>
                    <w:t>1</w:t>
                  </w:r>
                  <w:r>
                    <w:rPr>
                      <w:color w:val="000000"/>
                      <w:spacing w:val="-3"/>
                    </w:rPr>
                    <w:t>、投保人对被保险人的故意杀害、故意伤害；</w:t>
                  </w:r>
                </w:p>
              </w:txbxContent>
            </v:textbox>
          </v:shape>
        </w:pict>
      </w:r>
      <w:r>
        <w:pict>
          <v:shape id="docshape39" o:spid="_x0000_s1063" o:spt="202" type="#_x0000_t202" style="position:absolute;left:0pt;margin-left:198.25pt;margin-top:16.25pt;height:14.05pt;width:294.2pt;mso-position-horizontal-relative:page;z-index:251676672;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ind w:right="-15"/>
                    <w:rPr>
                      <w:color w:val="000000"/>
                    </w:rPr>
                  </w:pPr>
                  <w:r>
                    <w:rPr>
                      <w:color w:val="000000"/>
                      <w:spacing w:val="-3"/>
                    </w:rPr>
                    <w:t>态或进行手术的，我们不承担给付保险金和豁免保险费的责任：</w:t>
                  </w:r>
                </w:p>
              </w:txbxContent>
            </v:textbox>
          </v:shape>
        </w:pict>
      </w:r>
      <w:r>
        <w:pict>
          <v:shape id="docshape40" o:spid="_x0000_s1064" o:spt="202" type="#_x0000_t202" style="position:absolute;left:0pt;margin-left:198.25pt;margin-top:2.2pt;height:14.05pt;width:348.7pt;mso-position-horizontal-relative:page;z-index:251676672;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ind w:right="-15"/>
                    <w:rPr>
                      <w:color w:val="000000"/>
                    </w:rPr>
                  </w:pPr>
                  <w:r>
                    <w:rPr>
                      <w:color w:val="000000"/>
                      <w:spacing w:val="-1"/>
                    </w:rPr>
                    <w:t>因下列情形之一，导致被保险人身故，发生本合同约定的疾病、达到疾病状</w:t>
                  </w:r>
                </w:p>
              </w:txbxContent>
            </v:textbox>
          </v:shape>
        </w:pict>
      </w:r>
      <w:r>
        <w:rPr>
          <w:rFonts w:ascii="微软雅黑" w:eastAsia="微软雅黑"/>
          <w:b/>
          <w:spacing w:val="-3"/>
          <w:sz w:val="21"/>
        </w:rPr>
        <w:t>责任免除</w:t>
      </w:r>
    </w:p>
    <w:p>
      <w:pPr>
        <w:pStyle w:val="6"/>
        <w:rPr>
          <w:rFonts w:ascii="微软雅黑"/>
          <w:b/>
          <w:sz w:val="20"/>
        </w:rPr>
      </w:pPr>
    </w:p>
    <w:p>
      <w:pPr>
        <w:pStyle w:val="6"/>
        <w:rPr>
          <w:rFonts w:ascii="微软雅黑"/>
          <w:b/>
          <w:sz w:val="20"/>
        </w:rPr>
      </w:pPr>
    </w:p>
    <w:p>
      <w:pPr>
        <w:pStyle w:val="6"/>
        <w:spacing w:before="2"/>
        <w:rPr>
          <w:rFonts w:ascii="微软雅黑"/>
          <w:b/>
          <w:sz w:val="28"/>
        </w:rPr>
      </w:pPr>
    </w:p>
    <w:p>
      <w:pPr>
        <w:spacing w:after="0"/>
        <w:rPr>
          <w:rFonts w:ascii="微软雅黑"/>
          <w:sz w:val="28"/>
        </w:rPr>
        <w:sectPr>
          <w:pgSz w:w="11910" w:h="16840"/>
          <w:pgMar w:top="1480" w:right="660" w:bottom="1260" w:left="580" w:header="0" w:footer="1060" w:gutter="0"/>
          <w:cols w:space="720" w:num="1"/>
        </w:sectPr>
      </w:pPr>
    </w:p>
    <w:p>
      <w:pPr>
        <w:pStyle w:val="6"/>
        <w:rPr>
          <w:rFonts w:ascii="微软雅黑"/>
          <w:b/>
          <w:sz w:val="22"/>
        </w:rPr>
      </w:pPr>
    </w:p>
    <w:p>
      <w:pPr>
        <w:pStyle w:val="6"/>
        <w:spacing w:before="3"/>
        <w:rPr>
          <w:rFonts w:ascii="微软雅黑"/>
          <w:b/>
          <w:sz w:val="11"/>
        </w:rPr>
      </w:pPr>
    </w:p>
    <w:p>
      <w:pPr>
        <w:spacing w:before="0"/>
        <w:ind w:left="0" w:right="0" w:firstLine="0"/>
        <w:jc w:val="right"/>
        <w:rPr>
          <w:sz w:val="21"/>
        </w:rPr>
      </w:pPr>
      <w:r>
        <w:rPr>
          <w:rFonts w:ascii="微软雅黑" w:eastAsia="微软雅黑"/>
          <w:b/>
          <w:w w:val="95"/>
          <w:position w:val="11"/>
          <w:sz w:val="11"/>
        </w:rPr>
        <w:t>11</w:t>
      </w:r>
      <w:r>
        <w:rPr>
          <w:color w:val="000000"/>
          <w:w w:val="95"/>
          <w:sz w:val="21"/>
          <w:shd w:val="clear" w:color="auto" w:fill="C0C0C0"/>
        </w:rPr>
        <w:t>的机动车</w:t>
      </w:r>
      <w:r>
        <w:rPr>
          <w:color w:val="000000"/>
          <w:spacing w:val="-10"/>
          <w:w w:val="95"/>
          <w:sz w:val="21"/>
          <w:shd w:val="clear" w:color="auto" w:fill="C0C0C0"/>
        </w:rPr>
        <w:t>；</w:t>
      </w:r>
    </w:p>
    <w:p>
      <w:pPr>
        <w:spacing w:before="49"/>
        <w:ind w:left="2033" w:right="3950" w:firstLine="0"/>
        <w:jc w:val="center"/>
        <w:rPr>
          <w:rFonts w:ascii="微软雅黑"/>
          <w:b/>
          <w:sz w:val="11"/>
        </w:rPr>
      </w:pPr>
      <w:r>
        <w:br w:type="column"/>
      </w:r>
      <w:r>
        <w:rPr>
          <w:rFonts w:ascii="微软雅黑"/>
          <w:b/>
          <w:spacing w:val="-10"/>
          <w:w w:val="90"/>
          <w:sz w:val="11"/>
        </w:rPr>
        <w:t>8</w:t>
      </w:r>
    </w:p>
    <w:p>
      <w:pPr>
        <w:spacing w:before="57"/>
        <w:ind w:left="778" w:right="0" w:firstLine="0"/>
        <w:jc w:val="left"/>
        <w:rPr>
          <w:rFonts w:ascii="微软雅黑" w:eastAsia="微软雅黑"/>
          <w:b/>
          <w:sz w:val="21"/>
        </w:rPr>
      </w:pPr>
      <w:r>
        <w:drawing>
          <wp:anchor distT="0" distB="0" distL="0" distR="0" simplePos="0" relativeHeight="251710464" behindDoc="1" locked="0" layoutInCell="1" allowOverlap="1">
            <wp:simplePos x="0" y="0"/>
            <wp:positionH relativeFrom="page">
              <wp:posOffset>3816350</wp:posOffset>
            </wp:positionH>
            <wp:positionV relativeFrom="paragraph">
              <wp:posOffset>69850</wp:posOffset>
            </wp:positionV>
            <wp:extent cx="1464945" cy="178435"/>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a:picLocks noChangeAspect="1"/>
                    </pic:cNvPicPr>
                  </pic:nvPicPr>
                  <pic:blipFill>
                    <a:blip r:embed="rId29" cstate="print"/>
                    <a:stretch>
                      <a:fillRect/>
                    </a:stretch>
                  </pic:blipFill>
                  <pic:spPr>
                    <a:xfrm>
                      <a:off x="0" y="0"/>
                      <a:ext cx="1464818" cy="178308"/>
                    </a:xfrm>
                    <a:prstGeom prst="rect">
                      <a:avLst/>
                    </a:prstGeom>
                  </pic:spPr>
                </pic:pic>
              </a:graphicData>
            </a:graphic>
          </wp:anchor>
        </w:drawing>
      </w:r>
      <w:r>
        <w:pict>
          <v:shape id="docshape41" o:spid="_x0000_s1065" o:spt="202" type="#_x0000_t202" style="position:absolute;left:0pt;margin-left:364pt;margin-top:-8.45pt;height:14.05pt;width:10.45pt;mso-position-horizontal-relative:page;z-index:-251603968;mso-width-relative:page;mso-height-relative:page;" fillcolor="#C0C0C0" filled="t" stroked="f" coordsize="21600,21600">
            <v:path/>
            <v:fill on="t" focussize="0,0"/>
            <v:stroke on="f" joinstyle="miter"/>
            <v:imagedata o:title=""/>
            <o:lock v:ext="edit"/>
            <v:textbox inset="0mm,0mm,0mm,0mm">
              <w:txbxContent>
                <w:p>
                  <w:pPr>
                    <w:spacing w:before="13" w:line="268" w:lineRule="exact"/>
                    <w:ind w:left="0" w:right="-15" w:firstLine="0"/>
                    <w:jc w:val="left"/>
                    <w:rPr>
                      <w:color w:val="000000"/>
                      <w:sz w:val="21"/>
                    </w:rPr>
                  </w:pPr>
                  <w:r>
                    <w:rPr>
                      <w:color w:val="000000"/>
                      <w:w w:val="100"/>
                      <w:sz w:val="21"/>
                    </w:rPr>
                    <w:t>；</w:t>
                  </w:r>
                </w:p>
              </w:txbxContent>
            </v:textbox>
          </v:shape>
        </w:pict>
      </w:r>
      <w:r>
        <w:rPr>
          <w:rFonts w:ascii="微软雅黑" w:eastAsia="微软雅黑"/>
          <w:b/>
          <w:w w:val="95"/>
          <w:position w:val="11"/>
          <w:sz w:val="11"/>
        </w:rPr>
        <w:t>9</w:t>
      </w:r>
      <w:r>
        <w:rPr>
          <w:w w:val="95"/>
          <w:sz w:val="21"/>
        </w:rPr>
        <w:t>，</w:t>
      </w:r>
      <w:r>
        <w:rPr>
          <w:rFonts w:ascii="微软雅黑" w:eastAsia="微软雅黑"/>
          <w:b/>
          <w:w w:val="95"/>
          <w:sz w:val="21"/>
        </w:rPr>
        <w:t>无合法有效驾驶证驾驶</w:t>
      </w:r>
      <w:r>
        <w:rPr>
          <w:rFonts w:ascii="微软雅黑" w:eastAsia="微软雅黑"/>
          <w:b/>
          <w:w w:val="95"/>
          <w:position w:val="11"/>
          <w:sz w:val="11"/>
        </w:rPr>
        <w:t>10</w:t>
      </w:r>
      <w:r>
        <w:rPr>
          <w:color w:val="000000"/>
          <w:w w:val="95"/>
          <w:sz w:val="21"/>
          <w:shd w:val="clear" w:color="auto" w:fill="C0C0C0"/>
        </w:rPr>
        <w:t>，或驾驶</w:t>
      </w:r>
      <w:r>
        <w:rPr>
          <w:rFonts w:ascii="微软雅黑" w:eastAsia="微软雅黑"/>
          <w:b/>
          <w:color w:val="000000"/>
          <w:w w:val="95"/>
          <w:sz w:val="21"/>
          <w:shd w:val="clear" w:color="auto" w:fill="C0C0C0"/>
        </w:rPr>
        <w:t>无合法有效行驶</w:t>
      </w:r>
      <w:r>
        <w:rPr>
          <w:rFonts w:ascii="微软雅黑" w:eastAsia="微软雅黑"/>
          <w:b/>
          <w:color w:val="000000"/>
          <w:spacing w:val="-10"/>
          <w:w w:val="95"/>
          <w:sz w:val="21"/>
          <w:shd w:val="clear" w:color="auto" w:fill="C0C0C0"/>
        </w:rPr>
        <w:t>证</w:t>
      </w:r>
    </w:p>
    <w:p>
      <w:pPr>
        <w:spacing w:after="0"/>
        <w:jc w:val="left"/>
        <w:rPr>
          <w:rFonts w:ascii="微软雅黑" w:eastAsia="微软雅黑"/>
          <w:sz w:val="21"/>
        </w:rPr>
        <w:sectPr>
          <w:type w:val="continuous"/>
          <w:pgSz w:w="11910" w:h="16840"/>
          <w:pgMar w:top="280" w:right="660" w:bottom="280" w:left="580" w:header="0" w:footer="1060" w:gutter="0"/>
          <w:cols w:equalWidth="0" w:num="2">
            <w:col w:w="4555" w:space="40"/>
            <w:col w:w="6075"/>
          </w:cols>
        </w:sectPr>
      </w:pPr>
    </w:p>
    <w:p>
      <w:pPr>
        <w:pStyle w:val="6"/>
        <w:spacing w:before="10"/>
        <w:ind w:left="3385"/>
      </w:pPr>
      <w:r>
        <w:rPr>
          <w:color w:val="000000"/>
          <w:spacing w:val="-2"/>
          <w:shd w:val="clear" w:color="auto" w:fill="C0C0C0"/>
        </w:rPr>
        <w:t>6</w:t>
      </w:r>
      <w:r>
        <w:rPr>
          <w:color w:val="000000"/>
          <w:spacing w:val="-3"/>
          <w:shd w:val="clear" w:color="auto" w:fill="C0C0C0"/>
        </w:rPr>
        <w:t>、战争、军事冲突、暴乱或武装叛乱；</w:t>
      </w:r>
    </w:p>
    <w:p>
      <w:pPr>
        <w:pStyle w:val="6"/>
        <w:spacing w:before="11"/>
        <w:ind w:left="3385"/>
      </w:pPr>
      <w:r>
        <w:rPr>
          <w:color w:val="000000"/>
          <w:spacing w:val="-2"/>
          <w:shd w:val="clear" w:color="auto" w:fill="C0C0C0"/>
        </w:rPr>
        <w:t>7</w:t>
      </w:r>
      <w:r>
        <w:rPr>
          <w:color w:val="000000"/>
          <w:spacing w:val="-3"/>
          <w:shd w:val="clear" w:color="auto" w:fill="C0C0C0"/>
        </w:rPr>
        <w:t>、核爆炸、核辐射或核污染；</w:t>
      </w:r>
    </w:p>
    <w:p>
      <w:pPr>
        <w:pStyle w:val="6"/>
        <w:spacing w:before="1"/>
        <w:rPr>
          <w:sz w:val="17"/>
        </w:rPr>
      </w:pPr>
    </w:p>
    <w:p>
      <w:pPr>
        <w:pStyle w:val="6"/>
        <w:spacing w:before="72" w:line="252" w:lineRule="auto"/>
        <w:ind w:left="3385" w:right="301"/>
      </w:pPr>
      <w:r>
        <w:rPr>
          <w:color w:val="000000"/>
          <w:spacing w:val="-2"/>
          <w:shd w:val="clear" w:color="auto" w:fill="C0C0C0"/>
        </w:rPr>
        <w:t>因下列情形之一，导致被保险人发生本合同约定的疾病、达到疾病状态或进</w:t>
      </w:r>
      <w:r>
        <w:rPr>
          <w:color w:val="000000"/>
          <w:spacing w:val="80"/>
          <w:w w:val="150"/>
          <w:shd w:val="clear" w:color="auto" w:fill="C0C0C0"/>
        </w:rPr>
        <w:t xml:space="preserve">                                      </w:t>
      </w:r>
      <w:r>
        <w:rPr>
          <w:color w:val="000000"/>
          <w:spacing w:val="-2"/>
          <w:shd w:val="clear" w:color="auto" w:fill="C0C0C0"/>
        </w:rPr>
        <w:t>行手术的，我们不承担给付保险金和豁免保险费的责任：</w:t>
      </w:r>
    </w:p>
    <w:p>
      <w:pPr>
        <w:spacing w:before="0" w:line="263" w:lineRule="exact"/>
        <w:ind w:left="3385" w:right="0" w:firstLine="0"/>
        <w:jc w:val="left"/>
        <w:rPr>
          <w:rFonts w:ascii="微软雅黑" w:eastAsia="微软雅黑"/>
          <w:b/>
          <w:sz w:val="21"/>
        </w:rPr>
      </w:pPr>
      <w:r>
        <w:rPr>
          <w:color w:val="000000"/>
          <w:spacing w:val="-2"/>
          <w:sz w:val="21"/>
          <w:shd w:val="clear" w:color="auto" w:fill="C0C0C0"/>
        </w:rPr>
        <w:t>8、被保险人</w:t>
      </w:r>
      <w:r>
        <w:rPr>
          <w:rFonts w:ascii="微软雅黑" w:eastAsia="微软雅黑"/>
          <w:b/>
          <w:color w:val="000000"/>
          <w:spacing w:val="-2"/>
          <w:sz w:val="21"/>
          <w:shd w:val="clear" w:color="auto" w:fill="C0C0C0"/>
        </w:rPr>
        <w:t>感染艾滋病病毒或患艾滋病</w:t>
      </w:r>
      <w:r>
        <w:rPr>
          <w:rFonts w:ascii="微软雅黑" w:eastAsia="微软雅黑"/>
          <w:b/>
          <w:color w:val="000000"/>
          <w:spacing w:val="-5"/>
          <w:position w:val="11"/>
          <w:sz w:val="11"/>
        </w:rPr>
        <w:t>12</w:t>
      </w:r>
      <w:r>
        <w:rPr>
          <w:rFonts w:ascii="微软雅黑" w:eastAsia="微软雅黑"/>
          <w:b/>
          <w:color w:val="000000"/>
          <w:spacing w:val="-5"/>
          <w:sz w:val="21"/>
          <w:shd w:val="clear" w:color="auto" w:fill="C0C0C0"/>
        </w:rPr>
        <w:t>；</w:t>
      </w:r>
    </w:p>
    <w:p>
      <w:pPr>
        <w:spacing w:before="0" w:line="333" w:lineRule="exact"/>
        <w:ind w:left="3385" w:right="0" w:firstLine="0"/>
        <w:jc w:val="left"/>
        <w:rPr>
          <w:sz w:val="21"/>
        </w:rPr>
      </w:pPr>
      <w:r>
        <w:rPr>
          <w:color w:val="000000"/>
          <w:w w:val="95"/>
          <w:sz w:val="21"/>
          <w:shd w:val="clear" w:color="auto" w:fill="C0C0C0"/>
        </w:rPr>
        <w:t>9、</w:t>
      </w:r>
      <w:r>
        <w:rPr>
          <w:rFonts w:ascii="微软雅黑" w:eastAsia="微软雅黑"/>
          <w:b/>
          <w:color w:val="000000"/>
          <w:w w:val="95"/>
          <w:sz w:val="21"/>
          <w:shd w:val="clear" w:color="auto" w:fill="C0C0C0"/>
        </w:rPr>
        <w:t>遗传性疾病</w:t>
      </w:r>
      <w:r>
        <w:rPr>
          <w:rFonts w:ascii="微软雅黑" w:eastAsia="微软雅黑"/>
          <w:b/>
          <w:color w:val="000000"/>
          <w:w w:val="95"/>
          <w:position w:val="11"/>
          <w:sz w:val="11"/>
        </w:rPr>
        <w:t>13</w:t>
      </w:r>
      <w:r>
        <w:rPr>
          <w:color w:val="000000"/>
          <w:w w:val="95"/>
          <w:sz w:val="21"/>
          <w:shd w:val="clear" w:color="auto" w:fill="C0C0C0"/>
        </w:rPr>
        <w:t>，</w:t>
      </w:r>
      <w:r>
        <w:rPr>
          <w:rFonts w:ascii="微软雅黑" w:eastAsia="微软雅黑"/>
          <w:b/>
          <w:color w:val="000000"/>
          <w:w w:val="95"/>
          <w:sz w:val="21"/>
          <w:shd w:val="clear" w:color="auto" w:fill="C0C0C0"/>
        </w:rPr>
        <w:t>先天性畸形、变形或染色体异常</w:t>
      </w:r>
      <w:r>
        <w:rPr>
          <w:rFonts w:ascii="微软雅黑" w:eastAsia="微软雅黑"/>
          <w:b/>
          <w:color w:val="000000"/>
          <w:w w:val="95"/>
          <w:position w:val="11"/>
          <w:sz w:val="11"/>
        </w:rPr>
        <w:t>14</w:t>
      </w:r>
      <w:r>
        <w:rPr>
          <w:color w:val="000000"/>
          <w:spacing w:val="-10"/>
          <w:w w:val="95"/>
          <w:sz w:val="21"/>
          <w:shd w:val="clear" w:color="auto" w:fill="C0C0C0"/>
        </w:rPr>
        <w:t>。</w:t>
      </w:r>
    </w:p>
    <w:p>
      <w:pPr>
        <w:pStyle w:val="6"/>
        <w:spacing w:before="12"/>
        <w:rPr>
          <w:sz w:val="15"/>
        </w:rPr>
      </w:pPr>
      <w:r>
        <w:pict>
          <v:shape id="docshape42" o:spid="_x0000_s1066" o:spt="202" type="#_x0000_t202" style="position:absolute;left:0pt;margin-left:198.25pt;margin-top:11.4pt;height:28pt;width:346.75pt;mso-position-horizontal-relative:page;mso-wrap-distance-bottom:0pt;mso-wrap-distance-top:0pt;z-index:-251580416;mso-width-relative:page;mso-height-relative:page;" fillcolor="#C0C0C0" filled="t" stroked="f" coordsize="21600,21600">
            <v:path/>
            <v:fill on="t" focussize="0,0"/>
            <v:stroke on="f" joinstyle="miter"/>
            <v:imagedata o:title=""/>
            <o:lock v:ext="edit"/>
            <v:textbox inset="0mm,0mm,0mm,0mm">
              <w:txbxContent>
                <w:p>
                  <w:pPr>
                    <w:pStyle w:val="6"/>
                    <w:spacing w:before="9" w:line="247" w:lineRule="auto"/>
                    <w:ind w:right="-15"/>
                    <w:rPr>
                      <w:color w:val="000000"/>
                    </w:rPr>
                  </w:pPr>
                  <w:r>
                    <w:rPr>
                      <w:color w:val="000000"/>
                      <w:spacing w:val="-9"/>
                    </w:rPr>
                    <w:t xml:space="preserve">因上述第 </w:t>
                  </w:r>
                  <w:r>
                    <w:rPr>
                      <w:color w:val="000000"/>
                    </w:rPr>
                    <w:t>1</w:t>
                  </w:r>
                  <w:r>
                    <w:rPr>
                      <w:color w:val="000000"/>
                      <w:spacing w:val="-9"/>
                    </w:rPr>
                    <w:t xml:space="preserve"> 项情形导致被保险人身故的，本合同效力终止，投保人已交足 </w:t>
                  </w:r>
                  <w:r>
                    <w:rPr>
                      <w:color w:val="000000"/>
                    </w:rPr>
                    <w:t>2</w:t>
                  </w:r>
                  <w:r>
                    <w:rPr>
                      <w:color w:val="000000"/>
                      <w:spacing w:val="-2"/>
                    </w:rPr>
                    <w:t>年以上保险费的，我们向投保人以外的被保险人的继承人退还本合同当时的</w:t>
                  </w:r>
                </w:p>
              </w:txbxContent>
            </v:textbox>
            <w10:wrap type="topAndBottom"/>
          </v:shape>
        </w:pict>
      </w:r>
      <w:r>
        <w:drawing>
          <wp:anchor distT="0" distB="0" distL="0" distR="0" simplePos="0" relativeHeight="251659264" behindDoc="0" locked="0" layoutInCell="1" allowOverlap="1">
            <wp:simplePos x="0" y="0"/>
            <wp:positionH relativeFrom="page">
              <wp:posOffset>827405</wp:posOffset>
            </wp:positionH>
            <wp:positionV relativeFrom="paragraph">
              <wp:posOffset>694690</wp:posOffset>
            </wp:positionV>
            <wp:extent cx="1829435" cy="6350"/>
            <wp:effectExtent l="0" t="0" r="0" b="0"/>
            <wp:wrapTopAndBottom/>
            <wp:docPr id="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0.png"/>
                    <pic:cNvPicPr>
                      <a:picLocks noChangeAspect="1"/>
                    </pic:cNvPicPr>
                  </pic:nvPicPr>
                  <pic:blipFill>
                    <a:blip r:embed="rId26" cstate="print"/>
                    <a:stretch>
                      <a:fillRect/>
                    </a:stretch>
                  </pic:blipFill>
                  <pic:spPr>
                    <a:xfrm>
                      <a:off x="0" y="0"/>
                      <a:ext cx="1829282" cy="6096"/>
                    </a:xfrm>
                    <a:prstGeom prst="rect">
                      <a:avLst/>
                    </a:prstGeom>
                  </pic:spPr>
                </pic:pic>
              </a:graphicData>
            </a:graphic>
          </wp:anchor>
        </w:drawing>
      </w:r>
    </w:p>
    <w:p>
      <w:pPr>
        <w:pStyle w:val="6"/>
        <w:spacing w:before="1"/>
        <w:rPr>
          <w:sz w:val="22"/>
        </w:rPr>
      </w:pPr>
    </w:p>
    <w:p>
      <w:pPr>
        <w:spacing w:before="64" w:line="228" w:lineRule="auto"/>
        <w:ind w:left="723" w:right="415" w:firstLine="0"/>
        <w:jc w:val="both"/>
        <w:rPr>
          <w:sz w:val="18"/>
        </w:rPr>
      </w:pPr>
      <w:r>
        <w:rPr>
          <w:rFonts w:ascii="Times New Roman" w:eastAsia="Times New Roman"/>
          <w:spacing w:val="-2"/>
          <w:sz w:val="18"/>
          <w:vertAlign w:val="superscript"/>
        </w:rPr>
        <w:t>8</w:t>
      </w:r>
      <w:r>
        <w:rPr>
          <w:rFonts w:ascii="Times New Roman" w:eastAsia="Times New Roman"/>
          <w:spacing w:val="-2"/>
          <w:sz w:val="18"/>
          <w:vertAlign w:val="baseline"/>
        </w:rPr>
        <w:t xml:space="preserve"> </w:t>
      </w:r>
      <w:r>
        <w:rPr>
          <w:rFonts w:ascii="微软雅黑" w:eastAsia="微软雅黑"/>
          <w:b/>
          <w:spacing w:val="-2"/>
          <w:sz w:val="18"/>
          <w:vertAlign w:val="baseline"/>
        </w:rPr>
        <w:t>毒品：</w:t>
      </w:r>
      <w:r>
        <w:rPr>
          <w:spacing w:val="-2"/>
          <w:sz w:val="18"/>
          <w:vertAlign w:val="baseline"/>
        </w:rPr>
        <w:t>指《中华人民共和国刑法》规定的鸦片、海洛因、甲基苯丙胺（冰毒</w:t>
      </w:r>
      <w:r>
        <w:rPr>
          <w:spacing w:val="-92"/>
          <w:sz w:val="18"/>
          <w:vertAlign w:val="baseline"/>
        </w:rPr>
        <w:t>）</w:t>
      </w:r>
      <w:r>
        <w:rPr>
          <w:spacing w:val="-2"/>
          <w:sz w:val="18"/>
          <w:vertAlign w:val="baseline"/>
        </w:rPr>
        <w:t>、吗啡、大麻、可卡因以及国家规定管制的其他能够使人形成瘾癖的麻醉药品和精神药品，但不包括由医生开具并遵医嘱使用的用于治疗疾病但含有毒品成分的处方</w:t>
      </w:r>
      <w:r>
        <w:rPr>
          <w:spacing w:val="-4"/>
          <w:sz w:val="18"/>
          <w:vertAlign w:val="baseline"/>
        </w:rPr>
        <w:t>药品。</w:t>
      </w:r>
    </w:p>
    <w:p>
      <w:pPr>
        <w:spacing w:before="0" w:line="269" w:lineRule="exact"/>
        <w:ind w:left="723" w:right="0" w:firstLine="0"/>
        <w:jc w:val="both"/>
        <w:rPr>
          <w:sz w:val="18"/>
        </w:rPr>
      </w:pPr>
      <w:r>
        <w:rPr>
          <w:rFonts w:ascii="Times New Roman" w:eastAsia="Times New Roman"/>
          <w:sz w:val="18"/>
          <w:vertAlign w:val="superscript"/>
        </w:rPr>
        <w:t>9</w:t>
      </w:r>
      <w:r>
        <w:rPr>
          <w:rFonts w:ascii="Times New Roman" w:eastAsia="Times New Roman"/>
          <w:spacing w:val="47"/>
          <w:sz w:val="18"/>
          <w:vertAlign w:val="baseline"/>
        </w:rPr>
        <w:t xml:space="preserve"> </w:t>
      </w:r>
      <w:r>
        <w:rPr>
          <w:rFonts w:ascii="微软雅黑" w:eastAsia="微软雅黑"/>
          <w:b/>
          <w:sz w:val="18"/>
          <w:vertAlign w:val="baseline"/>
        </w:rPr>
        <w:t>酒后驾驶：</w:t>
      </w:r>
      <w:r>
        <w:rPr>
          <w:spacing w:val="-1"/>
          <w:sz w:val="18"/>
          <w:vertAlign w:val="baseline"/>
        </w:rPr>
        <w:t>指经检测或鉴定，发生事故时车辆驾驶人员每百毫升血液中的酒精含量达到或超过一定的标准，公安机关交</w:t>
      </w:r>
    </w:p>
    <w:p>
      <w:pPr>
        <w:spacing w:before="0" w:line="189" w:lineRule="exact"/>
        <w:ind w:left="723" w:right="0" w:firstLine="0"/>
        <w:jc w:val="left"/>
        <w:rPr>
          <w:sz w:val="18"/>
        </w:rPr>
      </w:pPr>
      <w:r>
        <w:rPr>
          <w:spacing w:val="-1"/>
          <w:sz w:val="18"/>
        </w:rPr>
        <w:t>通管理部门依据《道路交通安全法》的规定认定为饮酒后驾驶或醉酒后驾驶。</w:t>
      </w:r>
    </w:p>
    <w:p>
      <w:pPr>
        <w:spacing w:before="5" w:line="211" w:lineRule="auto"/>
        <w:ind w:left="723" w:right="327" w:firstLine="0"/>
        <w:jc w:val="left"/>
        <w:rPr>
          <w:sz w:val="18"/>
        </w:rPr>
      </w:pPr>
      <w:r>
        <w:rPr>
          <w:rFonts w:ascii="Times New Roman" w:eastAsia="Times New Roman"/>
          <w:spacing w:val="-4"/>
          <w:sz w:val="18"/>
          <w:vertAlign w:val="superscript"/>
        </w:rPr>
        <w:t>10</w:t>
      </w:r>
      <w:r>
        <w:rPr>
          <w:rFonts w:ascii="Times New Roman" w:eastAsia="Times New Roman"/>
          <w:spacing w:val="14"/>
          <w:sz w:val="18"/>
          <w:vertAlign w:val="baseline"/>
        </w:rPr>
        <w:t xml:space="preserve"> </w:t>
      </w:r>
      <w:r>
        <w:rPr>
          <w:rFonts w:ascii="微软雅黑" w:eastAsia="微软雅黑"/>
          <w:b/>
          <w:spacing w:val="-4"/>
          <w:sz w:val="18"/>
          <w:vertAlign w:val="baseline"/>
        </w:rPr>
        <w:t>无合法有效驾驶证驾驶：</w:t>
      </w:r>
      <w:r>
        <w:rPr>
          <w:spacing w:val="-4"/>
          <w:sz w:val="18"/>
          <w:vertAlign w:val="baseline"/>
        </w:rPr>
        <w:t>指下列情形之一：（1）没有取得驾驶资格；（2）驾驶与驾驶证准驾车型不相符合的车辆；（3）</w:t>
      </w:r>
      <w:r>
        <w:rPr>
          <w:spacing w:val="-2"/>
          <w:sz w:val="18"/>
          <w:vertAlign w:val="baseline"/>
        </w:rPr>
        <w:t>持审验不合格的驾驶证驾驶；（4）持学习驾驶证学习驾车时，无教练员随车指导，或不按指定时间、路线学习驾车。</w:t>
      </w:r>
    </w:p>
    <w:p>
      <w:pPr>
        <w:spacing w:before="0" w:line="243" w:lineRule="exact"/>
        <w:ind w:left="723" w:right="0" w:firstLine="0"/>
        <w:jc w:val="left"/>
        <w:rPr>
          <w:sz w:val="18"/>
        </w:rPr>
      </w:pPr>
      <w:r>
        <w:rPr>
          <w:rFonts w:ascii="Times New Roman" w:eastAsia="Times New Roman"/>
          <w:spacing w:val="-8"/>
          <w:sz w:val="18"/>
          <w:vertAlign w:val="superscript"/>
        </w:rPr>
        <w:t>11</w:t>
      </w:r>
      <w:r>
        <w:rPr>
          <w:rFonts w:ascii="Times New Roman" w:eastAsia="Times New Roman"/>
          <w:spacing w:val="68"/>
          <w:w w:val="150"/>
          <w:sz w:val="18"/>
          <w:vertAlign w:val="baseline"/>
        </w:rPr>
        <w:t xml:space="preserve"> </w:t>
      </w:r>
      <w:r>
        <w:rPr>
          <w:rFonts w:ascii="微软雅黑" w:eastAsia="微软雅黑"/>
          <w:b/>
          <w:spacing w:val="-8"/>
          <w:sz w:val="18"/>
          <w:vertAlign w:val="baseline"/>
        </w:rPr>
        <w:t>无合法有效行驶证：</w:t>
      </w:r>
      <w:r>
        <w:rPr>
          <w:spacing w:val="-20"/>
          <w:sz w:val="18"/>
          <w:vertAlign w:val="baseline"/>
        </w:rPr>
        <w:t>指下列情形之一：</w:t>
      </w:r>
      <w:r>
        <w:rPr>
          <w:spacing w:val="37"/>
          <w:sz w:val="18"/>
          <w:vertAlign w:val="baseline"/>
        </w:rPr>
        <w:t>（</w:t>
      </w:r>
      <w:r>
        <w:rPr>
          <w:spacing w:val="38"/>
          <w:sz w:val="18"/>
          <w:vertAlign w:val="baseline"/>
        </w:rPr>
        <w:t>1</w:t>
      </w:r>
      <w:r>
        <w:rPr>
          <w:spacing w:val="-9"/>
          <w:sz w:val="18"/>
          <w:vertAlign w:val="baseline"/>
        </w:rPr>
        <w:t>）</w:t>
      </w:r>
      <w:r>
        <w:rPr>
          <w:spacing w:val="-16"/>
          <w:sz w:val="18"/>
          <w:vertAlign w:val="baseline"/>
        </w:rPr>
        <w:t>机动车被依法注销登记的；</w:t>
      </w:r>
      <w:r>
        <w:rPr>
          <w:spacing w:val="37"/>
          <w:sz w:val="18"/>
          <w:vertAlign w:val="baseline"/>
        </w:rPr>
        <w:t>（</w:t>
      </w:r>
      <w:r>
        <w:rPr>
          <w:spacing w:val="38"/>
          <w:sz w:val="18"/>
          <w:vertAlign w:val="baseline"/>
        </w:rPr>
        <w:t>2</w:t>
      </w:r>
      <w:r>
        <w:rPr>
          <w:spacing w:val="-9"/>
          <w:sz w:val="18"/>
          <w:vertAlign w:val="baseline"/>
        </w:rPr>
        <w:t>）未依法按时进行或通过机动车安全技术检验。</w:t>
      </w:r>
    </w:p>
    <w:p>
      <w:pPr>
        <w:spacing w:before="0" w:line="269" w:lineRule="exact"/>
        <w:ind w:left="723" w:right="0" w:firstLine="0"/>
        <w:jc w:val="left"/>
        <w:rPr>
          <w:sz w:val="18"/>
        </w:rPr>
      </w:pPr>
      <w:r>
        <w:rPr>
          <w:rFonts w:ascii="Times New Roman" w:eastAsia="Times New Roman"/>
          <w:spacing w:val="-2"/>
          <w:position w:val="7"/>
          <w:sz w:val="14"/>
        </w:rPr>
        <w:t>12</w:t>
      </w:r>
      <w:r>
        <w:rPr>
          <w:rFonts w:ascii="Times New Roman" w:eastAsia="Times New Roman"/>
          <w:spacing w:val="40"/>
          <w:position w:val="7"/>
          <w:sz w:val="14"/>
        </w:rPr>
        <w:t xml:space="preserve">  </w:t>
      </w:r>
      <w:r>
        <w:rPr>
          <w:rFonts w:ascii="微软雅黑" w:eastAsia="微软雅黑"/>
          <w:b/>
          <w:spacing w:val="-2"/>
          <w:sz w:val="18"/>
        </w:rPr>
        <w:t>感染艾滋病病毒或患艾滋病：</w:t>
      </w:r>
      <w:r>
        <w:rPr>
          <w:spacing w:val="-3"/>
          <w:sz w:val="18"/>
        </w:rPr>
        <w:t xml:space="preserve">艾滋病病毒指人类免疫缺陷病毒，英文缩写为 </w:t>
      </w:r>
      <w:r>
        <w:rPr>
          <w:spacing w:val="-2"/>
          <w:sz w:val="18"/>
        </w:rPr>
        <w:t>HIV</w:t>
      </w:r>
      <w:r>
        <w:rPr>
          <w:spacing w:val="-3"/>
          <w:sz w:val="18"/>
        </w:rPr>
        <w:t>。艾滋病指人类免疫缺陷病毒引起的获</w:t>
      </w:r>
    </w:p>
    <w:p>
      <w:pPr>
        <w:spacing w:before="0" w:line="214" w:lineRule="exact"/>
        <w:ind w:left="723" w:right="0" w:firstLine="0"/>
        <w:jc w:val="left"/>
        <w:rPr>
          <w:sz w:val="18"/>
        </w:rPr>
      </w:pPr>
      <w:r>
        <w:rPr>
          <w:spacing w:val="-3"/>
          <w:sz w:val="18"/>
        </w:rPr>
        <w:t xml:space="preserve">得性免疫缺陷综合征，英文缩写为 </w:t>
      </w:r>
      <w:r>
        <w:rPr>
          <w:sz w:val="18"/>
        </w:rPr>
        <w:t>AIDS</w:t>
      </w:r>
      <w:r>
        <w:rPr>
          <w:spacing w:val="-10"/>
          <w:sz w:val="18"/>
        </w:rPr>
        <w:t>。</w:t>
      </w:r>
    </w:p>
    <w:p>
      <w:pPr>
        <w:spacing w:before="9" w:line="249" w:lineRule="auto"/>
        <w:ind w:left="723" w:right="415" w:firstLine="0"/>
        <w:jc w:val="left"/>
        <w:rPr>
          <w:sz w:val="18"/>
        </w:rPr>
      </w:pPr>
      <w:r>
        <w:rPr>
          <w:spacing w:val="-2"/>
          <w:sz w:val="18"/>
        </w:rPr>
        <w:t>在人体血液或其他样本中检测到艾滋病病毒或其抗体呈阳性，没有出现临床症状或体征的，为感染艾滋病病毒；如果同时出现了明显临床症状或体征的，为患艾滋病。</w:t>
      </w:r>
    </w:p>
    <w:p>
      <w:pPr>
        <w:spacing w:before="0" w:line="257" w:lineRule="exact"/>
        <w:ind w:left="723" w:right="0" w:firstLine="0"/>
        <w:jc w:val="left"/>
        <w:rPr>
          <w:sz w:val="18"/>
        </w:rPr>
      </w:pPr>
      <w:r>
        <w:rPr>
          <w:rFonts w:ascii="Times New Roman" w:eastAsia="Times New Roman"/>
          <w:spacing w:val="-2"/>
          <w:sz w:val="18"/>
          <w:vertAlign w:val="superscript"/>
        </w:rPr>
        <w:t>13</w:t>
      </w:r>
      <w:r>
        <w:rPr>
          <w:rFonts w:ascii="Times New Roman" w:eastAsia="Times New Roman"/>
          <w:spacing w:val="79"/>
          <w:w w:val="150"/>
          <w:sz w:val="18"/>
          <w:vertAlign w:val="baseline"/>
        </w:rPr>
        <w:t xml:space="preserve"> </w:t>
      </w:r>
      <w:r>
        <w:rPr>
          <w:rFonts w:ascii="微软雅黑" w:eastAsia="微软雅黑"/>
          <w:b/>
          <w:spacing w:val="-2"/>
          <w:sz w:val="18"/>
          <w:vertAlign w:val="baseline"/>
        </w:rPr>
        <w:t>遗传性疾病：</w:t>
      </w:r>
      <w:r>
        <w:rPr>
          <w:spacing w:val="-2"/>
          <w:sz w:val="18"/>
          <w:vertAlign w:val="baseline"/>
        </w:rPr>
        <w:t>指生殖细胞或受精卵的遗传物质（染色体和基因）</w:t>
      </w:r>
      <w:r>
        <w:rPr>
          <w:spacing w:val="-3"/>
          <w:sz w:val="18"/>
          <w:vertAlign w:val="baseline"/>
        </w:rPr>
        <w:t>发生突变或畸变所引起的疾病，通常具有由亲代传至后</w:t>
      </w:r>
    </w:p>
    <w:p>
      <w:pPr>
        <w:spacing w:before="0" w:line="189" w:lineRule="exact"/>
        <w:ind w:left="723" w:right="0" w:firstLine="0"/>
        <w:jc w:val="left"/>
        <w:rPr>
          <w:sz w:val="18"/>
        </w:rPr>
      </w:pPr>
      <w:r>
        <w:rPr>
          <w:spacing w:val="-1"/>
          <w:sz w:val="18"/>
        </w:rPr>
        <w:t>代的垂直传递的特征。</w:t>
      </w:r>
    </w:p>
    <w:p>
      <w:pPr>
        <w:spacing w:before="5" w:line="211" w:lineRule="auto"/>
        <w:ind w:left="723" w:right="414" w:firstLine="0"/>
        <w:jc w:val="left"/>
        <w:rPr>
          <w:sz w:val="18"/>
        </w:rPr>
      </w:pPr>
      <w:r>
        <w:rPr>
          <w:rFonts w:ascii="Times New Roman" w:eastAsia="Times New Roman"/>
          <w:spacing w:val="-2"/>
          <w:sz w:val="18"/>
          <w:vertAlign w:val="superscript"/>
        </w:rPr>
        <w:t>14</w:t>
      </w:r>
      <w:r>
        <w:rPr>
          <w:rFonts w:ascii="Times New Roman" w:eastAsia="Times New Roman"/>
          <w:spacing w:val="46"/>
          <w:sz w:val="18"/>
          <w:vertAlign w:val="baseline"/>
        </w:rPr>
        <w:t xml:space="preserve"> </w:t>
      </w:r>
      <w:r>
        <w:rPr>
          <w:rFonts w:ascii="微软雅黑" w:eastAsia="微软雅黑"/>
          <w:b/>
          <w:spacing w:val="-2"/>
          <w:sz w:val="18"/>
          <w:vertAlign w:val="baseline"/>
        </w:rPr>
        <w:t>先天性畸形、变形或染色体异常：</w:t>
      </w:r>
      <w:r>
        <w:rPr>
          <w:spacing w:val="-2"/>
          <w:sz w:val="18"/>
          <w:vertAlign w:val="baseline"/>
        </w:rPr>
        <w:t>指被保险人出生时就具有的畸形、变形或染色体异常。先天性畸形、变形和染色体异常依照世界卫生组织《疾病和有关健康问题的国际统计分类》第十次修订版（</w:t>
      </w:r>
      <w:r>
        <w:rPr>
          <w:rFonts w:ascii="Times New Roman" w:eastAsia="Times New Roman"/>
          <w:spacing w:val="-2"/>
          <w:sz w:val="18"/>
          <w:vertAlign w:val="baseline"/>
        </w:rPr>
        <w:t>ICD-10</w:t>
      </w:r>
      <w:r>
        <w:rPr>
          <w:spacing w:val="-2"/>
          <w:sz w:val="18"/>
          <w:vertAlign w:val="baseline"/>
        </w:rPr>
        <w:t>）确定。</w:t>
      </w:r>
    </w:p>
    <w:p>
      <w:pPr>
        <w:spacing w:after="0" w:line="211" w:lineRule="auto"/>
        <w:jc w:val="left"/>
        <w:rPr>
          <w:sz w:val="18"/>
        </w:rPr>
        <w:sectPr>
          <w:type w:val="continuous"/>
          <w:pgSz w:w="11910" w:h="16840"/>
          <w:pgMar w:top="280" w:right="660" w:bottom="280" w:left="580" w:header="0" w:footer="1060" w:gutter="0"/>
          <w:cols w:space="720" w:num="1"/>
        </w:sectPr>
      </w:pPr>
    </w:p>
    <w:tbl>
      <w:tblPr>
        <w:tblStyle w:val="7"/>
        <w:tblW w:w="0" w:type="auto"/>
        <w:tblInd w:w="3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052"/>
        <w:gridCol w:w="2101"/>
        <w:gridCol w:w="2523"/>
        <w:gridCol w:w="12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8" w:hRule="atLeast"/>
        </w:trPr>
        <w:tc>
          <w:tcPr>
            <w:tcW w:w="1052" w:type="dxa"/>
            <w:shd w:val="clear" w:color="auto" w:fill="C0C0C0"/>
          </w:tcPr>
          <w:p>
            <w:pPr>
              <w:pStyle w:val="11"/>
              <w:spacing w:before="13" w:line="245" w:lineRule="exact"/>
              <w:ind w:right="-15"/>
              <w:rPr>
                <w:sz w:val="21"/>
              </w:rPr>
            </w:pPr>
            <w:r>
              <w:rPr>
                <w:spacing w:val="-4"/>
                <w:sz w:val="21"/>
              </w:rPr>
              <w:t>现金价值。</w:t>
            </w:r>
          </w:p>
        </w:tc>
        <w:tc>
          <w:tcPr>
            <w:tcW w:w="5903" w:type="dxa"/>
            <w:gridSpan w:val="3"/>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2" w:hRule="atLeast"/>
        </w:trPr>
        <w:tc>
          <w:tcPr>
            <w:tcW w:w="6955" w:type="dxa"/>
            <w:gridSpan w:val="4"/>
            <w:shd w:val="clear" w:color="auto" w:fill="C0C0C0"/>
          </w:tcPr>
          <w:p>
            <w:pPr>
              <w:pStyle w:val="11"/>
              <w:spacing w:before="13"/>
              <w:rPr>
                <w:sz w:val="21"/>
              </w:rPr>
            </w:pPr>
            <w:r>
              <w:rPr>
                <w:spacing w:val="-10"/>
                <w:sz w:val="21"/>
              </w:rPr>
              <w:t xml:space="preserve">因上述第 </w:t>
            </w:r>
            <w:r>
              <w:rPr>
                <w:spacing w:val="-2"/>
                <w:sz w:val="21"/>
              </w:rPr>
              <w:t>1</w:t>
            </w:r>
            <w:r>
              <w:rPr>
                <w:spacing w:val="-10"/>
                <w:sz w:val="21"/>
              </w:rPr>
              <w:t xml:space="preserve"> 项情形导致被保险人发生本合同约定的疾病、达到疾病状态或进</w:t>
            </w:r>
          </w:p>
          <w:p>
            <w:pPr>
              <w:pStyle w:val="11"/>
              <w:spacing w:before="12" w:line="248" w:lineRule="exact"/>
              <w:rPr>
                <w:sz w:val="21"/>
              </w:rPr>
            </w:pPr>
            <w:r>
              <w:rPr>
                <w:spacing w:val="-4"/>
                <w:sz w:val="21"/>
              </w:rPr>
              <w:t xml:space="preserve">行手术的，本合同效力终止，投保人已交足 </w:t>
            </w:r>
            <w:r>
              <w:rPr>
                <w:spacing w:val="-2"/>
                <w:sz w:val="21"/>
              </w:rPr>
              <w:t>2</w:t>
            </w:r>
            <w:r>
              <w:rPr>
                <w:spacing w:val="-10"/>
                <w:sz w:val="21"/>
              </w:rPr>
              <w:t xml:space="preserve"> 年以上保险费的，我们向被保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8" w:hRule="atLeast"/>
        </w:trPr>
        <w:tc>
          <w:tcPr>
            <w:tcW w:w="3153" w:type="dxa"/>
            <w:gridSpan w:val="2"/>
            <w:shd w:val="clear" w:color="auto" w:fill="C0C0C0"/>
          </w:tcPr>
          <w:p>
            <w:pPr>
              <w:pStyle w:val="11"/>
              <w:spacing w:before="13" w:line="245" w:lineRule="exact"/>
              <w:ind w:right="-15"/>
              <w:rPr>
                <w:sz w:val="21"/>
              </w:rPr>
            </w:pPr>
            <w:r>
              <w:rPr>
                <w:spacing w:val="-3"/>
                <w:sz w:val="21"/>
              </w:rPr>
              <w:t>险人退还本合同当时的现金价值。</w:t>
            </w:r>
          </w:p>
        </w:tc>
        <w:tc>
          <w:tcPr>
            <w:tcW w:w="3802" w:type="dxa"/>
            <w:gridSpan w:val="2"/>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1" w:hRule="atLeast"/>
        </w:trPr>
        <w:tc>
          <w:tcPr>
            <w:tcW w:w="6955" w:type="dxa"/>
            <w:gridSpan w:val="4"/>
            <w:shd w:val="clear" w:color="auto" w:fill="C0C0C0"/>
          </w:tcPr>
          <w:p>
            <w:pPr>
              <w:pStyle w:val="11"/>
              <w:spacing w:before="13"/>
              <w:ind w:right="-29"/>
              <w:rPr>
                <w:sz w:val="21"/>
              </w:rPr>
            </w:pPr>
            <w:r>
              <w:rPr>
                <w:spacing w:val="-2"/>
                <w:sz w:val="21"/>
              </w:rPr>
              <w:t xml:space="preserve">发生上述第 </w:t>
            </w:r>
            <w:r>
              <w:rPr>
                <w:sz w:val="21"/>
              </w:rPr>
              <w:t>2</w:t>
            </w:r>
            <w:r>
              <w:rPr>
                <w:spacing w:val="-4"/>
                <w:sz w:val="21"/>
              </w:rPr>
              <w:t xml:space="preserve"> 项至第 </w:t>
            </w:r>
            <w:r>
              <w:rPr>
                <w:sz w:val="21"/>
              </w:rPr>
              <w:t>7</w:t>
            </w:r>
            <w:r>
              <w:rPr>
                <w:spacing w:val="-8"/>
                <w:sz w:val="21"/>
              </w:rPr>
              <w:t xml:space="preserve"> 项情形导致被保险人身故，或发生上述第 </w:t>
            </w:r>
            <w:r>
              <w:rPr>
                <w:sz w:val="21"/>
              </w:rPr>
              <w:t>2</w:t>
            </w:r>
            <w:r>
              <w:rPr>
                <w:spacing w:val="-4"/>
                <w:sz w:val="21"/>
              </w:rPr>
              <w:t xml:space="preserve"> 项至第</w:t>
            </w:r>
          </w:p>
          <w:p>
            <w:pPr>
              <w:pStyle w:val="11"/>
              <w:spacing w:before="12" w:line="248" w:lineRule="exact"/>
              <w:rPr>
                <w:sz w:val="21"/>
              </w:rPr>
            </w:pPr>
            <w:r>
              <w:rPr>
                <w:spacing w:val="-2"/>
                <w:sz w:val="21"/>
              </w:rPr>
              <w:t>9</w:t>
            </w:r>
            <w:r>
              <w:rPr>
                <w:spacing w:val="-6"/>
                <w:sz w:val="21"/>
              </w:rPr>
              <w:t xml:space="preserve"> 项情形导致被保险人发生本合同约定的疾病、达到疾病状态或进行手术的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8" w:hRule="atLeast"/>
        </w:trPr>
        <w:tc>
          <w:tcPr>
            <w:tcW w:w="5676" w:type="dxa"/>
            <w:gridSpan w:val="3"/>
            <w:shd w:val="clear" w:color="auto" w:fill="C0C0C0"/>
          </w:tcPr>
          <w:p>
            <w:pPr>
              <w:pStyle w:val="11"/>
              <w:spacing w:before="13" w:line="245" w:lineRule="exact"/>
              <w:ind w:right="-15"/>
              <w:rPr>
                <w:sz w:val="21"/>
              </w:rPr>
            </w:pPr>
            <w:r>
              <w:rPr>
                <w:spacing w:val="-3"/>
                <w:sz w:val="21"/>
              </w:rPr>
              <w:t>本合同效力终止，我们向投保人退还本合同当时的现金价值。</w:t>
            </w:r>
          </w:p>
        </w:tc>
        <w:tc>
          <w:tcPr>
            <w:tcW w:w="1279" w:type="dxa"/>
          </w:tcPr>
          <w:p>
            <w:pPr>
              <w:pStyle w:val="11"/>
              <w:rPr>
                <w:rFonts w:ascii="Times New Roman"/>
                <w:sz w:val="20"/>
              </w:rPr>
            </w:pPr>
          </w:p>
        </w:tc>
      </w:tr>
    </w:tbl>
    <w:p>
      <w:pPr>
        <w:pStyle w:val="6"/>
        <w:spacing w:before="8"/>
        <w:rPr>
          <w:sz w:val="20"/>
        </w:rPr>
      </w:pPr>
    </w:p>
    <w:p>
      <w:pPr>
        <w:pStyle w:val="10"/>
        <w:numPr>
          <w:ilvl w:val="1"/>
          <w:numId w:val="8"/>
        </w:numPr>
        <w:tabs>
          <w:tab w:val="left" w:pos="1825"/>
          <w:tab w:val="left" w:pos="1826"/>
        </w:tabs>
        <w:spacing w:before="10" w:after="0" w:line="235" w:lineRule="auto"/>
        <w:ind w:left="3385" w:right="409" w:hanging="2662"/>
        <w:jc w:val="both"/>
        <w:rPr>
          <w:sz w:val="21"/>
        </w:rPr>
      </w:pPr>
      <w:r>
        <w:rPr>
          <w:rFonts w:ascii="微软雅黑" w:hAnsi="微软雅黑" w:eastAsia="微软雅黑"/>
          <w:b/>
          <w:spacing w:val="11"/>
          <w:sz w:val="21"/>
        </w:rPr>
        <w:t xml:space="preserve">其他免责条款 </w:t>
      </w:r>
      <w:r>
        <w:rPr>
          <w:sz w:val="21"/>
        </w:rPr>
        <w:t>除“2.1</w:t>
      </w:r>
      <w:r>
        <w:rPr>
          <w:spacing w:val="-6"/>
          <w:sz w:val="21"/>
        </w:rPr>
        <w:t xml:space="preserve"> 责任免除”外，本合同中还有一些免除本公司责任的条款，详见背</w:t>
      </w:r>
      <w:r>
        <w:rPr>
          <w:spacing w:val="-2"/>
          <w:sz w:val="21"/>
        </w:rPr>
        <w:t>景突出显示的内容。</w:t>
      </w:r>
    </w:p>
    <w:p>
      <w:pPr>
        <w:pStyle w:val="6"/>
        <w:spacing w:before="12"/>
      </w:pPr>
    </w:p>
    <w:p>
      <w:pPr>
        <w:tabs>
          <w:tab w:val="left" w:pos="1825"/>
        </w:tabs>
        <w:spacing w:before="0" w:line="529" w:lineRule="exact"/>
        <w:ind w:left="1004" w:right="0" w:firstLine="0"/>
        <w:jc w:val="left"/>
        <w:rPr>
          <w:rFonts w:ascii="微软雅黑" w:hAnsi="微软雅黑" w:eastAsia="微软雅黑"/>
          <w:b/>
          <w:sz w:val="28"/>
        </w:rPr>
      </w:pPr>
      <w:r>
        <w:rPr>
          <w:rFonts w:ascii="Wingdings" w:hAnsi="Wingdings" w:eastAsia="Wingdings"/>
          <w:b/>
          <w:spacing w:val="-10"/>
          <w:position w:val="-11"/>
          <w:sz w:val="36"/>
        </w:rPr>
        <w:t></w:t>
      </w:r>
      <w:r>
        <w:rPr>
          <w:rFonts w:ascii="Times New Roman" w:hAnsi="Times New Roman" w:eastAsia="Times New Roman"/>
          <w:position w:val="-11"/>
          <w:sz w:val="36"/>
        </w:rPr>
        <w:tab/>
      </w:r>
      <w:r>
        <w:rPr>
          <w:rFonts w:ascii="微软雅黑" w:hAnsi="微软雅黑" w:eastAsia="微软雅黑"/>
          <w:b/>
          <w:spacing w:val="-2"/>
          <w:sz w:val="28"/>
        </w:rPr>
        <w:t>如何支付保险费</w:t>
      </w:r>
    </w:p>
    <w:p>
      <w:pPr>
        <w:pStyle w:val="5"/>
        <w:spacing w:line="351" w:lineRule="exact"/>
      </w:pPr>
      <w:r>
        <w:drawing>
          <wp:anchor distT="0" distB="0" distL="0" distR="0" simplePos="0" relativeHeight="251677696" behindDoc="0" locked="0" layoutInCell="1" allowOverlap="1">
            <wp:simplePos x="0" y="0"/>
            <wp:positionH relativeFrom="page">
              <wp:posOffset>758825</wp:posOffset>
            </wp:positionH>
            <wp:positionV relativeFrom="paragraph">
              <wp:posOffset>204470</wp:posOffset>
            </wp:positionV>
            <wp:extent cx="6188710" cy="18415"/>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2.png"/>
                    <pic:cNvPicPr>
                      <a:picLocks noChangeAspect="1"/>
                    </pic:cNvPicPr>
                  </pic:nvPicPr>
                  <pic:blipFill>
                    <a:blip r:embed="rId28" cstate="print"/>
                    <a:stretch>
                      <a:fillRect/>
                    </a:stretch>
                  </pic:blipFill>
                  <pic:spPr>
                    <a:xfrm>
                      <a:off x="0" y="0"/>
                      <a:ext cx="6188583" cy="18288"/>
                    </a:xfrm>
                    <a:prstGeom prst="rect">
                      <a:avLst/>
                    </a:prstGeom>
                  </pic:spPr>
                </pic:pic>
              </a:graphicData>
            </a:graphic>
          </wp:anchor>
        </w:drawing>
      </w:r>
      <w:r>
        <w:rPr>
          <w:spacing w:val="-3"/>
        </w:rPr>
        <w:t>这部分讲的是投保人应当按时缴纳保险费，如果不及时缴费可能会导致合同效力中止。</w:t>
      </w:r>
    </w:p>
    <w:p>
      <w:pPr>
        <w:pStyle w:val="6"/>
        <w:spacing w:before="10"/>
        <w:rPr>
          <w:rFonts w:ascii="微软雅黑"/>
          <w:b/>
          <w:sz w:val="14"/>
        </w:rPr>
      </w:pPr>
    </w:p>
    <w:p>
      <w:pPr>
        <w:pStyle w:val="10"/>
        <w:numPr>
          <w:ilvl w:val="1"/>
          <w:numId w:val="9"/>
        </w:numPr>
        <w:tabs>
          <w:tab w:val="left" w:pos="1825"/>
          <w:tab w:val="left" w:pos="1826"/>
          <w:tab w:val="left" w:pos="3385"/>
        </w:tabs>
        <w:spacing w:before="1" w:after="0" w:line="357" w:lineRule="exact"/>
        <w:ind w:left="1825" w:right="0" w:hanging="1103"/>
        <w:jc w:val="left"/>
        <w:rPr>
          <w:sz w:val="21"/>
        </w:rPr>
      </w:pPr>
      <w:r>
        <w:rPr>
          <w:rFonts w:ascii="微软雅黑" w:eastAsia="微软雅黑"/>
          <w:b/>
          <w:sz w:val="21"/>
        </w:rPr>
        <w:t>保险费的缴</w:t>
      </w:r>
      <w:r>
        <w:rPr>
          <w:rFonts w:ascii="微软雅黑" w:eastAsia="微软雅黑"/>
          <w:b/>
          <w:spacing w:val="-10"/>
          <w:sz w:val="21"/>
        </w:rPr>
        <w:t>付</w:t>
      </w:r>
      <w:r>
        <w:rPr>
          <w:rFonts w:ascii="微软雅黑" w:eastAsia="微软雅黑"/>
          <w:b/>
          <w:sz w:val="21"/>
        </w:rPr>
        <w:tab/>
      </w:r>
      <w:r>
        <w:rPr>
          <w:spacing w:val="-2"/>
          <w:position w:val="1"/>
          <w:sz w:val="21"/>
        </w:rPr>
        <w:t>投保人应向我们缴付保险费</w:t>
      </w:r>
      <w:r>
        <w:rPr>
          <w:spacing w:val="-10"/>
          <w:position w:val="1"/>
          <w:sz w:val="21"/>
        </w:rPr>
        <w:t>。</w:t>
      </w:r>
    </w:p>
    <w:p>
      <w:pPr>
        <w:pStyle w:val="6"/>
        <w:spacing w:line="239" w:lineRule="exact"/>
        <w:ind w:left="3385"/>
      </w:pPr>
      <w:r>
        <w:rPr>
          <w:spacing w:val="-5"/>
        </w:rPr>
        <w:t>约定分期缴付保险费的，首期后的分期保险费，应按保险单上所载的缴付方</w:t>
      </w:r>
    </w:p>
    <w:p>
      <w:pPr>
        <w:pStyle w:val="6"/>
        <w:spacing w:before="2"/>
        <w:ind w:left="3385"/>
      </w:pPr>
      <w:r>
        <w:rPr>
          <w:spacing w:val="-3"/>
        </w:rPr>
        <w:t>法及日期向我们缴付。</w:t>
      </w:r>
    </w:p>
    <w:p>
      <w:pPr>
        <w:pStyle w:val="6"/>
        <w:spacing w:before="8"/>
        <w:rPr>
          <w:sz w:val="22"/>
        </w:rPr>
      </w:pPr>
    </w:p>
    <w:p>
      <w:pPr>
        <w:pStyle w:val="10"/>
        <w:numPr>
          <w:ilvl w:val="1"/>
          <w:numId w:val="9"/>
        </w:numPr>
        <w:tabs>
          <w:tab w:val="left" w:pos="1825"/>
          <w:tab w:val="left" w:pos="1826"/>
          <w:tab w:val="left" w:pos="3385"/>
        </w:tabs>
        <w:spacing w:before="0" w:after="0" w:line="223" w:lineRule="auto"/>
        <w:ind w:left="3385" w:right="342" w:hanging="2662"/>
        <w:jc w:val="both"/>
        <w:rPr>
          <w:sz w:val="21"/>
        </w:rPr>
      </w:pPr>
      <w:r>
        <w:rPr>
          <w:rFonts w:ascii="微软雅黑" w:eastAsia="微软雅黑"/>
          <w:b/>
          <w:spacing w:val="-4"/>
          <w:sz w:val="21"/>
        </w:rPr>
        <w:t>宽限期</w:t>
      </w:r>
      <w:r>
        <w:rPr>
          <w:rFonts w:ascii="微软雅黑" w:eastAsia="微软雅黑"/>
          <w:b/>
          <w:sz w:val="21"/>
        </w:rPr>
        <w:tab/>
      </w:r>
      <w:r>
        <w:rPr>
          <w:spacing w:val="-2"/>
          <w:position w:val="1"/>
          <w:sz w:val="21"/>
        </w:rPr>
        <w:t>首期后的分期保险费到期未缴付者</w:t>
      </w:r>
      <w:r>
        <w:rPr>
          <w:spacing w:val="-68"/>
          <w:position w:val="1"/>
          <w:sz w:val="21"/>
        </w:rPr>
        <w:t>，</w:t>
      </w:r>
      <w:r>
        <w:rPr>
          <w:spacing w:val="-2"/>
          <w:position w:val="1"/>
          <w:sz w:val="21"/>
        </w:rPr>
        <w:t>自保险费到期日的次日起六十日为宽限</w:t>
      </w:r>
      <w:r>
        <w:rPr>
          <w:spacing w:val="-2"/>
          <w:sz w:val="21"/>
        </w:rPr>
        <w:t>期，宽限期内本合同仍然有效。对于被保险人在宽限期内发生的保险事故，我们仍承担保险责任。若超过宽限期仍未缴付保险费，除非本合同其它条款</w:t>
      </w:r>
    </w:p>
    <w:p>
      <w:pPr>
        <w:pStyle w:val="6"/>
        <w:spacing w:before="18"/>
        <w:ind w:left="3385"/>
        <w:jc w:val="both"/>
      </w:pPr>
      <w:r>
        <w:rPr>
          <w:spacing w:val="-5"/>
        </w:rPr>
        <w:t xml:space="preserve">另有约定，否则本合同自宽限期满的当日 </w:t>
      </w:r>
      <w:r>
        <w:rPr>
          <w:spacing w:val="-2"/>
        </w:rPr>
        <w:t>24</w:t>
      </w:r>
      <w:r>
        <w:rPr>
          <w:spacing w:val="-10"/>
        </w:rPr>
        <w:t xml:space="preserve"> 时起效力中止。</w:t>
      </w:r>
    </w:p>
    <w:p>
      <w:pPr>
        <w:pStyle w:val="6"/>
        <w:spacing w:before="10"/>
        <w:rPr>
          <w:sz w:val="20"/>
        </w:rPr>
      </w:pPr>
    </w:p>
    <w:p>
      <w:pPr>
        <w:pStyle w:val="10"/>
        <w:numPr>
          <w:ilvl w:val="1"/>
          <w:numId w:val="9"/>
        </w:numPr>
        <w:tabs>
          <w:tab w:val="left" w:pos="1825"/>
          <w:tab w:val="left" w:pos="1826"/>
          <w:tab w:val="left" w:pos="3385"/>
        </w:tabs>
        <w:spacing w:before="0" w:after="0" w:line="240" w:lineRule="auto"/>
        <w:ind w:left="1825" w:right="0" w:hanging="1103"/>
        <w:jc w:val="left"/>
        <w:rPr>
          <w:sz w:val="21"/>
        </w:rPr>
      </w:pPr>
      <w:r>
        <w:rPr>
          <w:rFonts w:ascii="微软雅黑" w:eastAsia="微软雅黑"/>
          <w:b/>
          <w:sz w:val="21"/>
        </w:rPr>
        <w:t>效力中</w:t>
      </w:r>
      <w:r>
        <w:rPr>
          <w:rFonts w:ascii="微软雅黑" w:eastAsia="微软雅黑"/>
          <w:b/>
          <w:spacing w:val="-10"/>
          <w:sz w:val="21"/>
        </w:rPr>
        <w:t>止</w:t>
      </w:r>
      <w:r>
        <w:rPr>
          <w:rFonts w:ascii="微软雅黑" w:eastAsia="微软雅黑"/>
          <w:b/>
          <w:sz w:val="21"/>
        </w:rPr>
        <w:tab/>
      </w:r>
      <w:r>
        <w:rPr>
          <w:color w:val="000000"/>
          <w:spacing w:val="-2"/>
          <w:position w:val="1"/>
          <w:sz w:val="21"/>
          <w:shd w:val="clear" w:color="auto" w:fill="C0C0C0"/>
        </w:rPr>
        <w:t>在本合同效力中止期间，我们不承担保险责任</w:t>
      </w:r>
      <w:r>
        <w:rPr>
          <w:color w:val="000000"/>
          <w:spacing w:val="-10"/>
          <w:position w:val="1"/>
          <w:sz w:val="21"/>
          <w:shd w:val="clear" w:color="auto" w:fill="C0C0C0"/>
        </w:rPr>
        <w:t>。</w:t>
      </w:r>
    </w:p>
    <w:p>
      <w:pPr>
        <w:pStyle w:val="6"/>
        <w:spacing w:before="6"/>
        <w:rPr>
          <w:sz w:val="18"/>
        </w:rPr>
      </w:pPr>
    </w:p>
    <w:p>
      <w:pPr>
        <w:pStyle w:val="10"/>
        <w:numPr>
          <w:ilvl w:val="1"/>
          <w:numId w:val="9"/>
        </w:numPr>
        <w:tabs>
          <w:tab w:val="left" w:pos="1825"/>
          <w:tab w:val="left" w:pos="1826"/>
          <w:tab w:val="left" w:pos="3385"/>
        </w:tabs>
        <w:spacing w:before="0" w:after="0" w:line="362" w:lineRule="exact"/>
        <w:ind w:left="1825" w:right="0" w:hanging="1103"/>
        <w:jc w:val="left"/>
        <w:rPr>
          <w:sz w:val="21"/>
        </w:rPr>
      </w:pPr>
      <w:r>
        <w:rPr>
          <w:rFonts w:ascii="微软雅黑" w:eastAsia="微软雅黑"/>
          <w:b/>
          <w:sz w:val="21"/>
        </w:rPr>
        <w:t>效力恢</w:t>
      </w:r>
      <w:r>
        <w:rPr>
          <w:rFonts w:ascii="微软雅黑" w:eastAsia="微软雅黑"/>
          <w:b/>
          <w:spacing w:val="-10"/>
          <w:sz w:val="21"/>
        </w:rPr>
        <w:t>复</w:t>
      </w:r>
      <w:r>
        <w:rPr>
          <w:rFonts w:ascii="微软雅黑" w:eastAsia="微软雅黑"/>
          <w:b/>
          <w:sz w:val="21"/>
        </w:rPr>
        <w:tab/>
      </w:r>
      <w:r>
        <w:rPr>
          <w:position w:val="1"/>
          <w:sz w:val="21"/>
        </w:rPr>
        <w:t>本合同效力中止后的两年内，投保人可向我们提出书面申请恢复合同效</w:t>
      </w:r>
      <w:r>
        <w:rPr>
          <w:spacing w:val="-10"/>
          <w:position w:val="1"/>
          <w:sz w:val="21"/>
        </w:rPr>
        <w:t>力</w:t>
      </w:r>
    </w:p>
    <w:p>
      <w:pPr>
        <w:pStyle w:val="6"/>
        <w:spacing w:line="244" w:lineRule="exact"/>
        <w:ind w:left="3385"/>
      </w:pPr>
      <w:r>
        <w:t>（简称复效</w:t>
      </w:r>
      <w:r>
        <w:rPr>
          <w:spacing w:val="-104"/>
        </w:rPr>
        <w:t>）</w:t>
      </w:r>
      <w:r>
        <w:rPr>
          <w:spacing w:val="-1"/>
        </w:rPr>
        <w:t>，并提供被保险人的健康声明书或我们指定或认可的医疗机构</w:t>
      </w:r>
    </w:p>
    <w:p>
      <w:pPr>
        <w:pStyle w:val="6"/>
        <w:spacing w:before="46" w:line="201" w:lineRule="auto"/>
        <w:ind w:left="3385" w:right="408"/>
      </w:pPr>
      <w:r>
        <w:rPr>
          <w:spacing w:val="-2"/>
        </w:rPr>
        <w:t>出具的体检报告书，在经我们审核通过并缴清欠缴的保险费及利息（扣除合同效力中止期间的</w:t>
      </w:r>
      <w:r>
        <w:rPr>
          <w:rFonts w:ascii="微软雅黑" w:eastAsia="微软雅黑"/>
          <w:b/>
          <w:spacing w:val="-2"/>
        </w:rPr>
        <w:t>危险保费</w:t>
      </w:r>
      <w:r>
        <w:rPr>
          <w:rFonts w:ascii="Times New Roman" w:eastAsia="Times New Roman"/>
          <w:b/>
          <w:spacing w:val="-2"/>
          <w:vertAlign w:val="superscript"/>
        </w:rPr>
        <w:t>15</w:t>
      </w:r>
      <w:r>
        <w:rPr>
          <w:spacing w:val="-2"/>
          <w:vertAlign w:val="baseline"/>
        </w:rPr>
        <w:t>）的当日，本合同的效力恢复。</w:t>
      </w:r>
    </w:p>
    <w:p>
      <w:pPr>
        <w:pStyle w:val="6"/>
        <w:spacing w:line="243" w:lineRule="exact"/>
        <w:ind w:left="3385"/>
      </w:pPr>
      <w:r>
        <w:rPr>
          <w:spacing w:val="-8"/>
        </w:rPr>
        <w:t>自本合同效力中止后的两年内，若投保人未提出复效申请或复效申请未经本</w:t>
      </w:r>
    </w:p>
    <w:p>
      <w:pPr>
        <w:pStyle w:val="6"/>
        <w:spacing w:before="11" w:line="249" w:lineRule="auto"/>
        <w:ind w:left="3385" w:right="409"/>
      </w:pPr>
      <w:r>
        <w:rPr>
          <w:spacing w:val="-2"/>
        </w:rPr>
        <w:t xml:space="preserve">公司通过，则本合同自中止两年期间届满的当日 </w:t>
      </w:r>
      <w:r>
        <w:t>24</w:t>
      </w:r>
      <w:r>
        <w:rPr>
          <w:spacing w:val="-6"/>
        </w:rPr>
        <w:t xml:space="preserve"> 时起效力终止，我们将</w:t>
      </w:r>
      <w:r>
        <w:rPr>
          <w:spacing w:val="-2"/>
        </w:rPr>
        <w:t>退还本合同效力中止日的现金价值。</w:t>
      </w:r>
    </w:p>
    <w:p>
      <w:pPr>
        <w:pStyle w:val="6"/>
        <w:spacing w:before="5"/>
        <w:rPr>
          <w:sz w:val="19"/>
        </w:rPr>
      </w:pPr>
    </w:p>
    <w:p>
      <w:pPr>
        <w:tabs>
          <w:tab w:val="left" w:pos="1825"/>
        </w:tabs>
        <w:spacing w:before="0" w:line="529" w:lineRule="exact"/>
        <w:ind w:left="1004" w:right="0" w:firstLine="0"/>
        <w:jc w:val="left"/>
        <w:rPr>
          <w:rFonts w:ascii="微软雅黑" w:hAnsi="微软雅黑" w:eastAsia="微软雅黑"/>
          <w:b/>
          <w:sz w:val="28"/>
        </w:rPr>
      </w:pPr>
      <w:r>
        <w:rPr>
          <w:rFonts w:ascii="Wingdings" w:hAnsi="Wingdings" w:eastAsia="Wingdings"/>
          <w:b/>
          <w:spacing w:val="-10"/>
          <w:position w:val="-11"/>
          <w:sz w:val="36"/>
        </w:rPr>
        <w:t></w:t>
      </w:r>
      <w:r>
        <w:rPr>
          <w:rFonts w:ascii="Times New Roman" w:hAnsi="Times New Roman" w:eastAsia="Times New Roman"/>
          <w:position w:val="-11"/>
          <w:sz w:val="36"/>
        </w:rPr>
        <w:tab/>
      </w:r>
      <w:r>
        <w:rPr>
          <w:rFonts w:ascii="微软雅黑" w:hAnsi="微软雅黑" w:eastAsia="微软雅黑"/>
          <w:b/>
          <w:spacing w:val="-2"/>
          <w:sz w:val="28"/>
        </w:rPr>
        <w:t>如何领取保险金</w:t>
      </w:r>
    </w:p>
    <w:p>
      <w:pPr>
        <w:pStyle w:val="5"/>
        <w:spacing w:line="351" w:lineRule="exact"/>
      </w:pPr>
      <w:r>
        <w:drawing>
          <wp:anchor distT="0" distB="0" distL="0" distR="0" simplePos="0" relativeHeight="251678720" behindDoc="0" locked="0" layoutInCell="1" allowOverlap="1">
            <wp:simplePos x="0" y="0"/>
            <wp:positionH relativeFrom="page">
              <wp:posOffset>758825</wp:posOffset>
            </wp:positionH>
            <wp:positionV relativeFrom="paragraph">
              <wp:posOffset>204470</wp:posOffset>
            </wp:positionV>
            <wp:extent cx="6188710" cy="18415"/>
            <wp:effectExtent l="0" t="0" r="0" b="0"/>
            <wp:wrapNone/>
            <wp:docPr id="5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2.png"/>
                    <pic:cNvPicPr>
                      <a:picLocks noChangeAspect="1"/>
                    </pic:cNvPicPr>
                  </pic:nvPicPr>
                  <pic:blipFill>
                    <a:blip r:embed="rId28" cstate="print"/>
                    <a:stretch>
                      <a:fillRect/>
                    </a:stretch>
                  </pic:blipFill>
                  <pic:spPr>
                    <a:xfrm>
                      <a:off x="0" y="0"/>
                      <a:ext cx="6188583" cy="18287"/>
                    </a:xfrm>
                    <a:prstGeom prst="rect">
                      <a:avLst/>
                    </a:prstGeom>
                  </pic:spPr>
                </pic:pic>
              </a:graphicData>
            </a:graphic>
          </wp:anchor>
        </w:drawing>
      </w:r>
      <w:r>
        <w:rPr>
          <w:spacing w:val="-3"/>
        </w:rPr>
        <w:t>这部分讲的是发生保险事故后受益人如何领取保险金。</w:t>
      </w:r>
    </w:p>
    <w:p>
      <w:pPr>
        <w:pStyle w:val="6"/>
        <w:spacing w:before="2"/>
        <w:rPr>
          <w:rFonts w:ascii="微软雅黑"/>
          <w:b/>
          <w:sz w:val="13"/>
        </w:rPr>
      </w:pPr>
    </w:p>
    <w:p>
      <w:pPr>
        <w:spacing w:after="0"/>
        <w:rPr>
          <w:rFonts w:ascii="微软雅黑"/>
          <w:sz w:val="13"/>
        </w:rPr>
        <w:sectPr>
          <w:pgSz w:w="11910" w:h="16840"/>
          <w:pgMar w:top="1480" w:right="660" w:bottom="1260" w:left="580" w:header="0" w:footer="1060" w:gutter="0"/>
          <w:cols w:space="720" w:num="1"/>
        </w:sectPr>
      </w:pPr>
    </w:p>
    <w:p>
      <w:pPr>
        <w:pStyle w:val="10"/>
        <w:numPr>
          <w:ilvl w:val="1"/>
          <w:numId w:val="10"/>
        </w:numPr>
        <w:tabs>
          <w:tab w:val="left" w:pos="1825"/>
          <w:tab w:val="left" w:pos="1826"/>
        </w:tabs>
        <w:spacing w:before="79" w:after="0" w:line="194" w:lineRule="auto"/>
        <w:ind w:left="1825" w:right="0" w:hanging="1102"/>
        <w:jc w:val="left"/>
        <w:rPr>
          <w:rFonts w:ascii="微软雅黑" w:eastAsia="微软雅黑"/>
          <w:b/>
          <w:sz w:val="21"/>
        </w:rPr>
      </w:pPr>
      <w:r>
        <w:rPr>
          <w:rFonts w:ascii="微软雅黑" w:eastAsia="微软雅黑"/>
          <w:b/>
          <w:spacing w:val="-2"/>
          <w:sz w:val="21"/>
        </w:rPr>
        <w:t>受益人的指定</w:t>
      </w:r>
      <w:r>
        <w:rPr>
          <w:rFonts w:ascii="微软雅黑" w:eastAsia="微软雅黑"/>
          <w:b/>
          <w:spacing w:val="-4"/>
          <w:sz w:val="21"/>
        </w:rPr>
        <w:t>与变更</w:t>
      </w:r>
    </w:p>
    <w:p>
      <w:pPr>
        <w:pStyle w:val="6"/>
        <w:spacing w:before="72" w:line="242" w:lineRule="auto"/>
        <w:ind w:left="252" w:right="342"/>
        <w:jc w:val="both"/>
      </w:pPr>
      <w:r>
        <w:br w:type="column"/>
      </w:r>
      <w:r>
        <w:rPr>
          <w:spacing w:val="-2"/>
        </w:rPr>
        <w:t>本合同订立时，投保人或被保险人应当指定一人或数人为保险金的受益人。受益人为数人时，应确定其受益顺序和受益份额。未确定份额的，各受益人按照相等的份额享有受益权。</w:t>
      </w:r>
    </w:p>
    <w:p>
      <w:pPr>
        <w:pStyle w:val="6"/>
        <w:spacing w:before="1" w:line="242" w:lineRule="auto"/>
        <w:ind w:left="252" w:right="407"/>
        <w:jc w:val="both"/>
      </w:pPr>
      <w:r>
        <w:rPr>
          <w:spacing w:val="-2"/>
        </w:rPr>
        <w:t>本合同订立后，投保人或被保险人可以变更受益人，并书面通知我们，我们</w:t>
      </w:r>
      <w:r>
        <w:rPr>
          <w:spacing w:val="-6"/>
        </w:rPr>
        <w:t>收到变更保险金受益人的书面通知后，将及时在保险单或者其他保险凭证上</w:t>
      </w:r>
      <w:r>
        <w:rPr>
          <w:spacing w:val="-2"/>
        </w:rPr>
        <w:t>批注。</w:t>
      </w:r>
      <w:r>
        <w:rPr>
          <w:color w:val="000000"/>
          <w:spacing w:val="-2"/>
          <w:shd w:val="clear" w:color="auto" w:fill="C0C0C0"/>
        </w:rPr>
        <w:t>若前项变更未通知本公司，对本公司不发生法律效力。</w:t>
      </w:r>
    </w:p>
    <w:p>
      <w:pPr>
        <w:pStyle w:val="6"/>
        <w:spacing w:before="3" w:line="242" w:lineRule="auto"/>
        <w:ind w:left="252" w:right="406"/>
      </w:pPr>
      <w:r>
        <w:rPr>
          <w:spacing w:val="-5"/>
        </w:rPr>
        <w:t>被保险人为无民事行为能力人或限制民事行为能力人的，可以由其监护人指</w:t>
      </w:r>
      <w:r>
        <w:rPr>
          <w:spacing w:val="-2"/>
        </w:rPr>
        <w:t>定受益人。</w:t>
      </w:r>
    </w:p>
    <w:p>
      <w:pPr>
        <w:pStyle w:val="6"/>
        <w:spacing w:before="2"/>
        <w:ind w:left="252"/>
      </w:pPr>
      <w:r>
        <w:rPr>
          <w:spacing w:val="-3"/>
        </w:rPr>
        <w:t>投保人指定或变更受益人时须经被保险人或被保险人的监护人同意。</w:t>
      </w:r>
    </w:p>
    <w:p>
      <w:pPr>
        <w:spacing w:after="0"/>
        <w:sectPr>
          <w:type w:val="continuous"/>
          <w:pgSz w:w="11910" w:h="16840"/>
          <w:pgMar w:top="280" w:right="660" w:bottom="280" w:left="580" w:header="0" w:footer="1060" w:gutter="0"/>
          <w:cols w:equalWidth="0" w:num="2">
            <w:col w:w="3093" w:space="40"/>
            <w:col w:w="7537"/>
          </w:cols>
        </w:sectPr>
      </w:pPr>
    </w:p>
    <w:p>
      <w:pPr>
        <w:pStyle w:val="6"/>
        <w:rPr>
          <w:sz w:val="12"/>
        </w:rPr>
      </w:pPr>
    </w:p>
    <w:p>
      <w:pPr>
        <w:pStyle w:val="6"/>
        <w:spacing w:line="20" w:lineRule="exact"/>
        <w:ind w:left="723"/>
        <w:rPr>
          <w:sz w:val="2"/>
        </w:rPr>
      </w:pPr>
      <w:r>
        <w:rPr>
          <w:sz w:val="2"/>
        </w:rPr>
        <w:drawing>
          <wp:inline distT="0" distB="0" distL="0" distR="0">
            <wp:extent cx="1829435" cy="5715"/>
            <wp:effectExtent l="0" t="0" r="0" b="0"/>
            <wp:docPr id="5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0.png"/>
                    <pic:cNvPicPr>
                      <a:picLocks noChangeAspect="1"/>
                    </pic:cNvPicPr>
                  </pic:nvPicPr>
                  <pic:blipFill>
                    <a:blip r:embed="rId26" cstate="print"/>
                    <a:stretch>
                      <a:fillRect/>
                    </a:stretch>
                  </pic:blipFill>
                  <pic:spPr>
                    <a:xfrm>
                      <a:off x="0" y="0"/>
                      <a:ext cx="1829511" cy="6096"/>
                    </a:xfrm>
                    <a:prstGeom prst="rect">
                      <a:avLst/>
                    </a:prstGeom>
                  </pic:spPr>
                </pic:pic>
              </a:graphicData>
            </a:graphic>
          </wp:inline>
        </w:drawing>
      </w:r>
    </w:p>
    <w:p>
      <w:pPr>
        <w:spacing w:before="30"/>
        <w:ind w:left="723" w:right="0" w:firstLine="0"/>
        <w:jc w:val="left"/>
        <w:rPr>
          <w:sz w:val="18"/>
        </w:rPr>
      </w:pPr>
      <w:r>
        <w:rPr>
          <w:rFonts w:ascii="Times New Roman" w:eastAsia="Times New Roman"/>
          <w:sz w:val="18"/>
          <w:vertAlign w:val="superscript"/>
        </w:rPr>
        <w:t>15</w:t>
      </w:r>
      <w:r>
        <w:rPr>
          <w:rFonts w:ascii="Times New Roman" w:eastAsia="Times New Roman"/>
          <w:spacing w:val="47"/>
          <w:sz w:val="18"/>
          <w:vertAlign w:val="baseline"/>
        </w:rPr>
        <w:t xml:space="preserve"> </w:t>
      </w:r>
      <w:r>
        <w:rPr>
          <w:rFonts w:ascii="微软雅黑" w:eastAsia="微软雅黑"/>
          <w:b/>
          <w:sz w:val="18"/>
          <w:vertAlign w:val="baseline"/>
        </w:rPr>
        <w:t>危险保费：</w:t>
      </w:r>
      <w:r>
        <w:rPr>
          <w:spacing w:val="-1"/>
          <w:sz w:val="18"/>
          <w:vertAlign w:val="baseline"/>
        </w:rPr>
        <w:t>合同效力中止期间我们因不承担保险责任而应该返还给投保人的部分保险费。</w:t>
      </w:r>
    </w:p>
    <w:p>
      <w:pPr>
        <w:spacing w:after="0"/>
        <w:jc w:val="left"/>
        <w:rPr>
          <w:sz w:val="18"/>
        </w:rPr>
        <w:sectPr>
          <w:type w:val="continuous"/>
          <w:pgSz w:w="11910" w:h="16840"/>
          <w:pgMar w:top="280" w:right="660" w:bottom="280" w:left="580" w:header="0" w:footer="1060" w:gutter="0"/>
          <w:cols w:space="720" w:num="1"/>
        </w:sectPr>
      </w:pPr>
    </w:p>
    <w:p>
      <w:pPr>
        <w:pStyle w:val="5"/>
        <w:spacing w:before="76" w:line="168" w:lineRule="auto"/>
        <w:ind w:left="3385" w:right="303"/>
      </w:pPr>
      <w:r>
        <w:rPr>
          <w:spacing w:val="-16"/>
        </w:rPr>
        <w:t>除另有约定外，本合同重大疾病保险金、中症疾病保险金、轻症疾病保险金、</w:t>
      </w:r>
      <w:r>
        <w:rPr>
          <w:spacing w:val="-2"/>
        </w:rPr>
        <w:t>第二次重大疾病保险金、第二次“恶性肿瘤——重度”保险金、第二次“心脑血管特定疾病”保险金的受益人为被保险人本人。</w:t>
      </w:r>
    </w:p>
    <w:p>
      <w:pPr>
        <w:pStyle w:val="6"/>
        <w:spacing w:line="244" w:lineRule="auto"/>
        <w:ind w:left="3385" w:right="406"/>
      </w:pPr>
      <w:r>
        <w:rPr>
          <w:spacing w:val="-2"/>
        </w:rPr>
        <w:t>被保险人身故后，有下列情形之一的，保险金作为被保险人的遗产，我们依照《中华人民共和国民法典》的规定履行给付保险金的义务：</w:t>
      </w:r>
    </w:p>
    <w:p>
      <w:pPr>
        <w:pStyle w:val="10"/>
        <w:numPr>
          <w:ilvl w:val="2"/>
          <w:numId w:val="10"/>
        </w:numPr>
        <w:tabs>
          <w:tab w:val="left" w:pos="3915"/>
        </w:tabs>
        <w:spacing w:before="0" w:after="0" w:line="265" w:lineRule="exact"/>
        <w:ind w:left="3914" w:right="0" w:hanging="530"/>
        <w:jc w:val="left"/>
        <w:rPr>
          <w:sz w:val="21"/>
        </w:rPr>
      </w:pPr>
      <w:r>
        <w:rPr>
          <w:spacing w:val="-3"/>
          <w:sz w:val="21"/>
        </w:rPr>
        <w:t>没有指定受益人，或者受益人指定不明无法确定的；</w:t>
      </w:r>
    </w:p>
    <w:p>
      <w:pPr>
        <w:pStyle w:val="10"/>
        <w:numPr>
          <w:ilvl w:val="2"/>
          <w:numId w:val="10"/>
        </w:numPr>
        <w:tabs>
          <w:tab w:val="left" w:pos="3915"/>
        </w:tabs>
        <w:spacing w:before="0" w:after="0" w:line="240" w:lineRule="auto"/>
        <w:ind w:left="3914" w:right="0" w:hanging="530"/>
        <w:jc w:val="left"/>
        <w:rPr>
          <w:sz w:val="21"/>
        </w:rPr>
      </w:pPr>
      <w:r>
        <w:rPr>
          <w:spacing w:val="-3"/>
          <w:sz w:val="21"/>
        </w:rPr>
        <w:t>受益人先于被保险人身故，没有其他受益人的；</w:t>
      </w:r>
    </w:p>
    <w:p>
      <w:pPr>
        <w:pStyle w:val="10"/>
        <w:numPr>
          <w:ilvl w:val="2"/>
          <w:numId w:val="10"/>
        </w:numPr>
        <w:tabs>
          <w:tab w:val="left" w:pos="3915"/>
        </w:tabs>
        <w:spacing w:before="0" w:after="0" w:line="240" w:lineRule="auto"/>
        <w:ind w:left="3914" w:right="0" w:hanging="530"/>
        <w:jc w:val="left"/>
        <w:rPr>
          <w:sz w:val="21"/>
        </w:rPr>
      </w:pPr>
      <w:r>
        <w:rPr>
          <w:spacing w:val="-3"/>
          <w:sz w:val="21"/>
        </w:rPr>
        <w:t>受益人依法丧失受益权或者放弃受益权，没有其他受益人的。</w:t>
      </w:r>
    </w:p>
    <w:p>
      <w:pPr>
        <w:pStyle w:val="6"/>
        <w:spacing w:line="242" w:lineRule="auto"/>
        <w:ind w:left="3385" w:right="409"/>
      </w:pPr>
      <w:r>
        <w:rPr>
          <w:spacing w:val="-2"/>
        </w:rPr>
        <w:t>受益人与被保险人在同一事件中身故，且不能确定身故先后顺序的，推定受益人身故在先。</w:t>
      </w:r>
    </w:p>
    <w:p>
      <w:pPr>
        <w:pStyle w:val="6"/>
        <w:spacing w:before="22" w:line="278" w:lineRule="auto"/>
        <w:ind w:left="3385" w:right="409"/>
      </w:pPr>
      <w:r>
        <w:rPr>
          <w:spacing w:val="-2"/>
        </w:rPr>
        <w:t>受益人故意造成被保险人身故、伤残、疾病的，或者故意杀害被保险人未遂的，该受益人丧失受益权。</w:t>
      </w:r>
    </w:p>
    <w:p>
      <w:pPr>
        <w:pStyle w:val="6"/>
        <w:spacing w:before="12"/>
        <w:rPr>
          <w:sz w:val="22"/>
        </w:rPr>
      </w:pPr>
    </w:p>
    <w:p>
      <w:pPr>
        <w:pStyle w:val="10"/>
        <w:numPr>
          <w:ilvl w:val="1"/>
          <w:numId w:val="10"/>
        </w:numPr>
        <w:tabs>
          <w:tab w:val="left" w:pos="1825"/>
          <w:tab w:val="left" w:pos="1826"/>
          <w:tab w:val="left" w:pos="3385"/>
        </w:tabs>
        <w:spacing w:before="0" w:after="0" w:line="192" w:lineRule="auto"/>
        <w:ind w:left="3385" w:right="408" w:hanging="2662"/>
        <w:jc w:val="left"/>
        <w:rPr>
          <w:sz w:val="21"/>
        </w:rPr>
      </w:pPr>
      <w:r>
        <w:drawing>
          <wp:anchor distT="0" distB="0" distL="0" distR="0" simplePos="0" relativeHeight="251713536" behindDoc="1" locked="0" layoutInCell="1" allowOverlap="1">
            <wp:simplePos x="0" y="0"/>
            <wp:positionH relativeFrom="page">
              <wp:posOffset>2517775</wp:posOffset>
            </wp:positionH>
            <wp:positionV relativeFrom="paragraph">
              <wp:posOffset>539115</wp:posOffset>
            </wp:positionV>
            <wp:extent cx="4361180" cy="385445"/>
            <wp:effectExtent l="0" t="0" r="0" b="0"/>
            <wp:wrapNone/>
            <wp:docPr id="5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4.png"/>
                    <pic:cNvPicPr>
                      <a:picLocks noChangeAspect="1"/>
                    </pic:cNvPicPr>
                  </pic:nvPicPr>
                  <pic:blipFill>
                    <a:blip r:embed="rId30" cstate="print"/>
                    <a:stretch>
                      <a:fillRect/>
                    </a:stretch>
                  </pic:blipFill>
                  <pic:spPr>
                    <a:xfrm>
                      <a:off x="0" y="0"/>
                      <a:ext cx="4361053" cy="385571"/>
                    </a:xfrm>
                    <a:prstGeom prst="rect">
                      <a:avLst/>
                    </a:prstGeom>
                  </pic:spPr>
                </pic:pic>
              </a:graphicData>
            </a:graphic>
          </wp:anchor>
        </w:drawing>
      </w:r>
      <w:r>
        <w:pict>
          <v:shape id="docshape43" o:spid="_x0000_s1067" o:spt="202" type="#_x0000_t202" style="position:absolute;left:0pt;margin-left:198.25pt;margin-top:42.45pt;height:30.4pt;width:346.9pt;mso-position-horizontal-relative:page;z-index:-251601920;mso-width-relative:page;mso-height-relative:page;" filled="f" stroked="f" coordsize="21600,21600">
            <v:path/>
            <v:fill on="f" focussize="0,0"/>
            <v:stroke on="f" joinstyle="miter"/>
            <v:imagedata o:title=""/>
            <o:lock v:ext="edit"/>
            <v:textbox inset="0mm,0mm,0mm,0mm">
              <w:txbxContent>
                <w:p>
                  <w:pPr>
                    <w:pStyle w:val="6"/>
                    <w:spacing w:before="22"/>
                  </w:pPr>
                  <w:r>
                    <w:rPr>
                      <w:spacing w:val="-3"/>
                    </w:rPr>
                    <w:t>保险事故的性质、原因、损失程度等难以确定的，我们对无法确定的部分，</w:t>
                  </w:r>
                </w:p>
                <w:p>
                  <w:pPr>
                    <w:pStyle w:val="6"/>
                    <w:spacing w:before="43"/>
                  </w:pPr>
                  <w:r>
                    <w:rPr>
                      <w:spacing w:val="-9"/>
                    </w:rPr>
                    <w:t>不承担给付保险金的责任，但我们通过其他途径已经及时知道或者应当及时</w:t>
                  </w:r>
                </w:p>
              </w:txbxContent>
            </v:textbox>
          </v:shape>
        </w:pict>
      </w:r>
      <w:r>
        <w:pict>
          <v:shape id="docshape44" o:spid="_x0000_s1068" o:spt="202" type="#_x0000_t202" style="position:absolute;left:0pt;margin-left:198.25pt;margin-top:26.85pt;height:14.8pt;width:343.4pt;mso-position-horizontal-relative:page;mso-wrap-distance-bottom:0pt;mso-wrap-distance-top:0pt;z-index:-251579392;mso-width-relative:page;mso-height-relative:page;"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5"/>
                    </w:rPr>
                    <w:t>如果投保人，被保险人或受益人故意或者因重大过失未及时通知我们，致使</w:t>
                  </w:r>
                </w:p>
              </w:txbxContent>
            </v:textbox>
            <w10:wrap type="topAndBottom"/>
          </v:shape>
        </w:pict>
      </w:r>
      <w:r>
        <w:rPr>
          <w:rFonts w:ascii="微软雅黑" w:eastAsia="微软雅黑"/>
          <w:b/>
          <w:spacing w:val="-2"/>
          <w:position w:val="-1"/>
          <w:sz w:val="21"/>
        </w:rPr>
        <w:t>保险事故通知</w:t>
      </w:r>
      <w:r>
        <w:rPr>
          <w:rFonts w:ascii="微软雅黑" w:eastAsia="微软雅黑"/>
          <w:b/>
          <w:position w:val="-1"/>
          <w:sz w:val="21"/>
        </w:rPr>
        <w:tab/>
      </w:r>
      <w:r>
        <w:rPr>
          <w:sz w:val="21"/>
        </w:rPr>
        <w:t>本合同的投保人，被保险人或受益人知道保险事故后应当在十日</w:t>
      </w:r>
      <w:r>
        <w:rPr>
          <w:spacing w:val="2"/>
          <w:sz w:val="21"/>
        </w:rPr>
        <w:t>内</w:t>
      </w:r>
      <w:r>
        <w:rPr>
          <w:sz w:val="21"/>
        </w:rPr>
        <w:t>通知我</w:t>
      </w:r>
      <w:r>
        <w:rPr>
          <w:spacing w:val="-6"/>
          <w:sz w:val="21"/>
        </w:rPr>
        <w:t>们。</w:t>
      </w:r>
    </w:p>
    <w:p>
      <w:pPr>
        <w:pStyle w:val="6"/>
        <w:spacing w:before="39" w:line="278" w:lineRule="auto"/>
        <w:ind w:left="3385" w:right="406"/>
        <w:rPr>
          <w:spacing w:val="-4"/>
        </w:rPr>
      </w:pPr>
    </w:p>
    <w:p>
      <w:pPr>
        <w:pStyle w:val="6"/>
        <w:spacing w:before="39" w:line="278" w:lineRule="auto"/>
        <w:ind w:left="3385" w:right="406"/>
        <w:rPr>
          <w:spacing w:val="-4"/>
        </w:rPr>
      </w:pPr>
    </w:p>
    <w:p>
      <w:pPr>
        <w:pStyle w:val="6"/>
        <w:spacing w:before="39" w:line="278" w:lineRule="auto"/>
        <w:ind w:left="3385" w:right="406"/>
      </w:pPr>
      <w:bookmarkStart w:id="0" w:name="_GoBack"/>
      <w:bookmarkEnd w:id="0"/>
      <w:r>
        <w:rPr>
          <w:spacing w:val="-4"/>
        </w:rPr>
        <w:t>知道保险事故发生或者虽未及时通知但不影响我们确定保险事故的性质、原</w:t>
      </w:r>
      <w:r>
        <w:rPr>
          <w:spacing w:val="-2"/>
        </w:rPr>
        <w:t>因、损失程度的除外。</w:t>
      </w:r>
    </w:p>
    <w:p>
      <w:pPr>
        <w:pStyle w:val="6"/>
        <w:spacing w:before="10"/>
        <w:rPr>
          <w:sz w:val="18"/>
        </w:rPr>
      </w:pPr>
    </w:p>
    <w:p>
      <w:pPr>
        <w:spacing w:after="0"/>
        <w:rPr>
          <w:sz w:val="18"/>
        </w:rPr>
        <w:sectPr>
          <w:pgSz w:w="11910" w:h="16840"/>
          <w:pgMar w:top="1420" w:right="660" w:bottom="1260" w:left="580" w:header="0" w:footer="1060" w:gutter="0"/>
          <w:cols w:space="720" w:num="1"/>
        </w:sectPr>
      </w:pPr>
    </w:p>
    <w:p>
      <w:pPr>
        <w:pStyle w:val="5"/>
        <w:numPr>
          <w:ilvl w:val="1"/>
          <w:numId w:val="10"/>
        </w:numPr>
        <w:tabs>
          <w:tab w:val="left" w:pos="1825"/>
          <w:tab w:val="left" w:pos="1826"/>
        </w:tabs>
        <w:spacing w:before="57" w:after="0" w:line="194" w:lineRule="auto"/>
        <w:ind w:left="1825" w:right="0" w:hanging="1102"/>
        <w:jc w:val="left"/>
      </w:pPr>
      <w:r>
        <w:rPr>
          <w:spacing w:val="-2"/>
        </w:rPr>
        <w:t>申请保险金应提供的材料</w:t>
      </w:r>
    </w:p>
    <w:p>
      <w:pPr>
        <w:pStyle w:val="6"/>
        <w:spacing w:before="71" w:line="278" w:lineRule="auto"/>
        <w:ind w:left="252" w:right="409"/>
      </w:pPr>
      <w:r>
        <w:br w:type="column"/>
      </w:r>
      <w:r>
        <w:rPr>
          <w:spacing w:val="-2"/>
        </w:rPr>
        <w:t>申请各项保险金时，申请人应提供相关证明文件和资料，如果有关证明资料不完整，我们将及时一次性通知申请人补充提供。</w:t>
      </w:r>
    </w:p>
    <w:p>
      <w:pPr>
        <w:spacing w:after="0" w:line="278" w:lineRule="auto"/>
        <w:sectPr>
          <w:type w:val="continuous"/>
          <w:pgSz w:w="11910" w:h="16840"/>
          <w:pgMar w:top="280" w:right="660" w:bottom="280" w:left="580" w:header="0" w:footer="1060" w:gutter="0"/>
          <w:cols w:equalWidth="0" w:num="2">
            <w:col w:w="3093" w:space="40"/>
            <w:col w:w="7537"/>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11"/>
        </w:numPr>
        <w:tabs>
          <w:tab w:val="left" w:pos="1826"/>
        </w:tabs>
        <w:spacing w:before="72" w:after="0" w:line="266" w:lineRule="auto"/>
        <w:ind w:left="1825" w:right="0" w:hanging="1102"/>
        <w:jc w:val="both"/>
      </w:pPr>
      <w:r>
        <w:rPr>
          <w:spacing w:val="-2"/>
          <w:w w:val="95"/>
        </w:rPr>
        <w:t>重大疾病保险金、中症疾病保险金、轻症疾病保险金、第二次重大疾病保险金、第二次“恶性肿瘤——重度”保险金、第二次“心脑血管特定疾病”保</w:t>
      </w:r>
      <w:r>
        <w:rPr>
          <w:spacing w:val="-6"/>
        </w:rPr>
        <w:t>险金</w:t>
      </w:r>
    </w:p>
    <w:p>
      <w:pPr>
        <w:pStyle w:val="6"/>
        <w:spacing w:before="89" w:line="266" w:lineRule="auto"/>
        <w:ind w:left="257" w:right="2002"/>
      </w:pPr>
      <w:r>
        <w:br w:type="column"/>
      </w:r>
      <w:r>
        <w:rPr>
          <w:spacing w:val="-2"/>
        </w:rPr>
        <w:t>受益人申请各项保险金时，应提供下列证明文件和资料： 1、理赔申请书；</w:t>
      </w:r>
    </w:p>
    <w:p>
      <w:pPr>
        <w:pStyle w:val="6"/>
        <w:spacing w:before="2" w:line="251" w:lineRule="exact"/>
        <w:ind w:left="257"/>
      </w:pPr>
      <w:r>
        <w:rPr>
          <w:spacing w:val="-2"/>
        </w:rPr>
        <w:t>2</w:t>
      </w:r>
      <w:r>
        <w:rPr>
          <w:spacing w:val="-4"/>
        </w:rPr>
        <w:t>、保险合同；</w:t>
      </w:r>
    </w:p>
    <w:p>
      <w:pPr>
        <w:spacing w:before="0" w:line="359" w:lineRule="exact"/>
        <w:ind w:left="257" w:right="0" w:firstLine="0"/>
        <w:jc w:val="left"/>
        <w:rPr>
          <w:sz w:val="21"/>
        </w:rPr>
      </w:pPr>
      <w:r>
        <w:rPr>
          <w:spacing w:val="-2"/>
          <w:sz w:val="21"/>
        </w:rPr>
        <w:t>3、受益人的</w:t>
      </w:r>
      <w:r>
        <w:rPr>
          <w:rFonts w:ascii="微软雅黑" w:eastAsia="微软雅黑"/>
          <w:b/>
          <w:spacing w:val="-2"/>
          <w:sz w:val="21"/>
        </w:rPr>
        <w:t>有效身份证明</w:t>
      </w:r>
      <w:r>
        <w:rPr>
          <w:rFonts w:ascii="微软雅黑" w:eastAsia="微软雅黑"/>
          <w:b/>
          <w:spacing w:val="-5"/>
          <w:position w:val="11"/>
          <w:sz w:val="11"/>
        </w:rPr>
        <w:t>16</w:t>
      </w:r>
      <w:r>
        <w:rPr>
          <w:spacing w:val="-5"/>
          <w:sz w:val="21"/>
        </w:rPr>
        <w:t>；</w:t>
      </w:r>
    </w:p>
    <w:p>
      <w:pPr>
        <w:pStyle w:val="6"/>
        <w:spacing w:line="266" w:lineRule="auto"/>
        <w:ind w:left="257" w:right="409"/>
        <w:jc w:val="both"/>
      </w:pPr>
      <w:r>
        <w:rPr>
          <w:spacing w:val="-2"/>
        </w:rPr>
        <w:t>4、由我们指定或认可医院的专科医生出具的疾病诊断书及相关所必需的检查结果证明（如病理检查报告、血液检查报告、超声波、影像学及其它医学诊断检查报告等</w:t>
      </w:r>
      <w:r>
        <w:rPr>
          <w:spacing w:val="-106"/>
        </w:rPr>
        <w:t>）</w:t>
      </w:r>
      <w:r>
        <w:rPr>
          <w:spacing w:val="-3"/>
        </w:rPr>
        <w:t>，若接受外科手术者，还需提供外科手术证明文件；</w:t>
      </w:r>
    </w:p>
    <w:p>
      <w:pPr>
        <w:pStyle w:val="6"/>
        <w:spacing w:line="278" w:lineRule="auto"/>
        <w:ind w:left="257" w:right="449"/>
      </w:pPr>
      <w:r>
        <w:rPr>
          <w:spacing w:val="-2"/>
        </w:rPr>
        <w:t>5、所能提供的与确认保险事故的性质、原因、伤害程度等有关的证明文件</w:t>
      </w:r>
      <w:r>
        <w:rPr>
          <w:spacing w:val="-4"/>
        </w:rPr>
        <w:t>和资料。</w:t>
      </w:r>
    </w:p>
    <w:p>
      <w:pPr>
        <w:spacing w:after="0" w:line="278" w:lineRule="auto"/>
        <w:sectPr>
          <w:type w:val="continuous"/>
          <w:pgSz w:w="11910" w:h="16840"/>
          <w:pgMar w:top="280" w:right="660" w:bottom="280" w:left="580" w:header="0" w:footer="1060" w:gutter="0"/>
          <w:cols w:equalWidth="0" w:num="2">
            <w:col w:w="3088" w:space="40"/>
            <w:col w:w="7542"/>
          </w:cols>
        </w:sectPr>
      </w:pPr>
    </w:p>
    <w:p>
      <w:pPr>
        <w:pStyle w:val="6"/>
        <w:spacing w:before="12"/>
        <w:rPr>
          <w:sz w:val="17"/>
        </w:rPr>
      </w:pPr>
    </w:p>
    <w:p>
      <w:pPr>
        <w:pStyle w:val="10"/>
        <w:numPr>
          <w:ilvl w:val="2"/>
          <w:numId w:val="11"/>
        </w:numPr>
        <w:tabs>
          <w:tab w:val="left" w:pos="1825"/>
          <w:tab w:val="left" w:pos="1826"/>
          <w:tab w:val="left" w:pos="3385"/>
        </w:tabs>
        <w:spacing w:before="72" w:after="0" w:line="282" w:lineRule="exact"/>
        <w:ind w:left="1825" w:right="0" w:hanging="1103"/>
        <w:jc w:val="left"/>
        <w:rPr>
          <w:sz w:val="21"/>
        </w:rPr>
      </w:pPr>
      <w:r>
        <w:rPr>
          <w:w w:val="95"/>
          <w:sz w:val="22"/>
        </w:rPr>
        <w:t>身故保险</w:t>
      </w:r>
      <w:r>
        <w:rPr>
          <w:spacing w:val="-10"/>
          <w:w w:val="95"/>
          <w:sz w:val="22"/>
        </w:rPr>
        <w:t>金</w:t>
      </w:r>
      <w:r>
        <w:rPr>
          <w:sz w:val="22"/>
        </w:rPr>
        <w:tab/>
      </w:r>
      <w:r>
        <w:rPr>
          <w:spacing w:val="-2"/>
          <w:position w:val="1"/>
          <w:sz w:val="21"/>
        </w:rPr>
        <w:t>受益人申请身故保险金时，应提供下列证明文件和资料</w:t>
      </w:r>
      <w:r>
        <w:rPr>
          <w:spacing w:val="-10"/>
          <w:position w:val="1"/>
          <w:sz w:val="21"/>
        </w:rPr>
        <w:t>：</w:t>
      </w:r>
    </w:p>
    <w:p>
      <w:pPr>
        <w:pStyle w:val="6"/>
        <w:spacing w:line="269" w:lineRule="exact"/>
        <w:ind w:left="3385"/>
      </w:pPr>
      <w:r>
        <w:rPr>
          <w:spacing w:val="-2"/>
        </w:rPr>
        <w:t>1</w:t>
      </w:r>
      <w:r>
        <w:rPr>
          <w:spacing w:val="-4"/>
        </w:rPr>
        <w:t>、理赔申请书；</w:t>
      </w:r>
    </w:p>
    <w:p>
      <w:pPr>
        <w:pStyle w:val="6"/>
        <w:spacing w:before="12"/>
        <w:ind w:left="3385"/>
      </w:pPr>
      <w:r>
        <w:rPr>
          <w:spacing w:val="-2"/>
        </w:rPr>
        <w:t>2</w:t>
      </w:r>
      <w:r>
        <w:rPr>
          <w:spacing w:val="-4"/>
        </w:rPr>
        <w:t>、保险合同；</w:t>
      </w:r>
    </w:p>
    <w:p>
      <w:pPr>
        <w:pStyle w:val="6"/>
        <w:spacing w:before="9"/>
        <w:ind w:left="3385"/>
      </w:pPr>
      <w:r>
        <w:rPr>
          <w:spacing w:val="-2"/>
        </w:rPr>
        <w:t>3</w:t>
      </w:r>
      <w:r>
        <w:rPr>
          <w:spacing w:val="-3"/>
        </w:rPr>
        <w:t>、受益人的有效身份证明；</w:t>
      </w:r>
    </w:p>
    <w:p>
      <w:pPr>
        <w:pStyle w:val="6"/>
        <w:spacing w:before="12" w:line="249" w:lineRule="auto"/>
        <w:ind w:left="3385" w:right="410"/>
      </w:pPr>
      <w:r>
        <w:rPr>
          <w:spacing w:val="-2"/>
        </w:rPr>
        <w:t>4、国家卫生行政部门规定的医疗机构、公安部门或者其他有权机构出具的被保险人的死亡证明；</w:t>
      </w:r>
    </w:p>
    <w:p>
      <w:pPr>
        <w:pStyle w:val="6"/>
        <w:spacing w:line="269" w:lineRule="exact"/>
        <w:ind w:left="3385"/>
      </w:pPr>
      <w:r>
        <w:rPr>
          <w:spacing w:val="-2"/>
        </w:rPr>
        <w:t>5</w:t>
      </w:r>
      <w:r>
        <w:rPr>
          <w:spacing w:val="-3"/>
        </w:rPr>
        <w:t>、所能提供的与确认保险事故的性质、原因、伤害程度等有关的证明文件</w:t>
      </w:r>
    </w:p>
    <w:p>
      <w:pPr>
        <w:pStyle w:val="6"/>
        <w:spacing w:before="5"/>
      </w:pPr>
      <w:r>
        <w:drawing>
          <wp:anchor distT="0" distB="0" distL="0" distR="0" simplePos="0" relativeHeight="251659264" behindDoc="0" locked="0" layoutInCell="1" allowOverlap="1">
            <wp:simplePos x="0" y="0"/>
            <wp:positionH relativeFrom="page">
              <wp:posOffset>827405</wp:posOffset>
            </wp:positionH>
            <wp:positionV relativeFrom="paragraph">
              <wp:posOffset>189230</wp:posOffset>
            </wp:positionV>
            <wp:extent cx="1829435" cy="6350"/>
            <wp:effectExtent l="0" t="0" r="0" b="0"/>
            <wp:wrapTopAndBottom/>
            <wp:docPr id="5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0.png"/>
                    <pic:cNvPicPr>
                      <a:picLocks noChangeAspect="1"/>
                    </pic:cNvPicPr>
                  </pic:nvPicPr>
                  <pic:blipFill>
                    <a:blip r:embed="rId26" cstate="print"/>
                    <a:stretch>
                      <a:fillRect/>
                    </a:stretch>
                  </pic:blipFill>
                  <pic:spPr>
                    <a:xfrm>
                      <a:off x="0" y="0"/>
                      <a:ext cx="1829511" cy="6096"/>
                    </a:xfrm>
                    <a:prstGeom prst="rect">
                      <a:avLst/>
                    </a:prstGeom>
                  </pic:spPr>
                </pic:pic>
              </a:graphicData>
            </a:graphic>
          </wp:anchor>
        </w:drawing>
      </w:r>
    </w:p>
    <w:p>
      <w:pPr>
        <w:spacing w:before="71" w:line="206" w:lineRule="auto"/>
        <w:ind w:left="723" w:right="425" w:firstLine="0"/>
        <w:jc w:val="left"/>
        <w:rPr>
          <w:sz w:val="18"/>
        </w:rPr>
      </w:pPr>
      <w:r>
        <w:rPr>
          <w:rFonts w:ascii="Times New Roman" w:eastAsia="Times New Roman"/>
          <w:spacing w:val="-2"/>
          <w:sz w:val="18"/>
          <w:vertAlign w:val="superscript"/>
        </w:rPr>
        <w:t>16</w:t>
      </w:r>
      <w:r>
        <w:rPr>
          <w:rFonts w:ascii="Times New Roman" w:eastAsia="Times New Roman"/>
          <w:spacing w:val="40"/>
          <w:sz w:val="18"/>
          <w:vertAlign w:val="baseline"/>
        </w:rPr>
        <w:t xml:space="preserve"> </w:t>
      </w:r>
      <w:r>
        <w:rPr>
          <w:rFonts w:ascii="微软雅黑" w:eastAsia="微软雅黑"/>
          <w:b/>
          <w:spacing w:val="-2"/>
          <w:sz w:val="18"/>
          <w:vertAlign w:val="baseline"/>
        </w:rPr>
        <w:t>有效身份证明：</w:t>
      </w:r>
      <w:r>
        <w:rPr>
          <w:spacing w:val="-2"/>
          <w:sz w:val="18"/>
          <w:vertAlign w:val="baseline"/>
        </w:rPr>
        <w:t>由政府主管部门规定的证明其身份并在有效期内的证件，如居民身份证、</w:t>
      </w:r>
      <w:r>
        <w:rPr>
          <w:color w:val="333333"/>
          <w:spacing w:val="-2"/>
          <w:sz w:val="18"/>
          <w:vertAlign w:val="baseline"/>
        </w:rPr>
        <w:t>外国人永久居留身份证</w:t>
      </w:r>
      <w:r>
        <w:rPr>
          <w:spacing w:val="-2"/>
          <w:sz w:val="18"/>
          <w:vertAlign w:val="baseline"/>
        </w:rPr>
        <w:t>等。应提供的身份证明文件种类以本公司的要求为准。</w:t>
      </w:r>
    </w:p>
    <w:p>
      <w:pPr>
        <w:spacing w:after="0" w:line="206" w:lineRule="auto"/>
        <w:jc w:val="left"/>
        <w:rPr>
          <w:sz w:val="18"/>
        </w:rPr>
        <w:sectPr>
          <w:type w:val="continuous"/>
          <w:pgSz w:w="11910" w:h="16840"/>
          <w:pgMar w:top="280" w:right="660" w:bottom="280" w:left="580" w:header="0" w:footer="1060" w:gutter="0"/>
          <w:cols w:space="720" w:num="1"/>
        </w:sectPr>
      </w:pPr>
    </w:p>
    <w:p>
      <w:pPr>
        <w:pStyle w:val="6"/>
        <w:spacing w:before="52"/>
        <w:ind w:left="3385"/>
      </w:pPr>
      <w:r>
        <w:rPr>
          <w:spacing w:val="-4"/>
        </w:rPr>
        <w:t>和资料；</w:t>
      </w:r>
    </w:p>
    <w:p>
      <w:pPr>
        <w:pStyle w:val="6"/>
        <w:spacing w:before="19" w:line="278" w:lineRule="auto"/>
        <w:ind w:left="3385" w:right="449"/>
      </w:pPr>
      <w:r>
        <w:rPr>
          <w:spacing w:val="-2"/>
        </w:rPr>
        <w:t>6、保险金作为被保险人遗产时，必须提供可证明合法继承权的相关权利文</w:t>
      </w:r>
      <w:r>
        <w:rPr>
          <w:spacing w:val="-6"/>
        </w:rPr>
        <w:t>件。</w:t>
      </w:r>
    </w:p>
    <w:p>
      <w:pPr>
        <w:pStyle w:val="6"/>
        <w:rPr>
          <w:sz w:val="18"/>
        </w:rPr>
      </w:pPr>
    </w:p>
    <w:p>
      <w:pPr>
        <w:spacing w:after="0"/>
        <w:rPr>
          <w:sz w:val="18"/>
        </w:rPr>
        <w:sectPr>
          <w:pgSz w:w="11910" w:h="16840"/>
          <w:pgMar w:top="1440" w:right="660" w:bottom="1260" w:left="580" w:header="0" w:footer="1060" w:gutter="0"/>
          <w:cols w:space="720" w:num="1"/>
        </w:sectPr>
      </w:pPr>
    </w:p>
    <w:p>
      <w:pPr>
        <w:pStyle w:val="4"/>
        <w:numPr>
          <w:ilvl w:val="2"/>
          <w:numId w:val="11"/>
        </w:numPr>
        <w:tabs>
          <w:tab w:val="left" w:pos="1825"/>
          <w:tab w:val="left" w:pos="1826"/>
        </w:tabs>
        <w:spacing w:before="72" w:after="0" w:line="266" w:lineRule="auto"/>
        <w:ind w:left="1825" w:right="0" w:hanging="1102"/>
        <w:jc w:val="left"/>
      </w:pPr>
      <w:r>
        <w:rPr>
          <w:spacing w:val="-2"/>
          <w:w w:val="95"/>
        </w:rPr>
        <w:t>委托他人代为</w:t>
      </w:r>
      <w:r>
        <w:rPr>
          <w:spacing w:val="-2"/>
        </w:rPr>
        <w:t>申请保险金</w:t>
      </w:r>
    </w:p>
    <w:p>
      <w:pPr>
        <w:pStyle w:val="6"/>
        <w:spacing w:before="82" w:line="278" w:lineRule="auto"/>
        <w:ind w:left="257" w:right="409"/>
      </w:pPr>
      <w:r>
        <w:br w:type="column"/>
      </w:r>
      <w:r>
        <w:rPr>
          <w:spacing w:val="-7"/>
        </w:rPr>
        <w:t>若受益人委托他人代为申请保险金，被委托人还应提供受益人签字的授权委</w:t>
      </w:r>
      <w:r>
        <w:rPr>
          <w:spacing w:val="-2"/>
        </w:rPr>
        <w:t>托书、被委托人的有效身份证明等相关证明文件。</w:t>
      </w:r>
    </w:p>
    <w:p>
      <w:pPr>
        <w:spacing w:after="0" w:line="278" w:lineRule="auto"/>
        <w:sectPr>
          <w:type w:val="continuous"/>
          <w:pgSz w:w="11910" w:h="16840"/>
          <w:pgMar w:top="280" w:right="660" w:bottom="280" w:left="580" w:header="0" w:footer="1060" w:gutter="0"/>
          <w:cols w:equalWidth="0" w:num="2">
            <w:col w:w="3088" w:space="40"/>
            <w:col w:w="7542"/>
          </w:cols>
        </w:sectPr>
      </w:pPr>
    </w:p>
    <w:p>
      <w:pPr>
        <w:pStyle w:val="6"/>
        <w:spacing w:before="9"/>
        <w:rPr>
          <w:sz w:val="18"/>
        </w:rPr>
      </w:pPr>
    </w:p>
    <w:p>
      <w:pPr>
        <w:pStyle w:val="10"/>
        <w:numPr>
          <w:ilvl w:val="1"/>
          <w:numId w:val="10"/>
        </w:numPr>
        <w:tabs>
          <w:tab w:val="left" w:pos="1825"/>
          <w:tab w:val="left" w:pos="1826"/>
        </w:tabs>
        <w:spacing w:before="5" w:after="0" w:line="256" w:lineRule="auto"/>
        <w:ind w:left="3385" w:right="406" w:hanging="2662"/>
        <w:jc w:val="both"/>
        <w:rPr>
          <w:sz w:val="21"/>
        </w:rPr>
      </w:pPr>
      <w:r>
        <w:rPr>
          <w:rFonts w:ascii="微软雅黑" w:eastAsia="微软雅黑"/>
          <w:b/>
          <w:spacing w:val="30"/>
          <w:sz w:val="21"/>
        </w:rPr>
        <w:t xml:space="preserve">保险金的给付 </w:t>
      </w:r>
      <w:r>
        <w:rPr>
          <w:spacing w:val="-3"/>
          <w:sz w:val="21"/>
        </w:rPr>
        <w:t>我们在收到保险金给付申请书及上述有关证明和资料后五日内作出核定，情</w:t>
      </w:r>
      <w:r>
        <w:rPr>
          <w:spacing w:val="-2"/>
          <w:sz w:val="21"/>
        </w:rPr>
        <w:t>形复杂的，在三十日内作出核定。对确定属于保险责任的，在与受益人达成有关给付保险金数额的协议后十日内，履行给付保险金的责任。</w:t>
      </w:r>
    </w:p>
    <w:p>
      <w:pPr>
        <w:pStyle w:val="6"/>
        <w:spacing w:before="13" w:line="278" w:lineRule="auto"/>
        <w:ind w:left="3385" w:right="409"/>
      </w:pPr>
      <w:r>
        <w:rPr>
          <w:spacing w:val="-2"/>
        </w:rPr>
        <w:t>本公司未及时履行前款规定义务的，除支付保险金外，应当赔偿受益人因此受到的损失。</w:t>
      </w:r>
    </w:p>
    <w:p>
      <w:pPr>
        <w:pStyle w:val="6"/>
        <w:spacing w:line="278" w:lineRule="auto"/>
        <w:ind w:left="3385" w:right="409"/>
      </w:pPr>
      <w:r>
        <w:rPr>
          <w:spacing w:val="-2"/>
        </w:rPr>
        <w:t>对不属于保险责任的，我们将在作出核定后三日内，向申请人发出拒绝给付保险金通知书，并说明理由。</w:t>
      </w:r>
    </w:p>
    <w:p>
      <w:pPr>
        <w:pStyle w:val="6"/>
        <w:spacing w:line="278" w:lineRule="auto"/>
        <w:ind w:left="3385" w:right="406"/>
        <w:jc w:val="both"/>
      </w:pPr>
      <w:r>
        <w:rPr>
          <w:spacing w:val="-5"/>
        </w:rPr>
        <w:t>我们在收到保险金给付申请书及上述有关证明和资料之日起六十日内，对属</w:t>
      </w:r>
      <w:r>
        <w:rPr>
          <w:spacing w:val="-2"/>
        </w:rPr>
        <w:t>于保险责任而给付保险金的数额不能确定的，根据已有证明和资料，按可以确定的数额先予以支付；我们最终确定给付保险金的数额后，给付相应的差</w:t>
      </w:r>
      <w:r>
        <w:rPr>
          <w:spacing w:val="-6"/>
        </w:rPr>
        <w:t>额。</w:t>
      </w:r>
    </w:p>
    <w:p>
      <w:pPr>
        <w:pStyle w:val="6"/>
        <w:spacing w:before="6"/>
        <w:rPr>
          <w:sz w:val="19"/>
        </w:rPr>
      </w:pPr>
    </w:p>
    <w:p>
      <w:pPr>
        <w:pStyle w:val="10"/>
        <w:numPr>
          <w:ilvl w:val="1"/>
          <w:numId w:val="10"/>
        </w:numPr>
        <w:tabs>
          <w:tab w:val="left" w:pos="1825"/>
          <w:tab w:val="left" w:pos="1826"/>
          <w:tab w:val="left" w:pos="3385"/>
        </w:tabs>
        <w:spacing w:before="0" w:after="0" w:line="235" w:lineRule="auto"/>
        <w:ind w:left="3385" w:right="406" w:hanging="2662"/>
        <w:jc w:val="both"/>
        <w:rPr>
          <w:sz w:val="21"/>
        </w:rPr>
      </w:pPr>
      <w:r>
        <w:rPr>
          <w:rFonts w:ascii="微软雅黑" w:eastAsia="微软雅黑"/>
          <w:b/>
          <w:spacing w:val="-4"/>
          <w:sz w:val="21"/>
        </w:rPr>
        <w:t>诉讼时效</w:t>
      </w:r>
      <w:r>
        <w:rPr>
          <w:rFonts w:ascii="微软雅黑" w:eastAsia="微软雅黑"/>
          <w:b/>
          <w:sz w:val="21"/>
        </w:rPr>
        <w:tab/>
      </w:r>
      <w:r>
        <w:rPr>
          <w:spacing w:val="-2"/>
          <w:sz w:val="21"/>
        </w:rPr>
        <w:t>受益人对本合同请求给付保险金的诉讼时效期间为两年</w:t>
      </w:r>
      <w:r>
        <w:rPr>
          <w:spacing w:val="-68"/>
          <w:sz w:val="21"/>
        </w:rPr>
        <w:t>，</w:t>
      </w:r>
      <w:r>
        <w:rPr>
          <w:spacing w:val="-2"/>
          <w:sz w:val="21"/>
        </w:rPr>
        <w:t>自其知道或者应当知道保险事故发生之日起计算。</w:t>
      </w:r>
    </w:p>
    <w:p>
      <w:pPr>
        <w:pStyle w:val="6"/>
        <w:rPr>
          <w:sz w:val="22"/>
        </w:rPr>
      </w:pPr>
    </w:p>
    <w:p>
      <w:pPr>
        <w:tabs>
          <w:tab w:val="left" w:pos="1825"/>
        </w:tabs>
        <w:spacing w:before="0" w:line="529" w:lineRule="exact"/>
        <w:ind w:left="1004" w:right="0" w:firstLine="0"/>
        <w:jc w:val="left"/>
        <w:rPr>
          <w:rFonts w:ascii="微软雅黑" w:hAnsi="微软雅黑" w:eastAsia="微软雅黑"/>
          <w:b/>
          <w:sz w:val="28"/>
        </w:rPr>
      </w:pPr>
      <w:r>
        <w:rPr>
          <w:rFonts w:ascii="Wingdings" w:hAnsi="Wingdings" w:eastAsia="Wingdings"/>
          <w:b/>
          <w:spacing w:val="-10"/>
          <w:position w:val="-11"/>
          <w:sz w:val="36"/>
        </w:rPr>
        <w:t></w:t>
      </w:r>
      <w:r>
        <w:rPr>
          <w:rFonts w:ascii="Times New Roman" w:hAnsi="Times New Roman" w:eastAsia="Times New Roman"/>
          <w:position w:val="-11"/>
          <w:sz w:val="36"/>
        </w:rPr>
        <w:tab/>
      </w:r>
      <w:r>
        <w:rPr>
          <w:rFonts w:ascii="微软雅黑" w:hAnsi="微软雅黑" w:eastAsia="微软雅黑"/>
          <w:b/>
          <w:spacing w:val="-3"/>
          <w:sz w:val="28"/>
        </w:rPr>
        <w:t>如何退保</w:t>
      </w:r>
    </w:p>
    <w:p>
      <w:pPr>
        <w:pStyle w:val="5"/>
        <w:spacing w:line="351" w:lineRule="exact"/>
      </w:pPr>
      <w:r>
        <w:drawing>
          <wp:anchor distT="0" distB="0" distL="0" distR="0" simplePos="0" relativeHeight="251679744" behindDoc="0" locked="0" layoutInCell="1" allowOverlap="1">
            <wp:simplePos x="0" y="0"/>
            <wp:positionH relativeFrom="page">
              <wp:posOffset>758825</wp:posOffset>
            </wp:positionH>
            <wp:positionV relativeFrom="paragraph">
              <wp:posOffset>204470</wp:posOffset>
            </wp:positionV>
            <wp:extent cx="6188710" cy="18415"/>
            <wp:effectExtent l="0" t="0" r="0" b="0"/>
            <wp:wrapNone/>
            <wp:docPr id="6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5.png"/>
                    <pic:cNvPicPr>
                      <a:picLocks noChangeAspect="1"/>
                    </pic:cNvPicPr>
                  </pic:nvPicPr>
                  <pic:blipFill>
                    <a:blip r:embed="rId31" cstate="print"/>
                    <a:stretch>
                      <a:fillRect/>
                    </a:stretch>
                  </pic:blipFill>
                  <pic:spPr>
                    <a:xfrm>
                      <a:off x="0" y="0"/>
                      <a:ext cx="6188583" cy="18287"/>
                    </a:xfrm>
                    <a:prstGeom prst="rect">
                      <a:avLst/>
                    </a:prstGeom>
                  </pic:spPr>
                </pic:pic>
              </a:graphicData>
            </a:graphic>
          </wp:anchor>
        </w:drawing>
      </w:r>
      <w:r>
        <w:rPr>
          <w:spacing w:val="-3"/>
        </w:rPr>
        <w:t>这部分讲的是投保人可随时申请退保，在犹豫期内退保没有损失，犹豫期后退保会有损失。</w:t>
      </w:r>
    </w:p>
    <w:p>
      <w:pPr>
        <w:pStyle w:val="6"/>
        <w:spacing w:before="9"/>
        <w:rPr>
          <w:rFonts w:ascii="微软雅黑"/>
          <w:b/>
          <w:sz w:val="14"/>
        </w:rPr>
      </w:pPr>
    </w:p>
    <w:p>
      <w:pPr>
        <w:pStyle w:val="10"/>
        <w:numPr>
          <w:ilvl w:val="1"/>
          <w:numId w:val="12"/>
        </w:numPr>
        <w:tabs>
          <w:tab w:val="left" w:pos="1825"/>
          <w:tab w:val="left" w:pos="1826"/>
          <w:tab w:val="left" w:pos="3472"/>
        </w:tabs>
        <w:spacing w:before="0" w:after="0" w:line="354" w:lineRule="exact"/>
        <w:ind w:left="1825" w:right="0" w:hanging="1103"/>
        <w:jc w:val="left"/>
        <w:rPr>
          <w:sz w:val="21"/>
        </w:rPr>
      </w:pPr>
      <w:r>
        <w:rPr>
          <w:rFonts w:ascii="微软雅黑" w:eastAsia="微软雅黑"/>
          <w:b/>
          <w:position w:val="-1"/>
          <w:sz w:val="21"/>
        </w:rPr>
        <w:t>犹豫</w:t>
      </w:r>
      <w:r>
        <w:rPr>
          <w:rFonts w:ascii="微软雅黑" w:eastAsia="微软雅黑"/>
          <w:b/>
          <w:spacing w:val="-10"/>
          <w:position w:val="-1"/>
          <w:sz w:val="21"/>
        </w:rPr>
        <w:t>期</w:t>
      </w:r>
      <w:r>
        <w:rPr>
          <w:rFonts w:ascii="微软雅黑" w:eastAsia="微软雅黑"/>
          <w:b/>
          <w:position w:val="-1"/>
          <w:sz w:val="21"/>
        </w:rPr>
        <w:tab/>
      </w:r>
      <w:r>
        <w:rPr>
          <w:spacing w:val="-2"/>
          <w:sz w:val="21"/>
        </w:rPr>
        <w:t>投保人自收到本合同之日起有十五日的犹豫期，以便阅读本合同</w:t>
      </w:r>
      <w:r>
        <w:rPr>
          <w:spacing w:val="-10"/>
          <w:sz w:val="21"/>
        </w:rPr>
        <w:t>。</w:t>
      </w:r>
    </w:p>
    <w:p>
      <w:pPr>
        <w:pStyle w:val="6"/>
        <w:spacing w:line="236" w:lineRule="exact"/>
        <w:ind w:left="3472"/>
      </w:pPr>
      <w:r>
        <w:rPr>
          <w:spacing w:val="-1"/>
        </w:rPr>
        <w:t>投保人在犹豫期内可向我们书面提出解除本合同的申请，并亲自或挂号邮</w:t>
      </w:r>
    </w:p>
    <w:p>
      <w:pPr>
        <w:pStyle w:val="6"/>
        <w:spacing w:before="2" w:after="4"/>
        <w:ind w:left="3472"/>
      </w:pPr>
      <w:r>
        <w:rPr>
          <w:spacing w:val="-4"/>
        </w:rPr>
        <w:t>寄将本合同退还。</w:t>
      </w:r>
    </w:p>
    <w:p>
      <w:pPr>
        <w:pStyle w:val="6"/>
        <w:ind w:left="3472"/>
        <w:rPr>
          <w:sz w:val="20"/>
        </w:rPr>
      </w:pPr>
      <w:r>
        <w:rPr>
          <w:sz w:val="20"/>
        </w:rPr>
        <w:pict>
          <v:shape id="docshape45" o:spid="_x0000_s1069" o:spt="202" type="#_x0000_t202" style="height:40.8pt;width:339.05pt;" fillcolor="#C0C0C0" filled="t" stroked="f" coordsize="21600,21600">
            <v:path/>
            <v:fill on="t" focussize="0,0"/>
            <v:stroke on="f" joinstyle="miter"/>
            <v:imagedata o:title=""/>
            <o:lock v:ext="edit"/>
            <v:textbox inset="0mm,0mm,0mm,0mm">
              <w:txbxContent>
                <w:p>
                  <w:pPr>
                    <w:pStyle w:val="6"/>
                    <w:spacing w:line="242" w:lineRule="auto"/>
                    <w:ind w:right="-15"/>
                    <w:jc w:val="both"/>
                    <w:rPr>
                      <w:color w:val="000000"/>
                    </w:rPr>
                  </w:pPr>
                  <w:r>
                    <w:rPr>
                      <w:color w:val="000000"/>
                      <w:spacing w:val="-2"/>
                    </w:rPr>
                    <w:t>投保人依前项规定行使合同解除权时，解除的效力自我们收到书面申请及</w:t>
                  </w:r>
                  <w:r>
                    <w:rPr>
                      <w:color w:val="000000"/>
                      <w:spacing w:val="-4"/>
                    </w:rPr>
                    <w:t>合同（若为邮寄，则以寄出邮戳为准）</w:t>
                  </w:r>
                  <w:r>
                    <w:rPr>
                      <w:color w:val="000000"/>
                      <w:spacing w:val="-9"/>
                    </w:rPr>
                    <w:t xml:space="preserve">的当日 </w:t>
                  </w:r>
                  <w:r>
                    <w:rPr>
                      <w:color w:val="000000"/>
                      <w:spacing w:val="-4"/>
                    </w:rPr>
                    <w:t>24</w:t>
                  </w:r>
                  <w:r>
                    <w:rPr>
                      <w:color w:val="000000"/>
                      <w:spacing w:val="-8"/>
                    </w:rPr>
                    <w:t xml:space="preserve"> 时起生效，合同解除前发</w:t>
                  </w:r>
                  <w:r>
                    <w:rPr>
                      <w:color w:val="000000"/>
                      <w:spacing w:val="-2"/>
                    </w:rPr>
                    <w:t>生的保险事故我们不承担保险责任，我们将向投保人退还所有已缴的保险</w:t>
                  </w:r>
                </w:p>
              </w:txbxContent>
            </v:textbox>
            <w10:wrap type="none"/>
            <w10:anchorlock/>
          </v:shape>
        </w:pict>
      </w:r>
    </w:p>
    <w:p>
      <w:pPr>
        <w:pStyle w:val="6"/>
        <w:spacing w:line="246" w:lineRule="exact"/>
        <w:ind w:left="3472"/>
      </w:pPr>
      <w:r>
        <w:rPr>
          <w:color w:val="000000"/>
          <w:spacing w:val="-5"/>
          <w:shd w:val="clear" w:color="auto" w:fill="C0C0C0"/>
        </w:rPr>
        <w:t>费。</w:t>
      </w:r>
    </w:p>
    <w:p>
      <w:pPr>
        <w:pStyle w:val="6"/>
        <w:spacing w:before="26" w:line="278" w:lineRule="auto"/>
        <w:ind w:left="3472" w:right="466"/>
      </w:pPr>
      <w:r>
        <w:rPr>
          <w:spacing w:val="-2"/>
        </w:rPr>
        <w:t>若投保人、被保险人或受益人在犹豫期内向我们提出理赔申请或本合同是由其它险种变更而来的，则不得再行使本条款规定的合同解除权。</w:t>
      </w:r>
    </w:p>
    <w:p>
      <w:pPr>
        <w:pStyle w:val="6"/>
        <w:spacing w:line="269" w:lineRule="exact"/>
        <w:ind w:left="3472"/>
      </w:pPr>
      <w:r>
        <w:rPr>
          <w:color w:val="000000"/>
          <w:spacing w:val="-3"/>
          <w:shd w:val="clear" w:color="auto" w:fill="C0C0C0"/>
        </w:rPr>
        <w:t>投保人犹豫期后解除合同会承担一定的损失。</w:t>
      </w:r>
    </w:p>
    <w:p>
      <w:pPr>
        <w:pStyle w:val="6"/>
        <w:spacing w:before="4"/>
      </w:pPr>
    </w:p>
    <w:p>
      <w:pPr>
        <w:spacing w:after="0"/>
        <w:sectPr>
          <w:type w:val="continuous"/>
          <w:pgSz w:w="11910" w:h="16840"/>
          <w:pgMar w:top="280" w:right="660" w:bottom="280" w:left="580" w:header="0" w:footer="1060" w:gutter="0"/>
          <w:cols w:space="720" w:num="1"/>
        </w:sectPr>
      </w:pPr>
    </w:p>
    <w:p>
      <w:pPr>
        <w:pStyle w:val="5"/>
        <w:numPr>
          <w:ilvl w:val="1"/>
          <w:numId w:val="12"/>
        </w:numPr>
        <w:tabs>
          <w:tab w:val="left" w:pos="1825"/>
          <w:tab w:val="left" w:pos="1826"/>
        </w:tabs>
        <w:spacing w:before="67" w:after="0" w:line="194" w:lineRule="auto"/>
        <w:ind w:left="1825" w:right="0" w:hanging="1102"/>
        <w:jc w:val="left"/>
      </w:pPr>
      <w:r>
        <w:rPr>
          <w:spacing w:val="-2"/>
        </w:rPr>
        <w:t>解除合同（退</w:t>
      </w:r>
      <w:r>
        <w:rPr>
          <w:spacing w:val="-6"/>
        </w:rPr>
        <w:t>保）</w:t>
      </w:r>
    </w:p>
    <w:p>
      <w:pPr>
        <w:pStyle w:val="6"/>
        <w:spacing w:before="72" w:line="247" w:lineRule="auto"/>
        <w:ind w:left="339" w:right="360"/>
      </w:pPr>
      <w:r>
        <w:br w:type="column"/>
      </w:r>
      <w:r>
        <w:rPr>
          <w:spacing w:val="-2"/>
        </w:rPr>
        <w:t>在本合同有效期内，投保人可书面通知我们要求解除本合同（简称退保</w:t>
      </w:r>
      <w:r>
        <w:rPr>
          <w:spacing w:val="-106"/>
        </w:rPr>
        <w:t>）</w:t>
      </w:r>
      <w:r>
        <w:rPr>
          <w:spacing w:val="-2"/>
        </w:rPr>
        <w:t>。申请退保时，投保人应提供下列证明文件和资料：</w:t>
      </w:r>
    </w:p>
    <w:p>
      <w:pPr>
        <w:pStyle w:val="6"/>
        <w:spacing w:before="6"/>
        <w:ind w:left="339"/>
      </w:pPr>
      <w:r>
        <w:rPr>
          <w:spacing w:val="-2"/>
        </w:rPr>
        <w:t>1</w:t>
      </w:r>
      <w:r>
        <w:rPr>
          <w:spacing w:val="-3"/>
        </w:rPr>
        <w:t>、解除合同申请书；</w:t>
      </w:r>
    </w:p>
    <w:p>
      <w:pPr>
        <w:pStyle w:val="6"/>
        <w:spacing w:before="11"/>
        <w:ind w:left="339"/>
      </w:pPr>
      <w:r>
        <w:rPr>
          <w:spacing w:val="-2"/>
        </w:rPr>
        <w:t>2</w:t>
      </w:r>
      <w:r>
        <w:rPr>
          <w:spacing w:val="-4"/>
        </w:rPr>
        <w:t>、保险合同；</w:t>
      </w:r>
    </w:p>
    <w:p>
      <w:pPr>
        <w:pStyle w:val="6"/>
        <w:spacing w:before="10"/>
        <w:ind w:left="339"/>
      </w:pPr>
      <w:r>
        <w:rPr>
          <w:spacing w:val="-2"/>
        </w:rPr>
        <w:t>3</w:t>
      </w:r>
      <w:r>
        <w:rPr>
          <w:spacing w:val="-3"/>
        </w:rPr>
        <w:t>、投保人的有效身份证明。</w:t>
      </w:r>
    </w:p>
    <w:p>
      <w:pPr>
        <w:pStyle w:val="6"/>
        <w:spacing w:before="11" w:line="249" w:lineRule="auto"/>
        <w:ind w:left="339" w:right="408"/>
        <w:jc w:val="both"/>
      </w:pPr>
      <w:r>
        <w:rPr>
          <w:spacing w:val="-4"/>
        </w:rPr>
        <w:t>自我们收到退保申请（若为邮寄，则以寄出邮戳为准）</w:t>
      </w:r>
      <w:r>
        <w:rPr>
          <w:spacing w:val="-9"/>
        </w:rPr>
        <w:t xml:space="preserve">的当日 </w:t>
      </w:r>
      <w:r>
        <w:rPr>
          <w:spacing w:val="-4"/>
        </w:rPr>
        <w:t>24</w:t>
      </w:r>
      <w:r>
        <w:rPr>
          <w:spacing w:val="-8"/>
        </w:rPr>
        <w:t xml:space="preserve"> 时起，本</w:t>
      </w:r>
      <w:r>
        <w:rPr>
          <w:spacing w:val="-2"/>
        </w:rPr>
        <w:t>合同效力终止。我们将于收到上述证明文件和资料后三十日内退还本合同效力终止日的现金价值。</w:t>
      </w:r>
    </w:p>
    <w:p>
      <w:pPr>
        <w:spacing w:after="0" w:line="249" w:lineRule="auto"/>
        <w:jc w:val="both"/>
        <w:sectPr>
          <w:type w:val="continuous"/>
          <w:pgSz w:w="11910" w:h="16840"/>
          <w:pgMar w:top="280" w:right="660" w:bottom="280" w:left="580" w:header="0" w:footer="1060" w:gutter="0"/>
          <w:cols w:equalWidth="0" w:num="2">
            <w:col w:w="3093" w:space="40"/>
            <w:col w:w="7537"/>
          </w:cols>
        </w:sectPr>
      </w:pPr>
    </w:p>
    <w:p>
      <w:pPr>
        <w:tabs>
          <w:tab w:val="left" w:pos="1825"/>
        </w:tabs>
        <w:spacing w:before="9" w:line="194" w:lineRule="auto"/>
        <w:ind w:left="1004" w:right="0" w:firstLine="0"/>
        <w:jc w:val="left"/>
        <w:rPr>
          <w:rFonts w:ascii="微软雅黑" w:hAnsi="微软雅黑" w:eastAsia="微软雅黑"/>
          <w:b/>
          <w:sz w:val="28"/>
        </w:rPr>
      </w:pPr>
      <w:r>
        <w:rPr>
          <w:rFonts w:ascii="Wingdings" w:hAnsi="Wingdings" w:eastAsia="Wingdings"/>
          <w:b/>
          <w:spacing w:val="-10"/>
          <w:position w:val="-11"/>
          <w:sz w:val="36"/>
        </w:rPr>
        <w:t></w:t>
      </w:r>
      <w:r>
        <w:rPr>
          <w:rFonts w:ascii="Times New Roman" w:hAnsi="Times New Roman" w:eastAsia="Times New Roman"/>
          <w:position w:val="-11"/>
          <w:sz w:val="36"/>
        </w:rPr>
        <w:tab/>
      </w:r>
      <w:r>
        <w:rPr>
          <w:rFonts w:ascii="微软雅黑" w:hAnsi="微软雅黑" w:eastAsia="微软雅黑"/>
          <w:b/>
          <w:spacing w:val="-3"/>
          <w:sz w:val="28"/>
        </w:rPr>
        <w:t>其他权益</w:t>
      </w:r>
    </w:p>
    <w:p>
      <w:pPr>
        <w:pStyle w:val="5"/>
        <w:spacing w:line="350" w:lineRule="exact"/>
      </w:pPr>
      <w:r>
        <w:drawing>
          <wp:anchor distT="0" distB="0" distL="0" distR="0" simplePos="0" relativeHeight="251679744" behindDoc="0" locked="0" layoutInCell="1" allowOverlap="1">
            <wp:simplePos x="0" y="0"/>
            <wp:positionH relativeFrom="page">
              <wp:posOffset>758825</wp:posOffset>
            </wp:positionH>
            <wp:positionV relativeFrom="paragraph">
              <wp:posOffset>203835</wp:posOffset>
            </wp:positionV>
            <wp:extent cx="6188710" cy="18415"/>
            <wp:effectExtent l="0" t="0" r="0" b="0"/>
            <wp:wrapNone/>
            <wp:docPr id="6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5.png"/>
                    <pic:cNvPicPr>
                      <a:picLocks noChangeAspect="1"/>
                    </pic:cNvPicPr>
                  </pic:nvPicPr>
                  <pic:blipFill>
                    <a:blip r:embed="rId31" cstate="print"/>
                    <a:stretch>
                      <a:fillRect/>
                    </a:stretch>
                  </pic:blipFill>
                  <pic:spPr>
                    <a:xfrm>
                      <a:off x="0" y="0"/>
                      <a:ext cx="6188583" cy="18288"/>
                    </a:xfrm>
                    <a:prstGeom prst="rect">
                      <a:avLst/>
                    </a:prstGeom>
                  </pic:spPr>
                </pic:pic>
              </a:graphicData>
            </a:graphic>
          </wp:anchor>
        </w:drawing>
      </w:r>
      <w:r>
        <w:rPr>
          <w:spacing w:val="-3"/>
        </w:rPr>
        <w:t>这部分讲的是投保人所拥有的其他相关权益。</w:t>
      </w:r>
    </w:p>
    <w:p>
      <w:pPr>
        <w:pStyle w:val="6"/>
        <w:spacing w:before="14"/>
        <w:rPr>
          <w:rFonts w:ascii="微软雅黑"/>
          <w:b/>
          <w:sz w:val="15"/>
        </w:rPr>
      </w:pPr>
    </w:p>
    <w:p>
      <w:pPr>
        <w:pStyle w:val="6"/>
        <w:tabs>
          <w:tab w:val="left" w:pos="1825"/>
          <w:tab w:val="left" w:pos="3472"/>
        </w:tabs>
        <w:spacing w:line="223" w:lineRule="auto"/>
        <w:ind w:left="3472" w:right="414" w:hanging="2749"/>
        <w:jc w:val="both"/>
      </w:pPr>
      <w:r>
        <w:rPr>
          <w:rFonts w:ascii="微软雅黑" w:eastAsia="微软雅黑"/>
          <w:b/>
          <w:spacing w:val="-4"/>
        </w:rPr>
        <w:t>6.1</w:t>
      </w:r>
      <w:r>
        <w:rPr>
          <w:rFonts w:ascii="微软雅黑" w:eastAsia="微软雅黑"/>
          <w:b/>
        </w:rPr>
        <w:tab/>
      </w:r>
      <w:r>
        <w:rPr>
          <w:rFonts w:ascii="微软雅黑" w:eastAsia="微软雅黑"/>
          <w:b/>
          <w:spacing w:val="-4"/>
        </w:rPr>
        <w:t>保单借款</w:t>
      </w:r>
      <w:r>
        <w:rPr>
          <w:rFonts w:ascii="微软雅黑" w:eastAsia="微软雅黑"/>
          <w:b/>
        </w:rPr>
        <w:tab/>
      </w:r>
      <w:r>
        <w:rPr>
          <w:spacing w:val="-2"/>
          <w:position w:val="1"/>
        </w:rPr>
        <w:t>在本合同有效且累积有现金价值的情况下，投保人可以向我们申请借款。</w:t>
      </w:r>
      <w:r>
        <w:rPr>
          <w:spacing w:val="-2"/>
        </w:rPr>
        <w:t>借款金额不得低于本公司规定的最低限额，最高不得超过本合同当时现金价值的百分之八十，每次借款的时间最长为六个月。</w:t>
      </w:r>
    </w:p>
    <w:p>
      <w:pPr>
        <w:pStyle w:val="6"/>
        <w:spacing w:before="49" w:line="204" w:lineRule="auto"/>
        <w:ind w:left="3472" w:right="406"/>
        <w:jc w:val="both"/>
      </w:pPr>
      <w:r>
        <w:rPr>
          <w:spacing w:val="-2"/>
        </w:rPr>
        <w:t>借款及利息应在借款期满之日偿还。如果逾期未还，则所有利息将被并入</w:t>
      </w:r>
      <w:r>
        <w:rPr>
          <w:spacing w:val="-4"/>
        </w:rPr>
        <w:t>借款金额中，在下一欠款期内按我们最近一次宣布的借款</w:t>
      </w:r>
      <w:r>
        <w:rPr>
          <w:rFonts w:ascii="微软雅黑" w:eastAsia="微软雅黑"/>
          <w:b/>
          <w:spacing w:val="-4"/>
        </w:rPr>
        <w:t>利率</w:t>
      </w:r>
      <w:r>
        <w:rPr>
          <w:rFonts w:ascii="微软雅黑" w:eastAsia="微软雅黑"/>
          <w:b/>
          <w:spacing w:val="-4"/>
          <w:position w:val="11"/>
          <w:sz w:val="11"/>
        </w:rPr>
        <w:t>17</w:t>
      </w:r>
      <w:r>
        <w:rPr>
          <w:spacing w:val="-4"/>
        </w:rPr>
        <w:t>计息。当现</w:t>
      </w:r>
      <w:r>
        <w:rPr>
          <w:spacing w:val="-2"/>
        </w:rPr>
        <w:t>金价值不足以偿还借款和利息时，本合同的效力中止。</w:t>
      </w:r>
    </w:p>
    <w:p>
      <w:pPr>
        <w:pStyle w:val="6"/>
        <w:spacing w:before="1"/>
      </w:pPr>
    </w:p>
    <w:p>
      <w:pPr>
        <w:pStyle w:val="2"/>
        <w:tabs>
          <w:tab w:val="left" w:pos="1825"/>
        </w:tabs>
        <w:spacing w:line="528" w:lineRule="exact"/>
      </w:pPr>
      <w:r>
        <w:rPr>
          <w:rFonts w:ascii="Wingdings" w:hAnsi="Wingdings" w:eastAsia="Wingdings"/>
          <w:spacing w:val="-10"/>
          <w:position w:val="-11"/>
          <w:sz w:val="36"/>
        </w:rPr>
        <w:t></w:t>
      </w:r>
      <w:r>
        <w:rPr>
          <w:rFonts w:ascii="Times New Roman" w:hAnsi="Times New Roman" w:eastAsia="Times New Roman"/>
          <w:b w:val="0"/>
          <w:position w:val="-11"/>
          <w:sz w:val="36"/>
        </w:rPr>
        <w:tab/>
      </w:r>
      <w:r>
        <w:rPr>
          <w:spacing w:val="-2"/>
        </w:rPr>
        <w:t>需关注的其他内容</w:t>
      </w:r>
    </w:p>
    <w:p>
      <w:pPr>
        <w:pStyle w:val="5"/>
        <w:spacing w:line="350" w:lineRule="exact"/>
      </w:pPr>
      <w:r>
        <w:drawing>
          <wp:anchor distT="0" distB="0" distL="0" distR="0" simplePos="0" relativeHeight="251680768" behindDoc="0" locked="0" layoutInCell="1" allowOverlap="1">
            <wp:simplePos x="0" y="0"/>
            <wp:positionH relativeFrom="page">
              <wp:posOffset>758825</wp:posOffset>
            </wp:positionH>
            <wp:positionV relativeFrom="paragraph">
              <wp:posOffset>203835</wp:posOffset>
            </wp:positionV>
            <wp:extent cx="6188710" cy="18415"/>
            <wp:effectExtent l="0" t="0" r="0" b="0"/>
            <wp:wrapNone/>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a:picLocks noChangeAspect="1"/>
                    </pic:cNvPicPr>
                  </pic:nvPicPr>
                  <pic:blipFill>
                    <a:blip r:embed="rId31" cstate="print"/>
                    <a:stretch>
                      <a:fillRect/>
                    </a:stretch>
                  </pic:blipFill>
                  <pic:spPr>
                    <a:xfrm>
                      <a:off x="0" y="0"/>
                      <a:ext cx="6188583" cy="18288"/>
                    </a:xfrm>
                    <a:prstGeom prst="rect">
                      <a:avLst/>
                    </a:prstGeom>
                  </pic:spPr>
                </pic:pic>
              </a:graphicData>
            </a:graphic>
          </wp:anchor>
        </w:drawing>
      </w:r>
      <w:r>
        <w:rPr>
          <w:spacing w:val="-3"/>
        </w:rPr>
        <w:t>这部分讲的是投保人应当注意的其他事项。</w:t>
      </w:r>
    </w:p>
    <w:p>
      <w:pPr>
        <w:pStyle w:val="6"/>
        <w:spacing w:before="5"/>
        <w:rPr>
          <w:rFonts w:ascii="微软雅黑"/>
          <w:b/>
          <w:sz w:val="17"/>
        </w:rPr>
      </w:pPr>
    </w:p>
    <w:p>
      <w:pPr>
        <w:pStyle w:val="10"/>
        <w:numPr>
          <w:ilvl w:val="1"/>
          <w:numId w:val="13"/>
        </w:numPr>
        <w:tabs>
          <w:tab w:val="left" w:pos="1825"/>
          <w:tab w:val="left" w:pos="1826"/>
          <w:tab w:val="left" w:pos="3472"/>
        </w:tabs>
        <w:spacing w:before="1" w:after="0" w:line="192" w:lineRule="auto"/>
        <w:ind w:left="3472" w:right="414" w:hanging="2749"/>
        <w:jc w:val="both"/>
        <w:rPr>
          <w:sz w:val="21"/>
        </w:rPr>
      </w:pPr>
      <w:r>
        <w:rPr>
          <w:rFonts w:ascii="微软雅黑" w:eastAsia="微软雅黑"/>
          <w:b/>
          <w:spacing w:val="-4"/>
          <w:position w:val="-1"/>
          <w:sz w:val="21"/>
        </w:rPr>
        <w:t>合同构成</w:t>
      </w:r>
      <w:r>
        <w:rPr>
          <w:rFonts w:ascii="微软雅黑" w:eastAsia="微软雅黑"/>
          <w:b/>
          <w:position w:val="-1"/>
          <w:sz w:val="21"/>
        </w:rPr>
        <w:tab/>
      </w:r>
      <w:r>
        <w:rPr>
          <w:spacing w:val="-2"/>
          <w:sz w:val="21"/>
        </w:rPr>
        <w:t>本合同由所载的条款、保险单、投保单以及有关的声明、批注、其它约定</w:t>
      </w:r>
      <w:r>
        <w:rPr>
          <w:spacing w:val="-4"/>
          <w:sz w:val="21"/>
        </w:rPr>
        <w:t>书构成。</w:t>
      </w:r>
    </w:p>
    <w:p>
      <w:pPr>
        <w:pStyle w:val="6"/>
        <w:spacing w:before="15" w:line="242" w:lineRule="auto"/>
        <w:ind w:left="3472" w:right="414"/>
        <w:jc w:val="both"/>
      </w:pPr>
      <w:r>
        <w:rPr>
          <w:spacing w:val="-2"/>
        </w:rPr>
        <w:t>若上述构成本合同的文件正本需留本公司存档，则其复印件或电子影像印刷件亦视为本合同的构成部分，其效力与正本相同；若复印件或电子影像印刷件的内容与正本不同时，则以正本为准。</w:t>
      </w:r>
    </w:p>
    <w:p>
      <w:pPr>
        <w:pStyle w:val="6"/>
        <w:spacing w:before="3" w:line="242" w:lineRule="auto"/>
        <w:ind w:left="3472" w:right="414"/>
      </w:pPr>
      <w:r>
        <w:rPr>
          <w:spacing w:val="-2"/>
        </w:rPr>
        <w:t>本合同条款依法按照通常理解予以解释，如合同条款有两种以上解释的，作有利于被保险人或受益人的解释。</w:t>
      </w:r>
    </w:p>
    <w:p>
      <w:pPr>
        <w:pStyle w:val="6"/>
        <w:spacing w:before="1"/>
        <w:rPr>
          <w:sz w:val="23"/>
        </w:rPr>
      </w:pPr>
    </w:p>
    <w:p>
      <w:pPr>
        <w:pStyle w:val="10"/>
        <w:numPr>
          <w:ilvl w:val="1"/>
          <w:numId w:val="13"/>
        </w:numPr>
        <w:tabs>
          <w:tab w:val="left" w:pos="1825"/>
          <w:tab w:val="left" w:pos="1826"/>
          <w:tab w:val="left" w:pos="3472"/>
        </w:tabs>
        <w:spacing w:before="0" w:after="0" w:line="312" w:lineRule="exact"/>
        <w:ind w:left="3472" w:right="303" w:hanging="2749"/>
        <w:jc w:val="left"/>
        <w:rPr>
          <w:sz w:val="21"/>
        </w:rPr>
      </w:pPr>
      <w:r>
        <w:rPr>
          <w:rFonts w:ascii="微软雅黑" w:eastAsia="微软雅黑"/>
          <w:b/>
          <w:w w:val="100"/>
          <w:sz w:val="21"/>
        </w:rPr>
        <w:t>如实告知</w:t>
      </w:r>
      <w:r>
        <w:rPr>
          <w:rFonts w:ascii="微软雅黑" w:eastAsia="微软雅黑"/>
          <w:b/>
          <w:sz w:val="21"/>
        </w:rPr>
        <w:tab/>
      </w:r>
      <w:r>
        <w:rPr>
          <w:w w:val="100"/>
          <w:sz w:val="21"/>
        </w:rPr>
        <w:t>订立</w:t>
      </w:r>
      <w:r>
        <w:rPr>
          <w:spacing w:val="-3"/>
          <w:w w:val="100"/>
          <w:sz w:val="21"/>
        </w:rPr>
        <w:t>本</w:t>
      </w:r>
      <w:r>
        <w:rPr>
          <w:w w:val="100"/>
          <w:sz w:val="21"/>
        </w:rPr>
        <w:t>合</w:t>
      </w:r>
      <w:r>
        <w:rPr>
          <w:spacing w:val="-3"/>
          <w:w w:val="100"/>
          <w:sz w:val="21"/>
        </w:rPr>
        <w:t>同</w:t>
      </w:r>
      <w:r>
        <w:rPr>
          <w:w w:val="100"/>
          <w:sz w:val="21"/>
        </w:rPr>
        <w:t>，</w:t>
      </w:r>
      <w:r>
        <w:rPr>
          <w:spacing w:val="-3"/>
          <w:w w:val="100"/>
          <w:sz w:val="21"/>
        </w:rPr>
        <w:t>我</w:t>
      </w:r>
      <w:r>
        <w:rPr>
          <w:w w:val="100"/>
          <w:sz w:val="21"/>
        </w:rPr>
        <w:t>们</w:t>
      </w:r>
      <w:r>
        <w:rPr>
          <w:spacing w:val="-3"/>
          <w:w w:val="100"/>
          <w:sz w:val="21"/>
        </w:rPr>
        <w:t>应</w:t>
      </w:r>
      <w:r>
        <w:rPr>
          <w:w w:val="100"/>
          <w:sz w:val="21"/>
        </w:rPr>
        <w:t>当</w:t>
      </w:r>
      <w:r>
        <w:rPr>
          <w:spacing w:val="-3"/>
          <w:w w:val="100"/>
          <w:sz w:val="21"/>
        </w:rPr>
        <w:t>向</w:t>
      </w:r>
      <w:r>
        <w:rPr>
          <w:w w:val="100"/>
          <w:sz w:val="21"/>
        </w:rPr>
        <w:t>投保</w:t>
      </w:r>
      <w:r>
        <w:rPr>
          <w:spacing w:val="-3"/>
          <w:w w:val="100"/>
          <w:sz w:val="21"/>
        </w:rPr>
        <w:t>人</w:t>
      </w:r>
      <w:r>
        <w:rPr>
          <w:w w:val="100"/>
          <w:sz w:val="21"/>
        </w:rPr>
        <w:t>说</w:t>
      </w:r>
      <w:r>
        <w:rPr>
          <w:spacing w:val="-3"/>
          <w:w w:val="100"/>
          <w:sz w:val="21"/>
        </w:rPr>
        <w:t>明</w:t>
      </w:r>
      <w:r>
        <w:rPr>
          <w:w w:val="100"/>
          <w:sz w:val="21"/>
        </w:rPr>
        <w:t>本</w:t>
      </w:r>
      <w:r>
        <w:rPr>
          <w:spacing w:val="-3"/>
          <w:w w:val="100"/>
          <w:sz w:val="21"/>
        </w:rPr>
        <w:t>合</w:t>
      </w:r>
      <w:r>
        <w:rPr>
          <w:w w:val="100"/>
          <w:sz w:val="21"/>
        </w:rPr>
        <w:t>同</w:t>
      </w:r>
      <w:r>
        <w:rPr>
          <w:spacing w:val="-3"/>
          <w:w w:val="100"/>
          <w:sz w:val="21"/>
        </w:rPr>
        <w:t>的</w:t>
      </w:r>
      <w:r>
        <w:rPr>
          <w:w w:val="100"/>
          <w:sz w:val="21"/>
        </w:rPr>
        <w:t>内</w:t>
      </w:r>
      <w:r>
        <w:rPr>
          <w:spacing w:val="-3"/>
          <w:w w:val="100"/>
          <w:sz w:val="21"/>
        </w:rPr>
        <w:t>容</w:t>
      </w:r>
      <w:r>
        <w:rPr>
          <w:w w:val="100"/>
          <w:sz w:val="21"/>
        </w:rPr>
        <w:t>。对</w:t>
      </w:r>
      <w:r>
        <w:rPr>
          <w:spacing w:val="-3"/>
          <w:w w:val="100"/>
          <w:sz w:val="21"/>
        </w:rPr>
        <w:t>本</w:t>
      </w:r>
      <w:r>
        <w:rPr>
          <w:w w:val="100"/>
          <w:sz w:val="21"/>
        </w:rPr>
        <w:t>合</w:t>
      </w:r>
      <w:r>
        <w:rPr>
          <w:spacing w:val="-3"/>
          <w:w w:val="100"/>
          <w:sz w:val="21"/>
        </w:rPr>
        <w:t>同</w:t>
      </w:r>
      <w:r>
        <w:rPr>
          <w:w w:val="100"/>
          <w:sz w:val="21"/>
        </w:rPr>
        <w:t>中</w:t>
      </w:r>
      <w:r>
        <w:rPr>
          <w:spacing w:val="-3"/>
          <w:w w:val="100"/>
          <w:sz w:val="21"/>
        </w:rPr>
        <w:t>免</w:t>
      </w:r>
      <w:r>
        <w:rPr>
          <w:w w:val="100"/>
          <w:sz w:val="21"/>
        </w:rPr>
        <w:t>除</w:t>
      </w:r>
      <w:r>
        <w:rPr>
          <w:spacing w:val="-3"/>
          <w:w w:val="100"/>
          <w:sz w:val="21"/>
        </w:rPr>
        <w:t>我</w:t>
      </w:r>
      <w:r>
        <w:rPr>
          <w:w w:val="100"/>
          <w:sz w:val="21"/>
        </w:rPr>
        <w:t>们责任</w:t>
      </w:r>
      <w:r>
        <w:rPr>
          <w:spacing w:val="-3"/>
          <w:w w:val="100"/>
          <w:sz w:val="21"/>
        </w:rPr>
        <w:t>的</w:t>
      </w:r>
      <w:r>
        <w:rPr>
          <w:w w:val="100"/>
          <w:sz w:val="21"/>
        </w:rPr>
        <w:t>条</w:t>
      </w:r>
      <w:r>
        <w:rPr>
          <w:spacing w:val="-3"/>
          <w:w w:val="100"/>
          <w:sz w:val="21"/>
        </w:rPr>
        <w:t>款</w:t>
      </w:r>
      <w:r>
        <w:rPr>
          <w:w w:val="100"/>
          <w:sz w:val="21"/>
        </w:rPr>
        <w:t>，</w:t>
      </w:r>
      <w:r>
        <w:rPr>
          <w:spacing w:val="-3"/>
          <w:w w:val="100"/>
          <w:sz w:val="21"/>
        </w:rPr>
        <w:t>在</w:t>
      </w:r>
      <w:r>
        <w:rPr>
          <w:w w:val="100"/>
          <w:sz w:val="21"/>
        </w:rPr>
        <w:t>订</w:t>
      </w:r>
      <w:r>
        <w:rPr>
          <w:spacing w:val="-3"/>
          <w:w w:val="100"/>
          <w:sz w:val="21"/>
        </w:rPr>
        <w:t>立</w:t>
      </w:r>
      <w:r>
        <w:rPr>
          <w:w w:val="100"/>
          <w:sz w:val="21"/>
        </w:rPr>
        <w:t>合</w:t>
      </w:r>
      <w:r>
        <w:rPr>
          <w:spacing w:val="-3"/>
          <w:w w:val="100"/>
          <w:sz w:val="21"/>
        </w:rPr>
        <w:t>同</w:t>
      </w:r>
      <w:r>
        <w:rPr>
          <w:w w:val="100"/>
          <w:sz w:val="21"/>
        </w:rPr>
        <w:t>时我</w:t>
      </w:r>
      <w:r>
        <w:rPr>
          <w:spacing w:val="-3"/>
          <w:w w:val="100"/>
          <w:sz w:val="21"/>
        </w:rPr>
        <w:t>们</w:t>
      </w:r>
      <w:r>
        <w:rPr>
          <w:w w:val="100"/>
          <w:sz w:val="21"/>
        </w:rPr>
        <w:t>应</w:t>
      </w:r>
      <w:r>
        <w:rPr>
          <w:spacing w:val="-3"/>
          <w:w w:val="100"/>
          <w:sz w:val="21"/>
        </w:rPr>
        <w:t>当</w:t>
      </w:r>
      <w:r>
        <w:rPr>
          <w:w w:val="100"/>
          <w:sz w:val="21"/>
        </w:rPr>
        <w:t>在</w:t>
      </w:r>
      <w:r>
        <w:rPr>
          <w:spacing w:val="-3"/>
          <w:w w:val="100"/>
          <w:sz w:val="21"/>
        </w:rPr>
        <w:t>投</w:t>
      </w:r>
      <w:r>
        <w:rPr>
          <w:w w:val="100"/>
          <w:sz w:val="21"/>
        </w:rPr>
        <w:t>保</w:t>
      </w:r>
      <w:r>
        <w:rPr>
          <w:spacing w:val="-3"/>
          <w:w w:val="100"/>
          <w:sz w:val="21"/>
        </w:rPr>
        <w:t>单</w:t>
      </w:r>
      <w:r>
        <w:rPr>
          <w:w w:val="100"/>
          <w:sz w:val="21"/>
        </w:rPr>
        <w:t>、</w:t>
      </w:r>
      <w:r>
        <w:rPr>
          <w:spacing w:val="-3"/>
          <w:w w:val="100"/>
          <w:sz w:val="21"/>
        </w:rPr>
        <w:t>保</w:t>
      </w:r>
      <w:r>
        <w:rPr>
          <w:w w:val="100"/>
          <w:sz w:val="21"/>
        </w:rPr>
        <w:t>险单</w:t>
      </w:r>
      <w:r>
        <w:rPr>
          <w:spacing w:val="-3"/>
          <w:w w:val="100"/>
          <w:sz w:val="21"/>
        </w:rPr>
        <w:t>或</w:t>
      </w:r>
      <w:r>
        <w:rPr>
          <w:w w:val="100"/>
          <w:sz w:val="21"/>
        </w:rPr>
        <w:t>者</w:t>
      </w:r>
      <w:r>
        <w:rPr>
          <w:spacing w:val="-3"/>
          <w:w w:val="100"/>
          <w:sz w:val="21"/>
        </w:rPr>
        <w:t>其</w:t>
      </w:r>
      <w:r>
        <w:rPr>
          <w:w w:val="100"/>
          <w:sz w:val="21"/>
        </w:rPr>
        <w:t>他</w:t>
      </w:r>
      <w:r>
        <w:rPr>
          <w:spacing w:val="-3"/>
          <w:w w:val="100"/>
          <w:sz w:val="21"/>
        </w:rPr>
        <w:t>保</w:t>
      </w:r>
      <w:r>
        <w:rPr>
          <w:w w:val="100"/>
          <w:sz w:val="21"/>
        </w:rPr>
        <w:t>险</w:t>
      </w:r>
      <w:r>
        <w:rPr>
          <w:spacing w:val="-3"/>
          <w:w w:val="100"/>
          <w:sz w:val="21"/>
        </w:rPr>
        <w:t>凭</w:t>
      </w:r>
      <w:r>
        <w:rPr>
          <w:w w:val="100"/>
          <w:sz w:val="21"/>
        </w:rPr>
        <w:t>证上作</w:t>
      </w:r>
      <w:r>
        <w:rPr>
          <w:spacing w:val="-3"/>
          <w:w w:val="100"/>
          <w:sz w:val="21"/>
        </w:rPr>
        <w:t>出</w:t>
      </w:r>
      <w:r>
        <w:rPr>
          <w:w w:val="100"/>
          <w:sz w:val="21"/>
        </w:rPr>
        <w:t>足</w:t>
      </w:r>
      <w:r>
        <w:rPr>
          <w:spacing w:val="-3"/>
          <w:w w:val="100"/>
          <w:sz w:val="21"/>
        </w:rPr>
        <w:t>以</w:t>
      </w:r>
      <w:r>
        <w:rPr>
          <w:w w:val="100"/>
          <w:sz w:val="21"/>
        </w:rPr>
        <w:t>引</w:t>
      </w:r>
      <w:r>
        <w:rPr>
          <w:spacing w:val="-3"/>
          <w:w w:val="100"/>
          <w:sz w:val="21"/>
        </w:rPr>
        <w:t>起</w:t>
      </w:r>
      <w:r>
        <w:rPr>
          <w:w w:val="100"/>
          <w:sz w:val="21"/>
        </w:rPr>
        <w:t>投</w:t>
      </w:r>
      <w:r>
        <w:rPr>
          <w:spacing w:val="-3"/>
          <w:w w:val="100"/>
          <w:sz w:val="21"/>
        </w:rPr>
        <w:t>保</w:t>
      </w:r>
      <w:r>
        <w:rPr>
          <w:w w:val="100"/>
          <w:sz w:val="21"/>
        </w:rPr>
        <w:t>人</w:t>
      </w:r>
      <w:r>
        <w:rPr>
          <w:spacing w:val="-3"/>
          <w:w w:val="100"/>
          <w:sz w:val="21"/>
        </w:rPr>
        <w:t>注</w:t>
      </w:r>
      <w:r>
        <w:rPr>
          <w:w w:val="100"/>
          <w:sz w:val="21"/>
        </w:rPr>
        <w:t>意的</w:t>
      </w:r>
      <w:r>
        <w:rPr>
          <w:spacing w:val="-3"/>
          <w:w w:val="100"/>
          <w:sz w:val="21"/>
        </w:rPr>
        <w:t>提</w:t>
      </w:r>
      <w:r>
        <w:rPr>
          <w:w w:val="100"/>
          <w:sz w:val="21"/>
        </w:rPr>
        <w:t>示</w:t>
      </w:r>
      <w:r>
        <w:rPr>
          <w:spacing w:val="-3"/>
          <w:w w:val="100"/>
          <w:sz w:val="21"/>
        </w:rPr>
        <w:t>，</w:t>
      </w:r>
      <w:r>
        <w:rPr>
          <w:w w:val="100"/>
          <w:sz w:val="21"/>
        </w:rPr>
        <w:t>并</w:t>
      </w:r>
      <w:r>
        <w:rPr>
          <w:spacing w:val="-3"/>
          <w:w w:val="100"/>
          <w:sz w:val="21"/>
        </w:rPr>
        <w:t>对</w:t>
      </w:r>
      <w:r>
        <w:rPr>
          <w:w w:val="100"/>
          <w:sz w:val="21"/>
        </w:rPr>
        <w:t>该</w:t>
      </w:r>
      <w:r>
        <w:rPr>
          <w:spacing w:val="-3"/>
          <w:w w:val="100"/>
          <w:sz w:val="21"/>
        </w:rPr>
        <w:t>条</w:t>
      </w:r>
      <w:r>
        <w:rPr>
          <w:w w:val="100"/>
          <w:sz w:val="21"/>
        </w:rPr>
        <w:t>款</w:t>
      </w:r>
      <w:r>
        <w:rPr>
          <w:spacing w:val="-3"/>
          <w:w w:val="100"/>
          <w:sz w:val="21"/>
        </w:rPr>
        <w:t>的</w:t>
      </w:r>
      <w:r>
        <w:rPr>
          <w:w w:val="100"/>
          <w:sz w:val="21"/>
        </w:rPr>
        <w:t>内容</w:t>
      </w:r>
      <w:r>
        <w:rPr>
          <w:spacing w:val="-3"/>
          <w:w w:val="100"/>
          <w:sz w:val="21"/>
        </w:rPr>
        <w:t>以</w:t>
      </w:r>
      <w:r>
        <w:rPr>
          <w:w w:val="100"/>
          <w:sz w:val="21"/>
        </w:rPr>
        <w:t>书</w:t>
      </w:r>
      <w:r>
        <w:rPr>
          <w:spacing w:val="-3"/>
          <w:w w:val="100"/>
          <w:sz w:val="21"/>
        </w:rPr>
        <w:t>面</w:t>
      </w:r>
      <w:r>
        <w:rPr>
          <w:w w:val="100"/>
          <w:sz w:val="21"/>
        </w:rPr>
        <w:t>或</w:t>
      </w:r>
      <w:r>
        <w:rPr>
          <w:spacing w:val="-3"/>
          <w:w w:val="100"/>
          <w:sz w:val="21"/>
        </w:rPr>
        <w:t>者</w:t>
      </w:r>
      <w:r>
        <w:rPr>
          <w:w w:val="100"/>
          <w:sz w:val="21"/>
        </w:rPr>
        <w:t>口</w:t>
      </w:r>
      <w:r>
        <w:rPr>
          <w:spacing w:val="-3"/>
          <w:w w:val="100"/>
          <w:sz w:val="21"/>
        </w:rPr>
        <w:t>头</w:t>
      </w:r>
      <w:r>
        <w:rPr>
          <w:w w:val="100"/>
          <w:sz w:val="21"/>
        </w:rPr>
        <w:t>形式向</w:t>
      </w:r>
      <w:r>
        <w:rPr>
          <w:spacing w:val="-3"/>
          <w:w w:val="100"/>
          <w:sz w:val="21"/>
        </w:rPr>
        <w:t>投</w:t>
      </w:r>
      <w:r>
        <w:rPr>
          <w:w w:val="100"/>
          <w:sz w:val="21"/>
        </w:rPr>
        <w:t>保</w:t>
      </w:r>
      <w:r>
        <w:rPr>
          <w:spacing w:val="-3"/>
          <w:w w:val="100"/>
          <w:sz w:val="21"/>
        </w:rPr>
        <w:t>人</w:t>
      </w:r>
      <w:r>
        <w:rPr>
          <w:w w:val="100"/>
          <w:sz w:val="21"/>
        </w:rPr>
        <w:t>作</w:t>
      </w:r>
      <w:r>
        <w:rPr>
          <w:spacing w:val="-3"/>
          <w:w w:val="100"/>
          <w:sz w:val="21"/>
        </w:rPr>
        <w:t>出</w:t>
      </w:r>
      <w:r>
        <w:rPr>
          <w:w w:val="100"/>
          <w:sz w:val="21"/>
        </w:rPr>
        <w:t>明</w:t>
      </w:r>
      <w:r>
        <w:rPr>
          <w:spacing w:val="-3"/>
          <w:w w:val="100"/>
          <w:sz w:val="21"/>
        </w:rPr>
        <w:t>确</w:t>
      </w:r>
      <w:r>
        <w:rPr>
          <w:w w:val="100"/>
          <w:sz w:val="21"/>
        </w:rPr>
        <w:t>说</w:t>
      </w:r>
      <w:r>
        <w:rPr>
          <w:spacing w:val="-3"/>
          <w:w w:val="100"/>
          <w:sz w:val="21"/>
        </w:rPr>
        <w:t>明</w:t>
      </w:r>
      <w:r>
        <w:rPr>
          <w:spacing w:val="-22"/>
          <w:w w:val="100"/>
          <w:sz w:val="21"/>
        </w:rPr>
        <w:t>。</w:t>
      </w:r>
      <w:r>
        <w:rPr>
          <w:spacing w:val="-3"/>
          <w:w w:val="100"/>
          <w:sz w:val="21"/>
        </w:rPr>
        <w:t>未</w:t>
      </w:r>
      <w:r>
        <w:rPr>
          <w:w w:val="100"/>
          <w:sz w:val="21"/>
        </w:rPr>
        <w:t>作</w:t>
      </w:r>
      <w:r>
        <w:rPr>
          <w:spacing w:val="-3"/>
          <w:w w:val="100"/>
          <w:sz w:val="21"/>
        </w:rPr>
        <w:t>提</w:t>
      </w:r>
      <w:r>
        <w:rPr>
          <w:w w:val="100"/>
          <w:sz w:val="21"/>
        </w:rPr>
        <w:t>示</w:t>
      </w:r>
      <w:r>
        <w:rPr>
          <w:spacing w:val="-3"/>
          <w:w w:val="100"/>
          <w:sz w:val="21"/>
        </w:rPr>
        <w:t>或</w:t>
      </w:r>
      <w:r>
        <w:rPr>
          <w:w w:val="100"/>
          <w:sz w:val="21"/>
        </w:rPr>
        <w:t>者</w:t>
      </w:r>
      <w:r>
        <w:rPr>
          <w:spacing w:val="-3"/>
          <w:w w:val="100"/>
          <w:sz w:val="21"/>
        </w:rPr>
        <w:t>明</w:t>
      </w:r>
      <w:r>
        <w:rPr>
          <w:w w:val="100"/>
          <w:sz w:val="21"/>
        </w:rPr>
        <w:t>确</w:t>
      </w:r>
      <w:r>
        <w:rPr>
          <w:spacing w:val="-3"/>
          <w:w w:val="100"/>
          <w:sz w:val="21"/>
        </w:rPr>
        <w:t>说明</w:t>
      </w:r>
      <w:r>
        <w:rPr>
          <w:w w:val="100"/>
          <w:sz w:val="21"/>
        </w:rPr>
        <w:t>的</w:t>
      </w:r>
      <w:r>
        <w:rPr>
          <w:spacing w:val="-25"/>
          <w:w w:val="100"/>
          <w:sz w:val="21"/>
        </w:rPr>
        <w:t>，</w:t>
      </w:r>
      <w:r>
        <w:rPr>
          <w:w w:val="100"/>
          <w:sz w:val="21"/>
        </w:rPr>
        <w:t>该</w:t>
      </w:r>
      <w:r>
        <w:rPr>
          <w:spacing w:val="-3"/>
          <w:w w:val="100"/>
          <w:sz w:val="21"/>
        </w:rPr>
        <w:t>条</w:t>
      </w:r>
      <w:r>
        <w:rPr>
          <w:w w:val="100"/>
          <w:sz w:val="21"/>
        </w:rPr>
        <w:t>款</w:t>
      </w:r>
      <w:r>
        <w:rPr>
          <w:spacing w:val="-3"/>
          <w:w w:val="100"/>
          <w:sz w:val="21"/>
        </w:rPr>
        <w:t>不</w:t>
      </w:r>
      <w:r>
        <w:rPr>
          <w:w w:val="100"/>
          <w:sz w:val="21"/>
        </w:rPr>
        <w:t>产</w:t>
      </w:r>
      <w:r>
        <w:rPr>
          <w:spacing w:val="-3"/>
          <w:w w:val="100"/>
          <w:sz w:val="21"/>
        </w:rPr>
        <w:t>生</w:t>
      </w:r>
      <w:r>
        <w:rPr>
          <w:w w:val="100"/>
          <w:sz w:val="21"/>
        </w:rPr>
        <w:t>效</w:t>
      </w:r>
      <w:r>
        <w:rPr>
          <w:spacing w:val="-3"/>
          <w:w w:val="100"/>
          <w:sz w:val="21"/>
        </w:rPr>
        <w:t>力</w:t>
      </w:r>
      <w:r>
        <w:rPr>
          <w:w w:val="100"/>
          <w:sz w:val="21"/>
        </w:rPr>
        <w:t>。</w:t>
      </w:r>
    </w:p>
    <w:p>
      <w:pPr>
        <w:pStyle w:val="6"/>
        <w:spacing w:before="40" w:line="278" w:lineRule="auto"/>
        <w:ind w:left="3472" w:right="466"/>
      </w:pPr>
      <w:r>
        <w:rPr>
          <w:spacing w:val="-2"/>
        </w:rPr>
        <w:t>订立本合同，我们可以就投保人和被保险人的有关情况提出书面询问，投保人应当如实告知。</w:t>
      </w:r>
    </w:p>
    <w:tbl>
      <w:tblPr>
        <w:tblStyle w:val="7"/>
        <w:tblW w:w="0" w:type="auto"/>
        <w:tblInd w:w="34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943"/>
        <w:gridCol w:w="38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781" w:type="dxa"/>
            <w:gridSpan w:val="2"/>
            <w:tcBorders>
              <w:bottom w:val="single" w:color="FFFFFF" w:sz="8" w:space="0"/>
            </w:tcBorders>
            <w:shd w:val="clear" w:color="auto" w:fill="C0C0C0"/>
          </w:tcPr>
          <w:p>
            <w:pPr>
              <w:pStyle w:val="11"/>
              <w:rPr>
                <w:sz w:val="21"/>
              </w:rPr>
            </w:pPr>
            <w:r>
              <w:rPr>
                <w:spacing w:val="-1"/>
                <w:sz w:val="21"/>
              </w:rPr>
              <w:t>如果投保人故意或者因重大过失未履行前款规定的如实告知义务，足以影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781" w:type="dxa"/>
            <w:gridSpan w:val="2"/>
            <w:tcBorders>
              <w:top w:val="single" w:color="FFFFFF" w:sz="8" w:space="0"/>
              <w:bottom w:val="single" w:color="FFFFFF" w:sz="8" w:space="0"/>
            </w:tcBorders>
            <w:shd w:val="clear" w:color="auto" w:fill="C0C0C0"/>
          </w:tcPr>
          <w:p>
            <w:pPr>
              <w:pStyle w:val="11"/>
              <w:spacing w:line="268" w:lineRule="exact"/>
              <w:ind w:right="-15"/>
              <w:rPr>
                <w:sz w:val="21"/>
              </w:rPr>
            </w:pPr>
            <w:r>
              <w:rPr>
                <w:spacing w:val="-1"/>
                <w:sz w:val="21"/>
              </w:rPr>
              <w:t>响我们决定是否同意承保或者提高保险费率的，我们有权解除本合同。自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781" w:type="dxa"/>
            <w:gridSpan w:val="2"/>
            <w:tcBorders>
              <w:top w:val="single" w:color="FFFFFF" w:sz="8" w:space="0"/>
              <w:bottom w:val="single" w:color="FFFFFF" w:sz="8" w:space="0"/>
            </w:tcBorders>
            <w:shd w:val="clear" w:color="auto" w:fill="C0C0C0"/>
          </w:tcPr>
          <w:p>
            <w:pPr>
              <w:pStyle w:val="11"/>
              <w:spacing w:line="268" w:lineRule="exact"/>
              <w:rPr>
                <w:sz w:val="21"/>
              </w:rPr>
            </w:pPr>
            <w:r>
              <w:rPr>
                <w:spacing w:val="-1"/>
                <w:sz w:val="21"/>
              </w:rPr>
              <w:t>本合同成立之日起超过两年的，本公司不得解除合同，发生保险事故的，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2943" w:type="dxa"/>
            <w:tcBorders>
              <w:top w:val="single" w:color="FFFFFF" w:sz="8" w:space="0"/>
            </w:tcBorders>
            <w:shd w:val="clear" w:color="auto" w:fill="C0C0C0"/>
          </w:tcPr>
          <w:p>
            <w:pPr>
              <w:pStyle w:val="11"/>
              <w:spacing w:line="268" w:lineRule="exact"/>
              <w:ind w:right="-15"/>
              <w:rPr>
                <w:sz w:val="21"/>
              </w:rPr>
            </w:pPr>
            <w:r>
              <w:rPr>
                <w:spacing w:val="-3"/>
                <w:sz w:val="21"/>
              </w:rPr>
              <w:t>本公司承担给付保险金的责任。</w:t>
            </w:r>
          </w:p>
        </w:tc>
        <w:tc>
          <w:tcPr>
            <w:tcW w:w="3838" w:type="dxa"/>
            <w:tcBorders>
              <w:top w:val="single" w:color="FFFFFF" w:sz="8" w:space="0"/>
            </w:tcBorders>
          </w:tcPr>
          <w:p>
            <w:pPr>
              <w:pStyle w:val="11"/>
              <w:rPr>
                <w:rFonts w:ascii="Times New Roman"/>
                <w:sz w:val="20"/>
              </w:rPr>
            </w:pPr>
          </w:p>
        </w:tc>
      </w:tr>
    </w:tbl>
    <w:p>
      <w:pPr>
        <w:pStyle w:val="6"/>
        <w:spacing w:line="242" w:lineRule="auto"/>
        <w:ind w:left="3472" w:right="414"/>
        <w:jc w:val="both"/>
      </w:pPr>
      <w:r>
        <w:rPr>
          <w:spacing w:val="-2"/>
        </w:rPr>
        <w:t>如果我们在合同订立时已经知道投保人未如实告知的或自我们知道有解除事由之日起超过三十日没有解除本合同，则我们不再依据前款约定行使解</w:t>
      </w:r>
      <w:r>
        <w:rPr>
          <w:spacing w:val="-4"/>
        </w:rPr>
        <w:t>除权。</w:t>
      </w:r>
    </w:p>
    <w:tbl>
      <w:tblPr>
        <w:tblStyle w:val="7"/>
        <w:tblW w:w="0" w:type="auto"/>
        <w:tblInd w:w="347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11"/>
        <w:gridCol w:w="2523"/>
        <w:gridCol w:w="19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781" w:type="dxa"/>
            <w:gridSpan w:val="3"/>
            <w:tcBorders>
              <w:bottom w:val="single" w:color="FFFFFF" w:sz="8" w:space="0"/>
            </w:tcBorders>
            <w:shd w:val="clear" w:color="auto" w:fill="C0C0C0"/>
          </w:tcPr>
          <w:p>
            <w:pPr>
              <w:pStyle w:val="11"/>
              <w:spacing w:before="19" w:line="255" w:lineRule="exact"/>
              <w:rPr>
                <w:sz w:val="21"/>
              </w:rPr>
            </w:pPr>
            <w:r>
              <w:rPr>
                <w:spacing w:val="-1"/>
                <w:sz w:val="21"/>
              </w:rPr>
              <w:t>如果投保人故意不履行如实告知义务，我们对于本合同解除前发生的保险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4834" w:type="dxa"/>
            <w:gridSpan w:val="2"/>
            <w:tcBorders>
              <w:top w:val="single" w:color="FFFFFF" w:sz="8" w:space="0"/>
              <w:bottom w:val="single" w:color="FFFFFF" w:sz="8" w:space="0"/>
            </w:tcBorders>
            <w:shd w:val="clear" w:color="auto" w:fill="C0C0C0"/>
          </w:tcPr>
          <w:p>
            <w:pPr>
              <w:pStyle w:val="11"/>
              <w:spacing w:before="17" w:line="255" w:lineRule="exact"/>
              <w:ind w:right="-15"/>
              <w:rPr>
                <w:sz w:val="21"/>
              </w:rPr>
            </w:pPr>
            <w:r>
              <w:rPr>
                <w:spacing w:val="-3"/>
                <w:sz w:val="21"/>
              </w:rPr>
              <w:t>事故，不承担给付保险金的责任，并不退还保险费。</w:t>
            </w:r>
          </w:p>
        </w:tc>
        <w:tc>
          <w:tcPr>
            <w:tcW w:w="1947" w:type="dxa"/>
            <w:tcBorders>
              <w:top w:val="single" w:color="FFFFFF" w:sz="8" w:space="0"/>
              <w:bottom w:val="single" w:color="FFFFFF" w:sz="8"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781" w:type="dxa"/>
            <w:gridSpan w:val="3"/>
            <w:tcBorders>
              <w:top w:val="single" w:color="FFFFFF" w:sz="8" w:space="0"/>
              <w:bottom w:val="single" w:color="FFFFFF" w:sz="8" w:space="0"/>
            </w:tcBorders>
            <w:shd w:val="clear" w:color="auto" w:fill="C0C0C0"/>
          </w:tcPr>
          <w:p>
            <w:pPr>
              <w:pStyle w:val="11"/>
              <w:spacing w:before="17" w:line="255" w:lineRule="exact"/>
              <w:rPr>
                <w:sz w:val="21"/>
              </w:rPr>
            </w:pPr>
            <w:r>
              <w:rPr>
                <w:spacing w:val="-3"/>
                <w:sz w:val="21"/>
              </w:rPr>
              <w:t>如果投保人因重大过失未履行如实告知义务，对保险事故的发生有严重影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781" w:type="dxa"/>
            <w:gridSpan w:val="3"/>
            <w:tcBorders>
              <w:top w:val="single" w:color="FFFFFF" w:sz="8" w:space="0"/>
              <w:bottom w:val="single" w:color="FFFFFF" w:sz="8" w:space="0"/>
            </w:tcBorders>
            <w:shd w:val="clear" w:color="auto" w:fill="C0C0C0"/>
          </w:tcPr>
          <w:p>
            <w:pPr>
              <w:pStyle w:val="11"/>
              <w:spacing w:before="17" w:line="255" w:lineRule="exact"/>
              <w:ind w:right="-116"/>
              <w:rPr>
                <w:sz w:val="21"/>
              </w:rPr>
            </w:pPr>
            <w:r>
              <w:rPr>
                <w:spacing w:val="-5"/>
                <w:sz w:val="21"/>
              </w:rPr>
              <w:t>响的，我们对于本合同解除前发生的保险事故，不承担给付保险金的责任，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2311" w:type="dxa"/>
            <w:tcBorders>
              <w:top w:val="single" w:color="FFFFFF" w:sz="8" w:space="0"/>
            </w:tcBorders>
            <w:shd w:val="clear" w:color="auto" w:fill="C0C0C0"/>
          </w:tcPr>
          <w:p>
            <w:pPr>
              <w:pStyle w:val="11"/>
              <w:spacing w:before="17" w:line="256" w:lineRule="exact"/>
              <w:ind w:right="-15"/>
              <w:rPr>
                <w:sz w:val="21"/>
              </w:rPr>
            </w:pPr>
            <w:r>
              <w:rPr>
                <w:spacing w:val="-3"/>
                <w:sz w:val="21"/>
              </w:rPr>
              <w:t>但退还本合同的保险费。</w:t>
            </w:r>
          </w:p>
        </w:tc>
        <w:tc>
          <w:tcPr>
            <w:tcW w:w="4470" w:type="dxa"/>
            <w:gridSpan w:val="2"/>
            <w:tcBorders>
              <w:top w:val="single" w:color="FFFFFF" w:sz="8" w:space="0"/>
            </w:tcBorders>
          </w:tcPr>
          <w:p>
            <w:pPr>
              <w:pStyle w:val="11"/>
              <w:rPr>
                <w:rFonts w:ascii="Times New Roman"/>
                <w:sz w:val="20"/>
              </w:rPr>
            </w:pPr>
          </w:p>
        </w:tc>
      </w:tr>
    </w:tbl>
    <w:p>
      <w:pPr>
        <w:pStyle w:val="6"/>
        <w:spacing w:before="12"/>
        <w:rPr>
          <w:sz w:val="20"/>
        </w:rPr>
      </w:pPr>
    </w:p>
    <w:p>
      <w:pPr>
        <w:spacing w:after="0"/>
        <w:rPr>
          <w:sz w:val="20"/>
        </w:rPr>
        <w:sectPr>
          <w:pgSz w:w="11910" w:h="16840"/>
          <w:pgMar w:top="1480" w:right="660" w:bottom="1260" w:left="580" w:header="0" w:footer="1060" w:gutter="0"/>
          <w:cols w:space="720" w:num="1"/>
        </w:sectPr>
      </w:pPr>
    </w:p>
    <w:p>
      <w:pPr>
        <w:pStyle w:val="5"/>
        <w:numPr>
          <w:ilvl w:val="1"/>
          <w:numId w:val="13"/>
        </w:numPr>
        <w:tabs>
          <w:tab w:val="left" w:pos="1825"/>
          <w:tab w:val="left" w:pos="1826"/>
        </w:tabs>
        <w:spacing w:before="66" w:after="0" w:line="194" w:lineRule="auto"/>
        <w:ind w:left="1825" w:right="0" w:hanging="1102"/>
        <w:jc w:val="left"/>
      </w:pPr>
      <w:r>
        <w:rPr>
          <w:spacing w:val="-2"/>
        </w:rPr>
        <w:t>合同成立及保险责任开始</w:t>
      </w:r>
    </w:p>
    <w:p>
      <w:pPr>
        <w:pStyle w:val="6"/>
        <w:spacing w:before="71" w:line="249" w:lineRule="auto"/>
        <w:ind w:left="339" w:right="406"/>
        <w:jc w:val="both"/>
      </w:pPr>
      <w:r>
        <w:br w:type="column"/>
      </w:r>
      <w:r>
        <w:rPr>
          <w:spacing w:val="-2"/>
        </w:rPr>
        <w:t>投保人提出保险申请、本公司同意承保，本合同成立。若本合同成立，我</w:t>
      </w:r>
      <w:r>
        <w:rPr>
          <w:w w:val="95"/>
        </w:rPr>
        <w:t>们对本合同承担的保险责任自投保人缴付保险费当日</w:t>
      </w:r>
      <w:r>
        <w:t xml:space="preserve"> </w:t>
      </w:r>
      <w:r>
        <w:rPr>
          <w:w w:val="95"/>
        </w:rPr>
        <w:t>24 时起生效。我们将</w:t>
      </w:r>
      <w:r>
        <w:rPr>
          <w:spacing w:val="-2"/>
        </w:rPr>
        <w:t>签发保险单作为承保的凭证。具体生效日以保险单上载明的日期为准。</w:t>
      </w:r>
    </w:p>
    <w:p>
      <w:pPr>
        <w:spacing w:after="0" w:line="249" w:lineRule="auto"/>
        <w:jc w:val="both"/>
        <w:sectPr>
          <w:type w:val="continuous"/>
          <w:pgSz w:w="11910" w:h="16840"/>
          <w:pgMar w:top="280" w:right="660" w:bottom="280" w:left="580" w:header="0" w:footer="1060" w:gutter="0"/>
          <w:cols w:equalWidth="0" w:num="2">
            <w:col w:w="3093" w:space="40"/>
            <w:col w:w="7537"/>
          </w:cols>
        </w:sectPr>
      </w:pPr>
    </w:p>
    <w:p>
      <w:pPr>
        <w:pStyle w:val="6"/>
        <w:spacing w:before="6"/>
        <w:rPr>
          <w:sz w:val="13"/>
        </w:rPr>
      </w:pPr>
    </w:p>
    <w:p>
      <w:pPr>
        <w:pStyle w:val="6"/>
        <w:spacing w:line="20" w:lineRule="exact"/>
        <w:ind w:left="723"/>
        <w:rPr>
          <w:sz w:val="2"/>
        </w:rPr>
      </w:pPr>
      <w:r>
        <w:rPr>
          <w:sz w:val="2"/>
        </w:rPr>
        <w:drawing>
          <wp:inline distT="0" distB="0" distL="0" distR="0">
            <wp:extent cx="1829435" cy="5715"/>
            <wp:effectExtent l="0" t="0" r="0" b="0"/>
            <wp:docPr id="6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0.png"/>
                    <pic:cNvPicPr>
                      <a:picLocks noChangeAspect="1"/>
                    </pic:cNvPicPr>
                  </pic:nvPicPr>
                  <pic:blipFill>
                    <a:blip r:embed="rId26" cstate="print"/>
                    <a:stretch>
                      <a:fillRect/>
                    </a:stretch>
                  </pic:blipFill>
                  <pic:spPr>
                    <a:xfrm>
                      <a:off x="0" y="0"/>
                      <a:ext cx="1829511" cy="6096"/>
                    </a:xfrm>
                    <a:prstGeom prst="rect">
                      <a:avLst/>
                    </a:prstGeom>
                  </pic:spPr>
                </pic:pic>
              </a:graphicData>
            </a:graphic>
          </wp:inline>
        </w:drawing>
      </w:r>
    </w:p>
    <w:p>
      <w:pPr>
        <w:spacing w:before="61" w:line="206" w:lineRule="auto"/>
        <w:ind w:left="723" w:right="415" w:firstLine="0"/>
        <w:jc w:val="left"/>
        <w:rPr>
          <w:sz w:val="18"/>
        </w:rPr>
      </w:pPr>
      <w:r>
        <w:rPr>
          <w:rFonts w:ascii="Times New Roman" w:eastAsia="Times New Roman"/>
          <w:spacing w:val="-2"/>
          <w:sz w:val="18"/>
          <w:vertAlign w:val="superscript"/>
        </w:rPr>
        <w:t>17</w:t>
      </w:r>
      <w:r>
        <w:rPr>
          <w:rFonts w:ascii="Times New Roman" w:eastAsia="Times New Roman"/>
          <w:spacing w:val="40"/>
          <w:sz w:val="18"/>
          <w:vertAlign w:val="baseline"/>
        </w:rPr>
        <w:t xml:space="preserve"> </w:t>
      </w:r>
      <w:r>
        <w:rPr>
          <w:rFonts w:ascii="微软雅黑" w:eastAsia="微软雅黑"/>
          <w:b/>
          <w:spacing w:val="-2"/>
          <w:sz w:val="18"/>
          <w:vertAlign w:val="baseline"/>
        </w:rPr>
        <w:t>利率：</w:t>
      </w:r>
      <w:r>
        <w:rPr>
          <w:spacing w:val="-2"/>
          <w:sz w:val="18"/>
          <w:vertAlign w:val="baseline"/>
        </w:rPr>
        <w:t xml:space="preserve">借款利率、欠缴保险费利率、逾期给付保险金利率由我们参照中国人民银行最近一次规定的六个月期人民币贷款利率作相应浮动，在每年的 </w:t>
      </w:r>
      <w:r>
        <w:rPr>
          <w:sz w:val="18"/>
          <w:vertAlign w:val="baseline"/>
        </w:rPr>
        <w:t>1</w:t>
      </w:r>
      <w:r>
        <w:rPr>
          <w:spacing w:val="-18"/>
          <w:sz w:val="18"/>
          <w:vertAlign w:val="baseline"/>
        </w:rPr>
        <w:t xml:space="preserve"> 月 </w:t>
      </w:r>
      <w:r>
        <w:rPr>
          <w:sz w:val="18"/>
          <w:vertAlign w:val="baseline"/>
        </w:rPr>
        <w:t>1</w:t>
      </w:r>
      <w:r>
        <w:rPr>
          <w:spacing w:val="-14"/>
          <w:sz w:val="18"/>
          <w:vertAlign w:val="baseline"/>
        </w:rPr>
        <w:t xml:space="preserve"> 日和 </w:t>
      </w:r>
      <w:r>
        <w:rPr>
          <w:sz w:val="18"/>
          <w:vertAlign w:val="baseline"/>
        </w:rPr>
        <w:t>7</w:t>
      </w:r>
      <w:r>
        <w:rPr>
          <w:spacing w:val="-18"/>
          <w:sz w:val="18"/>
          <w:vertAlign w:val="baseline"/>
        </w:rPr>
        <w:t xml:space="preserve"> 月 </w:t>
      </w:r>
      <w:r>
        <w:rPr>
          <w:sz w:val="18"/>
          <w:vertAlign w:val="baseline"/>
        </w:rPr>
        <w:t>1</w:t>
      </w:r>
      <w:r>
        <w:rPr>
          <w:spacing w:val="-5"/>
          <w:sz w:val="18"/>
          <w:vertAlign w:val="baseline"/>
        </w:rPr>
        <w:t xml:space="preserve"> 日确定并以适当方式公布。</w:t>
      </w:r>
    </w:p>
    <w:p>
      <w:pPr>
        <w:spacing w:after="0" w:line="206" w:lineRule="auto"/>
        <w:jc w:val="left"/>
        <w:rPr>
          <w:sz w:val="18"/>
        </w:rPr>
        <w:sectPr>
          <w:type w:val="continuous"/>
          <w:pgSz w:w="11910" w:h="16840"/>
          <w:pgMar w:top="280" w:right="660" w:bottom="280" w:left="580" w:header="0" w:footer="1060" w:gutter="0"/>
          <w:cols w:space="720" w:num="1"/>
        </w:sectPr>
      </w:pPr>
    </w:p>
    <w:p>
      <w:pPr>
        <w:spacing w:before="20" w:line="235" w:lineRule="auto"/>
        <w:ind w:left="3472" w:right="437" w:firstLine="0"/>
        <w:jc w:val="left"/>
        <w:rPr>
          <w:sz w:val="21"/>
        </w:rPr>
      </w:pPr>
      <w:r>
        <w:rPr>
          <w:spacing w:val="-2"/>
          <w:sz w:val="21"/>
        </w:rPr>
        <w:t>本合同的</w:t>
      </w:r>
      <w:r>
        <w:rPr>
          <w:rFonts w:ascii="微软雅黑" w:eastAsia="微软雅黑"/>
          <w:b/>
          <w:spacing w:val="-2"/>
          <w:sz w:val="21"/>
        </w:rPr>
        <w:t>保单周年日</w:t>
      </w:r>
      <w:r>
        <w:rPr>
          <w:rFonts w:ascii="微软雅黑" w:eastAsia="微软雅黑"/>
          <w:b/>
          <w:spacing w:val="-2"/>
          <w:position w:val="11"/>
          <w:sz w:val="11"/>
        </w:rPr>
        <w:t>18</w:t>
      </w:r>
      <w:r>
        <w:rPr>
          <w:spacing w:val="-2"/>
          <w:sz w:val="21"/>
        </w:rPr>
        <w:t>、</w:t>
      </w:r>
      <w:r>
        <w:rPr>
          <w:rFonts w:ascii="微软雅黑" w:eastAsia="微软雅黑"/>
          <w:b/>
          <w:spacing w:val="-2"/>
          <w:sz w:val="21"/>
        </w:rPr>
        <w:t>保单年度</w:t>
      </w:r>
      <w:r>
        <w:rPr>
          <w:rFonts w:ascii="微软雅黑" w:eastAsia="微软雅黑"/>
          <w:b/>
          <w:spacing w:val="-2"/>
          <w:position w:val="11"/>
          <w:sz w:val="11"/>
        </w:rPr>
        <w:t>19</w:t>
      </w:r>
      <w:r>
        <w:rPr>
          <w:spacing w:val="-2"/>
          <w:sz w:val="21"/>
        </w:rPr>
        <w:t>、缴费期、有效期、合同期满日均以生效日起算。</w:t>
      </w:r>
    </w:p>
    <w:p>
      <w:pPr>
        <w:pStyle w:val="6"/>
        <w:spacing w:before="2"/>
        <w:rPr>
          <w:sz w:val="22"/>
        </w:rPr>
      </w:pPr>
    </w:p>
    <w:p>
      <w:pPr>
        <w:pStyle w:val="5"/>
        <w:numPr>
          <w:ilvl w:val="1"/>
          <w:numId w:val="13"/>
        </w:numPr>
        <w:tabs>
          <w:tab w:val="left" w:pos="1825"/>
          <w:tab w:val="left" w:pos="1826"/>
        </w:tabs>
        <w:spacing w:before="57" w:after="0" w:line="194" w:lineRule="auto"/>
        <w:ind w:left="1825" w:right="7572" w:hanging="1102"/>
        <w:jc w:val="left"/>
      </w:pPr>
      <w:r>
        <w:pict>
          <v:shape id="docshape46" o:spid="_x0000_s1070" o:spt="202" type="#_x0000_t202" style="position:absolute;left:0pt;margin-left:202.6pt;margin-top:86.4pt;height:13.95pt;width:52.6pt;mso-position-horizontal-relative:page;z-index:251684864;mso-width-relative:page;mso-height-relative:page;" fillcolor="#C0C0C0" filled="t" stroked="f" coordsize="21600,21600">
            <v:path/>
            <v:fill on="t" focussize="0,0"/>
            <v:stroke on="f" joinstyle="miter"/>
            <v:imagedata o:title=""/>
            <o:lock v:ext="edit"/>
            <v:textbox inset="0mm,0mm,0mm,0mm">
              <w:txbxContent>
                <w:p>
                  <w:pPr>
                    <w:pStyle w:val="6"/>
                    <w:spacing w:before="13" w:line="265" w:lineRule="exact"/>
                    <w:ind w:right="-15"/>
                    <w:rPr>
                      <w:color w:val="000000"/>
                    </w:rPr>
                  </w:pPr>
                  <w:r>
                    <w:rPr>
                      <w:color w:val="000000"/>
                      <w:spacing w:val="-4"/>
                    </w:rPr>
                    <w:t>的保险费。</w:t>
                  </w:r>
                </w:p>
              </w:txbxContent>
            </v:textbox>
          </v:shape>
        </w:pict>
      </w:r>
      <w:r>
        <w:pict>
          <v:shape id="docshape47" o:spid="_x0000_s1071" o:spt="202" type="#_x0000_t202" style="position:absolute;left:0pt;margin-left:202.6pt;margin-top:72.35pt;height:14.05pt;width:339.05pt;mso-position-horizontal-relative:page;z-index:251685888;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rPr>
                      <w:color w:val="000000"/>
                    </w:rPr>
                  </w:pPr>
                  <w:r>
                    <w:rPr>
                      <w:color w:val="000000"/>
                      <w:spacing w:val="-1"/>
                    </w:rPr>
                    <w:t>本合同效力终止后，除另有规定外，我们不退还本合同的现金价值或已缴</w:t>
                  </w:r>
                </w:p>
              </w:txbxContent>
            </v:textbox>
          </v:shape>
        </w:pict>
      </w:r>
      <w:r>
        <w:pict>
          <v:shape id="docshape48" o:spid="_x0000_s1072" o:spt="202" type="#_x0000_t202" style="position:absolute;left:0pt;margin-left:202.6pt;margin-top:44.4pt;height:28pt;width:173.3pt;mso-position-horizontal-relative:page;z-index:251685888;mso-width-relative:page;mso-height-relative:page;" fillcolor="#C0C0C0" filled="t" stroked="f" coordsize="21600,21600">
            <v:path/>
            <v:fill on="t" focussize="0,0"/>
            <v:stroke on="f" joinstyle="miter"/>
            <v:imagedata o:title=""/>
            <o:lock v:ext="edit"/>
            <v:textbox inset="0mm,0mm,0mm,0mm">
              <w:txbxContent>
                <w:p>
                  <w:pPr>
                    <w:pStyle w:val="6"/>
                    <w:spacing w:before="13"/>
                    <w:ind w:right="-15"/>
                    <w:rPr>
                      <w:color w:val="000000"/>
                    </w:rPr>
                  </w:pPr>
                  <w:r>
                    <w:rPr>
                      <w:color w:val="000000"/>
                      <w:spacing w:val="-2"/>
                    </w:rPr>
                    <w:t>3</w:t>
                  </w:r>
                  <w:r>
                    <w:rPr>
                      <w:color w:val="000000"/>
                      <w:spacing w:val="-3"/>
                    </w:rPr>
                    <w:t>、本合同效力中止后两年内未复效；</w:t>
                  </w:r>
                </w:p>
                <w:p>
                  <w:pPr>
                    <w:pStyle w:val="6"/>
                    <w:spacing w:before="9" w:line="268" w:lineRule="exact"/>
                    <w:ind w:right="-15"/>
                    <w:rPr>
                      <w:color w:val="000000"/>
                    </w:rPr>
                  </w:pPr>
                  <w:r>
                    <w:rPr>
                      <w:color w:val="000000"/>
                      <w:spacing w:val="-2"/>
                    </w:rPr>
                    <w:t>4</w:t>
                  </w:r>
                  <w:r>
                    <w:rPr>
                      <w:color w:val="000000"/>
                      <w:spacing w:val="-3"/>
                    </w:rPr>
                    <w:t>、本合同规定的其它效力终止情形。</w:t>
                  </w:r>
                </w:p>
              </w:txbxContent>
            </v:textbox>
          </v:shape>
        </w:pict>
      </w:r>
      <w:r>
        <w:pict>
          <v:shape id="docshape49" o:spid="_x0000_s1073" o:spt="202" type="#_x0000_t202" style="position:absolute;left:0pt;margin-left:202.6pt;margin-top:30.35pt;height:14.05pt;width:78.75pt;mso-position-horizontal-relative:page;z-index:251686912;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ind w:right="-15"/>
                    <w:rPr>
                      <w:color w:val="000000"/>
                    </w:rPr>
                  </w:pPr>
                  <w:r>
                    <w:rPr>
                      <w:color w:val="000000"/>
                      <w:spacing w:val="-2"/>
                    </w:rPr>
                    <w:t>2</w:t>
                  </w:r>
                  <w:r>
                    <w:rPr>
                      <w:color w:val="000000"/>
                      <w:spacing w:val="-4"/>
                    </w:rPr>
                    <w:t>、本合同解除；</w:t>
                  </w:r>
                </w:p>
              </w:txbxContent>
            </v:textbox>
          </v:shape>
        </w:pict>
      </w:r>
      <w:r>
        <w:pict>
          <v:shape id="docshape50" o:spid="_x0000_s1074" o:spt="202" type="#_x0000_t202" style="position:absolute;left:0pt;margin-left:202.6pt;margin-top:16.35pt;height:14.05pt;width:89.3pt;mso-position-horizontal-relative:page;z-index:251686912;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ind w:right="-15"/>
                    <w:rPr>
                      <w:color w:val="000000"/>
                    </w:rPr>
                  </w:pPr>
                  <w:r>
                    <w:rPr>
                      <w:color w:val="000000"/>
                      <w:spacing w:val="-2"/>
                    </w:rPr>
                    <w:t>1</w:t>
                  </w:r>
                  <w:r>
                    <w:rPr>
                      <w:color w:val="000000"/>
                      <w:spacing w:val="-4"/>
                    </w:rPr>
                    <w:t>、被保险人身故；</w:t>
                  </w:r>
                </w:p>
              </w:txbxContent>
            </v:textbox>
          </v:shape>
        </w:pict>
      </w:r>
      <w:r>
        <w:pict>
          <v:shape id="docshape51" o:spid="_x0000_s1075" o:spt="202" type="#_x0000_t202" style="position:absolute;left:0pt;margin-left:202.6pt;margin-top:2.4pt;height:13.95pt;width:189.15pt;mso-position-horizontal-relative:page;z-index:251687936;mso-width-relative:page;mso-height-relative:page;" fillcolor="#C0C0C0" filled="t" stroked="f" coordsize="21600,21600">
            <v:path/>
            <v:fill on="t" focussize="0,0"/>
            <v:stroke on="f" joinstyle="miter"/>
            <v:imagedata o:title=""/>
            <o:lock v:ext="edit"/>
            <v:textbox inset="0mm,0mm,0mm,0mm">
              <w:txbxContent>
                <w:p>
                  <w:pPr>
                    <w:pStyle w:val="6"/>
                    <w:spacing w:before="13" w:line="265" w:lineRule="exact"/>
                    <w:ind w:right="-15"/>
                    <w:rPr>
                      <w:color w:val="000000"/>
                    </w:rPr>
                  </w:pPr>
                  <w:r>
                    <w:rPr>
                      <w:color w:val="000000"/>
                      <w:spacing w:val="-3"/>
                    </w:rPr>
                    <w:t>有下列情况之一时，本合同的效力终止：</w:t>
                  </w:r>
                </w:p>
              </w:txbxContent>
            </v:textbox>
          </v:shape>
        </w:pict>
      </w:r>
      <w:r>
        <w:rPr>
          <w:spacing w:val="-2"/>
        </w:rPr>
        <w:t>合同效力的终</w:t>
      </w:r>
      <w:r>
        <w:rPr>
          <w:spacing w:val="-10"/>
        </w:rPr>
        <w:t>止</w:t>
      </w:r>
    </w:p>
    <w:p>
      <w:pPr>
        <w:pStyle w:val="6"/>
        <w:rPr>
          <w:rFonts w:ascii="微软雅黑"/>
          <w:b/>
          <w:sz w:val="20"/>
        </w:rPr>
      </w:pPr>
    </w:p>
    <w:p>
      <w:pPr>
        <w:pStyle w:val="6"/>
        <w:rPr>
          <w:rFonts w:ascii="微软雅黑"/>
          <w:b/>
          <w:sz w:val="20"/>
        </w:rPr>
      </w:pPr>
    </w:p>
    <w:p>
      <w:pPr>
        <w:pStyle w:val="6"/>
        <w:rPr>
          <w:rFonts w:ascii="微软雅黑"/>
          <w:b/>
          <w:sz w:val="20"/>
        </w:rPr>
      </w:pPr>
    </w:p>
    <w:p>
      <w:pPr>
        <w:pStyle w:val="6"/>
        <w:spacing w:before="9"/>
        <w:rPr>
          <w:rFonts w:ascii="微软雅黑"/>
          <w:b/>
          <w:sz w:val="25"/>
        </w:rPr>
      </w:pPr>
    </w:p>
    <w:p>
      <w:pPr>
        <w:spacing w:after="0"/>
        <w:rPr>
          <w:rFonts w:ascii="微软雅黑"/>
          <w:sz w:val="25"/>
        </w:rPr>
        <w:sectPr>
          <w:pgSz w:w="11910" w:h="16840"/>
          <w:pgMar w:top="1420" w:right="660" w:bottom="1260" w:left="580" w:header="0" w:footer="1060" w:gutter="0"/>
          <w:cols w:space="720" w:num="1"/>
        </w:sectPr>
      </w:pPr>
    </w:p>
    <w:p>
      <w:pPr>
        <w:pStyle w:val="10"/>
        <w:numPr>
          <w:ilvl w:val="1"/>
          <w:numId w:val="13"/>
        </w:numPr>
        <w:tabs>
          <w:tab w:val="left" w:pos="1825"/>
          <w:tab w:val="left" w:pos="1826"/>
        </w:tabs>
        <w:spacing w:before="67" w:after="0" w:line="194" w:lineRule="auto"/>
        <w:ind w:left="1825" w:right="0" w:hanging="1102"/>
        <w:jc w:val="left"/>
        <w:rPr>
          <w:rFonts w:ascii="微软雅黑" w:eastAsia="微软雅黑"/>
          <w:b/>
          <w:sz w:val="21"/>
        </w:rPr>
      </w:pPr>
      <w:r>
        <w:rPr>
          <w:rFonts w:ascii="微软雅黑" w:eastAsia="微软雅黑"/>
          <w:b/>
          <w:spacing w:val="-2"/>
          <w:sz w:val="21"/>
        </w:rPr>
        <w:t>年龄或性别错</w:t>
      </w:r>
      <w:r>
        <w:rPr>
          <w:rFonts w:ascii="微软雅黑" w:eastAsia="微软雅黑"/>
          <w:b/>
          <w:spacing w:val="-4"/>
          <w:sz w:val="21"/>
        </w:rPr>
        <w:t>误的处理</w:t>
      </w:r>
    </w:p>
    <w:p>
      <w:pPr>
        <w:pStyle w:val="6"/>
        <w:spacing w:before="72" w:line="249" w:lineRule="auto"/>
        <w:ind w:left="339" w:right="413"/>
      </w:pPr>
      <w:r>
        <w:br w:type="column"/>
      </w:r>
      <w:r>
        <w:rPr>
          <w:spacing w:val="-2"/>
        </w:rPr>
        <w:t>被保险人的年龄以周岁计算。投保人在申请投保时，应在投保单上按被保险人的真实年龄及性别填明，若发生错误，则按下列规定办理：</w:t>
      </w:r>
    </w:p>
    <w:p>
      <w:pPr>
        <w:pStyle w:val="6"/>
        <w:spacing w:before="2"/>
        <w:ind w:left="339"/>
      </w:pPr>
      <w:r>
        <w:pict>
          <v:shape id="docshape52" o:spid="_x0000_s1076" o:spt="202" type="#_x0000_t202" style="position:absolute;left:0pt;margin-left:202.6pt;margin-top:27.4pt;height:14.05pt;width:254.3pt;mso-position-horizontal-relative:page;z-index:251683840;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rPr>
                      <w:color w:val="000000"/>
                    </w:rPr>
                  </w:pPr>
                  <w:r>
                    <w:rPr>
                      <w:color w:val="000000"/>
                      <w:spacing w:val="-1"/>
                    </w:rPr>
                    <w:t>合同，我们将向投保人退还本合同解除日的现金价值。</w:t>
                  </w:r>
                </w:p>
              </w:txbxContent>
            </v:textbox>
          </v:shape>
        </w:pict>
      </w:r>
      <w:r>
        <w:pict>
          <v:shape id="docshape53" o:spid="_x0000_s1077" o:spt="202" type="#_x0000_t202" style="position:absolute;left:0pt;margin-left:202.6pt;margin-top:13.35pt;height:14.1pt;width:339.05pt;mso-position-horizontal-relative:page;z-index:251683840;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rPr>
                      <w:color w:val="000000"/>
                    </w:rPr>
                  </w:pPr>
                  <w:r>
                    <w:rPr>
                      <w:color w:val="000000"/>
                      <w:spacing w:val="-1"/>
                    </w:rPr>
                    <w:t>符合我们对本险种接受的被保险人的年龄或性别限制的，我们有权解除本</w:t>
                  </w:r>
                </w:p>
              </w:txbxContent>
            </v:textbox>
          </v:shape>
        </w:pict>
      </w:r>
      <w:r>
        <w:pict>
          <v:shape id="docshape54" o:spid="_x0000_s1078" o:spt="202" type="#_x0000_t202" style="position:absolute;left:0pt;margin-left:217.25pt;margin-top:-0.55pt;height:13.95pt;width:324.45pt;mso-position-horizontal-relative:page;z-index:251684864;mso-width-relative:page;mso-height-relative:page;" fillcolor="#C0C0C0" filled="t" stroked="f" coordsize="21600,21600">
            <v:path/>
            <v:fill on="t" focussize="0,0"/>
            <v:stroke on="f" joinstyle="miter"/>
            <v:imagedata o:title=""/>
            <o:lock v:ext="edit"/>
            <v:textbox inset="0mm,0mm,0mm,0mm">
              <w:txbxContent>
                <w:p>
                  <w:pPr>
                    <w:pStyle w:val="6"/>
                    <w:spacing w:before="13" w:line="265" w:lineRule="exact"/>
                    <w:ind w:right="-15"/>
                    <w:rPr>
                      <w:color w:val="000000"/>
                    </w:rPr>
                  </w:pPr>
                  <w:r>
                    <w:rPr>
                      <w:color w:val="000000"/>
                      <w:spacing w:val="-5"/>
                    </w:rPr>
                    <w:t>若投保人申报的被保险人年龄或性别不真实，并且其真实年龄或性别不</w:t>
                  </w:r>
                </w:p>
              </w:txbxContent>
            </v:textbox>
          </v:shape>
        </w:pict>
      </w:r>
      <w:r>
        <w:t>1</w:t>
      </w:r>
      <w:r>
        <w:rPr>
          <w:spacing w:val="-10"/>
        </w:rPr>
        <w:t>、</w:t>
      </w:r>
    </w:p>
    <w:p>
      <w:pPr>
        <w:spacing w:after="0"/>
        <w:sectPr>
          <w:type w:val="continuous"/>
          <w:pgSz w:w="11910" w:h="16840"/>
          <w:pgMar w:top="280" w:right="660" w:bottom="280" w:left="580" w:header="0" w:footer="1060" w:gutter="0"/>
          <w:cols w:equalWidth="0" w:num="2">
            <w:col w:w="3093" w:space="40"/>
            <w:col w:w="7537"/>
          </w:cols>
        </w:sectPr>
      </w:pPr>
    </w:p>
    <w:p>
      <w:pPr>
        <w:pStyle w:val="6"/>
        <w:spacing w:before="1"/>
        <w:rPr>
          <w:sz w:val="17"/>
        </w:rPr>
      </w:pPr>
    </w:p>
    <w:p>
      <w:pPr>
        <w:pStyle w:val="6"/>
        <w:spacing w:before="72"/>
        <w:ind w:left="8558"/>
      </w:pPr>
      <w:r>
        <w:rPr>
          <w:spacing w:val="-2"/>
        </w:rPr>
        <w:t>但自本合同成立日</w:t>
      </w:r>
    </w:p>
    <w:p>
      <w:pPr>
        <w:pStyle w:val="6"/>
        <w:spacing w:before="12"/>
        <w:ind w:left="3472"/>
      </w:pPr>
      <w:r>
        <w:rPr>
          <w:spacing w:val="-2"/>
        </w:rPr>
        <w:t>（若本合同中止后复效，则以最后复效日为准）</w:t>
      </w:r>
      <w:r>
        <w:rPr>
          <w:spacing w:val="-3"/>
        </w:rPr>
        <w:t>起超过两年者除外。</w:t>
      </w:r>
    </w:p>
    <w:p>
      <w:pPr>
        <w:pStyle w:val="6"/>
        <w:spacing w:before="9" w:line="249" w:lineRule="auto"/>
        <w:ind w:left="3472" w:right="414"/>
        <w:jc w:val="both"/>
      </w:pPr>
      <w:r>
        <w:rPr>
          <w:spacing w:val="-2"/>
        </w:rPr>
        <w:t>如果我们在合同订立时已经知道投保人未如实告知的或自我们知道有解除事由之日起超过三十日没有解除本合同，则我们不再依据前款约定行使解</w:t>
      </w:r>
      <w:r>
        <w:rPr>
          <w:spacing w:val="-4"/>
        </w:rPr>
        <w:t>除权。</w:t>
      </w:r>
    </w:p>
    <w:p>
      <w:pPr>
        <w:pStyle w:val="6"/>
        <w:spacing w:before="1" w:line="249" w:lineRule="auto"/>
        <w:ind w:left="3472" w:right="408"/>
      </w:pPr>
      <w:r>
        <w:pict>
          <v:shape id="docshape55" o:spid="_x0000_s1079" o:spt="202" type="#_x0000_t202" style="position:absolute;left:0pt;margin-left:202.6pt;margin-top:27.45pt;height:13.95pt;width:315.2pt;mso-position-horizontal-relative:page;z-index:251682816;mso-width-relative:page;mso-height-relative:page;" fillcolor="#C0C0C0" filled="t" stroked="f" coordsize="21600,21600">
            <v:path/>
            <v:fill on="t" focussize="0,0"/>
            <v:stroke on="f" joinstyle="miter"/>
            <v:imagedata o:title=""/>
            <o:lock v:ext="edit"/>
            <v:textbox inset="0mm,0mm,0mm,0mm">
              <w:txbxContent>
                <w:p>
                  <w:pPr>
                    <w:pStyle w:val="6"/>
                    <w:spacing w:before="13" w:line="265" w:lineRule="exact"/>
                    <w:ind w:right="-15"/>
                    <w:rPr>
                      <w:color w:val="000000"/>
                    </w:rPr>
                  </w:pPr>
                  <w:r>
                    <w:rPr>
                      <w:color w:val="000000"/>
                      <w:spacing w:val="-3"/>
                    </w:rPr>
                    <w:t>险事故，我们将按实缴保险费和应缴保险费的比例折算给付保险金。</w:t>
                  </w:r>
                </w:p>
              </w:txbxContent>
            </v:textbox>
          </v:shape>
        </w:pict>
      </w:r>
      <w:r>
        <w:pict>
          <v:shape id="docshape56" o:spid="_x0000_s1080" o:spt="202" type="#_x0000_t202" style="position:absolute;left:0pt;margin-left:488.7pt;margin-top:13.4pt;height:14.05pt;width:52.95pt;mso-position-horizontal-relative:page;z-index:-251599872;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rPr>
                      <w:color w:val="000000"/>
                    </w:rPr>
                  </w:pPr>
                  <w:r>
                    <w:rPr>
                      <w:color w:val="000000"/>
                      <w:spacing w:val="-2"/>
                    </w:rPr>
                    <w:t>若已发生保</w:t>
                  </w:r>
                </w:p>
              </w:txbxContent>
            </v:textbox>
          </v:shape>
        </w:pict>
      </w:r>
      <w:r>
        <w:rPr>
          <w:spacing w:val="-2"/>
        </w:rPr>
        <w:t>2、若投保人申报的被保险人的年龄或性别不真实，致使投保人实缴保险费少于应缴保险费的，我们有权更正并要求投保人补缴保险费。</w:t>
      </w:r>
    </w:p>
    <w:p>
      <w:pPr>
        <w:pStyle w:val="6"/>
        <w:spacing w:before="3"/>
        <w:rPr>
          <w:sz w:val="16"/>
        </w:rPr>
      </w:pPr>
    </w:p>
    <w:p>
      <w:pPr>
        <w:pStyle w:val="6"/>
        <w:spacing w:before="72" w:line="249" w:lineRule="auto"/>
        <w:ind w:left="3472" w:right="408"/>
      </w:pPr>
      <w:r>
        <w:rPr>
          <w:spacing w:val="-2"/>
        </w:rPr>
        <w:t>3、若投保人申报的被保险人的年龄或性别不真实，致使投保人实缴的保险费多于应缴的保险费的，我们应将多收的保险费退还给投保人。</w:t>
      </w:r>
    </w:p>
    <w:p>
      <w:pPr>
        <w:pStyle w:val="6"/>
        <w:spacing w:before="8"/>
        <w:rPr>
          <w:sz w:val="19"/>
        </w:rPr>
      </w:pPr>
    </w:p>
    <w:p>
      <w:pPr>
        <w:spacing w:after="0"/>
        <w:rPr>
          <w:sz w:val="19"/>
        </w:rPr>
        <w:sectPr>
          <w:type w:val="continuous"/>
          <w:pgSz w:w="11910" w:h="16840"/>
          <w:pgMar w:top="280" w:right="660" w:bottom="280" w:left="580" w:header="0" w:footer="1060" w:gutter="0"/>
          <w:cols w:space="720" w:num="1"/>
        </w:sectPr>
      </w:pPr>
    </w:p>
    <w:p>
      <w:pPr>
        <w:pStyle w:val="5"/>
        <w:numPr>
          <w:ilvl w:val="1"/>
          <w:numId w:val="13"/>
        </w:numPr>
        <w:tabs>
          <w:tab w:val="left" w:pos="1825"/>
          <w:tab w:val="left" w:pos="1826"/>
        </w:tabs>
        <w:spacing w:before="58" w:after="0" w:line="194" w:lineRule="auto"/>
        <w:ind w:left="1825" w:right="0" w:hanging="1102"/>
        <w:jc w:val="left"/>
      </w:pPr>
      <w:r>
        <w:rPr>
          <w:spacing w:val="-2"/>
        </w:rPr>
        <w:t>被保险人失踪</w:t>
      </w:r>
      <w:r>
        <w:rPr>
          <w:spacing w:val="-4"/>
        </w:rPr>
        <w:t>的处理</w:t>
      </w:r>
    </w:p>
    <w:p>
      <w:pPr>
        <w:pStyle w:val="6"/>
        <w:spacing w:before="72" w:line="278" w:lineRule="auto"/>
        <w:ind w:left="339" w:right="466"/>
        <w:jc w:val="both"/>
      </w:pPr>
      <w:r>
        <w:br w:type="column"/>
      </w:r>
      <w:r>
        <w:rPr>
          <w:spacing w:val="-2"/>
        </w:rPr>
        <w:t>若被保险人在本合同有效期内失踪且被法院宣告死亡，则我们以法院宣告死亡的判决作出之日为准给付身故保险金。因意外事件下落不明宣告死亡的，我们以意外事件发生之日为准给付身故保险金。</w:t>
      </w:r>
    </w:p>
    <w:p>
      <w:pPr>
        <w:pStyle w:val="6"/>
        <w:spacing w:line="249" w:lineRule="auto"/>
        <w:ind w:left="339" w:right="414"/>
        <w:jc w:val="both"/>
      </w:pPr>
      <w:r>
        <w:rPr>
          <w:spacing w:val="-2"/>
        </w:rPr>
        <w:t>若被保险人在宣告死亡后重新出现或者确知其下落，受益人应于知道或应当知道被保险人生还后的三十日内向我们退还已领取的保险金。本合同的效力由双方协商确定。</w:t>
      </w:r>
    </w:p>
    <w:p>
      <w:pPr>
        <w:spacing w:after="0" w:line="249" w:lineRule="auto"/>
        <w:jc w:val="both"/>
        <w:sectPr>
          <w:type w:val="continuous"/>
          <w:pgSz w:w="11910" w:h="16840"/>
          <w:pgMar w:top="280" w:right="660" w:bottom="280" w:left="580" w:header="0" w:footer="1060" w:gutter="0"/>
          <w:cols w:equalWidth="0" w:num="2">
            <w:col w:w="3093" w:space="40"/>
            <w:col w:w="7537"/>
          </w:cols>
        </w:sectPr>
      </w:pPr>
    </w:p>
    <w:p>
      <w:pPr>
        <w:pStyle w:val="6"/>
        <w:spacing w:before="10"/>
        <w:rPr>
          <w:sz w:val="18"/>
        </w:rPr>
      </w:pPr>
    </w:p>
    <w:p>
      <w:pPr>
        <w:pStyle w:val="10"/>
        <w:numPr>
          <w:ilvl w:val="1"/>
          <w:numId w:val="13"/>
        </w:numPr>
        <w:tabs>
          <w:tab w:val="left" w:pos="1825"/>
          <w:tab w:val="left" w:pos="1826"/>
          <w:tab w:val="left" w:pos="3472"/>
        </w:tabs>
        <w:spacing w:before="5" w:after="0" w:line="256" w:lineRule="auto"/>
        <w:ind w:left="3472" w:right="466" w:hanging="2749"/>
        <w:jc w:val="both"/>
        <w:rPr>
          <w:sz w:val="21"/>
        </w:rPr>
      </w:pPr>
      <w:r>
        <w:pict>
          <v:shape id="docshape57" o:spid="_x0000_s1081" o:spt="202" type="#_x0000_t202" style="position:absolute;left:0pt;margin-left:202.6pt;margin-top:49.25pt;height:14.8pt;width:252.15pt;mso-position-horizontal-relative:page;z-index:251681792;mso-width-relative:page;mso-height-relative:page;"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3"/>
                    </w:rPr>
                    <w:t>本合同关于保险事故的约定，我们有权不给付保险金。</w:t>
                  </w:r>
                </w:p>
              </w:txbxContent>
            </v:textbox>
          </v:shape>
        </w:pict>
      </w:r>
      <w:r>
        <w:pict>
          <v:shape id="docshape58" o:spid="_x0000_s1082" o:spt="202" type="#_x0000_t202" style="position:absolute;left:0pt;margin-left:286.7pt;margin-top:33.65pt;height:15.6pt;width:252.05pt;mso-position-horizontal-relative:page;z-index:-251600896;mso-width-relative:page;mso-height-relative:page;"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3"/>
                    </w:rPr>
                    <w:t>如果被保险人拒绝检查、检验或检查、检验结果不符合</w:t>
                  </w:r>
                </w:p>
              </w:txbxContent>
            </v:textbox>
          </v:shape>
        </w:pict>
      </w:r>
      <w:r>
        <w:rPr>
          <w:rFonts w:ascii="微软雅黑" w:eastAsia="微软雅黑"/>
          <w:b/>
          <w:spacing w:val="-4"/>
          <w:sz w:val="21"/>
        </w:rPr>
        <w:t>身体检查</w:t>
      </w:r>
      <w:r>
        <w:rPr>
          <w:rFonts w:ascii="微软雅黑" w:eastAsia="微软雅黑"/>
          <w:b/>
          <w:sz w:val="21"/>
        </w:rPr>
        <w:tab/>
      </w:r>
      <w:r>
        <w:rPr>
          <w:spacing w:val="-2"/>
          <w:sz w:val="21"/>
        </w:rPr>
        <w:t>申请本合同保险金时，我们有权根据实际情况要求被保险人到我们指定的医院或鉴定机构进行身体检查或其他必要的检验以确认保险事故的发生，费用由我们承担。</w:t>
      </w:r>
    </w:p>
    <w:p>
      <w:pPr>
        <w:pStyle w:val="6"/>
        <w:rPr>
          <w:sz w:val="20"/>
        </w:rPr>
      </w:pPr>
    </w:p>
    <w:p>
      <w:pPr>
        <w:pStyle w:val="6"/>
        <w:spacing w:before="2"/>
        <w:rPr>
          <w:sz w:val="24"/>
        </w:rPr>
      </w:pPr>
    </w:p>
    <w:p>
      <w:pPr>
        <w:pStyle w:val="10"/>
        <w:numPr>
          <w:ilvl w:val="1"/>
          <w:numId w:val="13"/>
        </w:numPr>
        <w:tabs>
          <w:tab w:val="left" w:pos="1825"/>
          <w:tab w:val="left" w:pos="1826"/>
          <w:tab w:val="left" w:pos="3472"/>
        </w:tabs>
        <w:spacing w:before="4" w:after="0" w:line="256" w:lineRule="auto"/>
        <w:ind w:left="3472" w:right="466" w:hanging="2749"/>
        <w:jc w:val="both"/>
        <w:rPr>
          <w:sz w:val="21"/>
        </w:rPr>
      </w:pPr>
      <w:r>
        <w:rPr>
          <w:rFonts w:ascii="微软雅黑" w:eastAsia="微软雅黑"/>
          <w:b/>
          <w:spacing w:val="-4"/>
          <w:sz w:val="21"/>
        </w:rPr>
        <w:t>欠款扣除</w:t>
      </w:r>
      <w:r>
        <w:rPr>
          <w:rFonts w:ascii="微软雅黑" w:eastAsia="微软雅黑"/>
          <w:b/>
          <w:sz w:val="21"/>
        </w:rPr>
        <w:tab/>
      </w:r>
      <w:r>
        <w:rPr>
          <w:spacing w:val="-2"/>
          <w:sz w:val="21"/>
        </w:rPr>
        <w:t>我们在给付各项保险金、现金价值，办理终止合同、合同复效时，若投保人有欠缴的保险费及利息、尚未还清的借款及借款利息，则所有的欠款和利息均需先归还我们或由我们在给付款中扣除。</w:t>
      </w:r>
    </w:p>
    <w:p>
      <w:pPr>
        <w:pStyle w:val="6"/>
        <w:spacing w:before="2"/>
        <w:rPr>
          <w:sz w:val="25"/>
        </w:rPr>
      </w:pPr>
    </w:p>
    <w:p>
      <w:pPr>
        <w:pStyle w:val="5"/>
        <w:numPr>
          <w:ilvl w:val="1"/>
          <w:numId w:val="13"/>
        </w:numPr>
        <w:tabs>
          <w:tab w:val="left" w:pos="1825"/>
          <w:tab w:val="left" w:pos="1826"/>
        </w:tabs>
        <w:spacing w:before="0" w:after="0" w:line="160" w:lineRule="auto"/>
        <w:ind w:left="1825" w:right="7409" w:hanging="1102"/>
        <w:jc w:val="left"/>
      </w:pPr>
      <w:r>
        <w:pict>
          <v:shape id="docshape59" o:spid="_x0000_s1083" o:spt="202" type="#_x0000_t202" style="position:absolute;left:0pt;margin-left:202.6pt;margin-top:-0.9pt;height:30pt;width:336.2pt;mso-position-horizontal-relative:page;z-index:251687936;mso-width-relative:page;mso-height-relative:page;" fillcolor="#C0C0C0" filled="t" stroked="f" coordsize="21600,21600">
            <v:path/>
            <v:fill on="t" focussize="0,0"/>
            <v:stroke on="f" joinstyle="miter"/>
            <v:imagedata o:title=""/>
            <o:lock v:ext="edit"/>
            <v:textbox inset="0mm,0mm,0mm,0mm">
              <w:txbxContent>
                <w:p>
                  <w:pPr>
                    <w:pStyle w:val="6"/>
                    <w:spacing w:before="25" w:line="266" w:lineRule="auto"/>
                    <w:ind w:right="-15"/>
                    <w:rPr>
                      <w:color w:val="000000"/>
                    </w:rPr>
                  </w:pPr>
                  <w:r>
                    <w:rPr>
                      <w:color w:val="000000"/>
                      <w:spacing w:val="-2"/>
                    </w:rPr>
                    <w:t>为未成年子女投保的人身保险，因被保险人身故给付的保险金总和不得超</w:t>
                  </w:r>
                  <w:r>
                    <w:rPr>
                      <w:color w:val="000000"/>
                      <w:spacing w:val="-3"/>
                    </w:rPr>
                    <w:t>过国务院保险监督管理机构规定的限额，身故给付的保险金额总和约定也</w:t>
                  </w:r>
                </w:p>
              </w:txbxContent>
            </v:textbox>
          </v:shape>
        </w:pict>
      </w:r>
      <w:r>
        <w:rPr>
          <w:spacing w:val="24"/>
        </w:rPr>
        <w:t>未成年人身故</w:t>
      </w:r>
      <w:r>
        <w:rPr>
          <w:spacing w:val="-2"/>
        </w:rPr>
        <w:t>保险金限制</w:t>
      </w:r>
    </w:p>
    <w:p>
      <w:pPr>
        <w:pStyle w:val="6"/>
        <w:spacing w:before="8"/>
        <w:rPr>
          <w:rFonts w:ascii="微软雅黑"/>
          <w:b/>
          <w:sz w:val="9"/>
        </w:rPr>
      </w:pPr>
      <w:r>
        <w:drawing>
          <wp:anchor distT="0" distB="0" distL="0" distR="0" simplePos="0" relativeHeight="251659264" behindDoc="0" locked="0" layoutInCell="1" allowOverlap="1">
            <wp:simplePos x="0" y="0"/>
            <wp:positionH relativeFrom="page">
              <wp:posOffset>827405</wp:posOffset>
            </wp:positionH>
            <wp:positionV relativeFrom="paragraph">
              <wp:posOffset>125730</wp:posOffset>
            </wp:positionV>
            <wp:extent cx="1829435" cy="6350"/>
            <wp:effectExtent l="0" t="0" r="0" b="0"/>
            <wp:wrapTopAndBottom/>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a:picLocks noChangeAspect="1"/>
                    </pic:cNvPicPr>
                  </pic:nvPicPr>
                  <pic:blipFill>
                    <a:blip r:embed="rId32" cstate="print"/>
                    <a:stretch>
                      <a:fillRect/>
                    </a:stretch>
                  </pic:blipFill>
                  <pic:spPr>
                    <a:xfrm>
                      <a:off x="0" y="0"/>
                      <a:ext cx="1829282" cy="6096"/>
                    </a:xfrm>
                    <a:prstGeom prst="rect">
                      <a:avLst/>
                    </a:prstGeom>
                  </pic:spPr>
                </pic:pic>
              </a:graphicData>
            </a:graphic>
          </wp:anchor>
        </w:drawing>
      </w:r>
    </w:p>
    <w:p>
      <w:pPr>
        <w:spacing w:before="76" w:line="204" w:lineRule="auto"/>
        <w:ind w:left="723" w:right="417" w:firstLine="0"/>
        <w:jc w:val="left"/>
        <w:rPr>
          <w:sz w:val="18"/>
        </w:rPr>
      </w:pPr>
      <w:r>
        <w:rPr>
          <w:rFonts w:ascii="Times New Roman" w:eastAsia="Times New Roman"/>
          <w:spacing w:val="-2"/>
          <w:sz w:val="18"/>
          <w:vertAlign w:val="superscript"/>
        </w:rPr>
        <w:t>18</w:t>
      </w:r>
      <w:r>
        <w:rPr>
          <w:rFonts w:ascii="Times New Roman" w:eastAsia="Times New Roman"/>
          <w:spacing w:val="46"/>
          <w:sz w:val="18"/>
          <w:vertAlign w:val="baseline"/>
        </w:rPr>
        <w:t xml:space="preserve"> </w:t>
      </w:r>
      <w:r>
        <w:rPr>
          <w:rFonts w:ascii="微软雅黑" w:eastAsia="微软雅黑"/>
          <w:b/>
          <w:spacing w:val="-2"/>
          <w:sz w:val="18"/>
          <w:vertAlign w:val="baseline"/>
        </w:rPr>
        <w:t>保单周年日：</w:t>
      </w:r>
      <w:r>
        <w:rPr>
          <w:spacing w:val="-2"/>
          <w:sz w:val="18"/>
          <w:vertAlign w:val="baseline"/>
        </w:rPr>
        <w:t>保险合同生效日以后每年的对应日为保单周年日，如果当月无对应的同一日，则以该月最后一日作为对应</w:t>
      </w:r>
      <w:r>
        <w:rPr>
          <w:spacing w:val="-6"/>
          <w:sz w:val="18"/>
          <w:vertAlign w:val="baseline"/>
        </w:rPr>
        <w:t>日。</w:t>
      </w:r>
    </w:p>
    <w:p>
      <w:pPr>
        <w:spacing w:before="0" w:line="286" w:lineRule="exact"/>
        <w:ind w:left="723" w:right="0" w:firstLine="0"/>
        <w:jc w:val="left"/>
        <w:rPr>
          <w:sz w:val="18"/>
        </w:rPr>
      </w:pPr>
      <w:r>
        <w:rPr>
          <w:rFonts w:ascii="Times New Roman" w:eastAsia="Times New Roman"/>
          <w:sz w:val="18"/>
          <w:vertAlign w:val="superscript"/>
        </w:rPr>
        <w:t>19</w:t>
      </w:r>
      <w:r>
        <w:rPr>
          <w:rFonts w:ascii="Times New Roman" w:eastAsia="Times New Roman"/>
          <w:spacing w:val="47"/>
          <w:sz w:val="18"/>
          <w:vertAlign w:val="baseline"/>
        </w:rPr>
        <w:t xml:space="preserve"> </w:t>
      </w:r>
      <w:r>
        <w:rPr>
          <w:rFonts w:ascii="微软雅黑" w:eastAsia="微软雅黑"/>
          <w:b/>
          <w:sz w:val="18"/>
          <w:vertAlign w:val="baseline"/>
        </w:rPr>
        <w:t>保单年度：</w:t>
      </w:r>
      <w:r>
        <w:rPr>
          <w:spacing w:val="-1"/>
          <w:sz w:val="18"/>
          <w:vertAlign w:val="baseline"/>
        </w:rPr>
        <w:t>指在本合同有效期内，保险合同生效日起或保单周年日起至下一个保单周年日间的一年期间。</w:t>
      </w:r>
    </w:p>
    <w:p>
      <w:pPr>
        <w:spacing w:after="0" w:line="286" w:lineRule="exact"/>
        <w:jc w:val="left"/>
        <w:rPr>
          <w:sz w:val="18"/>
        </w:rPr>
        <w:sectPr>
          <w:type w:val="continuous"/>
          <w:pgSz w:w="11910" w:h="16840"/>
          <w:pgMar w:top="280" w:right="660" w:bottom="280" w:left="580" w:header="0" w:footer="1060" w:gutter="0"/>
          <w:cols w:space="720" w:num="1"/>
        </w:sectPr>
      </w:pPr>
    </w:p>
    <w:p>
      <w:pPr>
        <w:pStyle w:val="6"/>
        <w:spacing w:before="49"/>
        <w:ind w:left="3472"/>
      </w:pPr>
      <w:r>
        <w:rPr>
          <w:color w:val="000000"/>
          <w:spacing w:val="-3"/>
          <w:shd w:val="clear" w:color="auto" w:fill="C0C0C0"/>
        </w:rPr>
        <w:t>不得超过前述限额。</w:t>
      </w:r>
    </w:p>
    <w:p>
      <w:pPr>
        <w:pStyle w:val="6"/>
      </w:pPr>
    </w:p>
    <w:p>
      <w:pPr>
        <w:pStyle w:val="10"/>
        <w:numPr>
          <w:ilvl w:val="1"/>
          <w:numId w:val="13"/>
        </w:numPr>
        <w:tabs>
          <w:tab w:val="left" w:pos="1825"/>
          <w:tab w:val="left" w:pos="1826"/>
          <w:tab w:val="left" w:pos="3472"/>
        </w:tabs>
        <w:spacing w:before="0" w:after="0" w:line="362" w:lineRule="exact"/>
        <w:ind w:left="1825" w:right="0" w:hanging="1103"/>
        <w:jc w:val="left"/>
        <w:rPr>
          <w:sz w:val="21"/>
        </w:rPr>
      </w:pPr>
      <w:r>
        <w:rPr>
          <w:rFonts w:ascii="微软雅黑" w:eastAsia="微软雅黑"/>
          <w:b/>
          <w:sz w:val="21"/>
        </w:rPr>
        <w:t>通</w:t>
      </w:r>
      <w:r>
        <w:rPr>
          <w:rFonts w:ascii="微软雅黑" w:eastAsia="微软雅黑"/>
          <w:b/>
          <w:spacing w:val="-10"/>
          <w:sz w:val="21"/>
        </w:rPr>
        <w:t>知</w:t>
      </w:r>
      <w:r>
        <w:rPr>
          <w:rFonts w:ascii="微软雅黑" w:eastAsia="微软雅黑"/>
          <w:b/>
          <w:sz w:val="21"/>
        </w:rPr>
        <w:tab/>
      </w:r>
      <w:r>
        <w:rPr>
          <w:spacing w:val="-2"/>
          <w:position w:val="1"/>
          <w:sz w:val="21"/>
        </w:rPr>
        <w:t>我们将按投保人在投保单上填写的通讯地址发送通知</w:t>
      </w:r>
      <w:r>
        <w:rPr>
          <w:spacing w:val="-10"/>
          <w:position w:val="1"/>
          <w:sz w:val="21"/>
        </w:rPr>
        <w:t>。</w:t>
      </w:r>
    </w:p>
    <w:p>
      <w:pPr>
        <w:pStyle w:val="6"/>
        <w:spacing w:line="244" w:lineRule="exact"/>
        <w:ind w:left="3472"/>
      </w:pPr>
      <w:r>
        <w:rPr>
          <w:spacing w:val="-3"/>
        </w:rPr>
        <w:t>投保人的通讯地址变更时，应及时以书面形式或本公司认可的其他形式通</w:t>
      </w:r>
    </w:p>
    <w:p>
      <w:pPr>
        <w:pStyle w:val="6"/>
        <w:spacing w:before="12" w:line="249" w:lineRule="auto"/>
        <w:ind w:left="3472" w:right="466"/>
      </w:pPr>
      <w:r>
        <w:rPr>
          <w:spacing w:val="-2"/>
        </w:rPr>
        <w:t>知我们。投保人不作前述通知时，我们按投保单所载的最后通讯地址发送通知，视为已送达给投保人。</w:t>
      </w:r>
    </w:p>
    <w:p>
      <w:pPr>
        <w:pStyle w:val="6"/>
        <w:spacing w:before="3"/>
        <w:rPr>
          <w:sz w:val="20"/>
        </w:rPr>
      </w:pPr>
    </w:p>
    <w:p>
      <w:pPr>
        <w:pStyle w:val="10"/>
        <w:numPr>
          <w:ilvl w:val="1"/>
          <w:numId w:val="13"/>
        </w:numPr>
        <w:tabs>
          <w:tab w:val="left" w:pos="1825"/>
          <w:tab w:val="left" w:pos="1826"/>
          <w:tab w:val="left" w:pos="3472"/>
        </w:tabs>
        <w:spacing w:before="0" w:after="0" w:line="235" w:lineRule="auto"/>
        <w:ind w:left="3472" w:right="414" w:hanging="2749"/>
        <w:jc w:val="left"/>
        <w:rPr>
          <w:sz w:val="21"/>
        </w:rPr>
      </w:pPr>
      <w:r>
        <w:rPr>
          <w:rFonts w:ascii="微软雅黑" w:eastAsia="微软雅黑"/>
          <w:b/>
          <w:spacing w:val="-4"/>
          <w:sz w:val="21"/>
        </w:rPr>
        <w:t>争议处理</w:t>
      </w:r>
      <w:r>
        <w:rPr>
          <w:rFonts w:ascii="微软雅黑" w:eastAsia="微软雅黑"/>
          <w:b/>
          <w:sz w:val="21"/>
        </w:rPr>
        <w:tab/>
      </w:r>
      <w:r>
        <w:rPr>
          <w:spacing w:val="-2"/>
          <w:sz w:val="21"/>
        </w:rPr>
        <w:t>本合同争议解决方式由当事人投保时在投保单上约定从下列两种方式中选</w:t>
      </w:r>
      <w:r>
        <w:rPr>
          <w:spacing w:val="-4"/>
          <w:sz w:val="21"/>
        </w:rPr>
        <w:t>择一种：</w:t>
      </w:r>
    </w:p>
    <w:p>
      <w:pPr>
        <w:pStyle w:val="10"/>
        <w:numPr>
          <w:ilvl w:val="2"/>
          <w:numId w:val="13"/>
        </w:numPr>
        <w:tabs>
          <w:tab w:val="left" w:pos="3686"/>
        </w:tabs>
        <w:spacing w:before="42" w:after="0" w:line="278" w:lineRule="auto"/>
        <w:ind w:left="3472" w:right="414" w:firstLine="0"/>
        <w:jc w:val="left"/>
        <w:rPr>
          <w:sz w:val="21"/>
        </w:rPr>
      </w:pPr>
      <w:r>
        <w:rPr>
          <w:spacing w:val="-2"/>
          <w:sz w:val="21"/>
        </w:rPr>
        <w:t>因履行本合同发生的争议，由当事人协商解决，协商不成的，提交双方共同选定的仲裁委员会，按其当时有效的仲裁规则仲裁解决；</w:t>
      </w:r>
    </w:p>
    <w:p>
      <w:pPr>
        <w:pStyle w:val="10"/>
        <w:numPr>
          <w:ilvl w:val="2"/>
          <w:numId w:val="13"/>
        </w:numPr>
        <w:tabs>
          <w:tab w:val="left" w:pos="3686"/>
        </w:tabs>
        <w:spacing w:before="0" w:after="0" w:line="278" w:lineRule="auto"/>
        <w:ind w:left="3472" w:right="414" w:firstLine="0"/>
        <w:jc w:val="left"/>
        <w:rPr>
          <w:sz w:val="21"/>
        </w:rPr>
      </w:pPr>
      <w:r>
        <w:rPr>
          <w:spacing w:val="-2"/>
          <w:sz w:val="21"/>
        </w:rPr>
        <w:t>因履行本合同发生的争议，由当事人协商解决，协商不成的，依法向有管辖权的人民法院起诉。</w:t>
      </w:r>
    </w:p>
    <w:p>
      <w:pPr>
        <w:pStyle w:val="6"/>
        <w:spacing w:before="11"/>
        <w:rPr>
          <w:sz w:val="20"/>
        </w:rPr>
      </w:pPr>
    </w:p>
    <w:p>
      <w:pPr>
        <w:pStyle w:val="2"/>
        <w:spacing w:line="429" w:lineRule="exact"/>
        <w:ind w:left="1825"/>
      </w:pPr>
      <w:r>
        <w:rPr>
          <w:spacing w:val="-1"/>
        </w:rPr>
        <w:t>重大疾病、中症疾病、轻症疾病</w:t>
      </w:r>
    </w:p>
    <w:p>
      <w:pPr>
        <w:pStyle w:val="5"/>
        <w:spacing w:before="12" w:line="156" w:lineRule="auto"/>
        <w:ind w:right="409" w:hanging="821"/>
        <w:jc w:val="both"/>
      </w:pPr>
      <w:r>
        <w:rPr>
          <w:rFonts w:ascii="Wingdings" w:hAnsi="Wingdings" w:eastAsia="Wingdings"/>
          <w:position w:val="-11"/>
          <w:sz w:val="36"/>
        </w:rPr>
        <w:t></w:t>
      </w:r>
      <w:r>
        <w:rPr>
          <w:rFonts w:ascii="Times New Roman" w:hAnsi="Times New Roman" w:eastAsia="Times New Roman"/>
          <w:b w:val="0"/>
          <w:spacing w:val="359"/>
          <w:position w:val="-11"/>
          <w:sz w:val="36"/>
        </w:rPr>
        <w:t xml:space="preserve"> </w:t>
      </w:r>
      <w:r>
        <w:rPr>
          <w:spacing w:val="-2"/>
        </w:rPr>
        <w:t xml:space="preserve">这部分讲的是我们提供保障的 </w:t>
      </w:r>
      <w:r>
        <w:t>110</w:t>
      </w:r>
      <w:r>
        <w:rPr>
          <w:spacing w:val="-4"/>
        </w:rPr>
        <w:t xml:space="preserve"> 种重大疾病，</w:t>
      </w:r>
      <w:r>
        <w:t>20</w:t>
      </w:r>
      <w:r>
        <w:rPr>
          <w:spacing w:val="-4"/>
        </w:rPr>
        <w:t xml:space="preserve"> 种中症疾病、</w:t>
      </w:r>
      <w:r>
        <w:t>41</w:t>
      </w:r>
      <w:r>
        <w:rPr>
          <w:spacing w:val="-4"/>
        </w:rPr>
        <w:t xml:space="preserve"> 种轻症疾病的定义。本</w:t>
      </w:r>
      <w:r>
        <w:rPr>
          <w:spacing w:val="-2"/>
        </w:rPr>
        <w:t>合同所称“疾病”是指合同约定的疾病、疾病状态或手术。被保险人发生符合以下疾病定义所述条件的疾病，应当由专科医生明确诊断。</w:t>
      </w:r>
    </w:p>
    <w:p>
      <w:pPr>
        <w:pStyle w:val="6"/>
        <w:spacing w:line="20" w:lineRule="exact"/>
        <w:ind w:left="615"/>
        <w:rPr>
          <w:rFonts w:ascii="微软雅黑"/>
          <w:sz w:val="2"/>
        </w:rPr>
      </w:pPr>
      <w:r>
        <w:rPr>
          <w:rFonts w:ascii="微软雅黑"/>
          <w:sz w:val="2"/>
        </w:rPr>
        <w:drawing>
          <wp:inline distT="0" distB="0" distL="0" distR="0">
            <wp:extent cx="6195695" cy="8890"/>
            <wp:effectExtent l="0" t="0" r="0" b="0"/>
            <wp:docPr id="7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9.png"/>
                    <pic:cNvPicPr>
                      <a:picLocks noChangeAspect="1"/>
                    </pic:cNvPicPr>
                  </pic:nvPicPr>
                  <pic:blipFill>
                    <a:blip r:embed="rId25" cstate="print"/>
                    <a:stretch>
                      <a:fillRect/>
                    </a:stretch>
                  </pic:blipFill>
                  <pic:spPr>
                    <a:xfrm>
                      <a:off x="0" y="0"/>
                      <a:ext cx="6196110" cy="9429"/>
                    </a:xfrm>
                    <a:prstGeom prst="rect">
                      <a:avLst/>
                    </a:prstGeom>
                  </pic:spPr>
                </pic:pic>
              </a:graphicData>
            </a:graphic>
          </wp:inline>
        </w:drawing>
      </w:r>
    </w:p>
    <w:p>
      <w:pPr>
        <w:pStyle w:val="6"/>
        <w:spacing w:before="7"/>
        <w:rPr>
          <w:rFonts w:ascii="微软雅黑"/>
          <w:b/>
          <w:sz w:val="18"/>
        </w:r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65"/>
        <w:gridCol w:w="1847"/>
        <w:gridCol w:w="70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3" w:hRule="atLeast"/>
        </w:trPr>
        <w:tc>
          <w:tcPr>
            <w:tcW w:w="865" w:type="dxa"/>
          </w:tcPr>
          <w:p>
            <w:pPr>
              <w:pStyle w:val="11"/>
              <w:spacing w:line="263" w:lineRule="exact"/>
              <w:ind w:left="50"/>
              <w:rPr>
                <w:rFonts w:ascii="微软雅黑"/>
                <w:b/>
                <w:sz w:val="21"/>
              </w:rPr>
            </w:pPr>
            <w:r>
              <w:rPr>
                <w:rFonts w:ascii="微软雅黑"/>
                <w:b/>
                <w:spacing w:val="-5"/>
                <w:w w:val="83"/>
                <w:sz w:val="21"/>
              </w:rPr>
              <w:t>8</w:t>
            </w:r>
            <w:r>
              <w:rPr>
                <w:rFonts w:ascii="微软雅黑"/>
                <w:b/>
                <w:spacing w:val="-5"/>
                <w:w w:val="178"/>
                <w:sz w:val="21"/>
              </w:rPr>
              <w:t>.</w:t>
            </w:r>
            <w:r>
              <w:rPr>
                <w:rFonts w:ascii="微软雅黑"/>
                <w:b/>
                <w:spacing w:val="-5"/>
                <w:w w:val="83"/>
                <w:sz w:val="21"/>
              </w:rPr>
              <w:t>1</w:t>
            </w:r>
          </w:p>
        </w:tc>
        <w:tc>
          <w:tcPr>
            <w:tcW w:w="1847" w:type="dxa"/>
          </w:tcPr>
          <w:p>
            <w:pPr>
              <w:pStyle w:val="11"/>
              <w:spacing w:line="263" w:lineRule="exact"/>
              <w:ind w:left="287"/>
              <w:rPr>
                <w:rFonts w:ascii="微软雅黑" w:eastAsia="微软雅黑"/>
                <w:b/>
                <w:sz w:val="21"/>
              </w:rPr>
            </w:pPr>
            <w:r>
              <w:rPr>
                <w:rFonts w:ascii="微软雅黑" w:eastAsia="微软雅黑"/>
                <w:b/>
                <w:spacing w:val="-2"/>
                <w:sz w:val="21"/>
              </w:rPr>
              <w:t>重大疾病的定</w:t>
            </w:r>
          </w:p>
        </w:tc>
        <w:tc>
          <w:tcPr>
            <w:tcW w:w="7029" w:type="dxa"/>
          </w:tcPr>
          <w:p>
            <w:pPr>
              <w:pStyle w:val="11"/>
              <w:spacing w:line="241" w:lineRule="exact"/>
              <w:rPr>
                <w:sz w:val="21"/>
              </w:rPr>
            </w:pPr>
            <w:r>
              <w:rPr>
                <w:spacing w:val="-5"/>
                <w:sz w:val="21"/>
              </w:rPr>
              <w:t xml:space="preserve">本合同所定义的重大疾病共有 </w:t>
            </w:r>
            <w:r>
              <w:rPr>
                <w:spacing w:val="-2"/>
                <w:sz w:val="21"/>
              </w:rPr>
              <w:t>110</w:t>
            </w:r>
            <w:r>
              <w:rPr>
                <w:spacing w:val="-15"/>
                <w:sz w:val="21"/>
              </w:rPr>
              <w:t xml:space="preserve"> 种，其中第 </w:t>
            </w:r>
            <w:r>
              <w:rPr>
                <w:spacing w:val="-2"/>
                <w:sz w:val="21"/>
              </w:rPr>
              <w:t>1</w:t>
            </w:r>
            <w:r>
              <w:rPr>
                <w:spacing w:val="-28"/>
                <w:sz w:val="21"/>
              </w:rPr>
              <w:t xml:space="preserve"> 至 </w:t>
            </w:r>
            <w:r>
              <w:rPr>
                <w:spacing w:val="-2"/>
                <w:sz w:val="21"/>
              </w:rPr>
              <w:t>28</w:t>
            </w:r>
            <w:r>
              <w:rPr>
                <w:spacing w:val="-9"/>
                <w:sz w:val="21"/>
              </w:rPr>
              <w:t xml:space="preserve"> 种重大疾病定义完全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2" w:hRule="atLeast"/>
        </w:trPr>
        <w:tc>
          <w:tcPr>
            <w:tcW w:w="865" w:type="dxa"/>
          </w:tcPr>
          <w:p>
            <w:pPr>
              <w:pStyle w:val="11"/>
              <w:rPr>
                <w:rFonts w:ascii="Times New Roman"/>
                <w:sz w:val="20"/>
              </w:rPr>
            </w:pPr>
          </w:p>
        </w:tc>
        <w:tc>
          <w:tcPr>
            <w:tcW w:w="1847" w:type="dxa"/>
          </w:tcPr>
          <w:p>
            <w:pPr>
              <w:pStyle w:val="11"/>
              <w:spacing w:line="342" w:lineRule="exact"/>
              <w:ind w:left="287"/>
              <w:rPr>
                <w:rFonts w:ascii="微软雅黑" w:eastAsia="微软雅黑"/>
                <w:b/>
                <w:sz w:val="21"/>
              </w:rPr>
            </w:pPr>
            <w:r>
              <w:rPr>
                <w:rFonts w:ascii="微软雅黑" w:eastAsia="微软雅黑"/>
                <w:b/>
                <w:w w:val="100"/>
                <w:sz w:val="21"/>
              </w:rPr>
              <w:t>义</w:t>
            </w:r>
          </w:p>
        </w:tc>
        <w:tc>
          <w:tcPr>
            <w:tcW w:w="7029" w:type="dxa"/>
          </w:tcPr>
          <w:p>
            <w:pPr>
              <w:pStyle w:val="11"/>
              <w:spacing w:line="229" w:lineRule="exact"/>
              <w:rPr>
                <w:sz w:val="21"/>
              </w:rPr>
            </w:pPr>
            <w:r>
              <w:rPr>
                <w:spacing w:val="-4"/>
                <w:sz w:val="21"/>
              </w:rPr>
              <w:t>采用了中国保险行业协会发布的《重大疾病保险的疾病定义使用规范（2020</w:t>
            </w:r>
          </w:p>
          <w:p>
            <w:pPr>
              <w:pStyle w:val="11"/>
              <w:spacing w:before="4" w:line="250" w:lineRule="exact"/>
              <w:rPr>
                <w:sz w:val="21"/>
              </w:rPr>
            </w:pPr>
            <w:r>
              <w:rPr>
                <w:sz w:val="21"/>
              </w:rPr>
              <w:t>年修订版</w:t>
            </w:r>
            <w:r>
              <w:rPr>
                <w:spacing w:val="-108"/>
                <w:sz w:val="21"/>
              </w:rPr>
              <w:t>）</w:t>
            </w:r>
            <w:r>
              <w:rPr>
                <w:sz w:val="21"/>
              </w:rPr>
              <w:t>》中的疾病定义。</w:t>
            </w:r>
            <w:r>
              <w:rPr>
                <w:color w:val="000000"/>
                <w:spacing w:val="-11"/>
                <w:sz w:val="21"/>
                <w:shd w:val="clear" w:color="auto" w:fill="C0C0C0"/>
              </w:rPr>
              <w:t xml:space="preserve">第 </w:t>
            </w:r>
            <w:r>
              <w:rPr>
                <w:color w:val="000000"/>
                <w:sz w:val="21"/>
                <w:shd w:val="clear" w:color="auto" w:fill="C0C0C0"/>
              </w:rPr>
              <w:t>29</w:t>
            </w:r>
            <w:r>
              <w:rPr>
                <w:color w:val="000000"/>
                <w:spacing w:val="-8"/>
                <w:sz w:val="21"/>
                <w:shd w:val="clear" w:color="auto" w:fill="C0C0C0"/>
              </w:rPr>
              <w:t xml:space="preserve"> 至第 </w:t>
            </w:r>
            <w:r>
              <w:rPr>
                <w:color w:val="000000"/>
                <w:sz w:val="21"/>
                <w:shd w:val="clear" w:color="auto" w:fill="C0C0C0"/>
              </w:rPr>
              <w:t>110</w:t>
            </w:r>
            <w:r>
              <w:rPr>
                <w:color w:val="000000"/>
                <w:spacing w:val="-9"/>
                <w:sz w:val="21"/>
                <w:shd w:val="clear" w:color="auto" w:fill="C0C0C0"/>
              </w:rPr>
              <w:t xml:space="preserve"> 种重大疾病为我们增加的疾病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7029" w:type="dxa"/>
          </w:tcPr>
          <w:p>
            <w:pPr>
              <w:pStyle w:val="11"/>
              <w:spacing w:before="1"/>
              <w:rPr>
                <w:sz w:val="21"/>
              </w:rPr>
            </w:pPr>
            <w:r>
              <w:rPr>
                <w:color w:val="000000"/>
                <w:spacing w:val="-3"/>
                <w:sz w:val="21"/>
                <w:shd w:val="clear" w:color="auto" w:fill="C0C0C0"/>
              </w:rPr>
              <w:t>种类并自行制定的疾病定义。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atLeast"/>
        </w:trPr>
        <w:tc>
          <w:tcPr>
            <w:tcW w:w="865" w:type="dxa"/>
          </w:tcPr>
          <w:p>
            <w:pPr>
              <w:pStyle w:val="11"/>
              <w:spacing w:before="163" w:line="269" w:lineRule="exact"/>
              <w:ind w:left="50"/>
              <w:rPr>
                <w:sz w:val="22"/>
              </w:rPr>
            </w:pPr>
            <w:r>
              <w:rPr>
                <w:spacing w:val="-2"/>
                <w:sz w:val="22"/>
              </w:rPr>
              <w:t>8.1.1</w:t>
            </w:r>
          </w:p>
        </w:tc>
        <w:tc>
          <w:tcPr>
            <w:tcW w:w="1847" w:type="dxa"/>
          </w:tcPr>
          <w:p>
            <w:pPr>
              <w:pStyle w:val="11"/>
              <w:spacing w:before="163" w:line="269" w:lineRule="exact"/>
              <w:ind w:left="287"/>
              <w:rPr>
                <w:sz w:val="22"/>
              </w:rPr>
            </w:pPr>
            <w:r>
              <w:rPr>
                <w:w w:val="95"/>
                <w:sz w:val="22"/>
              </w:rPr>
              <w:t>恶性</w:t>
            </w:r>
            <w:r>
              <w:rPr>
                <w:spacing w:val="-3"/>
                <w:w w:val="95"/>
                <w:sz w:val="22"/>
              </w:rPr>
              <w:t>肿瘤——</w:t>
            </w:r>
          </w:p>
        </w:tc>
        <w:tc>
          <w:tcPr>
            <w:tcW w:w="7029" w:type="dxa"/>
          </w:tcPr>
          <w:p>
            <w:pPr>
              <w:pStyle w:val="11"/>
              <w:spacing w:before="173" w:line="259" w:lineRule="exact"/>
              <w:rPr>
                <w:sz w:val="21"/>
              </w:rPr>
            </w:pPr>
            <w:r>
              <w:rPr>
                <w:spacing w:val="-5"/>
                <w:sz w:val="21"/>
              </w:rPr>
              <w:t>指恶性细胞不受控制的进行性增长和扩散，浸润和破坏周围正常组织，可以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trPr>
        <w:tc>
          <w:tcPr>
            <w:tcW w:w="865" w:type="dxa"/>
          </w:tcPr>
          <w:p>
            <w:pPr>
              <w:pStyle w:val="11"/>
              <w:rPr>
                <w:rFonts w:ascii="Times New Roman"/>
                <w:sz w:val="20"/>
              </w:rPr>
            </w:pPr>
          </w:p>
        </w:tc>
        <w:tc>
          <w:tcPr>
            <w:tcW w:w="1847" w:type="dxa"/>
          </w:tcPr>
          <w:p>
            <w:pPr>
              <w:pStyle w:val="11"/>
              <w:spacing w:before="23" w:line="281" w:lineRule="exact"/>
              <w:ind w:left="287"/>
              <w:rPr>
                <w:sz w:val="22"/>
              </w:rPr>
            </w:pPr>
            <w:r>
              <w:rPr>
                <w:w w:val="95"/>
                <w:sz w:val="22"/>
              </w:rPr>
              <w:t>重</w:t>
            </w:r>
            <w:r>
              <w:rPr>
                <w:spacing w:val="-10"/>
                <w:sz w:val="22"/>
              </w:rPr>
              <w:t>度</w:t>
            </w:r>
          </w:p>
        </w:tc>
        <w:tc>
          <w:tcPr>
            <w:tcW w:w="7029" w:type="dxa"/>
          </w:tcPr>
          <w:p>
            <w:pPr>
              <w:pStyle w:val="11"/>
              <w:spacing w:line="304" w:lineRule="exact"/>
              <w:rPr>
                <w:rFonts w:ascii="微软雅黑" w:eastAsia="微软雅黑"/>
                <w:b/>
                <w:sz w:val="11"/>
              </w:rPr>
            </w:pPr>
            <w:r>
              <w:rPr>
                <w:spacing w:val="-2"/>
                <w:sz w:val="21"/>
              </w:rPr>
              <w:t>经血管、淋巴管和体腔扩散转移到身体其他部位，病灶经</w:t>
            </w:r>
            <w:r>
              <w:rPr>
                <w:rFonts w:ascii="微软雅黑" w:eastAsia="微软雅黑"/>
                <w:b/>
                <w:spacing w:val="-2"/>
                <w:sz w:val="21"/>
              </w:rPr>
              <w:t>组织病理学检查</w:t>
            </w:r>
            <w:r>
              <w:rPr>
                <w:rFonts w:ascii="微软雅黑" w:eastAsia="微软雅黑"/>
                <w:b/>
                <w:spacing w:val="-5"/>
                <w:position w:val="11"/>
                <w:sz w:val="11"/>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12" w:type="dxa"/>
            <w:gridSpan w:val="2"/>
            <w:vMerge w:val="restart"/>
          </w:tcPr>
          <w:p>
            <w:pPr>
              <w:pStyle w:val="11"/>
              <w:rPr>
                <w:rFonts w:ascii="Times New Roman"/>
                <w:sz w:val="20"/>
              </w:rPr>
            </w:pPr>
          </w:p>
        </w:tc>
        <w:tc>
          <w:tcPr>
            <w:tcW w:w="7029" w:type="dxa"/>
          </w:tcPr>
          <w:p>
            <w:pPr>
              <w:pStyle w:val="11"/>
              <w:spacing w:before="21"/>
              <w:rPr>
                <w:sz w:val="21"/>
              </w:rPr>
            </w:pPr>
            <w:r>
              <w:rPr>
                <w:spacing w:val="-4"/>
                <w:sz w:val="21"/>
              </w:rPr>
              <w:t>（涵盖骨髓病理学检查）结果明确诊断，临床诊断属于世界卫生组织（WHO，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spacing w:val="-4"/>
                <w:sz w:val="21"/>
              </w:rPr>
              <w:t>World</w:t>
            </w:r>
            <w:r>
              <w:rPr>
                <w:spacing w:val="-23"/>
                <w:sz w:val="21"/>
              </w:rPr>
              <w:t xml:space="preserve"> </w:t>
            </w:r>
            <w:r>
              <w:rPr>
                <w:spacing w:val="-4"/>
                <w:sz w:val="21"/>
              </w:rPr>
              <w:t>Health</w:t>
            </w:r>
            <w:r>
              <w:rPr>
                <w:spacing w:val="-20"/>
                <w:sz w:val="21"/>
              </w:rPr>
              <w:t xml:space="preserve"> </w:t>
            </w:r>
            <w:r>
              <w:rPr>
                <w:spacing w:val="5"/>
                <w:sz w:val="21"/>
              </w:rPr>
              <w:t>O</w:t>
            </w:r>
            <w:r>
              <w:rPr>
                <w:spacing w:val="2"/>
                <w:sz w:val="21"/>
              </w:rPr>
              <w:t>r</w:t>
            </w:r>
            <w:r>
              <w:rPr>
                <w:spacing w:val="5"/>
                <w:sz w:val="21"/>
              </w:rPr>
              <w:t>gan</w:t>
            </w:r>
            <w:r>
              <w:rPr>
                <w:spacing w:val="2"/>
                <w:sz w:val="21"/>
              </w:rPr>
              <w:t>i</w:t>
            </w:r>
            <w:r>
              <w:rPr>
                <w:spacing w:val="5"/>
                <w:sz w:val="21"/>
              </w:rPr>
              <w:t>zat</w:t>
            </w:r>
            <w:r>
              <w:rPr>
                <w:spacing w:val="2"/>
                <w:sz w:val="21"/>
              </w:rPr>
              <w:t>io</w:t>
            </w:r>
            <w:r>
              <w:rPr>
                <w:spacing w:val="4"/>
                <w:sz w:val="21"/>
              </w:rPr>
              <w:t>n</w:t>
            </w:r>
            <w:r>
              <w:rPr>
                <w:spacing w:val="-101"/>
                <w:sz w:val="21"/>
              </w:rPr>
              <w:t>）</w:t>
            </w:r>
            <w:r>
              <w:rPr>
                <w:spacing w:val="-5"/>
                <w:sz w:val="21"/>
              </w:rPr>
              <w:t>《疾病和有关健康问题的国际统计分类》第十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spacing w:val="-4"/>
                <w:sz w:val="21"/>
              </w:rPr>
              <w:t>次修订版（ICD-10）</w:t>
            </w:r>
            <w:r>
              <w:rPr>
                <w:spacing w:val="-5"/>
                <w:sz w:val="21"/>
              </w:rPr>
              <w:t>的恶性肿瘤类别及《国际疾病分类肿瘤学专辑》第三版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spacing w:val="-2"/>
                <w:sz w:val="21"/>
              </w:rPr>
              <w:t>（ICD-O-3）</w:t>
            </w:r>
            <w:r>
              <w:rPr>
                <w:spacing w:val="-5"/>
                <w:sz w:val="21"/>
              </w:rPr>
              <w:t xml:space="preserve">的肿瘤形态学编码属于 </w:t>
            </w:r>
            <w:r>
              <w:rPr>
                <w:spacing w:val="-2"/>
                <w:sz w:val="21"/>
              </w:rPr>
              <w:t>3、6、9（恶性肿瘤）</w:t>
            </w:r>
            <w:r>
              <w:rPr>
                <w:spacing w:val="-4"/>
                <w:sz w:val="21"/>
              </w:rPr>
              <w:t>范畴的疾病。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color w:val="000000"/>
                <w:spacing w:val="-10"/>
                <w:sz w:val="21"/>
                <w:shd w:val="clear" w:color="auto" w:fill="C0C0C0"/>
              </w:rPr>
              <w:t>下列疾病不属于“恶性肿瘤——重度”，不在保障范围内：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color w:val="000000"/>
                <w:spacing w:val="-2"/>
                <w:sz w:val="21"/>
                <w:shd w:val="clear" w:color="auto" w:fill="C0C0C0"/>
              </w:rPr>
              <w:t>（1）ICD-O-3</w:t>
            </w:r>
            <w:r>
              <w:rPr>
                <w:color w:val="000000"/>
                <w:spacing w:val="-6"/>
                <w:sz w:val="21"/>
                <w:shd w:val="clear" w:color="auto" w:fill="C0C0C0"/>
              </w:rPr>
              <w:t xml:space="preserve"> 肿瘤形态学编码属于 </w:t>
            </w:r>
            <w:r>
              <w:rPr>
                <w:color w:val="000000"/>
                <w:spacing w:val="-2"/>
                <w:sz w:val="21"/>
                <w:shd w:val="clear" w:color="auto" w:fill="C0C0C0"/>
              </w:rPr>
              <w:t>0（良性肿瘤</w:t>
            </w:r>
            <w:r>
              <w:rPr>
                <w:color w:val="000000"/>
                <w:spacing w:val="-108"/>
                <w:sz w:val="21"/>
                <w:shd w:val="clear" w:color="auto" w:fill="C0C0C0"/>
              </w:rPr>
              <w:t>）</w:t>
            </w:r>
            <w:r>
              <w:rPr>
                <w:color w:val="000000"/>
                <w:spacing w:val="-2"/>
                <w:sz w:val="21"/>
                <w:shd w:val="clear" w:color="auto" w:fill="C0C0C0"/>
              </w:rPr>
              <w:t>、1（动态未定性肿瘤</w:t>
            </w:r>
            <w:r>
              <w:rPr>
                <w:color w:val="000000"/>
                <w:spacing w:val="-108"/>
                <w:sz w:val="21"/>
                <w:shd w:val="clear" w:color="auto" w:fill="C0C0C0"/>
              </w:rPr>
              <w:t>）</w:t>
            </w:r>
            <w:r>
              <w:rPr>
                <w:color w:val="000000"/>
                <w:spacing w:val="-10"/>
                <w:sz w:val="21"/>
                <w:shd w:val="clear" w:color="auto" w:fill="C0C0C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color w:val="000000"/>
                <w:spacing w:val="-2"/>
                <w:sz w:val="21"/>
                <w:shd w:val="clear" w:color="auto" w:fill="C0C0C0"/>
              </w:rPr>
              <w:t>2（原位癌和非侵袭性癌）</w:t>
            </w:r>
            <w:r>
              <w:rPr>
                <w:color w:val="000000"/>
                <w:spacing w:val="-4"/>
                <w:sz w:val="21"/>
                <w:shd w:val="clear" w:color="auto" w:fill="C0C0C0"/>
              </w:rPr>
              <w:t>范畴的疾病，如：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color w:val="000000"/>
                <w:spacing w:val="-2"/>
                <w:sz w:val="21"/>
                <w:shd w:val="clear" w:color="auto" w:fill="C0C0C0"/>
              </w:rPr>
              <w:t>a.</w:t>
            </w:r>
            <w:r>
              <w:rPr>
                <w:color w:val="000000"/>
                <w:spacing w:val="-3"/>
                <w:sz w:val="21"/>
                <w:shd w:val="clear" w:color="auto" w:fill="C0C0C0"/>
              </w:rPr>
              <w:t>原位癌，癌前病变，非浸润性癌，非侵袭性癌，肿瘤细胞未侵犯基底层，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712" w:type="dxa"/>
            <w:gridSpan w:val="2"/>
            <w:vMerge w:val="continue"/>
            <w:tcBorders>
              <w:top w:val="nil"/>
            </w:tcBorders>
          </w:tcPr>
          <w:p>
            <w:pPr>
              <w:rPr>
                <w:sz w:val="2"/>
                <w:szCs w:val="2"/>
              </w:rPr>
            </w:pPr>
          </w:p>
        </w:tc>
        <w:tc>
          <w:tcPr>
            <w:tcW w:w="7029" w:type="dxa"/>
          </w:tcPr>
          <w:p>
            <w:pPr>
              <w:pStyle w:val="11"/>
              <w:spacing w:before="22"/>
              <w:rPr>
                <w:sz w:val="21"/>
              </w:rPr>
            </w:pPr>
            <w:r>
              <w:rPr>
                <w:color w:val="000000"/>
                <w:spacing w:val="-3"/>
                <w:sz w:val="21"/>
                <w:shd w:val="clear" w:color="auto" w:fill="C0C0C0"/>
              </w:rPr>
              <w:t>上皮内瘤变，细胞不典型性增生等；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2712" w:type="dxa"/>
            <w:gridSpan w:val="2"/>
            <w:vMerge w:val="continue"/>
            <w:tcBorders>
              <w:top w:val="nil"/>
            </w:tcBorders>
          </w:tcPr>
          <w:p>
            <w:pPr>
              <w:rPr>
                <w:sz w:val="2"/>
                <w:szCs w:val="2"/>
              </w:rPr>
            </w:pPr>
          </w:p>
        </w:tc>
        <w:tc>
          <w:tcPr>
            <w:tcW w:w="7029" w:type="dxa"/>
          </w:tcPr>
          <w:p>
            <w:pPr>
              <w:pStyle w:val="11"/>
              <w:spacing w:before="22" w:line="258" w:lineRule="exact"/>
              <w:rPr>
                <w:sz w:val="21"/>
              </w:rPr>
            </w:pPr>
            <w:r>
              <w:rPr>
                <w:color w:val="000000"/>
                <w:spacing w:val="-2"/>
                <w:sz w:val="21"/>
                <w:shd w:val="clear" w:color="auto" w:fill="C0C0C0"/>
              </w:rPr>
              <w:t>b.</w:t>
            </w:r>
            <w:r>
              <w:rPr>
                <w:color w:val="000000"/>
                <w:spacing w:val="-3"/>
                <w:sz w:val="21"/>
                <w:shd w:val="clear" w:color="auto" w:fill="C0C0C0"/>
              </w:rPr>
              <w:t>交界性肿瘤，交界恶性肿瘤，肿瘤低度恶性潜能，潜在低度恶性肿瘤等；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2" w:hRule="atLeast"/>
        </w:trPr>
        <w:tc>
          <w:tcPr>
            <w:tcW w:w="2712" w:type="dxa"/>
            <w:gridSpan w:val="2"/>
            <w:vMerge w:val="continue"/>
            <w:tcBorders>
              <w:top w:val="nil"/>
            </w:tcBorders>
          </w:tcPr>
          <w:p>
            <w:pPr>
              <w:rPr>
                <w:sz w:val="2"/>
                <w:szCs w:val="2"/>
              </w:rPr>
            </w:pPr>
          </w:p>
        </w:tc>
        <w:tc>
          <w:tcPr>
            <w:tcW w:w="7029" w:type="dxa"/>
          </w:tcPr>
          <w:p>
            <w:pPr>
              <w:pStyle w:val="11"/>
              <w:spacing w:line="303" w:lineRule="exact"/>
              <w:rPr>
                <w:sz w:val="21"/>
              </w:rPr>
            </w:pPr>
            <w:r>
              <w:rPr>
                <w:color w:val="000000"/>
                <w:spacing w:val="-2"/>
                <w:w w:val="95"/>
                <w:sz w:val="21"/>
                <w:shd w:val="clear" w:color="auto" w:fill="C0C0C0"/>
              </w:rPr>
              <w:t>（2）</w:t>
            </w:r>
            <w:r>
              <w:rPr>
                <w:rFonts w:ascii="微软雅黑" w:hAnsi="微软雅黑" w:eastAsia="微软雅黑"/>
                <w:b/>
                <w:color w:val="000000"/>
                <w:spacing w:val="-2"/>
                <w:w w:val="95"/>
                <w:sz w:val="21"/>
                <w:shd w:val="clear" w:color="auto" w:fill="C0C0C0"/>
              </w:rPr>
              <w:t>TNM</w:t>
            </w:r>
            <w:r>
              <w:rPr>
                <w:rFonts w:ascii="微软雅黑" w:hAnsi="微软雅黑" w:eastAsia="微软雅黑"/>
                <w:b/>
                <w:color w:val="000000"/>
                <w:spacing w:val="50"/>
                <w:sz w:val="21"/>
                <w:shd w:val="clear" w:color="auto" w:fill="C0C0C0"/>
              </w:rPr>
              <w:t xml:space="preserve"> </w:t>
            </w:r>
            <w:r>
              <w:rPr>
                <w:rFonts w:ascii="微软雅黑" w:hAnsi="微软雅黑" w:eastAsia="微软雅黑"/>
                <w:b/>
                <w:color w:val="000000"/>
                <w:spacing w:val="-2"/>
                <w:w w:val="95"/>
                <w:sz w:val="21"/>
                <w:shd w:val="clear" w:color="auto" w:fill="C0C0C0"/>
              </w:rPr>
              <w:t>分期</w:t>
            </w:r>
            <w:r>
              <w:rPr>
                <w:rFonts w:ascii="微软雅黑" w:hAnsi="微软雅黑" w:eastAsia="微软雅黑"/>
                <w:b/>
                <w:color w:val="000000"/>
                <w:spacing w:val="-2"/>
                <w:w w:val="95"/>
                <w:position w:val="11"/>
                <w:sz w:val="11"/>
              </w:rPr>
              <w:t>21</w:t>
            </w:r>
            <w:r>
              <w:rPr>
                <w:color w:val="000000"/>
                <w:spacing w:val="-2"/>
                <w:w w:val="95"/>
                <w:sz w:val="21"/>
                <w:shd w:val="clear" w:color="auto" w:fill="C0C0C0"/>
              </w:rPr>
              <w:t>为Ⅰ期或更轻分期的甲状腺癌</w:t>
            </w:r>
            <w:r>
              <w:rPr>
                <w:color w:val="000000"/>
                <w:spacing w:val="-10"/>
                <w:w w:val="95"/>
                <w:sz w:val="21"/>
                <w:shd w:val="clear" w:color="auto" w:fill="C0C0C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2712" w:type="dxa"/>
            <w:gridSpan w:val="2"/>
            <w:vMerge w:val="continue"/>
            <w:tcBorders>
              <w:top w:val="nil"/>
            </w:tcBorders>
          </w:tcPr>
          <w:p>
            <w:pPr>
              <w:rPr>
                <w:sz w:val="2"/>
                <w:szCs w:val="2"/>
              </w:rPr>
            </w:pPr>
          </w:p>
        </w:tc>
        <w:tc>
          <w:tcPr>
            <w:tcW w:w="7029" w:type="dxa"/>
          </w:tcPr>
          <w:p>
            <w:pPr>
              <w:pStyle w:val="11"/>
              <w:spacing w:before="22" w:line="261" w:lineRule="exact"/>
              <w:rPr>
                <w:sz w:val="21"/>
              </w:rPr>
            </w:pPr>
            <w:r>
              <w:rPr>
                <w:position w:val="1"/>
                <w:sz w:val="21"/>
              </w:rPr>
              <w:t>（3）TNM</w:t>
            </w:r>
            <w:r>
              <w:rPr>
                <w:spacing w:val="-17"/>
                <w:position w:val="1"/>
                <w:sz w:val="21"/>
              </w:rPr>
              <w:t xml:space="preserve"> 分期为 </w:t>
            </w:r>
            <w:r>
              <w:rPr>
                <w:position w:val="1"/>
                <w:sz w:val="21"/>
              </w:rPr>
              <w:t>T</w:t>
            </w:r>
            <w:r>
              <w:rPr>
                <w:sz w:val="11"/>
              </w:rPr>
              <w:t>1</w:t>
            </w:r>
            <w:r>
              <w:rPr>
                <w:position w:val="1"/>
                <w:sz w:val="21"/>
              </w:rPr>
              <w:t>N</w:t>
            </w:r>
            <w:r>
              <w:rPr>
                <w:sz w:val="11"/>
              </w:rPr>
              <w:t>0</w:t>
            </w:r>
            <w:r>
              <w:rPr>
                <w:position w:val="1"/>
                <w:sz w:val="21"/>
              </w:rPr>
              <w:t>M</w:t>
            </w:r>
            <w:r>
              <w:rPr>
                <w:sz w:val="11"/>
              </w:rPr>
              <w:t>0</w:t>
            </w:r>
            <w:r>
              <w:rPr>
                <w:spacing w:val="-29"/>
                <w:sz w:val="11"/>
              </w:rPr>
              <w:t xml:space="preserve"> </w:t>
            </w:r>
            <w:r>
              <w:rPr>
                <w:spacing w:val="-1"/>
                <w:position w:val="1"/>
                <w:sz w:val="21"/>
              </w:rPr>
              <w:t>期或更轻分期的前列腺癌；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1" w:hRule="atLeast"/>
        </w:trPr>
        <w:tc>
          <w:tcPr>
            <w:tcW w:w="2712" w:type="dxa"/>
            <w:gridSpan w:val="2"/>
            <w:vMerge w:val="continue"/>
            <w:tcBorders>
              <w:top w:val="nil"/>
            </w:tcBorders>
          </w:tcPr>
          <w:p>
            <w:pPr>
              <w:rPr>
                <w:sz w:val="2"/>
                <w:szCs w:val="2"/>
              </w:rPr>
            </w:pPr>
          </w:p>
        </w:tc>
        <w:tc>
          <w:tcPr>
            <w:tcW w:w="7029" w:type="dxa"/>
          </w:tcPr>
          <w:p>
            <w:pPr>
              <w:pStyle w:val="11"/>
              <w:spacing w:before="31" w:line="220" w:lineRule="exact"/>
              <w:rPr>
                <w:sz w:val="21"/>
              </w:rPr>
            </w:pPr>
            <w:r>
              <w:rPr>
                <w:color w:val="000000"/>
                <w:spacing w:val="-2"/>
                <w:sz w:val="21"/>
                <w:shd w:val="clear" w:color="auto" w:fill="C0C0C0"/>
              </w:rPr>
              <w:t>（4）</w:t>
            </w:r>
            <w:r>
              <w:rPr>
                <w:color w:val="000000"/>
                <w:spacing w:val="-3"/>
                <w:sz w:val="21"/>
                <w:shd w:val="clear" w:color="auto" w:fill="C0C0C0"/>
              </w:rPr>
              <w:t>黑色素瘤以外的未发生淋巴结和远处转移的皮肤恶性肿瘤；</w:t>
            </w:r>
          </w:p>
        </w:tc>
      </w:tr>
    </w:tbl>
    <w:p>
      <w:pPr>
        <w:pStyle w:val="6"/>
        <w:spacing w:before="6"/>
        <w:rPr>
          <w:rFonts w:ascii="微软雅黑"/>
          <w:b/>
          <w:sz w:val="16"/>
        </w:rPr>
      </w:pPr>
      <w:r>
        <w:drawing>
          <wp:anchor distT="0" distB="0" distL="0" distR="0" simplePos="0" relativeHeight="251659264" behindDoc="0" locked="0" layoutInCell="1" allowOverlap="1">
            <wp:simplePos x="0" y="0"/>
            <wp:positionH relativeFrom="page">
              <wp:posOffset>827405</wp:posOffset>
            </wp:positionH>
            <wp:positionV relativeFrom="paragraph">
              <wp:posOffset>206375</wp:posOffset>
            </wp:positionV>
            <wp:extent cx="1829435" cy="6350"/>
            <wp:effectExtent l="0" t="0" r="0" b="0"/>
            <wp:wrapTopAndBottom/>
            <wp:docPr id="7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0.png"/>
                    <pic:cNvPicPr>
                      <a:picLocks noChangeAspect="1"/>
                    </pic:cNvPicPr>
                  </pic:nvPicPr>
                  <pic:blipFill>
                    <a:blip r:embed="rId26" cstate="print"/>
                    <a:stretch>
                      <a:fillRect/>
                    </a:stretch>
                  </pic:blipFill>
                  <pic:spPr>
                    <a:xfrm>
                      <a:off x="0" y="0"/>
                      <a:ext cx="1829511" cy="6095"/>
                    </a:xfrm>
                    <a:prstGeom prst="rect">
                      <a:avLst/>
                    </a:prstGeom>
                  </pic:spPr>
                </pic:pic>
              </a:graphicData>
            </a:graphic>
          </wp:anchor>
        </w:drawing>
      </w:r>
    </w:p>
    <w:p>
      <w:pPr>
        <w:spacing w:before="76" w:line="204" w:lineRule="auto"/>
        <w:ind w:left="723" w:right="332" w:firstLine="0"/>
        <w:jc w:val="left"/>
        <w:rPr>
          <w:sz w:val="18"/>
        </w:rPr>
      </w:pPr>
      <w:r>
        <w:rPr>
          <w:rFonts w:ascii="Times New Roman" w:eastAsia="Times New Roman"/>
          <w:sz w:val="18"/>
          <w:vertAlign w:val="superscript"/>
        </w:rPr>
        <w:t>20</w:t>
      </w:r>
      <w:r>
        <w:rPr>
          <w:rFonts w:ascii="Times New Roman" w:eastAsia="Times New Roman"/>
          <w:spacing w:val="46"/>
          <w:sz w:val="18"/>
          <w:vertAlign w:val="baseline"/>
        </w:rPr>
        <w:t xml:space="preserve"> </w:t>
      </w:r>
      <w:r>
        <w:rPr>
          <w:rFonts w:ascii="微软雅黑" w:eastAsia="微软雅黑"/>
          <w:b/>
          <w:sz w:val="18"/>
          <w:vertAlign w:val="baseline"/>
        </w:rPr>
        <w:t>组织病理学检查：</w:t>
      </w:r>
      <w:r>
        <w:rPr>
          <w:sz w:val="18"/>
          <w:vertAlign w:val="baseline"/>
        </w:rPr>
        <w:t>组织病理学检查是通过局部切除、钳取、穿刺等手术方法，从患者机体采取病变组织块，经过包埋、</w:t>
      </w:r>
      <w:r>
        <w:rPr>
          <w:spacing w:val="-2"/>
          <w:sz w:val="18"/>
          <w:vertAlign w:val="baseline"/>
        </w:rPr>
        <w:t>切片后，进行病理检查的方法。</w:t>
      </w:r>
    </w:p>
    <w:p>
      <w:pPr>
        <w:spacing w:before="12" w:line="242" w:lineRule="auto"/>
        <w:ind w:left="723" w:right="413" w:firstLine="0"/>
        <w:jc w:val="left"/>
        <w:rPr>
          <w:sz w:val="18"/>
        </w:rPr>
      </w:pPr>
      <w:r>
        <w:drawing>
          <wp:anchor distT="0" distB="0" distL="0" distR="0" simplePos="0" relativeHeight="251717632" behindDoc="1" locked="0" layoutInCell="1" allowOverlap="1">
            <wp:simplePos x="0" y="0"/>
            <wp:positionH relativeFrom="page">
              <wp:posOffset>2517775</wp:posOffset>
            </wp:positionH>
            <wp:positionV relativeFrom="paragraph">
              <wp:posOffset>-925195</wp:posOffset>
            </wp:positionV>
            <wp:extent cx="2929890" cy="185420"/>
            <wp:effectExtent l="0" t="0" r="0" b="0"/>
            <wp:wrapNone/>
            <wp:docPr id="7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7.png"/>
                    <pic:cNvPicPr>
                      <a:picLocks noChangeAspect="1"/>
                    </pic:cNvPicPr>
                  </pic:nvPicPr>
                  <pic:blipFill>
                    <a:blip r:embed="rId33" cstate="print"/>
                    <a:stretch>
                      <a:fillRect/>
                    </a:stretch>
                  </pic:blipFill>
                  <pic:spPr>
                    <a:xfrm>
                      <a:off x="0" y="0"/>
                      <a:ext cx="2930147" cy="185737"/>
                    </a:xfrm>
                    <a:prstGeom prst="rect">
                      <a:avLst/>
                    </a:prstGeom>
                  </pic:spPr>
                </pic:pic>
              </a:graphicData>
            </a:graphic>
          </wp:anchor>
        </w:drawing>
      </w:r>
      <w:r>
        <w:rPr>
          <w:spacing w:val="-2"/>
          <w:sz w:val="18"/>
        </w:rPr>
        <w:t>通过采集病变部位脱落细胞、细针吸取病变部位细胞、体腔积液分离病变细胞等方式获取病变细胞，制成涂片，进行病理检查的方法，属于细胞病理学检查，不属于组织病理学检查。</w:t>
      </w:r>
    </w:p>
    <w:p>
      <w:pPr>
        <w:spacing w:before="0" w:line="253" w:lineRule="exact"/>
        <w:ind w:left="723" w:right="0" w:firstLine="0"/>
        <w:jc w:val="left"/>
        <w:rPr>
          <w:sz w:val="18"/>
        </w:rPr>
      </w:pPr>
      <w:r>
        <w:rPr>
          <w:rFonts w:ascii="Times New Roman" w:eastAsia="Times New Roman"/>
          <w:position w:val="6"/>
          <w:sz w:val="12"/>
        </w:rPr>
        <w:t>21</w:t>
      </w:r>
      <w:r>
        <w:rPr>
          <w:rFonts w:ascii="Times New Roman" w:eastAsia="Times New Roman"/>
          <w:spacing w:val="59"/>
          <w:position w:val="6"/>
          <w:sz w:val="12"/>
        </w:rPr>
        <w:t xml:space="preserve"> </w:t>
      </w:r>
      <w:r>
        <w:rPr>
          <w:rFonts w:ascii="Times New Roman" w:eastAsia="Times New Roman"/>
          <w:b/>
          <w:sz w:val="18"/>
        </w:rPr>
        <w:t>TNM</w:t>
      </w:r>
      <w:r>
        <w:rPr>
          <w:rFonts w:ascii="Times New Roman" w:eastAsia="Times New Roman"/>
          <w:b/>
          <w:spacing w:val="2"/>
          <w:sz w:val="18"/>
        </w:rPr>
        <w:t xml:space="preserve"> </w:t>
      </w:r>
      <w:r>
        <w:rPr>
          <w:rFonts w:ascii="微软雅黑" w:eastAsia="微软雅黑"/>
          <w:b/>
          <w:sz w:val="18"/>
        </w:rPr>
        <w:t>分期</w:t>
      </w:r>
      <w:r>
        <w:rPr>
          <w:rFonts w:ascii="Times New Roman" w:eastAsia="Times New Roman"/>
          <w:b/>
          <w:spacing w:val="-2"/>
          <w:sz w:val="18"/>
        </w:rPr>
        <w:t xml:space="preserve">: </w:t>
      </w:r>
      <w:r>
        <w:rPr>
          <w:sz w:val="18"/>
        </w:rPr>
        <w:t>TNM</w:t>
      </w:r>
      <w:r>
        <w:rPr>
          <w:spacing w:val="-1"/>
          <w:sz w:val="18"/>
        </w:rPr>
        <w:t xml:space="preserve"> 分期采用 </w:t>
      </w:r>
      <w:r>
        <w:rPr>
          <w:sz w:val="18"/>
        </w:rPr>
        <w:t>AJCC 癌症分期手册标准。该标准由美国癌症联合委员会与国际抗癌联合会 TNM</w:t>
      </w:r>
      <w:r>
        <w:rPr>
          <w:spacing w:val="-2"/>
          <w:sz w:val="18"/>
        </w:rPr>
        <w:t xml:space="preserve"> 委员会联合</w:t>
      </w:r>
    </w:p>
    <w:p>
      <w:pPr>
        <w:spacing w:before="0" w:line="210" w:lineRule="exact"/>
        <w:ind w:left="723" w:right="0" w:firstLine="0"/>
        <w:jc w:val="left"/>
        <w:rPr>
          <w:sz w:val="18"/>
        </w:rPr>
      </w:pPr>
      <w:r>
        <w:rPr>
          <w:sz w:val="18"/>
        </w:rPr>
        <w:t>制定，是目前肿瘤医学分期的国际通用标准。T</w:t>
      </w:r>
      <w:r>
        <w:rPr>
          <w:spacing w:val="-2"/>
          <w:sz w:val="18"/>
        </w:rPr>
        <w:t xml:space="preserve"> 指原发肿瘤的大小、形态等；</w:t>
      </w:r>
      <w:r>
        <w:rPr>
          <w:sz w:val="18"/>
        </w:rPr>
        <w:t>N</w:t>
      </w:r>
      <w:r>
        <w:rPr>
          <w:spacing w:val="-2"/>
          <w:sz w:val="18"/>
        </w:rPr>
        <w:t xml:space="preserve"> 指淋巴结的转移情况；</w:t>
      </w:r>
      <w:r>
        <w:rPr>
          <w:sz w:val="18"/>
        </w:rPr>
        <w:t>M</w:t>
      </w:r>
      <w:r>
        <w:rPr>
          <w:spacing w:val="-3"/>
          <w:sz w:val="18"/>
        </w:rPr>
        <w:t xml:space="preserve"> 指有无其他脏器</w:t>
      </w:r>
    </w:p>
    <w:p>
      <w:pPr>
        <w:spacing w:before="5"/>
        <w:ind w:left="723" w:right="0" w:firstLine="0"/>
        <w:jc w:val="left"/>
        <w:rPr>
          <w:sz w:val="18"/>
        </w:rPr>
      </w:pPr>
      <w:r>
        <w:rPr>
          <w:spacing w:val="-2"/>
          <w:sz w:val="18"/>
        </w:rPr>
        <w:t>的转移情况。</w:t>
      </w:r>
    </w:p>
    <w:p>
      <w:pPr>
        <w:spacing w:after="0"/>
        <w:jc w:val="left"/>
        <w:rPr>
          <w:sz w:val="18"/>
        </w:rPr>
        <w:sectPr>
          <w:pgSz w:w="11910" w:h="16840"/>
          <w:pgMar w:top="1460" w:right="660" w:bottom="1260" w:left="580" w:header="0" w:footer="1060" w:gutter="0"/>
          <w:cols w:space="720" w:num="1"/>
        </w:sectPr>
      </w:pPr>
    </w:p>
    <w:tbl>
      <w:tblPr>
        <w:tblStyle w:val="7"/>
        <w:tblW w:w="0" w:type="auto"/>
        <w:tblInd w:w="3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782"/>
        <w:gridCol w:w="682"/>
        <w:gridCol w:w="523"/>
        <w:gridCol w:w="8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5987" w:type="dxa"/>
            <w:gridSpan w:val="3"/>
            <w:tcBorders>
              <w:bottom w:val="single" w:color="FFFFFF" w:sz="8" w:space="0"/>
            </w:tcBorders>
            <w:shd w:val="clear" w:color="auto" w:fill="C0C0C0"/>
          </w:tcPr>
          <w:p>
            <w:pPr>
              <w:pStyle w:val="11"/>
              <w:spacing w:before="22" w:line="251" w:lineRule="exact"/>
              <w:ind w:right="-15"/>
              <w:rPr>
                <w:sz w:val="21"/>
              </w:rPr>
            </w:pPr>
            <w:r>
              <w:rPr>
                <w:sz w:val="21"/>
              </w:rPr>
              <w:t>（5）</w:t>
            </w:r>
            <w:r>
              <w:rPr>
                <w:spacing w:val="-3"/>
                <w:sz w:val="21"/>
              </w:rPr>
              <w:t xml:space="preserve">相当于 </w:t>
            </w:r>
            <w:r>
              <w:rPr>
                <w:sz w:val="21"/>
              </w:rPr>
              <w:t>Binet</w:t>
            </w:r>
            <w:r>
              <w:rPr>
                <w:spacing w:val="-4"/>
                <w:sz w:val="21"/>
              </w:rPr>
              <w:t xml:space="preserve"> 分期方案 </w:t>
            </w:r>
            <w:r>
              <w:rPr>
                <w:sz w:val="21"/>
              </w:rPr>
              <w:t>A</w:t>
            </w:r>
            <w:r>
              <w:rPr>
                <w:spacing w:val="-4"/>
                <w:sz w:val="21"/>
              </w:rPr>
              <w:t xml:space="preserve"> 期程度的慢性淋巴细胞白血病；</w:t>
            </w:r>
          </w:p>
        </w:tc>
        <w:tc>
          <w:tcPr>
            <w:tcW w:w="837" w:type="dxa"/>
            <w:tcBorders>
              <w:bottom w:val="single" w:color="FFFFFF" w:sz="8"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5464" w:type="dxa"/>
            <w:gridSpan w:val="2"/>
            <w:tcBorders>
              <w:top w:val="single" w:color="FFFFFF" w:sz="8" w:space="0"/>
              <w:bottom w:val="single" w:color="FFFFFF" w:sz="8" w:space="0"/>
            </w:tcBorders>
            <w:shd w:val="clear" w:color="auto" w:fill="C0C0C0"/>
          </w:tcPr>
          <w:p>
            <w:pPr>
              <w:pStyle w:val="11"/>
              <w:spacing w:before="21" w:line="251" w:lineRule="exact"/>
              <w:ind w:right="-15"/>
              <w:rPr>
                <w:sz w:val="21"/>
              </w:rPr>
            </w:pPr>
            <w:r>
              <w:rPr>
                <w:sz w:val="21"/>
              </w:rPr>
              <w:t>（6）</w:t>
            </w:r>
            <w:r>
              <w:rPr>
                <w:spacing w:val="-3"/>
                <w:sz w:val="21"/>
              </w:rPr>
              <w:t xml:space="preserve">相当于 </w:t>
            </w:r>
            <w:r>
              <w:rPr>
                <w:sz w:val="21"/>
              </w:rPr>
              <w:t>Ann</w:t>
            </w:r>
            <w:r>
              <w:rPr>
                <w:spacing w:val="-10"/>
                <w:sz w:val="21"/>
              </w:rPr>
              <w:t xml:space="preserve"> </w:t>
            </w:r>
            <w:r>
              <w:rPr>
                <w:sz w:val="21"/>
              </w:rPr>
              <w:t>Arbor</w:t>
            </w:r>
            <w:r>
              <w:rPr>
                <w:spacing w:val="-4"/>
                <w:sz w:val="21"/>
              </w:rPr>
              <w:t xml:space="preserve"> 分期方案Ⅰ期程度的何杰金氏病；</w:t>
            </w:r>
          </w:p>
        </w:tc>
        <w:tc>
          <w:tcPr>
            <w:tcW w:w="1360" w:type="dxa"/>
            <w:gridSpan w:val="2"/>
            <w:tcBorders>
              <w:top w:val="single" w:color="FFFFFF" w:sz="8" w:space="0"/>
              <w:bottom w:val="single" w:color="FFFFFF" w:sz="8"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824" w:type="dxa"/>
            <w:gridSpan w:val="4"/>
            <w:tcBorders>
              <w:top w:val="single" w:color="FFFFFF" w:sz="8" w:space="0"/>
              <w:bottom w:val="single" w:color="FFFFFF" w:sz="8" w:space="0"/>
            </w:tcBorders>
            <w:shd w:val="clear" w:color="auto" w:fill="C0C0C0"/>
          </w:tcPr>
          <w:p>
            <w:pPr>
              <w:pStyle w:val="11"/>
              <w:spacing w:before="21" w:line="251" w:lineRule="exact"/>
              <w:rPr>
                <w:sz w:val="21"/>
              </w:rPr>
            </w:pPr>
            <w:r>
              <w:rPr>
                <w:sz w:val="21"/>
              </w:rPr>
              <w:t>（7）</w:t>
            </w:r>
            <w:r>
              <w:rPr>
                <w:spacing w:val="-1"/>
                <w:sz w:val="21"/>
              </w:rPr>
              <w:t xml:space="preserve">未发生淋巴结和远处转移且 </w:t>
            </w:r>
            <w:r>
              <w:rPr>
                <w:sz w:val="21"/>
              </w:rPr>
              <w:t>WHO</w:t>
            </w:r>
            <w:r>
              <w:rPr>
                <w:spacing w:val="-5"/>
                <w:sz w:val="21"/>
              </w:rPr>
              <w:t xml:space="preserve"> 分级为 </w:t>
            </w:r>
            <w:r>
              <w:rPr>
                <w:sz w:val="21"/>
              </w:rPr>
              <w:t>G1</w:t>
            </w:r>
            <w:r>
              <w:rPr>
                <w:spacing w:val="-4"/>
                <w:sz w:val="21"/>
              </w:rPr>
              <w:t xml:space="preserve"> 级别</w:t>
            </w:r>
            <w:r>
              <w:rPr>
                <w:sz w:val="21"/>
              </w:rPr>
              <w:t>（</w:t>
            </w:r>
            <w:r>
              <w:rPr>
                <w:spacing w:val="-1"/>
                <w:sz w:val="21"/>
              </w:rPr>
              <w:t>核分裂像&lt;</w:t>
            </w:r>
            <w:r>
              <w:rPr>
                <w:spacing w:val="-2"/>
                <w:sz w:val="21"/>
              </w:rPr>
              <w:t>10/50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4782" w:type="dxa"/>
            <w:tcBorders>
              <w:top w:val="single" w:color="FFFFFF" w:sz="8" w:space="0"/>
            </w:tcBorders>
            <w:shd w:val="clear" w:color="auto" w:fill="C0C0C0"/>
          </w:tcPr>
          <w:p>
            <w:pPr>
              <w:pStyle w:val="11"/>
              <w:spacing w:before="21" w:line="252" w:lineRule="exact"/>
              <w:rPr>
                <w:sz w:val="21"/>
              </w:rPr>
            </w:pPr>
            <w:r>
              <w:rPr>
                <w:spacing w:val="-2"/>
                <w:sz w:val="21"/>
              </w:rPr>
              <w:t>HPF</w:t>
            </w:r>
            <w:r>
              <w:rPr>
                <w:spacing w:val="-11"/>
                <w:sz w:val="21"/>
              </w:rPr>
              <w:t xml:space="preserve"> 和 </w:t>
            </w:r>
            <w:r>
              <w:rPr>
                <w:spacing w:val="-2"/>
                <w:sz w:val="21"/>
              </w:rPr>
              <w:t>ki-67≤2%）</w:t>
            </w:r>
            <w:r>
              <w:rPr>
                <w:spacing w:val="-3"/>
                <w:sz w:val="21"/>
              </w:rPr>
              <w:t>或更轻分级的神经内分泌肿瘤。</w:t>
            </w:r>
          </w:p>
        </w:tc>
        <w:tc>
          <w:tcPr>
            <w:tcW w:w="2042" w:type="dxa"/>
            <w:gridSpan w:val="3"/>
            <w:tcBorders>
              <w:top w:val="single" w:color="FFFFFF" w:sz="8" w:space="0"/>
            </w:tcBorders>
          </w:tcPr>
          <w:p>
            <w:pPr>
              <w:pStyle w:val="11"/>
              <w:rPr>
                <w:rFonts w:ascii="Times New Roman"/>
                <w:sz w:val="20"/>
              </w:rPr>
            </w:pPr>
          </w:p>
        </w:tc>
      </w:tr>
    </w:tbl>
    <w:p>
      <w:pPr>
        <w:pStyle w:val="6"/>
        <w:spacing w:before="11"/>
      </w:pPr>
    </w:p>
    <w:p>
      <w:pPr>
        <w:pStyle w:val="5"/>
        <w:spacing w:before="5" w:line="378" w:lineRule="exact"/>
        <w:ind w:left="3385"/>
        <w:jc w:val="both"/>
      </w:pPr>
      <w:r>
        <w:rPr>
          <w:w w:val="90"/>
        </w:rPr>
        <w:t>ICD-10</w:t>
      </w:r>
      <w:r>
        <w:rPr>
          <w:spacing w:val="26"/>
        </w:rPr>
        <w:t xml:space="preserve"> </w:t>
      </w:r>
      <w:r>
        <w:rPr>
          <w:w w:val="90"/>
        </w:rPr>
        <w:t>与</w:t>
      </w:r>
      <w:r>
        <w:rPr>
          <w:spacing w:val="27"/>
        </w:rPr>
        <w:t xml:space="preserve"> </w:t>
      </w:r>
      <w:r>
        <w:rPr>
          <w:w w:val="90"/>
        </w:rPr>
        <w:t>ICD-O-3</w:t>
      </w:r>
      <w:r>
        <w:rPr>
          <w:spacing w:val="27"/>
        </w:rPr>
        <w:t xml:space="preserve"> </w:t>
      </w:r>
      <w:r>
        <w:rPr>
          <w:spacing w:val="-10"/>
          <w:w w:val="90"/>
        </w:rPr>
        <w:t>：</w:t>
      </w:r>
    </w:p>
    <w:p>
      <w:pPr>
        <w:pStyle w:val="6"/>
        <w:spacing w:line="249" w:lineRule="auto"/>
        <w:ind w:left="3385" w:right="303"/>
        <w:jc w:val="both"/>
      </w:pPr>
      <w:r>
        <w:rPr>
          <w:spacing w:val="-2"/>
        </w:rPr>
        <w:t>《疾病和有关健康问题的国际统计分类》第十次修订版（ICD-</w:t>
      </w:r>
      <w:r>
        <w:rPr>
          <w:spacing w:val="25"/>
        </w:rPr>
        <w:t>10</w:t>
      </w:r>
      <w:r>
        <w:rPr>
          <w:spacing w:val="-83"/>
        </w:rPr>
        <w:t>）</w:t>
      </w:r>
      <w:r>
        <w:rPr>
          <w:spacing w:val="4"/>
        </w:rPr>
        <w:t>，是世界</w:t>
      </w:r>
      <w:r>
        <w:rPr>
          <w:spacing w:val="-2"/>
        </w:rPr>
        <w:t>卫生组织（WHO）发布的国际通用的疾病分类方法</w:t>
      </w:r>
      <w:r>
        <w:rPr>
          <w:spacing w:val="-15"/>
        </w:rPr>
        <w:t>。《国际疾病分类肿瘤学专</w:t>
      </w:r>
      <w:r>
        <w:t>辑》第三版（ICD-O-</w:t>
      </w:r>
      <w:r>
        <w:rPr>
          <w:spacing w:val="38"/>
        </w:rPr>
        <w:t>3</w:t>
      </w:r>
      <w:r>
        <w:rPr>
          <w:spacing w:val="-68"/>
        </w:rPr>
        <w:t>）</w:t>
      </w:r>
      <w:r>
        <w:t>，是 WHO</w:t>
      </w:r>
      <w:r>
        <w:rPr>
          <w:spacing w:val="-8"/>
        </w:rPr>
        <w:t xml:space="preserve"> 发布的针对 </w:t>
      </w:r>
      <w:r>
        <w:t>ICD</w:t>
      </w:r>
      <w:r>
        <w:rPr>
          <w:spacing w:val="-4"/>
        </w:rPr>
        <w:t xml:space="preserve"> 中肿瘤形态学组织学细胞</w:t>
      </w:r>
      <w:r>
        <w:rPr>
          <w:spacing w:val="-15"/>
        </w:rPr>
        <w:t>类型、动态、分化程度的补充编码。其中形态学编码：</w:t>
      </w:r>
      <w:r>
        <w:t>0</w:t>
      </w:r>
      <w:r>
        <w:rPr>
          <w:spacing w:val="-4"/>
        </w:rPr>
        <w:t xml:space="preserve"> 代表良性肿瘤；</w:t>
      </w:r>
      <w:r>
        <w:t>1</w:t>
      </w:r>
      <w:r>
        <w:rPr>
          <w:spacing w:val="-8"/>
        </w:rPr>
        <w:t xml:space="preserve"> 代</w:t>
      </w:r>
      <w:r>
        <w:rPr>
          <w:spacing w:val="-6"/>
        </w:rPr>
        <w:t>表动态未定性肿瘤；2</w:t>
      </w:r>
      <w:r>
        <w:rPr>
          <w:spacing w:val="-9"/>
        </w:rPr>
        <w:t xml:space="preserve"> 代表原位癌和非侵袭性癌；</w:t>
      </w:r>
      <w:r>
        <w:rPr>
          <w:spacing w:val="-6"/>
        </w:rPr>
        <w:t>3</w:t>
      </w:r>
      <w:r>
        <w:rPr>
          <w:spacing w:val="-22"/>
        </w:rPr>
        <w:t xml:space="preserve"> 代表恶性肿瘤</w:t>
      </w:r>
      <w:r>
        <w:rPr>
          <w:spacing w:val="-6"/>
        </w:rPr>
        <w:t>（原发性</w:t>
      </w:r>
      <w:r>
        <w:rPr>
          <w:spacing w:val="-111"/>
        </w:rPr>
        <w:t>）</w:t>
      </w:r>
      <w:r>
        <w:rPr>
          <w:spacing w:val="-5"/>
        </w:rPr>
        <w:t>；</w:t>
      </w:r>
    </w:p>
    <w:p>
      <w:pPr>
        <w:pStyle w:val="6"/>
        <w:spacing w:line="249" w:lineRule="auto"/>
        <w:ind w:left="3385" w:right="408"/>
        <w:jc w:val="both"/>
      </w:pPr>
      <w:r>
        <w:rPr>
          <w:spacing w:val="-4"/>
        </w:rPr>
        <w:t>6</w:t>
      </w:r>
      <w:r>
        <w:rPr>
          <w:spacing w:val="-9"/>
        </w:rPr>
        <w:t xml:space="preserve"> 代表恶性肿瘤</w:t>
      </w:r>
      <w:r>
        <w:rPr>
          <w:spacing w:val="-4"/>
        </w:rPr>
        <w:t>（转移性</w:t>
      </w:r>
      <w:r>
        <w:rPr>
          <w:spacing w:val="-70"/>
        </w:rPr>
        <w:t>）</w:t>
      </w:r>
      <w:r>
        <w:rPr>
          <w:spacing w:val="20"/>
        </w:rPr>
        <w:t>；</w:t>
      </w:r>
      <w:r>
        <w:rPr>
          <w:spacing w:val="38"/>
        </w:rPr>
        <w:t>9</w:t>
      </w:r>
      <w:r>
        <w:rPr>
          <w:spacing w:val="-8"/>
        </w:rPr>
        <w:t xml:space="preserve"> 代表恶性肿瘤</w:t>
      </w:r>
      <w:r>
        <w:rPr>
          <w:spacing w:val="-4"/>
        </w:rPr>
        <w:t>（原发性或转移性未肯定</w:t>
      </w:r>
      <w:r>
        <w:rPr>
          <w:spacing w:val="-106"/>
        </w:rPr>
        <w:t>）</w:t>
      </w:r>
      <w:r>
        <w:rPr>
          <w:spacing w:val="-4"/>
        </w:rPr>
        <w:t>。如</w:t>
      </w:r>
      <w:r>
        <w:t>果出现 ICD-10 与 ICD-O-3</w:t>
      </w:r>
      <w:r>
        <w:rPr>
          <w:spacing w:val="-4"/>
        </w:rPr>
        <w:t xml:space="preserve"> 不一致的情况，以 </w:t>
      </w:r>
      <w:r>
        <w:t>ICD-O-3 为准。</w:t>
      </w:r>
    </w:p>
    <w:p>
      <w:pPr>
        <w:pStyle w:val="6"/>
        <w:spacing w:before="2"/>
        <w:rPr>
          <w:sz w:val="19"/>
        </w:rPr>
      </w:pPr>
    </w:p>
    <w:p>
      <w:pPr>
        <w:pStyle w:val="5"/>
        <w:spacing w:line="383" w:lineRule="exact"/>
        <w:ind w:left="3385"/>
        <w:jc w:val="both"/>
      </w:pPr>
      <w:r>
        <w:rPr>
          <w:w w:val="90"/>
        </w:rPr>
        <w:t>甲状腺癌的</w:t>
      </w:r>
      <w:r>
        <w:rPr>
          <w:spacing w:val="37"/>
        </w:rPr>
        <w:t xml:space="preserve"> </w:t>
      </w:r>
      <w:r>
        <w:rPr>
          <w:w w:val="90"/>
        </w:rPr>
        <w:t>TNM</w:t>
      </w:r>
      <w:r>
        <w:rPr>
          <w:spacing w:val="37"/>
        </w:rPr>
        <w:t xml:space="preserve"> </w:t>
      </w:r>
      <w:r>
        <w:rPr>
          <w:w w:val="90"/>
        </w:rPr>
        <w:t>分期</w:t>
      </w:r>
      <w:r>
        <w:rPr>
          <w:spacing w:val="-10"/>
          <w:w w:val="90"/>
        </w:rPr>
        <w:t>：</w:t>
      </w:r>
    </w:p>
    <w:p>
      <w:pPr>
        <w:pStyle w:val="6"/>
        <w:spacing w:line="278" w:lineRule="auto"/>
        <w:ind w:left="3385" w:right="408"/>
        <w:jc w:val="both"/>
      </w:pPr>
      <w:r>
        <w:rPr>
          <w:w w:val="95"/>
        </w:rPr>
        <w:t>甲状腺癌的 TNM 分期采用目前现行的 AJCC 第八版定义标准，我国国家卫生</w:t>
      </w:r>
      <w:r>
        <w:rPr>
          <w:spacing w:val="-5"/>
        </w:rPr>
        <w:t xml:space="preserve">健康委员会 </w:t>
      </w:r>
      <w:r>
        <w:t>2018</w:t>
      </w:r>
      <w:r>
        <w:rPr>
          <w:spacing w:val="-5"/>
        </w:rPr>
        <w:t xml:space="preserve"> 年发布的《甲状腺癌诊疗规范</w:t>
      </w:r>
      <w:r>
        <w:t>（2018</w:t>
      </w:r>
      <w:r>
        <w:rPr>
          <w:spacing w:val="-9"/>
        </w:rPr>
        <w:t xml:space="preserve"> 年版</w:t>
      </w:r>
      <w:r>
        <w:rPr>
          <w:spacing w:val="-108"/>
        </w:rPr>
        <w:t>）</w:t>
      </w:r>
      <w:r>
        <w:t>》也采用此定</w:t>
      </w:r>
      <w:r>
        <w:rPr>
          <w:spacing w:val="-2"/>
        </w:rPr>
        <w:t>义标准，具体见下：</w:t>
      </w:r>
    </w:p>
    <w:p>
      <w:pPr>
        <w:pStyle w:val="6"/>
        <w:spacing w:line="278" w:lineRule="auto"/>
        <w:ind w:left="3385" w:right="1181"/>
      </w:pPr>
      <w:r>
        <w:t>甲状腺乳头状癌、滤泡癌、低分化癌、Hürthle</w:t>
      </w:r>
      <w:r>
        <w:rPr>
          <w:spacing w:val="-6"/>
        </w:rPr>
        <w:t xml:space="preserve"> 细胞癌和未分化癌</w:t>
      </w:r>
      <w:r>
        <w:t xml:space="preserve"> </w:t>
      </w:r>
      <w:r>
        <w:rPr>
          <w:spacing w:val="-2"/>
          <w:position w:val="1"/>
        </w:rPr>
        <w:t>pT</w:t>
      </w:r>
      <w:r>
        <w:rPr>
          <w:spacing w:val="-2"/>
          <w:sz w:val="11"/>
        </w:rPr>
        <w:t>X</w:t>
      </w:r>
      <w:r>
        <w:rPr>
          <w:spacing w:val="-2"/>
          <w:position w:val="1"/>
        </w:rPr>
        <w:t>：原发肿瘤不能评估</w:t>
      </w:r>
    </w:p>
    <w:p>
      <w:pPr>
        <w:pStyle w:val="6"/>
        <w:spacing w:line="268" w:lineRule="exact"/>
        <w:ind w:left="3385"/>
      </w:pPr>
      <w:r>
        <w:rPr>
          <w:spacing w:val="-2"/>
          <w:position w:val="1"/>
        </w:rPr>
        <w:t>pT</w:t>
      </w:r>
      <w:r>
        <w:rPr>
          <w:spacing w:val="-2"/>
          <w:sz w:val="11"/>
        </w:rPr>
        <w:t>0</w:t>
      </w:r>
      <w:r>
        <w:rPr>
          <w:spacing w:val="-4"/>
          <w:position w:val="1"/>
        </w:rPr>
        <w:t>：无肿瘤证据</w:t>
      </w:r>
    </w:p>
    <w:p>
      <w:pPr>
        <w:pStyle w:val="6"/>
        <w:spacing w:before="39" w:line="278" w:lineRule="auto"/>
        <w:ind w:left="3875" w:right="3403" w:hanging="491"/>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6"/>
        <w:spacing w:line="278" w:lineRule="auto"/>
        <w:ind w:left="3385" w:right="4224" w:firstLine="490"/>
      </w:pPr>
      <w:r>
        <w:rPr>
          <w:position w:val="1"/>
        </w:rPr>
        <w:t>T</w:t>
      </w:r>
      <w:r>
        <w:rPr>
          <w:sz w:val="11"/>
        </w:rPr>
        <w:t>1b</w:t>
      </w:r>
      <w:r>
        <w:rPr>
          <w:spacing w:val="-29"/>
          <w:sz w:val="11"/>
        </w:rPr>
        <w:t xml:space="preserve"> </w:t>
      </w:r>
      <w:r>
        <w:rPr>
          <w:position w:val="1"/>
        </w:rPr>
        <w:t>肿瘤最大径＞1cm，≤2cm pT</w:t>
      </w:r>
      <w:r>
        <w:rPr>
          <w:sz w:val="11"/>
        </w:rPr>
        <w:t>2</w:t>
      </w:r>
      <w:r>
        <w:rPr>
          <w:position w:val="1"/>
        </w:rPr>
        <w:t>：肿瘤 2～4cm</w:t>
      </w:r>
    </w:p>
    <w:p>
      <w:pPr>
        <w:pStyle w:val="6"/>
        <w:spacing w:line="278" w:lineRule="auto"/>
        <w:ind w:left="3385" w:right="1760"/>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6"/>
        <w:ind w:left="3385"/>
      </w:pPr>
      <w:r>
        <w:rPr>
          <w:spacing w:val="-2"/>
          <w:position w:val="1"/>
        </w:rPr>
        <w:t>pT</w:t>
      </w:r>
      <w:r>
        <w:rPr>
          <w:spacing w:val="-2"/>
          <w:sz w:val="11"/>
        </w:rPr>
        <w:t>3b</w:t>
      </w:r>
      <w:r>
        <w:rPr>
          <w:spacing w:val="-3"/>
          <w:position w:val="1"/>
        </w:rPr>
        <w:t>：大体侵犯甲状腺外带状肌，无论肿瘤大小</w:t>
      </w:r>
    </w:p>
    <w:p>
      <w:pPr>
        <w:pStyle w:val="6"/>
        <w:spacing w:before="43" w:line="278" w:lineRule="auto"/>
        <w:ind w:left="3385" w:right="692" w:firstLine="490"/>
      </w:pPr>
      <w:r>
        <w:rPr>
          <w:spacing w:val="-2"/>
        </w:rPr>
        <w:t xml:space="preserve">带状肌包括：胸骨舌骨肌、胸骨甲状肌、甲状舌骨肌、肩胛舌骨肌 </w:t>
      </w:r>
      <w:r>
        <w:rPr>
          <w:spacing w:val="-2"/>
          <w:position w:val="1"/>
        </w:rPr>
        <w:t>pT</w:t>
      </w:r>
      <w:r>
        <w:rPr>
          <w:spacing w:val="-2"/>
          <w:sz w:val="11"/>
        </w:rPr>
        <w:t>4</w:t>
      </w:r>
      <w:r>
        <w:rPr>
          <w:spacing w:val="-2"/>
          <w:position w:val="1"/>
        </w:rPr>
        <w:t>：大体侵犯甲状腺外带状肌外</w:t>
      </w:r>
    </w:p>
    <w:p>
      <w:pPr>
        <w:pStyle w:val="6"/>
        <w:spacing w:line="278" w:lineRule="auto"/>
        <w:ind w:left="3385" w:right="2545"/>
      </w:pPr>
      <w:r>
        <w:rPr>
          <w:spacing w:val="-2"/>
          <w:position w:val="1"/>
        </w:rPr>
        <w:t>pT</w:t>
      </w:r>
      <w:r>
        <w:rPr>
          <w:spacing w:val="-2"/>
          <w:sz w:val="11"/>
        </w:rPr>
        <w:t>4a</w:t>
      </w:r>
      <w:r>
        <w:rPr>
          <w:spacing w:val="-2"/>
          <w:position w:val="1"/>
        </w:rPr>
        <w:t>：侵犯喉、气管、食管、喉反神经及皮下软组织 pT</w:t>
      </w:r>
      <w:r>
        <w:rPr>
          <w:spacing w:val="-2"/>
          <w:sz w:val="11"/>
        </w:rPr>
        <w:t>4b</w:t>
      </w:r>
      <w:r>
        <w:rPr>
          <w:spacing w:val="-2"/>
          <w:position w:val="1"/>
        </w:rPr>
        <w:t>：侵犯椎前筋膜，或包裹颈动脉、纵隔血管</w:t>
      </w:r>
    </w:p>
    <w:p>
      <w:pPr>
        <w:pStyle w:val="6"/>
        <w:ind w:left="3385"/>
      </w:pPr>
      <w:r>
        <w:rPr>
          <w:spacing w:val="-4"/>
        </w:rPr>
        <w:t>甲状腺髓样癌</w:t>
      </w:r>
    </w:p>
    <w:p>
      <w:pPr>
        <w:pStyle w:val="6"/>
        <w:spacing w:before="42" w:line="278" w:lineRule="auto"/>
        <w:ind w:left="3385" w:right="5120"/>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6"/>
        <w:spacing w:line="278" w:lineRule="auto"/>
        <w:ind w:left="3875" w:right="3403" w:hanging="491"/>
      </w:pPr>
      <w:r>
        <w:rPr>
          <w:spacing w:val="-2"/>
          <w:position w:val="1"/>
        </w:rPr>
        <w:t>pT</w:t>
      </w:r>
      <w:r>
        <w:rPr>
          <w:spacing w:val="-2"/>
          <w:sz w:val="11"/>
        </w:rPr>
        <w:t>1</w:t>
      </w:r>
      <w:r>
        <w:rPr>
          <w:spacing w:val="-2"/>
          <w:position w:val="1"/>
        </w:rPr>
        <w:t xml:space="preserve">：肿瘤局限在甲状腺内，最大径≤2cm </w:t>
      </w:r>
      <w:r>
        <w:rPr>
          <w:position w:val="1"/>
        </w:rPr>
        <w:t>T</w:t>
      </w:r>
      <w:r>
        <w:rPr>
          <w:sz w:val="11"/>
        </w:rPr>
        <w:t>1a</w:t>
      </w:r>
      <w:r>
        <w:rPr>
          <w:spacing w:val="-29"/>
          <w:sz w:val="11"/>
        </w:rPr>
        <w:t xml:space="preserve"> </w:t>
      </w:r>
      <w:r>
        <w:rPr>
          <w:position w:val="1"/>
        </w:rPr>
        <w:t>肿瘤最大径≤1cm</w:t>
      </w:r>
    </w:p>
    <w:p>
      <w:pPr>
        <w:pStyle w:val="6"/>
        <w:spacing w:line="278" w:lineRule="auto"/>
        <w:ind w:left="3385" w:right="4224" w:firstLine="490"/>
      </w:pPr>
      <w:r>
        <w:rPr>
          <w:position w:val="1"/>
        </w:rPr>
        <w:t>T</w:t>
      </w:r>
      <w:r>
        <w:rPr>
          <w:sz w:val="11"/>
        </w:rPr>
        <w:t>1b</w:t>
      </w:r>
      <w:r>
        <w:rPr>
          <w:spacing w:val="-29"/>
          <w:sz w:val="11"/>
        </w:rPr>
        <w:t xml:space="preserve"> </w:t>
      </w:r>
      <w:r>
        <w:rPr>
          <w:position w:val="1"/>
        </w:rPr>
        <w:t>肿瘤最大径＞1cm，≤2cm pT</w:t>
      </w:r>
      <w:r>
        <w:rPr>
          <w:sz w:val="11"/>
        </w:rPr>
        <w:t>2</w:t>
      </w:r>
      <w:r>
        <w:rPr>
          <w:position w:val="1"/>
        </w:rPr>
        <w:t>：肿瘤 2～4cm</w:t>
      </w:r>
    </w:p>
    <w:p>
      <w:pPr>
        <w:pStyle w:val="6"/>
        <w:spacing w:line="278" w:lineRule="auto"/>
        <w:ind w:left="3385" w:right="1760"/>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6"/>
        <w:spacing w:line="269" w:lineRule="exact"/>
        <w:ind w:left="3385"/>
      </w:pPr>
      <w:r>
        <w:rPr>
          <w:spacing w:val="-2"/>
          <w:position w:val="1"/>
        </w:rPr>
        <w:t>pT</w:t>
      </w:r>
      <w:r>
        <w:rPr>
          <w:spacing w:val="-2"/>
          <w:sz w:val="11"/>
        </w:rPr>
        <w:t>3b</w:t>
      </w:r>
      <w:r>
        <w:rPr>
          <w:spacing w:val="-3"/>
          <w:position w:val="1"/>
        </w:rPr>
        <w:t>：大体侵犯甲状腺外带状肌，无论肿瘤大小</w:t>
      </w:r>
    </w:p>
    <w:p>
      <w:pPr>
        <w:pStyle w:val="6"/>
        <w:spacing w:before="43" w:line="278" w:lineRule="auto"/>
        <w:ind w:left="3385" w:right="409" w:firstLine="490"/>
      </w:pPr>
      <w:r>
        <w:rPr>
          <w:spacing w:val="-2"/>
        </w:rPr>
        <w:t xml:space="preserve">带状肌包括：胸骨舌骨肌、胸骨甲状肌、甲状舌骨肌、肩胛舌骨肌 </w:t>
      </w:r>
      <w:r>
        <w:rPr>
          <w:spacing w:val="-2"/>
          <w:position w:val="1"/>
        </w:rPr>
        <w:t>pT</w:t>
      </w:r>
      <w:r>
        <w:rPr>
          <w:spacing w:val="-2"/>
          <w:sz w:val="11"/>
        </w:rPr>
        <w:t>4</w:t>
      </w:r>
      <w:r>
        <w:rPr>
          <w:spacing w:val="-2"/>
          <w:position w:val="1"/>
        </w:rPr>
        <w:t>：进展期病变</w:t>
      </w:r>
      <w:r>
        <w:rPr>
          <w:spacing w:val="80"/>
          <w:w w:val="150"/>
          <w:position w:val="1"/>
        </w:rPr>
        <w:t xml:space="preserve">                     </w:t>
      </w:r>
      <w:r>
        <w:rPr>
          <w:spacing w:val="-2"/>
          <w:position w:val="1"/>
        </w:rPr>
        <w:t>pT</w:t>
      </w:r>
      <w:r>
        <w:rPr>
          <w:spacing w:val="-2"/>
          <w:sz w:val="11"/>
        </w:rPr>
        <w:t>4a</w:t>
      </w:r>
      <w:r>
        <w:rPr>
          <w:spacing w:val="-2"/>
          <w:position w:val="1"/>
        </w:rPr>
        <w:t>：中度进展，任何大小的肿瘤，侵犯甲状腺外颈部周围器官和软组织，</w:t>
      </w:r>
    </w:p>
    <w:p>
      <w:pPr>
        <w:spacing w:after="0" w:line="278" w:lineRule="auto"/>
        <w:sectPr>
          <w:pgSz w:w="11910" w:h="16840"/>
          <w:pgMar w:top="1480" w:right="660" w:bottom="1260" w:left="580" w:header="0" w:footer="1060" w:gutter="0"/>
          <w:cols w:space="720" w:num="1"/>
        </w:sectPr>
      </w:pPr>
    </w:p>
    <w:p>
      <w:pPr>
        <w:pStyle w:val="6"/>
        <w:spacing w:before="42" w:line="278" w:lineRule="auto"/>
        <w:ind w:left="3385" w:right="409"/>
      </w:pPr>
      <w:r>
        <w:rPr>
          <w:spacing w:val="-2"/>
        </w:rPr>
        <w:t>如喉、气管、食管、喉反神经及皮下软组织</w:t>
      </w:r>
      <w:r>
        <w:rPr>
          <w:spacing w:val="80"/>
          <w:w w:val="150"/>
        </w:rPr>
        <w:t xml:space="preserve">           </w:t>
      </w:r>
      <w:r>
        <w:rPr>
          <w:spacing w:val="-2"/>
          <w:position w:val="1"/>
        </w:rPr>
        <w:t>pT</w:t>
      </w:r>
      <w:r>
        <w:rPr>
          <w:spacing w:val="-2"/>
          <w:sz w:val="11"/>
        </w:rPr>
        <w:t>4b</w:t>
      </w:r>
      <w:r>
        <w:rPr>
          <w:spacing w:val="-2"/>
          <w:position w:val="1"/>
        </w:rPr>
        <w:t>：重度进展，任何大小的肿瘤，侵犯椎前筋膜，或包裹颈动脉、纵隔血</w:t>
      </w:r>
      <w:r>
        <w:rPr>
          <w:spacing w:val="-10"/>
        </w:rPr>
        <w:t>管</w:t>
      </w:r>
    </w:p>
    <w:p>
      <w:pPr>
        <w:pStyle w:val="6"/>
        <w:spacing w:line="278" w:lineRule="auto"/>
        <w:ind w:left="3385" w:right="4125"/>
      </w:pPr>
      <w:r>
        <w:rPr>
          <w:spacing w:val="-2"/>
        </w:rPr>
        <w:t xml:space="preserve">区域淋巴结：适用于所有甲状腺癌 </w:t>
      </w:r>
      <w:r>
        <w:rPr>
          <w:spacing w:val="-2"/>
          <w:position w:val="1"/>
        </w:rPr>
        <w:t>pN</w:t>
      </w:r>
      <w:r>
        <w:rPr>
          <w:spacing w:val="-2"/>
          <w:sz w:val="11"/>
        </w:rPr>
        <w:t>x</w:t>
      </w:r>
      <w:r>
        <w:rPr>
          <w:spacing w:val="-2"/>
          <w:position w:val="1"/>
        </w:rPr>
        <w:t>：区域淋巴结无法评估</w:t>
      </w:r>
    </w:p>
    <w:p>
      <w:pPr>
        <w:pStyle w:val="6"/>
        <w:spacing w:line="278" w:lineRule="auto"/>
        <w:ind w:left="3385" w:right="5120"/>
      </w:pPr>
      <w:r>
        <w:rPr>
          <w:spacing w:val="-2"/>
          <w:position w:val="1"/>
        </w:rPr>
        <w:t>pN</w:t>
      </w:r>
      <w:r>
        <w:rPr>
          <w:spacing w:val="-2"/>
          <w:sz w:val="11"/>
        </w:rPr>
        <w:t>0</w:t>
      </w:r>
      <w:r>
        <w:rPr>
          <w:spacing w:val="-2"/>
          <w:position w:val="1"/>
        </w:rPr>
        <w:t>：无淋巴结转移证据 pN</w:t>
      </w:r>
      <w:r>
        <w:rPr>
          <w:spacing w:val="-2"/>
          <w:sz w:val="11"/>
        </w:rPr>
        <w:t>1</w:t>
      </w:r>
      <w:r>
        <w:rPr>
          <w:spacing w:val="-2"/>
          <w:position w:val="1"/>
        </w:rPr>
        <w:t>：区域淋巴结转移</w:t>
      </w:r>
    </w:p>
    <w:p>
      <w:pPr>
        <w:pStyle w:val="6"/>
        <w:spacing w:line="278" w:lineRule="auto"/>
        <w:ind w:left="3385" w:right="409"/>
      </w:pPr>
      <w:r>
        <w:rPr>
          <w:position w:val="1"/>
        </w:rPr>
        <w:t>pN</w:t>
      </w:r>
      <w:r>
        <w:rPr>
          <w:sz w:val="11"/>
        </w:rPr>
        <w:t>1a</w:t>
      </w:r>
      <w:r>
        <w:rPr>
          <w:position w:val="1"/>
        </w:rPr>
        <w:t>：转移至Ⅵ、Ⅶ区（包括气管旁、气管前、喉前/Delphian 或上纵隔）</w:t>
      </w:r>
      <w:r>
        <w:rPr>
          <w:spacing w:val="-2"/>
        </w:rPr>
        <w:t>淋巴结，可以为单侧或双侧。</w:t>
      </w:r>
      <w:r>
        <w:rPr>
          <w:spacing w:val="80"/>
          <w:w w:val="150"/>
        </w:rPr>
        <w:t xml:space="preserve">                </w:t>
      </w:r>
      <w:r>
        <w:rPr>
          <w:spacing w:val="-2"/>
          <w:position w:val="1"/>
        </w:rPr>
        <w:t>pN</w:t>
      </w:r>
      <w:r>
        <w:rPr>
          <w:spacing w:val="-2"/>
          <w:sz w:val="11"/>
        </w:rPr>
        <w:t>1b</w:t>
      </w:r>
      <w:r>
        <w:rPr>
          <w:spacing w:val="-2"/>
          <w:position w:val="1"/>
        </w:rPr>
        <w:t>：单侧、双侧或对侧颈淋巴结转移（包括Ⅰ、Ⅱ、Ⅲ、Ⅳ或Ⅴ区）淋巴</w:t>
      </w:r>
      <w:r>
        <w:rPr>
          <w:spacing w:val="-2"/>
        </w:rPr>
        <w:t>结或咽后淋巴结转移。</w:t>
      </w:r>
    </w:p>
    <w:p>
      <w:pPr>
        <w:pStyle w:val="6"/>
        <w:spacing w:line="278" w:lineRule="auto"/>
        <w:ind w:left="3385" w:right="4334"/>
      </w:pPr>
      <w:r>
        <w:rPr>
          <w:spacing w:val="-2"/>
        </w:rPr>
        <w:t xml:space="preserve">远处转移：适用于所有甲状腺癌 </w:t>
      </w:r>
      <w:r>
        <w:rPr>
          <w:spacing w:val="-2"/>
          <w:position w:val="1"/>
        </w:rPr>
        <w:t>M</w:t>
      </w:r>
      <w:r>
        <w:rPr>
          <w:spacing w:val="-2"/>
          <w:sz w:val="11"/>
        </w:rPr>
        <w:t>0</w:t>
      </w:r>
      <w:r>
        <w:rPr>
          <w:spacing w:val="-2"/>
          <w:position w:val="1"/>
        </w:rPr>
        <w:t>：无远处转移</w:t>
      </w:r>
    </w:p>
    <w:p>
      <w:pPr>
        <w:pStyle w:val="6"/>
        <w:spacing w:after="20"/>
        <w:ind w:left="3385"/>
      </w:pPr>
      <w:r>
        <w:rPr>
          <w:spacing w:val="-2"/>
          <w:position w:val="1"/>
        </w:rPr>
        <w:t>M</w:t>
      </w:r>
      <w:r>
        <w:rPr>
          <w:spacing w:val="-2"/>
          <w:sz w:val="11"/>
        </w:rPr>
        <w:t>1</w:t>
      </w:r>
      <w:r>
        <w:rPr>
          <w:spacing w:val="-4"/>
          <w:position w:val="1"/>
        </w:rPr>
        <w:t>：有远处转移</w:t>
      </w:r>
    </w:p>
    <w:tbl>
      <w:tblPr>
        <w:tblStyle w:val="7"/>
        <w:tblW w:w="0" w:type="auto"/>
        <w:tblInd w:w="367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096"/>
        <w:gridCol w:w="1468"/>
        <w:gridCol w:w="1361"/>
        <w:gridCol w:w="11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6" w:hRule="atLeast"/>
        </w:trPr>
        <w:tc>
          <w:tcPr>
            <w:tcW w:w="6091" w:type="dxa"/>
            <w:gridSpan w:val="4"/>
            <w:tcBorders>
              <w:bottom w:val="single" w:color="000000" w:sz="4" w:space="0"/>
            </w:tcBorders>
          </w:tcPr>
          <w:p>
            <w:pPr>
              <w:pStyle w:val="11"/>
              <w:spacing w:before="20" w:line="267" w:lineRule="exact"/>
              <w:ind w:left="105"/>
              <w:rPr>
                <w:sz w:val="21"/>
              </w:rPr>
            </w:pPr>
            <w:r>
              <w:rPr>
                <w:spacing w:val="-4"/>
                <w:sz w:val="21"/>
              </w:rPr>
              <w:t>乳头状或滤泡状癌（分化型</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6091" w:type="dxa"/>
            <w:gridSpan w:val="4"/>
            <w:tcBorders>
              <w:top w:val="single" w:color="000000" w:sz="4" w:space="0"/>
              <w:bottom w:val="single" w:color="000000" w:sz="4" w:space="0"/>
            </w:tcBorders>
          </w:tcPr>
          <w:p>
            <w:pPr>
              <w:pStyle w:val="11"/>
              <w:spacing w:before="20"/>
              <w:ind w:left="105"/>
              <w:rPr>
                <w:sz w:val="21"/>
              </w:rPr>
            </w:pPr>
            <w:r>
              <w:rPr>
                <w:w w:val="95"/>
                <w:sz w:val="21"/>
              </w:rPr>
              <w:t>年龄＜55</w:t>
            </w:r>
            <w:r>
              <w:rPr>
                <w:spacing w:val="-5"/>
                <w:sz w:val="21"/>
              </w:rPr>
              <w:t xml:space="preserve"> </w:t>
            </w:r>
            <w:r>
              <w:rPr>
                <w:spacing w:val="-10"/>
                <w:w w:val="95"/>
                <w:sz w:val="21"/>
              </w:rPr>
              <w:t>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0" w:hRule="atLeast"/>
        </w:trPr>
        <w:tc>
          <w:tcPr>
            <w:tcW w:w="2096" w:type="dxa"/>
            <w:tcBorders>
              <w:top w:val="single" w:color="000000" w:sz="4" w:space="0"/>
              <w:bottom w:val="single" w:color="000000" w:sz="4" w:space="0"/>
              <w:right w:val="single" w:color="000000" w:sz="4" w:space="0"/>
            </w:tcBorders>
          </w:tcPr>
          <w:p>
            <w:pPr>
              <w:pStyle w:val="11"/>
              <w:rPr>
                <w:rFonts w:ascii="Times New Roman"/>
                <w:sz w:val="20"/>
              </w:rPr>
            </w:pP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3" w:line="267" w:lineRule="exact"/>
              <w:ind w:left="111"/>
              <w:rPr>
                <w:sz w:val="21"/>
              </w:rPr>
            </w:pPr>
            <w:r>
              <w:rPr>
                <w:w w:val="82"/>
                <w:sz w:val="21"/>
              </w:rPr>
              <w:t>T</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3" w:line="267" w:lineRule="exact"/>
              <w:ind w:left="110"/>
              <w:rPr>
                <w:sz w:val="21"/>
              </w:rPr>
            </w:pPr>
            <w:r>
              <w:rPr>
                <w:w w:val="68"/>
                <w:sz w:val="21"/>
              </w:rPr>
              <w:t>N</w:t>
            </w:r>
          </w:p>
        </w:tc>
        <w:tc>
          <w:tcPr>
            <w:tcW w:w="1166" w:type="dxa"/>
            <w:tcBorders>
              <w:top w:val="single" w:color="000000" w:sz="4" w:space="0"/>
              <w:left w:val="single" w:color="000000" w:sz="4" w:space="0"/>
              <w:bottom w:val="single" w:color="000000" w:sz="4" w:space="0"/>
            </w:tcBorders>
          </w:tcPr>
          <w:p>
            <w:pPr>
              <w:pStyle w:val="11"/>
              <w:spacing w:before="63" w:line="267" w:lineRule="exact"/>
              <w:ind w:left="105"/>
              <w:rPr>
                <w:sz w:val="21"/>
              </w:rPr>
            </w:pPr>
            <w:r>
              <w:rPr>
                <w:w w:val="59"/>
                <w:sz w:val="21"/>
              </w:rPr>
              <w:t>M</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spacing w:val="-5"/>
                <w:sz w:val="21"/>
              </w:rPr>
              <w:t>Ⅰ期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0"/>
              <w:ind w:left="111"/>
              <w:rPr>
                <w:sz w:val="21"/>
              </w:rPr>
            </w:pPr>
            <w:r>
              <w:rPr>
                <w:spacing w:val="-5"/>
                <w:sz w:val="21"/>
              </w:rPr>
              <w:t>任何</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spacing w:val="-5"/>
                <w:sz w:val="21"/>
              </w:rPr>
              <w:t>Ⅱ期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0"/>
              <w:ind w:left="111"/>
              <w:rPr>
                <w:sz w:val="21"/>
              </w:rPr>
            </w:pPr>
            <w:r>
              <w:rPr>
                <w:spacing w:val="-5"/>
                <w:sz w:val="21"/>
              </w:rPr>
              <w:t>任何</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6091" w:type="dxa"/>
            <w:gridSpan w:val="4"/>
            <w:tcBorders>
              <w:top w:val="single" w:color="000000" w:sz="4" w:space="0"/>
              <w:bottom w:val="single" w:color="000000" w:sz="4" w:space="0"/>
            </w:tcBorders>
          </w:tcPr>
          <w:p>
            <w:pPr>
              <w:pStyle w:val="11"/>
              <w:spacing w:before="22"/>
              <w:ind w:left="105"/>
              <w:rPr>
                <w:sz w:val="21"/>
              </w:rPr>
            </w:pPr>
            <w:r>
              <w:rPr>
                <w:sz w:val="21"/>
              </w:rPr>
              <w:t>年龄≥55</w:t>
            </w:r>
            <w:r>
              <w:rPr>
                <w:spacing w:val="15"/>
                <w:sz w:val="21"/>
              </w:rPr>
              <w:t xml:space="preserve"> 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vMerge w:val="restart"/>
            <w:tcBorders>
              <w:top w:val="single" w:color="000000" w:sz="4" w:space="0"/>
              <w:bottom w:val="single" w:color="000000" w:sz="4" w:space="0"/>
              <w:right w:val="single" w:color="000000" w:sz="4" w:space="0"/>
            </w:tcBorders>
          </w:tcPr>
          <w:p>
            <w:pPr>
              <w:pStyle w:val="11"/>
              <w:spacing w:before="113"/>
              <w:ind w:left="105"/>
              <w:rPr>
                <w:sz w:val="21"/>
              </w:rPr>
            </w:pPr>
            <w:r>
              <w:rPr>
                <w:spacing w:val="-5"/>
                <w:sz w:val="21"/>
              </w:rPr>
              <w:t>Ⅰ期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1"/>
              <w:rPr>
                <w:sz w:val="21"/>
              </w:rPr>
            </w:pPr>
            <w:r>
              <w:rPr>
                <w:w w:val="100"/>
                <w:sz w:val="21"/>
              </w:rPr>
              <w:t>1</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0"/>
              <w:rPr>
                <w:sz w:val="21"/>
              </w:rPr>
            </w:pPr>
            <w:r>
              <w:rPr>
                <w:spacing w:val="-5"/>
                <w:w w:val="110"/>
                <w:sz w:val="21"/>
              </w:rPr>
              <w:t>0/x</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vMerge w:val="continue"/>
            <w:tcBorders>
              <w:top w:val="nil"/>
              <w:bottom w:val="single" w:color="000000" w:sz="4" w:space="0"/>
              <w:right w:val="single" w:color="000000" w:sz="4" w:space="0"/>
            </w:tcBorders>
          </w:tcPr>
          <w:p>
            <w:pPr>
              <w:rPr>
                <w:sz w:val="2"/>
                <w:szCs w:val="2"/>
              </w:rPr>
            </w:pP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1"/>
              <w:rPr>
                <w:sz w:val="21"/>
              </w:rPr>
            </w:pPr>
            <w:r>
              <w:rPr>
                <w:w w:val="100"/>
                <w:sz w:val="21"/>
              </w:rPr>
              <w:t>2</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0"/>
              <w:rPr>
                <w:sz w:val="21"/>
              </w:rPr>
            </w:pPr>
            <w:r>
              <w:rPr>
                <w:spacing w:val="-5"/>
                <w:w w:val="110"/>
                <w:sz w:val="21"/>
              </w:rPr>
              <w:t>0/x</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2096" w:type="dxa"/>
            <w:vMerge w:val="restart"/>
            <w:tcBorders>
              <w:top w:val="single" w:color="000000" w:sz="4" w:space="0"/>
              <w:bottom w:val="single" w:color="000000" w:sz="4" w:space="0"/>
              <w:right w:val="single" w:color="000000" w:sz="4" w:space="0"/>
            </w:tcBorders>
          </w:tcPr>
          <w:p>
            <w:pPr>
              <w:pStyle w:val="11"/>
              <w:spacing w:before="118"/>
              <w:ind w:left="105"/>
              <w:rPr>
                <w:sz w:val="21"/>
              </w:rPr>
            </w:pPr>
            <w:r>
              <w:rPr>
                <w:spacing w:val="-5"/>
                <w:sz w:val="21"/>
              </w:rPr>
              <w:t>Ⅱ期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2"/>
              <w:ind w:left="111"/>
              <w:rPr>
                <w:sz w:val="21"/>
              </w:rPr>
            </w:pPr>
            <w:r>
              <w:rPr>
                <w:spacing w:val="-5"/>
                <w:sz w:val="21"/>
              </w:rPr>
              <w:t>1～2</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3" w:line="231" w:lineRule="exact"/>
              <w:ind w:left="110"/>
              <w:rPr>
                <w:sz w:val="21"/>
              </w:rPr>
            </w:pPr>
            <w:r>
              <w:rPr>
                <w:w w:val="100"/>
                <w:sz w:val="21"/>
              </w:rPr>
              <w:t>1</w:t>
            </w:r>
          </w:p>
        </w:tc>
        <w:tc>
          <w:tcPr>
            <w:tcW w:w="1166" w:type="dxa"/>
            <w:tcBorders>
              <w:top w:val="single" w:color="000000" w:sz="4" w:space="0"/>
              <w:left w:val="single" w:color="000000" w:sz="4" w:space="0"/>
              <w:bottom w:val="single" w:color="000000" w:sz="4" w:space="0"/>
            </w:tcBorders>
          </w:tcPr>
          <w:p>
            <w:pPr>
              <w:pStyle w:val="11"/>
              <w:spacing w:before="63"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vMerge w:val="continue"/>
            <w:tcBorders>
              <w:top w:val="nil"/>
              <w:bottom w:val="single" w:color="000000" w:sz="4" w:space="0"/>
              <w:right w:val="single" w:color="000000" w:sz="4" w:space="0"/>
            </w:tcBorders>
          </w:tcPr>
          <w:p>
            <w:pPr>
              <w:rPr>
                <w:sz w:val="2"/>
                <w:szCs w:val="2"/>
              </w:rPr>
            </w:pP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0"/>
              <w:ind w:left="111"/>
              <w:rPr>
                <w:sz w:val="21"/>
              </w:rPr>
            </w:pPr>
            <w:r>
              <w:rPr>
                <w:spacing w:val="-2"/>
                <w:sz w:val="21"/>
              </w:rPr>
              <w:t>3a～3b</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2"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spacing w:val="-5"/>
                <w:sz w:val="21"/>
              </w:rPr>
              <w:t>Ⅲ期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1"/>
              <w:rPr>
                <w:sz w:val="21"/>
              </w:rPr>
            </w:pPr>
            <w:r>
              <w:rPr>
                <w:spacing w:val="-5"/>
                <w:sz w:val="21"/>
              </w:rPr>
              <w:t>4a</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w w:val="85"/>
                <w:sz w:val="21"/>
              </w:rPr>
              <w:t>ⅣA</w:t>
            </w:r>
            <w:r>
              <w:rPr>
                <w:spacing w:val="-29"/>
                <w:w w:val="85"/>
                <w:sz w:val="21"/>
              </w:rPr>
              <w:t xml:space="preserve"> </w:t>
            </w:r>
            <w:r>
              <w:rPr>
                <w:spacing w:val="-10"/>
                <w:sz w:val="21"/>
              </w:rPr>
              <w:t>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1"/>
              <w:rPr>
                <w:sz w:val="21"/>
              </w:rPr>
            </w:pPr>
            <w:r>
              <w:rPr>
                <w:spacing w:val="-5"/>
                <w:sz w:val="21"/>
              </w:rPr>
              <w:t>4b</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2096" w:type="dxa"/>
            <w:tcBorders>
              <w:top w:val="single" w:color="000000" w:sz="4" w:space="0"/>
              <w:bottom w:val="single" w:color="000000" w:sz="4" w:space="0"/>
              <w:right w:val="single" w:color="000000" w:sz="4" w:space="0"/>
            </w:tcBorders>
          </w:tcPr>
          <w:p>
            <w:pPr>
              <w:pStyle w:val="11"/>
              <w:spacing w:before="22"/>
              <w:ind w:left="105"/>
              <w:rPr>
                <w:sz w:val="21"/>
              </w:rPr>
            </w:pPr>
            <w:r>
              <w:rPr>
                <w:w w:val="85"/>
                <w:sz w:val="21"/>
              </w:rPr>
              <w:t>ⅣB</w:t>
            </w:r>
            <w:r>
              <w:rPr>
                <w:spacing w:val="-29"/>
                <w:w w:val="85"/>
                <w:sz w:val="21"/>
              </w:rPr>
              <w:t xml:space="preserve"> </w:t>
            </w:r>
            <w:r>
              <w:rPr>
                <w:spacing w:val="-10"/>
                <w:sz w:val="21"/>
              </w:rPr>
              <w:t>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2"/>
              <w:ind w:left="111"/>
              <w:rPr>
                <w:sz w:val="21"/>
              </w:rPr>
            </w:pPr>
            <w:r>
              <w:rPr>
                <w:spacing w:val="-5"/>
                <w:sz w:val="21"/>
              </w:rPr>
              <w:t>任何</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2"/>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3" w:line="231" w:lineRule="exact"/>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6091" w:type="dxa"/>
            <w:gridSpan w:val="4"/>
            <w:tcBorders>
              <w:top w:val="single" w:color="000000" w:sz="4" w:space="0"/>
              <w:bottom w:val="single" w:color="000000" w:sz="4" w:space="0"/>
            </w:tcBorders>
          </w:tcPr>
          <w:p>
            <w:pPr>
              <w:pStyle w:val="11"/>
              <w:spacing w:before="20"/>
              <w:ind w:left="105"/>
              <w:rPr>
                <w:sz w:val="21"/>
              </w:rPr>
            </w:pPr>
            <w:r>
              <w:rPr>
                <w:spacing w:val="-4"/>
                <w:sz w:val="21"/>
              </w:rPr>
              <w:t>髓样癌（所有年龄组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50" w:hRule="atLeast"/>
        </w:trPr>
        <w:tc>
          <w:tcPr>
            <w:tcW w:w="2096" w:type="dxa"/>
            <w:tcBorders>
              <w:top w:val="single" w:color="000000" w:sz="4" w:space="0"/>
              <w:bottom w:val="single" w:color="000000" w:sz="4" w:space="0"/>
              <w:right w:val="single" w:color="000000" w:sz="4" w:space="0"/>
            </w:tcBorders>
          </w:tcPr>
          <w:p>
            <w:pPr>
              <w:pStyle w:val="11"/>
              <w:spacing w:before="22"/>
              <w:ind w:left="105"/>
              <w:rPr>
                <w:sz w:val="21"/>
              </w:rPr>
            </w:pPr>
            <w:r>
              <w:rPr>
                <w:spacing w:val="-5"/>
                <w:sz w:val="21"/>
              </w:rPr>
              <w:t>Ⅰ期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1"/>
              <w:ind w:left="111"/>
              <w:rPr>
                <w:sz w:val="21"/>
              </w:rPr>
            </w:pPr>
            <w:r>
              <w:rPr>
                <w:w w:val="100"/>
                <w:sz w:val="21"/>
              </w:rPr>
              <w:t>1</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1"/>
              <w:ind w:left="110"/>
              <w:rPr>
                <w:sz w:val="21"/>
              </w:rPr>
            </w:pPr>
            <w:r>
              <w:rPr>
                <w:w w:val="100"/>
                <w:sz w:val="21"/>
              </w:rPr>
              <w:t>0</w:t>
            </w:r>
          </w:p>
        </w:tc>
        <w:tc>
          <w:tcPr>
            <w:tcW w:w="1166" w:type="dxa"/>
            <w:tcBorders>
              <w:top w:val="single" w:color="000000" w:sz="4" w:space="0"/>
              <w:left w:val="single" w:color="000000" w:sz="4" w:space="0"/>
              <w:bottom w:val="single" w:color="000000" w:sz="4" w:space="0"/>
            </w:tcBorders>
          </w:tcPr>
          <w:p>
            <w:pPr>
              <w:pStyle w:val="11"/>
              <w:spacing w:before="61"/>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spacing w:val="-5"/>
                <w:sz w:val="21"/>
              </w:rPr>
              <w:t>Ⅱ期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0"/>
              <w:ind w:left="111"/>
              <w:rPr>
                <w:sz w:val="21"/>
              </w:rPr>
            </w:pPr>
            <w:r>
              <w:rPr>
                <w:spacing w:val="-5"/>
                <w:sz w:val="21"/>
              </w:rPr>
              <w:t>2～3</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0"/>
              <w:rPr>
                <w:sz w:val="21"/>
              </w:rPr>
            </w:pPr>
            <w:r>
              <w:rPr>
                <w:w w:val="100"/>
                <w:sz w:val="21"/>
              </w:rPr>
              <w:t>0</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spacing w:val="-5"/>
                <w:sz w:val="21"/>
              </w:rPr>
              <w:t>Ⅲ期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0"/>
              <w:ind w:left="111"/>
              <w:rPr>
                <w:sz w:val="21"/>
              </w:rPr>
            </w:pPr>
            <w:r>
              <w:rPr>
                <w:spacing w:val="-5"/>
                <w:sz w:val="21"/>
              </w:rPr>
              <w:t>1～3</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0"/>
              <w:rPr>
                <w:sz w:val="21"/>
              </w:rPr>
            </w:pPr>
            <w:r>
              <w:rPr>
                <w:spacing w:val="-5"/>
                <w:sz w:val="21"/>
              </w:rPr>
              <w:t>1a</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vMerge w:val="restart"/>
            <w:tcBorders>
              <w:top w:val="single" w:color="000000" w:sz="4" w:space="0"/>
              <w:bottom w:val="single" w:color="000000" w:sz="4" w:space="0"/>
              <w:right w:val="single" w:color="000000" w:sz="4" w:space="0"/>
            </w:tcBorders>
          </w:tcPr>
          <w:p>
            <w:pPr>
              <w:pStyle w:val="11"/>
              <w:spacing w:before="118"/>
              <w:ind w:left="105"/>
              <w:rPr>
                <w:sz w:val="21"/>
              </w:rPr>
            </w:pPr>
            <w:r>
              <w:rPr>
                <w:w w:val="85"/>
                <w:sz w:val="21"/>
              </w:rPr>
              <w:t>ⅣA</w:t>
            </w:r>
            <w:r>
              <w:rPr>
                <w:spacing w:val="-29"/>
                <w:w w:val="85"/>
                <w:sz w:val="21"/>
              </w:rPr>
              <w:t xml:space="preserve"> </w:t>
            </w:r>
            <w:r>
              <w:rPr>
                <w:spacing w:val="-10"/>
                <w:sz w:val="21"/>
              </w:rPr>
              <w:t>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1"/>
              <w:rPr>
                <w:sz w:val="21"/>
              </w:rPr>
            </w:pPr>
            <w:r>
              <w:rPr>
                <w:spacing w:val="-5"/>
                <w:sz w:val="21"/>
              </w:rPr>
              <w:t>4a</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4" w:hRule="atLeast"/>
        </w:trPr>
        <w:tc>
          <w:tcPr>
            <w:tcW w:w="2096" w:type="dxa"/>
            <w:vMerge w:val="continue"/>
            <w:tcBorders>
              <w:top w:val="nil"/>
              <w:bottom w:val="single" w:color="000000" w:sz="4" w:space="0"/>
              <w:right w:val="single" w:color="000000" w:sz="4" w:space="0"/>
            </w:tcBorders>
          </w:tcPr>
          <w:p>
            <w:pPr>
              <w:rPr>
                <w:sz w:val="2"/>
                <w:szCs w:val="2"/>
              </w:rPr>
            </w:pP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2"/>
              <w:ind w:left="111"/>
              <w:rPr>
                <w:sz w:val="21"/>
              </w:rPr>
            </w:pPr>
            <w:r>
              <w:rPr>
                <w:spacing w:val="-5"/>
                <w:sz w:val="21"/>
              </w:rPr>
              <w:t>1～3</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3" w:line="231" w:lineRule="exact"/>
              <w:ind w:left="110"/>
              <w:rPr>
                <w:sz w:val="21"/>
              </w:rPr>
            </w:pPr>
            <w:r>
              <w:rPr>
                <w:spacing w:val="-5"/>
                <w:sz w:val="21"/>
              </w:rPr>
              <w:t>1b</w:t>
            </w:r>
          </w:p>
        </w:tc>
        <w:tc>
          <w:tcPr>
            <w:tcW w:w="1166" w:type="dxa"/>
            <w:tcBorders>
              <w:top w:val="single" w:color="000000" w:sz="4" w:space="0"/>
              <w:left w:val="single" w:color="000000" w:sz="4" w:space="0"/>
              <w:bottom w:val="single" w:color="000000" w:sz="4" w:space="0"/>
            </w:tcBorders>
          </w:tcPr>
          <w:p>
            <w:pPr>
              <w:pStyle w:val="11"/>
              <w:spacing w:before="63"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w w:val="85"/>
                <w:sz w:val="21"/>
              </w:rPr>
              <w:t>ⅣB</w:t>
            </w:r>
            <w:r>
              <w:rPr>
                <w:spacing w:val="-29"/>
                <w:w w:val="85"/>
                <w:sz w:val="21"/>
              </w:rPr>
              <w:t xml:space="preserve"> </w:t>
            </w:r>
            <w:r>
              <w:rPr>
                <w:spacing w:val="-10"/>
                <w:sz w:val="21"/>
              </w:rPr>
              <w:t>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11"/>
              <w:rPr>
                <w:sz w:val="21"/>
              </w:rPr>
            </w:pPr>
            <w:r>
              <w:rPr>
                <w:spacing w:val="-5"/>
                <w:sz w:val="21"/>
              </w:rPr>
              <w:t>4b</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tcBorders>
              <w:top w:val="single" w:color="000000" w:sz="4" w:space="0"/>
              <w:bottom w:val="single" w:color="000000" w:sz="4" w:space="0"/>
              <w:right w:val="single" w:color="000000" w:sz="4" w:space="0"/>
            </w:tcBorders>
          </w:tcPr>
          <w:p>
            <w:pPr>
              <w:pStyle w:val="11"/>
              <w:spacing w:before="20"/>
              <w:ind w:left="105"/>
              <w:rPr>
                <w:sz w:val="21"/>
              </w:rPr>
            </w:pPr>
            <w:r>
              <w:rPr>
                <w:w w:val="95"/>
                <w:sz w:val="21"/>
              </w:rPr>
              <w:t>ⅣC</w:t>
            </w:r>
            <w:r>
              <w:rPr>
                <w:spacing w:val="-48"/>
                <w:w w:val="95"/>
                <w:sz w:val="21"/>
              </w:rPr>
              <w:t xml:space="preserve"> </w:t>
            </w:r>
            <w:r>
              <w:rPr>
                <w:spacing w:val="-10"/>
                <w:sz w:val="21"/>
              </w:rPr>
              <w:t>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0"/>
              <w:ind w:left="111"/>
              <w:rPr>
                <w:sz w:val="21"/>
              </w:rPr>
            </w:pPr>
            <w:r>
              <w:rPr>
                <w:spacing w:val="-5"/>
                <w:sz w:val="21"/>
              </w:rPr>
              <w:t>任何</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0"/>
              <w:ind w:left="11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1" w:line="231" w:lineRule="exact"/>
              <w:ind w:left="105"/>
              <w:rPr>
                <w:sz w:val="21"/>
              </w:rPr>
            </w:pPr>
            <w:r>
              <w:rPr>
                <w:w w:val="100"/>
                <w:sz w:val="21"/>
              </w:rPr>
              <w:t>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3" w:hRule="atLeast"/>
        </w:trPr>
        <w:tc>
          <w:tcPr>
            <w:tcW w:w="6091" w:type="dxa"/>
            <w:gridSpan w:val="4"/>
            <w:tcBorders>
              <w:top w:val="single" w:color="000000" w:sz="4" w:space="0"/>
              <w:bottom w:val="single" w:color="000000" w:sz="4" w:space="0"/>
            </w:tcBorders>
          </w:tcPr>
          <w:p>
            <w:pPr>
              <w:pStyle w:val="11"/>
              <w:spacing w:before="22"/>
              <w:ind w:left="105"/>
              <w:rPr>
                <w:sz w:val="21"/>
              </w:rPr>
            </w:pPr>
            <w:r>
              <w:rPr>
                <w:spacing w:val="-4"/>
                <w:sz w:val="21"/>
              </w:rPr>
              <w:t>未分化癌（所有年龄组</w:t>
            </w:r>
            <w:r>
              <w:rPr>
                <w:spacing w:val="-10"/>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48" w:hRule="atLeast"/>
        </w:trPr>
        <w:tc>
          <w:tcPr>
            <w:tcW w:w="2096" w:type="dxa"/>
            <w:tcBorders>
              <w:top w:val="single" w:color="000000" w:sz="4" w:space="0"/>
              <w:bottom w:val="single" w:color="000000" w:sz="4" w:space="0"/>
              <w:right w:val="single" w:color="000000" w:sz="4" w:space="0"/>
            </w:tcBorders>
          </w:tcPr>
          <w:p>
            <w:pPr>
              <w:pStyle w:val="11"/>
              <w:spacing w:before="21"/>
              <w:ind w:left="105"/>
              <w:rPr>
                <w:sz w:val="21"/>
              </w:rPr>
            </w:pPr>
            <w:r>
              <w:rPr>
                <w:w w:val="85"/>
                <w:sz w:val="21"/>
              </w:rPr>
              <w:t>ⅣA</w:t>
            </w:r>
            <w:r>
              <w:rPr>
                <w:spacing w:val="-29"/>
                <w:w w:val="85"/>
                <w:sz w:val="21"/>
              </w:rPr>
              <w:t xml:space="preserve"> </w:t>
            </w:r>
            <w:r>
              <w:rPr>
                <w:spacing w:val="-10"/>
                <w:sz w:val="21"/>
              </w:rPr>
              <w:t>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1"/>
              <w:ind w:left="116"/>
              <w:rPr>
                <w:sz w:val="21"/>
              </w:rPr>
            </w:pPr>
            <w:r>
              <w:rPr>
                <w:spacing w:val="-4"/>
                <w:sz w:val="21"/>
              </w:rPr>
              <w:t>1～3a</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1" w:line="267" w:lineRule="exact"/>
              <w:ind w:left="120"/>
              <w:rPr>
                <w:sz w:val="21"/>
              </w:rPr>
            </w:pPr>
            <w:r>
              <w:rPr>
                <w:spacing w:val="-5"/>
                <w:w w:val="110"/>
                <w:sz w:val="21"/>
              </w:rPr>
              <w:t>0/x</w:t>
            </w:r>
          </w:p>
        </w:tc>
        <w:tc>
          <w:tcPr>
            <w:tcW w:w="1166" w:type="dxa"/>
            <w:tcBorders>
              <w:top w:val="single" w:color="000000" w:sz="4" w:space="0"/>
              <w:left w:val="single" w:color="000000" w:sz="4" w:space="0"/>
              <w:bottom w:val="single" w:color="000000" w:sz="4" w:space="0"/>
            </w:tcBorders>
          </w:tcPr>
          <w:p>
            <w:pPr>
              <w:pStyle w:val="11"/>
              <w:spacing w:before="61" w:line="267" w:lineRule="exact"/>
              <w:ind w:left="117"/>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1" w:hRule="atLeast"/>
        </w:trPr>
        <w:tc>
          <w:tcPr>
            <w:tcW w:w="2096" w:type="dxa"/>
            <w:vMerge w:val="restart"/>
            <w:tcBorders>
              <w:top w:val="single" w:color="000000" w:sz="4" w:space="0"/>
              <w:bottom w:val="single" w:color="000000" w:sz="4" w:space="0"/>
              <w:right w:val="single" w:color="000000" w:sz="4" w:space="0"/>
            </w:tcBorders>
          </w:tcPr>
          <w:p>
            <w:pPr>
              <w:pStyle w:val="11"/>
              <w:spacing w:before="118"/>
              <w:ind w:left="105"/>
              <w:rPr>
                <w:sz w:val="21"/>
              </w:rPr>
            </w:pPr>
            <w:r>
              <w:rPr>
                <w:w w:val="85"/>
                <w:sz w:val="21"/>
              </w:rPr>
              <w:t>ⅣB</w:t>
            </w:r>
            <w:r>
              <w:rPr>
                <w:spacing w:val="-29"/>
                <w:w w:val="85"/>
                <w:sz w:val="21"/>
              </w:rPr>
              <w:t xml:space="preserve"> </w:t>
            </w:r>
            <w:r>
              <w:rPr>
                <w:spacing w:val="-10"/>
                <w:sz w:val="21"/>
              </w:rPr>
              <w:t>期</w:t>
            </w: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0"/>
              <w:ind w:left="116"/>
              <w:rPr>
                <w:sz w:val="21"/>
              </w:rPr>
            </w:pPr>
            <w:r>
              <w:rPr>
                <w:spacing w:val="-4"/>
                <w:sz w:val="21"/>
              </w:rPr>
              <w:t>1～3a</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61" w:line="231" w:lineRule="exact"/>
              <w:ind w:left="120"/>
              <w:rPr>
                <w:sz w:val="21"/>
              </w:rPr>
            </w:pPr>
            <w:r>
              <w:rPr>
                <w:w w:val="100"/>
                <w:sz w:val="21"/>
              </w:rPr>
              <w:t>1</w:t>
            </w:r>
          </w:p>
        </w:tc>
        <w:tc>
          <w:tcPr>
            <w:tcW w:w="1166" w:type="dxa"/>
            <w:tcBorders>
              <w:top w:val="single" w:color="000000" w:sz="4" w:space="0"/>
              <w:left w:val="single" w:color="000000" w:sz="4" w:space="0"/>
              <w:bottom w:val="single" w:color="000000" w:sz="4" w:space="0"/>
            </w:tcBorders>
          </w:tcPr>
          <w:p>
            <w:pPr>
              <w:pStyle w:val="11"/>
              <w:spacing w:before="61" w:line="231" w:lineRule="exact"/>
              <w:ind w:left="117"/>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6" w:hRule="atLeast"/>
        </w:trPr>
        <w:tc>
          <w:tcPr>
            <w:tcW w:w="2096" w:type="dxa"/>
            <w:vMerge w:val="continue"/>
            <w:tcBorders>
              <w:top w:val="nil"/>
              <w:bottom w:val="single" w:color="000000" w:sz="4" w:space="0"/>
              <w:right w:val="single" w:color="000000" w:sz="4" w:space="0"/>
            </w:tcBorders>
          </w:tcPr>
          <w:p>
            <w:pPr>
              <w:rPr>
                <w:sz w:val="2"/>
                <w:szCs w:val="2"/>
              </w:rPr>
            </w:pPr>
          </w:p>
        </w:tc>
        <w:tc>
          <w:tcPr>
            <w:tcW w:w="1468" w:type="dxa"/>
            <w:tcBorders>
              <w:top w:val="single" w:color="000000" w:sz="4" w:space="0"/>
              <w:left w:val="single" w:color="000000" w:sz="4" w:space="0"/>
              <w:bottom w:val="single" w:color="000000" w:sz="4" w:space="0"/>
              <w:right w:val="single" w:color="000000" w:sz="4" w:space="0"/>
            </w:tcBorders>
          </w:tcPr>
          <w:p>
            <w:pPr>
              <w:pStyle w:val="11"/>
              <w:spacing w:before="25"/>
              <w:ind w:left="116"/>
              <w:rPr>
                <w:sz w:val="21"/>
              </w:rPr>
            </w:pPr>
            <w:r>
              <w:rPr>
                <w:spacing w:val="-4"/>
                <w:sz w:val="21"/>
              </w:rPr>
              <w:t>3b～4</w:t>
            </w:r>
          </w:p>
        </w:tc>
        <w:tc>
          <w:tcPr>
            <w:tcW w:w="1361" w:type="dxa"/>
            <w:tcBorders>
              <w:top w:val="single" w:color="000000" w:sz="4" w:space="0"/>
              <w:left w:val="single" w:color="000000" w:sz="4" w:space="0"/>
              <w:bottom w:val="single" w:color="000000" w:sz="4" w:space="0"/>
              <w:right w:val="single" w:color="000000" w:sz="4" w:space="0"/>
            </w:tcBorders>
          </w:tcPr>
          <w:p>
            <w:pPr>
              <w:pStyle w:val="11"/>
              <w:spacing w:before="25"/>
              <w:ind w:left="120"/>
              <w:rPr>
                <w:sz w:val="21"/>
              </w:rPr>
            </w:pPr>
            <w:r>
              <w:rPr>
                <w:spacing w:val="-5"/>
                <w:sz w:val="21"/>
              </w:rPr>
              <w:t>任何</w:t>
            </w:r>
          </w:p>
        </w:tc>
        <w:tc>
          <w:tcPr>
            <w:tcW w:w="1166" w:type="dxa"/>
            <w:tcBorders>
              <w:top w:val="single" w:color="000000" w:sz="4" w:space="0"/>
              <w:left w:val="single" w:color="000000" w:sz="4" w:space="0"/>
              <w:bottom w:val="single" w:color="000000" w:sz="4" w:space="0"/>
            </w:tcBorders>
          </w:tcPr>
          <w:p>
            <w:pPr>
              <w:pStyle w:val="11"/>
              <w:spacing w:before="65" w:line="231" w:lineRule="exact"/>
              <w:ind w:left="117"/>
              <w:rPr>
                <w:sz w:val="21"/>
              </w:rPr>
            </w:pPr>
            <w:r>
              <w:rPr>
                <w:w w:val="100"/>
                <w:sz w:val="21"/>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16" w:hRule="atLeast"/>
        </w:trPr>
        <w:tc>
          <w:tcPr>
            <w:tcW w:w="2096" w:type="dxa"/>
            <w:tcBorders>
              <w:top w:val="single" w:color="000000" w:sz="4" w:space="0"/>
              <w:right w:val="single" w:color="000000" w:sz="4" w:space="0"/>
            </w:tcBorders>
          </w:tcPr>
          <w:p>
            <w:pPr>
              <w:pStyle w:val="11"/>
              <w:spacing w:before="20"/>
              <w:ind w:left="105"/>
              <w:rPr>
                <w:sz w:val="21"/>
              </w:rPr>
            </w:pPr>
            <w:r>
              <w:rPr>
                <w:w w:val="95"/>
                <w:sz w:val="21"/>
              </w:rPr>
              <w:t>ⅣC</w:t>
            </w:r>
            <w:r>
              <w:rPr>
                <w:spacing w:val="-48"/>
                <w:w w:val="95"/>
                <w:sz w:val="21"/>
              </w:rPr>
              <w:t xml:space="preserve"> </w:t>
            </w:r>
            <w:r>
              <w:rPr>
                <w:spacing w:val="-10"/>
                <w:sz w:val="21"/>
              </w:rPr>
              <w:t>期</w:t>
            </w:r>
          </w:p>
        </w:tc>
        <w:tc>
          <w:tcPr>
            <w:tcW w:w="1468" w:type="dxa"/>
            <w:tcBorders>
              <w:top w:val="single" w:color="000000" w:sz="4" w:space="0"/>
              <w:left w:val="single" w:color="000000" w:sz="4" w:space="0"/>
              <w:right w:val="single" w:color="000000" w:sz="4" w:space="0"/>
            </w:tcBorders>
          </w:tcPr>
          <w:p>
            <w:pPr>
              <w:pStyle w:val="11"/>
              <w:spacing w:before="20"/>
              <w:ind w:left="116"/>
              <w:rPr>
                <w:sz w:val="21"/>
              </w:rPr>
            </w:pPr>
            <w:r>
              <w:rPr>
                <w:spacing w:val="-5"/>
                <w:sz w:val="21"/>
              </w:rPr>
              <w:t>任何</w:t>
            </w:r>
          </w:p>
        </w:tc>
        <w:tc>
          <w:tcPr>
            <w:tcW w:w="1361" w:type="dxa"/>
            <w:tcBorders>
              <w:top w:val="single" w:color="000000" w:sz="4" w:space="0"/>
              <w:left w:val="single" w:color="000000" w:sz="4" w:space="0"/>
              <w:right w:val="single" w:color="000000" w:sz="4" w:space="0"/>
            </w:tcBorders>
          </w:tcPr>
          <w:p>
            <w:pPr>
              <w:pStyle w:val="11"/>
              <w:spacing w:before="20"/>
              <w:ind w:left="120"/>
              <w:rPr>
                <w:sz w:val="21"/>
              </w:rPr>
            </w:pPr>
            <w:r>
              <w:rPr>
                <w:spacing w:val="-5"/>
                <w:sz w:val="21"/>
              </w:rPr>
              <w:t>任何</w:t>
            </w:r>
          </w:p>
        </w:tc>
        <w:tc>
          <w:tcPr>
            <w:tcW w:w="1166" w:type="dxa"/>
            <w:tcBorders>
              <w:top w:val="single" w:color="000000" w:sz="4" w:space="0"/>
              <w:left w:val="single" w:color="000000" w:sz="4" w:space="0"/>
            </w:tcBorders>
          </w:tcPr>
          <w:p>
            <w:pPr>
              <w:pStyle w:val="11"/>
              <w:spacing w:before="61" w:line="235" w:lineRule="exact"/>
              <w:ind w:left="117"/>
              <w:rPr>
                <w:sz w:val="21"/>
              </w:rPr>
            </w:pPr>
            <w:r>
              <w:rPr>
                <w:w w:val="100"/>
                <w:sz w:val="21"/>
              </w:rPr>
              <w:t>1</w:t>
            </w:r>
          </w:p>
        </w:tc>
      </w:tr>
    </w:tbl>
    <w:p>
      <w:pPr>
        <w:pStyle w:val="6"/>
        <w:spacing w:before="23"/>
        <w:ind w:left="3385"/>
      </w:pPr>
      <w:r>
        <w:rPr>
          <w:spacing w:val="-3"/>
        </w:rPr>
        <w:t>注：以上表格中“年龄”指患者病理组织标本获取日期时的年龄。</w:t>
      </w:r>
    </w:p>
    <w:p>
      <w:pPr>
        <w:pStyle w:val="6"/>
        <w:spacing w:before="3"/>
        <w:rPr>
          <w:sz w:val="25"/>
        </w:rPr>
      </w:pPr>
    </w:p>
    <w:p>
      <w:pPr>
        <w:pStyle w:val="10"/>
        <w:numPr>
          <w:ilvl w:val="2"/>
          <w:numId w:val="14"/>
        </w:numPr>
        <w:tabs>
          <w:tab w:val="left" w:pos="1825"/>
          <w:tab w:val="left" w:pos="1826"/>
          <w:tab w:val="left" w:pos="3385"/>
        </w:tabs>
        <w:spacing w:before="0" w:after="0" w:line="240" w:lineRule="auto"/>
        <w:ind w:left="1825" w:right="0" w:hanging="1103"/>
        <w:jc w:val="left"/>
        <w:rPr>
          <w:sz w:val="21"/>
        </w:rPr>
      </w:pPr>
      <w:r>
        <w:rPr>
          <w:w w:val="95"/>
          <w:sz w:val="22"/>
        </w:rPr>
        <w:t>较重急性心</w:t>
      </w:r>
      <w:r>
        <w:rPr>
          <w:spacing w:val="-10"/>
          <w:w w:val="95"/>
          <w:sz w:val="22"/>
        </w:rPr>
        <w:t>肌</w:t>
      </w:r>
      <w:r>
        <w:rPr>
          <w:sz w:val="22"/>
        </w:rPr>
        <w:tab/>
      </w:r>
      <w:r>
        <w:rPr>
          <w:sz w:val="21"/>
        </w:rPr>
        <w:t>急性心肌梗死指由于冠状动脉闭塞或梗阻引起部分心肌严重的持久性缺</w:t>
      </w:r>
      <w:r>
        <w:rPr>
          <w:spacing w:val="-10"/>
          <w:sz w:val="21"/>
        </w:rPr>
        <w:t>血</w:t>
      </w:r>
    </w:p>
    <w:p>
      <w:pPr>
        <w:spacing w:after="0" w:line="240" w:lineRule="auto"/>
        <w:jc w:val="left"/>
        <w:rPr>
          <w:sz w:val="21"/>
        </w:rPr>
        <w:sectPr>
          <w:pgSz w:w="11910" w:h="16840"/>
          <w:pgMar w:top="1460" w:right="660" w:bottom="1260" w:left="580" w:header="0" w:footer="1060" w:gutter="0"/>
          <w:cols w:space="720" w:num="1"/>
        </w:sectPr>
      </w:pPr>
    </w:p>
    <w:p>
      <w:pPr>
        <w:pStyle w:val="6"/>
        <w:spacing w:before="52"/>
        <w:ind w:left="1825"/>
        <w:jc w:val="both"/>
      </w:pPr>
      <w:r>
        <w:rPr>
          <w:sz w:val="22"/>
        </w:rPr>
        <w:t>梗死</w:t>
      </w:r>
      <w:r>
        <w:rPr>
          <w:spacing w:val="897"/>
          <w:sz w:val="22"/>
        </w:rPr>
        <w:t xml:space="preserve"> </w:t>
      </w:r>
      <w:r>
        <w:rPr>
          <w:spacing w:val="-1"/>
        </w:rPr>
        <w:t>造成急性心肌坏死。急性心肌梗死的诊断必须依据国际国内诊断标准，符合</w:t>
      </w:r>
    </w:p>
    <w:p>
      <w:pPr>
        <w:pStyle w:val="6"/>
        <w:spacing w:before="40" w:line="278" w:lineRule="auto"/>
        <w:ind w:left="3385" w:right="406"/>
        <w:jc w:val="both"/>
      </w:pPr>
      <w:r>
        <w:rPr>
          <w:spacing w:val="-2"/>
        </w:rPr>
        <w:t>（1）检测到肌酸激酶同工酶（CK-MB）或肌钙蛋白（cTn）升高和/或降低的</w:t>
      </w:r>
      <w:r>
        <w:rPr>
          <w:spacing w:val="-10"/>
        </w:rPr>
        <w:t>动态变化，至少一次达到或超过心肌梗死的临床诊断标准；</w:t>
      </w:r>
      <w:r>
        <w:rPr>
          <w:spacing w:val="32"/>
        </w:rPr>
        <w:t>（</w:t>
      </w:r>
      <w:r>
        <w:rPr>
          <w:spacing w:val="29"/>
        </w:rPr>
        <w:t>2</w:t>
      </w:r>
      <w:r>
        <w:rPr>
          <w:spacing w:val="10"/>
        </w:rPr>
        <w:t>）</w:t>
      </w:r>
      <w:r>
        <w:rPr>
          <w:spacing w:val="-6"/>
        </w:rPr>
        <w:t>同时存在下</w:t>
      </w:r>
      <w:r>
        <w:rPr>
          <w:spacing w:val="-2"/>
        </w:rPr>
        <w:t>列之一的证据，包括：缺血性胸痛症状、新发生的缺血性心电图改变、新生</w:t>
      </w:r>
      <w:r>
        <w:rPr>
          <w:spacing w:val="-6"/>
        </w:rPr>
        <w:t xml:space="preserve">成的病理性 </w:t>
      </w:r>
      <w:r>
        <w:rPr>
          <w:spacing w:val="-2"/>
        </w:rPr>
        <w:t>Q</w:t>
      </w:r>
      <w:r>
        <w:rPr>
          <w:spacing w:val="-12"/>
        </w:rPr>
        <w:t xml:space="preserve"> 波、影像学证据显示有新出现的心肌活性丧失或新出现局部室</w:t>
      </w:r>
      <w:r>
        <w:rPr>
          <w:spacing w:val="-2"/>
        </w:rPr>
        <w:t>壁运动异常、冠脉造影证实存在冠状动脉血栓。</w:t>
      </w:r>
    </w:p>
    <w:p>
      <w:pPr>
        <w:pStyle w:val="6"/>
        <w:spacing w:line="278" w:lineRule="auto"/>
        <w:ind w:left="3385" w:right="406"/>
      </w:pPr>
      <w:r>
        <w:rPr>
          <w:spacing w:val="-5"/>
        </w:rPr>
        <w:t>较重急性心肌梗死指依照上述标准被明确诊断为急性心肌梗死，并且必须同</w:t>
      </w:r>
      <w:r>
        <w:rPr>
          <w:spacing w:val="-2"/>
        </w:rPr>
        <w:t>时满足下列至少一项条件：</w:t>
      </w:r>
    </w:p>
    <w:p>
      <w:pPr>
        <w:pStyle w:val="10"/>
        <w:numPr>
          <w:ilvl w:val="0"/>
          <w:numId w:val="15"/>
        </w:numPr>
        <w:tabs>
          <w:tab w:val="left" w:pos="3915"/>
        </w:tabs>
        <w:spacing w:before="0" w:after="0" w:line="278" w:lineRule="auto"/>
        <w:ind w:left="3385" w:right="408" w:firstLine="0"/>
        <w:jc w:val="left"/>
        <w:rPr>
          <w:sz w:val="21"/>
        </w:rPr>
      </w:pPr>
      <w:r>
        <w:rPr>
          <w:spacing w:val="-5"/>
          <w:w w:val="100"/>
          <w:sz w:val="21"/>
        </w:rPr>
        <w:t>心肌损伤标志物肌钙蛋白</w:t>
      </w:r>
      <w:r>
        <w:rPr>
          <w:w w:val="100"/>
          <w:sz w:val="21"/>
        </w:rPr>
        <w:t>（</w:t>
      </w:r>
      <w:r>
        <w:rPr>
          <w:spacing w:val="-3"/>
          <w:w w:val="100"/>
          <w:sz w:val="21"/>
        </w:rPr>
        <w:t>c</w:t>
      </w:r>
      <w:r>
        <w:rPr>
          <w:w w:val="100"/>
          <w:sz w:val="21"/>
        </w:rPr>
        <w:t>T</w:t>
      </w:r>
      <w:r>
        <w:rPr>
          <w:spacing w:val="-1"/>
          <w:w w:val="100"/>
          <w:sz w:val="21"/>
        </w:rPr>
        <w:t>n</w:t>
      </w:r>
      <w:r>
        <w:rPr>
          <w:spacing w:val="-20"/>
          <w:w w:val="100"/>
          <w:sz w:val="21"/>
        </w:rPr>
        <w:t>）</w:t>
      </w:r>
      <w:r>
        <w:rPr>
          <w:spacing w:val="-6"/>
          <w:w w:val="100"/>
          <w:sz w:val="21"/>
        </w:rPr>
        <w:t>升高，至少一次检测结果达到该检</w:t>
      </w:r>
      <w:r>
        <w:rPr>
          <w:spacing w:val="-3"/>
          <w:w w:val="100"/>
          <w:sz w:val="21"/>
        </w:rPr>
        <w:t>验正常参考值上限的</w:t>
      </w:r>
      <w:r>
        <w:rPr>
          <w:spacing w:val="-52"/>
          <w:sz w:val="21"/>
        </w:rPr>
        <w:t xml:space="preserve"> </w:t>
      </w:r>
      <w:r>
        <w:rPr>
          <w:spacing w:val="-3"/>
          <w:w w:val="100"/>
          <w:sz w:val="21"/>
        </w:rPr>
        <w:t>1</w:t>
      </w:r>
      <w:r>
        <w:rPr>
          <w:w w:val="100"/>
          <w:sz w:val="21"/>
        </w:rPr>
        <w:t>5</w:t>
      </w:r>
      <w:r>
        <w:rPr>
          <w:spacing w:val="-53"/>
          <w:sz w:val="21"/>
        </w:rPr>
        <w:t xml:space="preserve"> </w:t>
      </w:r>
      <w:r>
        <w:rPr>
          <w:spacing w:val="-3"/>
          <w:w w:val="100"/>
          <w:sz w:val="21"/>
        </w:rPr>
        <w:t>倍（</w:t>
      </w:r>
      <w:r>
        <w:rPr>
          <w:w w:val="100"/>
          <w:sz w:val="21"/>
        </w:rPr>
        <w:t>含）</w:t>
      </w:r>
      <w:r>
        <w:rPr>
          <w:spacing w:val="-2"/>
          <w:w w:val="100"/>
          <w:sz w:val="21"/>
        </w:rPr>
        <w:t>以上；</w:t>
      </w:r>
    </w:p>
    <w:p>
      <w:pPr>
        <w:pStyle w:val="10"/>
        <w:numPr>
          <w:ilvl w:val="0"/>
          <w:numId w:val="15"/>
        </w:numPr>
        <w:tabs>
          <w:tab w:val="left" w:pos="3915"/>
        </w:tabs>
        <w:spacing w:before="0" w:after="0" w:line="278" w:lineRule="auto"/>
        <w:ind w:left="3385" w:right="409" w:firstLine="0"/>
        <w:jc w:val="left"/>
        <w:rPr>
          <w:sz w:val="21"/>
        </w:rPr>
      </w:pPr>
      <w:r>
        <w:rPr>
          <w:spacing w:val="-6"/>
          <w:w w:val="100"/>
          <w:sz w:val="21"/>
        </w:rPr>
        <w:t>肌酸激酶同工酶</w:t>
      </w:r>
      <w:r>
        <w:rPr>
          <w:spacing w:val="-1"/>
          <w:w w:val="100"/>
          <w:sz w:val="21"/>
        </w:rPr>
        <w:t>（</w:t>
      </w:r>
      <w:r>
        <w:rPr>
          <w:w w:val="100"/>
          <w:sz w:val="21"/>
        </w:rPr>
        <w:t>C</w:t>
      </w:r>
      <w:r>
        <w:rPr>
          <w:spacing w:val="-3"/>
          <w:w w:val="100"/>
          <w:sz w:val="21"/>
        </w:rPr>
        <w:t>K</w:t>
      </w:r>
      <w:r>
        <w:rPr>
          <w:w w:val="100"/>
          <w:sz w:val="21"/>
        </w:rPr>
        <w:t>-MB</w:t>
      </w:r>
      <w:r>
        <w:rPr>
          <w:spacing w:val="-17"/>
          <w:w w:val="100"/>
          <w:sz w:val="21"/>
        </w:rPr>
        <w:t>）</w:t>
      </w:r>
      <w:r>
        <w:rPr>
          <w:spacing w:val="-5"/>
          <w:w w:val="100"/>
          <w:sz w:val="21"/>
        </w:rPr>
        <w:t>升高，至少一次检测结果达到该检验正常</w:t>
      </w:r>
      <w:r>
        <w:rPr>
          <w:spacing w:val="-2"/>
          <w:w w:val="100"/>
          <w:sz w:val="21"/>
        </w:rPr>
        <w:t>参考值上限的</w:t>
      </w:r>
      <w:r>
        <w:rPr>
          <w:spacing w:val="-52"/>
          <w:sz w:val="21"/>
        </w:rPr>
        <w:t xml:space="preserve"> </w:t>
      </w:r>
      <w:r>
        <w:rPr>
          <w:w w:val="100"/>
          <w:sz w:val="21"/>
        </w:rPr>
        <w:t>2</w:t>
      </w:r>
      <w:r>
        <w:rPr>
          <w:spacing w:val="-53"/>
          <w:sz w:val="21"/>
        </w:rPr>
        <w:t xml:space="preserve"> </w:t>
      </w:r>
      <w:r>
        <w:rPr>
          <w:spacing w:val="-3"/>
          <w:w w:val="100"/>
          <w:sz w:val="21"/>
        </w:rPr>
        <w:t>倍</w:t>
      </w:r>
      <w:r>
        <w:rPr>
          <w:w w:val="100"/>
          <w:sz w:val="21"/>
        </w:rPr>
        <w:t>（</w:t>
      </w:r>
      <w:r>
        <w:rPr>
          <w:spacing w:val="-3"/>
          <w:w w:val="100"/>
          <w:sz w:val="21"/>
        </w:rPr>
        <w:t>含</w:t>
      </w:r>
      <w:r>
        <w:rPr>
          <w:w w:val="100"/>
          <w:sz w:val="21"/>
        </w:rPr>
        <w:t>）</w:t>
      </w:r>
      <w:r>
        <w:rPr>
          <w:spacing w:val="-2"/>
          <w:w w:val="100"/>
          <w:sz w:val="21"/>
        </w:rPr>
        <w:t>以上；</w:t>
      </w:r>
    </w:p>
    <w:p>
      <w:pPr>
        <w:pStyle w:val="10"/>
        <w:numPr>
          <w:ilvl w:val="0"/>
          <w:numId w:val="15"/>
        </w:numPr>
        <w:tabs>
          <w:tab w:val="left" w:pos="3915"/>
        </w:tabs>
        <w:spacing w:before="0" w:after="0" w:line="278" w:lineRule="auto"/>
        <w:ind w:left="3385" w:right="303" w:firstLine="0"/>
        <w:jc w:val="left"/>
        <w:rPr>
          <w:sz w:val="21"/>
        </w:rPr>
      </w:pPr>
      <w:r>
        <w:rPr>
          <w:spacing w:val="-8"/>
          <w:sz w:val="21"/>
        </w:rPr>
        <w:t xml:space="preserve">出现左心室收缩功能下降，在确诊 </w:t>
      </w:r>
      <w:r>
        <w:rPr>
          <w:sz w:val="21"/>
        </w:rPr>
        <w:t>6</w:t>
      </w:r>
      <w:r>
        <w:rPr>
          <w:spacing w:val="-15"/>
          <w:sz w:val="21"/>
        </w:rPr>
        <w:t xml:space="preserve"> 周以后，检测左室射血分数</w:t>
      </w:r>
      <w:r>
        <w:rPr>
          <w:sz w:val="21"/>
        </w:rPr>
        <w:t>（LVEF）</w:t>
      </w:r>
      <w:r>
        <w:rPr>
          <w:spacing w:val="-14"/>
          <w:sz w:val="21"/>
        </w:rPr>
        <w:t xml:space="preserve">低于 </w:t>
      </w:r>
      <w:r>
        <w:rPr>
          <w:sz w:val="21"/>
        </w:rPr>
        <w:t>50%（不含</w:t>
      </w:r>
      <w:r>
        <w:rPr>
          <w:spacing w:val="-106"/>
          <w:sz w:val="21"/>
        </w:rPr>
        <w:t>）</w:t>
      </w:r>
      <w:r>
        <w:rPr>
          <w:sz w:val="21"/>
        </w:rPr>
        <w:t>；</w:t>
      </w:r>
    </w:p>
    <w:p>
      <w:pPr>
        <w:pStyle w:val="10"/>
        <w:numPr>
          <w:ilvl w:val="0"/>
          <w:numId w:val="15"/>
        </w:numPr>
        <w:tabs>
          <w:tab w:val="left" w:pos="3915"/>
        </w:tabs>
        <w:spacing w:before="0" w:after="0" w:line="278" w:lineRule="auto"/>
        <w:ind w:left="3385" w:right="410" w:firstLine="0"/>
        <w:jc w:val="left"/>
        <w:rPr>
          <w:sz w:val="21"/>
        </w:rPr>
      </w:pPr>
      <w:r>
        <w:rPr>
          <w:spacing w:val="-2"/>
          <w:sz w:val="21"/>
        </w:rPr>
        <w:t>影像学检查证实存在新发的乳头肌功能失调或断裂引起的中度（含）以上的二尖瓣反流；</w:t>
      </w:r>
    </w:p>
    <w:p>
      <w:pPr>
        <w:pStyle w:val="10"/>
        <w:numPr>
          <w:ilvl w:val="0"/>
          <w:numId w:val="15"/>
        </w:numPr>
        <w:tabs>
          <w:tab w:val="left" w:pos="3915"/>
        </w:tabs>
        <w:spacing w:before="0" w:after="0" w:line="269" w:lineRule="exact"/>
        <w:ind w:left="3914" w:right="0" w:hanging="530"/>
        <w:jc w:val="left"/>
        <w:rPr>
          <w:sz w:val="21"/>
        </w:rPr>
      </w:pPr>
      <w:r>
        <w:rPr>
          <w:spacing w:val="-3"/>
          <w:sz w:val="21"/>
        </w:rPr>
        <w:t>影像学检查证实存在新出现的室壁瘤；</w:t>
      </w:r>
    </w:p>
    <w:p>
      <w:pPr>
        <w:pStyle w:val="10"/>
        <w:numPr>
          <w:ilvl w:val="0"/>
          <w:numId w:val="15"/>
        </w:numPr>
        <w:tabs>
          <w:tab w:val="left" w:pos="3915"/>
        </w:tabs>
        <w:spacing w:before="42" w:after="0" w:line="240" w:lineRule="auto"/>
        <w:ind w:left="3914" w:right="0" w:hanging="530"/>
        <w:jc w:val="left"/>
        <w:rPr>
          <w:sz w:val="21"/>
        </w:rPr>
      </w:pPr>
      <w:r>
        <w:rPr>
          <w:spacing w:val="-3"/>
          <w:sz w:val="21"/>
        </w:rPr>
        <w:t>出现室性心动过速、心室颤动或心源性休克。</w:t>
      </w:r>
    </w:p>
    <w:p>
      <w:pPr>
        <w:pStyle w:val="6"/>
        <w:spacing w:before="43"/>
        <w:ind w:left="3385"/>
      </w:pPr>
      <w:r>
        <w:rPr>
          <w:color w:val="000000"/>
          <w:spacing w:val="-4"/>
          <w:shd w:val="clear" w:color="auto" w:fill="C0C0C0"/>
        </w:rPr>
        <w:t>其他非冠状动脉阻塞性疾病所引起的肌钙蛋白（cTn）</w:t>
      </w:r>
      <w:r>
        <w:rPr>
          <w:color w:val="000000"/>
          <w:spacing w:val="-5"/>
          <w:shd w:val="clear" w:color="auto" w:fill="C0C0C0"/>
        </w:rPr>
        <w:t>升高不在保障范围内。</w:t>
      </w:r>
    </w:p>
    <w:p>
      <w:pPr>
        <w:pStyle w:val="6"/>
        <w:spacing w:before="5"/>
      </w:pPr>
    </w:p>
    <w:p>
      <w:pPr>
        <w:spacing w:after="0"/>
        <w:sectPr>
          <w:pgSz w:w="11910" w:h="16840"/>
          <w:pgMar w:top="1440" w:right="660" w:bottom="1260" w:left="580" w:header="0" w:footer="1060" w:gutter="0"/>
          <w:cols w:space="720" w:num="1"/>
        </w:sectPr>
      </w:pPr>
    </w:p>
    <w:p>
      <w:pPr>
        <w:pStyle w:val="4"/>
        <w:numPr>
          <w:ilvl w:val="2"/>
          <w:numId w:val="14"/>
        </w:numPr>
        <w:tabs>
          <w:tab w:val="left" w:pos="1825"/>
          <w:tab w:val="left" w:pos="1826"/>
        </w:tabs>
        <w:spacing w:before="71" w:after="0" w:line="266" w:lineRule="auto"/>
        <w:ind w:left="1825" w:right="0" w:hanging="1102"/>
        <w:jc w:val="left"/>
      </w:pPr>
      <w:r>
        <w:rPr>
          <w:spacing w:val="-2"/>
          <w:w w:val="95"/>
        </w:rPr>
        <w:t>严重脑中风后</w:t>
      </w:r>
      <w:r>
        <w:rPr>
          <w:spacing w:val="-6"/>
        </w:rPr>
        <w:t>遗症</w:t>
      </w:r>
    </w:p>
    <w:p>
      <w:pPr>
        <w:pStyle w:val="6"/>
        <w:spacing w:before="81"/>
        <w:ind w:left="257"/>
      </w:pPr>
      <w:r>
        <w:br w:type="column"/>
      </w:r>
      <w:r>
        <w:rPr>
          <w:spacing w:val="-1"/>
        </w:rPr>
        <w:t>指因脑血管的突发病变引起脑血管出血、栓塞或梗塞，须由头颅断层扫描</w:t>
      </w:r>
    </w:p>
    <w:p>
      <w:pPr>
        <w:pStyle w:val="6"/>
        <w:spacing w:before="43" w:line="278" w:lineRule="auto"/>
        <w:ind w:left="257" w:right="406"/>
        <w:jc w:val="both"/>
      </w:pPr>
      <w:r>
        <w:rPr>
          <w:spacing w:val="20"/>
        </w:rPr>
        <w:t>（CT</w:t>
      </w:r>
      <w:r>
        <w:rPr>
          <w:spacing w:val="-86"/>
        </w:rPr>
        <w:t>）</w:t>
      </w:r>
      <w:r>
        <w:rPr>
          <w:spacing w:val="-6"/>
        </w:rPr>
        <w:t>、核磁共振检查（MRI）等影像学检查证实，并导致神经系统永久性的</w:t>
      </w:r>
      <w:r>
        <w:rPr>
          <w:spacing w:val="-5"/>
        </w:rPr>
        <w:t xml:space="preserve">功能障碍。神经系统永久性的功能障碍，指疾病确诊 </w:t>
      </w:r>
      <w:r>
        <w:rPr>
          <w:spacing w:val="-4"/>
        </w:rPr>
        <w:t>180</w:t>
      </w:r>
      <w:r>
        <w:rPr>
          <w:spacing w:val="-8"/>
        </w:rPr>
        <w:t xml:space="preserve"> 天后，仍遗留下列</w:t>
      </w:r>
      <w:r>
        <w:rPr>
          <w:spacing w:val="-2"/>
        </w:rPr>
        <w:t>至少一种障碍：</w:t>
      </w:r>
    </w:p>
    <w:p>
      <w:pPr>
        <w:pStyle w:val="10"/>
        <w:numPr>
          <w:ilvl w:val="0"/>
          <w:numId w:val="16"/>
        </w:numPr>
        <w:tabs>
          <w:tab w:val="left" w:pos="788"/>
        </w:tabs>
        <w:spacing w:before="0" w:after="0" w:line="282" w:lineRule="exact"/>
        <w:ind w:left="787" w:right="0" w:hanging="531"/>
        <w:jc w:val="both"/>
        <w:rPr>
          <w:sz w:val="21"/>
        </w:rPr>
      </w:pPr>
      <w:r>
        <w:rPr>
          <w:w w:val="95"/>
          <w:sz w:val="21"/>
        </w:rPr>
        <w:t>一肢（含）以上</w:t>
      </w:r>
      <w:r>
        <w:rPr>
          <w:rFonts w:ascii="微软雅黑" w:eastAsia="微软雅黑"/>
          <w:b/>
          <w:w w:val="95"/>
          <w:sz w:val="21"/>
        </w:rPr>
        <w:t>肢体</w:t>
      </w:r>
      <w:r>
        <w:rPr>
          <w:rFonts w:ascii="微软雅黑" w:eastAsia="微软雅黑"/>
          <w:b/>
          <w:w w:val="95"/>
          <w:position w:val="11"/>
          <w:sz w:val="11"/>
        </w:rPr>
        <w:t>22</w:t>
      </w:r>
      <w:r>
        <w:rPr>
          <w:rFonts w:ascii="微软雅黑" w:eastAsia="微软雅黑"/>
          <w:b/>
          <w:w w:val="95"/>
          <w:sz w:val="21"/>
        </w:rPr>
        <w:t>肌力</w:t>
      </w:r>
      <w:r>
        <w:rPr>
          <w:rFonts w:ascii="微软雅黑" w:eastAsia="微软雅黑"/>
          <w:b/>
          <w:w w:val="95"/>
          <w:position w:val="11"/>
          <w:sz w:val="11"/>
        </w:rPr>
        <w:t>23</w:t>
      </w:r>
      <w:r>
        <w:rPr>
          <w:w w:val="95"/>
          <w:sz w:val="21"/>
        </w:rPr>
        <w:t>2</w:t>
      </w:r>
      <w:r>
        <w:rPr>
          <w:spacing w:val="79"/>
          <w:sz w:val="21"/>
        </w:rPr>
        <w:t xml:space="preserve"> </w:t>
      </w:r>
      <w:r>
        <w:rPr>
          <w:w w:val="95"/>
          <w:sz w:val="21"/>
        </w:rPr>
        <w:t>级（含）以下</w:t>
      </w:r>
      <w:r>
        <w:rPr>
          <w:spacing w:val="-10"/>
          <w:w w:val="95"/>
          <w:sz w:val="21"/>
        </w:rPr>
        <w:t>；</w:t>
      </w:r>
    </w:p>
    <w:p>
      <w:pPr>
        <w:pStyle w:val="5"/>
        <w:numPr>
          <w:ilvl w:val="0"/>
          <w:numId w:val="16"/>
        </w:numPr>
        <w:tabs>
          <w:tab w:val="left" w:pos="788"/>
        </w:tabs>
        <w:spacing w:before="0" w:after="0" w:line="312" w:lineRule="exact"/>
        <w:ind w:left="787" w:right="0" w:hanging="531"/>
        <w:jc w:val="left"/>
        <w:rPr>
          <w:rFonts w:hint="eastAsia" w:ascii="宋体" w:eastAsia="宋体"/>
          <w:b w:val="0"/>
        </w:rPr>
      </w:pPr>
      <w:r>
        <w:rPr>
          <w:spacing w:val="-2"/>
        </w:rPr>
        <w:t>语言能力完全丧失，或严重咀嚼吞咽功能障碍</w:t>
      </w:r>
      <w:r>
        <w:rPr>
          <w:spacing w:val="-5"/>
          <w:position w:val="11"/>
          <w:sz w:val="11"/>
        </w:rPr>
        <w:t>24</w:t>
      </w:r>
      <w:r>
        <w:rPr>
          <w:rFonts w:hint="eastAsia" w:ascii="宋体" w:eastAsia="宋体"/>
          <w:b w:val="0"/>
          <w:spacing w:val="-5"/>
        </w:rPr>
        <w:t>；</w:t>
      </w:r>
    </w:p>
    <w:p>
      <w:pPr>
        <w:pStyle w:val="10"/>
        <w:numPr>
          <w:ilvl w:val="0"/>
          <w:numId w:val="16"/>
        </w:numPr>
        <w:tabs>
          <w:tab w:val="left" w:pos="788"/>
        </w:tabs>
        <w:spacing w:before="0" w:after="0" w:line="346" w:lineRule="exact"/>
        <w:ind w:left="787" w:right="0" w:hanging="531"/>
        <w:jc w:val="left"/>
        <w:rPr>
          <w:sz w:val="21"/>
        </w:rPr>
      </w:pPr>
      <w:r>
        <w:rPr>
          <w:w w:val="95"/>
          <w:sz w:val="21"/>
        </w:rPr>
        <w:t>自主生活能力完全丧失，无法独立完成</w:t>
      </w:r>
      <w:r>
        <w:rPr>
          <w:rFonts w:ascii="微软雅黑" w:eastAsia="微软雅黑"/>
          <w:b/>
          <w:w w:val="95"/>
          <w:sz w:val="21"/>
        </w:rPr>
        <w:t>六项基本日常生活活动</w:t>
      </w:r>
      <w:r>
        <w:rPr>
          <w:rFonts w:ascii="微软雅黑" w:eastAsia="微软雅黑"/>
          <w:b/>
          <w:w w:val="95"/>
          <w:position w:val="11"/>
          <w:sz w:val="11"/>
        </w:rPr>
        <w:t>25</w:t>
      </w:r>
      <w:r>
        <w:rPr>
          <w:spacing w:val="-4"/>
          <w:w w:val="95"/>
          <w:sz w:val="21"/>
        </w:rPr>
        <w:t>中的三</w:t>
      </w:r>
    </w:p>
    <w:p>
      <w:pPr>
        <w:pStyle w:val="6"/>
        <w:spacing w:line="265" w:lineRule="exact"/>
        <w:ind w:left="257"/>
      </w:pPr>
      <w:r>
        <w:pict>
          <v:shape id="docshape60" o:spid="_x0000_s1084" o:spt="202" type="#_x0000_t202" style="position:absolute;left:0pt;margin-left:198.25pt;margin-top:46.15pt;height:16.1pt;width:168.2pt;mso-position-horizontal-relative:page;z-index:-251597824;mso-width-relative:page;mso-height-relative:page;" fillcolor="#C0C0C0" filled="t" stroked="f" coordsize="21600,21600">
            <v:path/>
            <v:fill on="t" focussize="0,0"/>
            <v:stroke on="f" joinstyle="miter"/>
            <v:imagedata o:title=""/>
            <o:lock v:ext="edit"/>
            <v:textbox inset="0mm,0mm,0mm,0mm">
              <w:txbxContent>
                <w:p>
                  <w:pPr>
                    <w:pStyle w:val="6"/>
                    <w:spacing w:before="49"/>
                    <w:ind w:right="-15"/>
                    <w:rPr>
                      <w:color w:val="000000"/>
                    </w:rPr>
                  </w:pPr>
                  <w:r>
                    <w:rPr>
                      <w:color w:val="000000"/>
                      <w:spacing w:val="-3"/>
                    </w:rPr>
                    <w:t>病中“严重脑中风后遗症”的定义。</w:t>
                  </w:r>
                </w:p>
              </w:txbxContent>
            </v:textbox>
          </v:shape>
        </w:pict>
      </w:r>
      <w:r>
        <w:pict>
          <v:shape id="docshape61" o:spid="_x0000_s1085" o:spt="202" type="#_x0000_t202" style="position:absolute;left:0pt;margin-left:198.25pt;margin-top:14.25pt;height:31.95pt;width:343.4pt;mso-position-horizontal-relative:page;z-index:-251597824;mso-width-relative:page;mso-height-relative:page;" fillcolor="#C0C0C0" filled="t" stroked="f" coordsize="21600,21600">
            <v:path/>
            <v:fill on="t" focussize="0,0"/>
            <v:stroke on="f" joinstyle="miter"/>
            <v:imagedata o:title=""/>
            <o:lock v:ext="edit"/>
            <v:textbox inset="0mm,0mm,0mm,0mm">
              <w:txbxContent>
                <w:p>
                  <w:pPr>
                    <w:pStyle w:val="6"/>
                    <w:spacing w:line="320" w:lineRule="exact"/>
                    <w:ind w:right="-15"/>
                    <w:rPr>
                      <w:color w:val="000000"/>
                    </w:rPr>
                  </w:pPr>
                  <w:r>
                    <w:rPr>
                      <w:color w:val="000000"/>
                      <w:spacing w:val="-2"/>
                    </w:rPr>
                    <w:t>申请理赔“第二次‘心脑血管特定疾病’保险金”时，再次确诊的“严重脑</w:t>
                  </w:r>
                  <w:r>
                    <w:rPr>
                      <w:color w:val="000000"/>
                      <w:spacing w:val="-5"/>
                    </w:rPr>
                    <w:t>中风后遗症”需颅脑显影或影像学检查证实为新一次的中风，并符合重大疾</w:t>
                  </w:r>
                </w:p>
              </w:txbxContent>
            </v:textbox>
          </v:shape>
        </w:pict>
      </w:r>
      <w:r>
        <w:rPr>
          <w:spacing w:val="-4"/>
        </w:rPr>
        <w:t>项或三项以上。</w:t>
      </w:r>
    </w:p>
    <w:p>
      <w:pPr>
        <w:spacing w:after="0" w:line="265" w:lineRule="exact"/>
        <w:sectPr>
          <w:type w:val="continuous"/>
          <w:pgSz w:w="11910" w:h="16840"/>
          <w:pgMar w:top="280" w:right="660" w:bottom="280" w:left="580" w:header="0" w:footer="1060" w:gutter="0"/>
          <w:cols w:equalWidth="0" w:num="2">
            <w:col w:w="3088" w:space="40"/>
            <w:col w:w="7542"/>
          </w:cols>
        </w:sectPr>
      </w:pPr>
    </w:p>
    <w:p>
      <w:pPr>
        <w:pStyle w:val="6"/>
        <w:spacing w:before="11"/>
        <w:rPr>
          <w:sz w:val="29"/>
        </w:rPr>
      </w:pPr>
    </w:p>
    <w:p>
      <w:pPr>
        <w:pStyle w:val="6"/>
        <w:spacing w:line="20" w:lineRule="exact"/>
        <w:ind w:left="723"/>
        <w:rPr>
          <w:sz w:val="2"/>
        </w:rPr>
      </w:pPr>
      <w:r>
        <w:rPr>
          <w:sz w:val="2"/>
        </w:rPr>
        <w:drawing>
          <wp:inline distT="0" distB="0" distL="0" distR="0">
            <wp:extent cx="1829435" cy="5715"/>
            <wp:effectExtent l="0" t="0" r="0" b="0"/>
            <wp:docPr id="7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0.png"/>
                    <pic:cNvPicPr>
                      <a:picLocks noChangeAspect="1"/>
                    </pic:cNvPicPr>
                  </pic:nvPicPr>
                  <pic:blipFill>
                    <a:blip r:embed="rId26" cstate="print"/>
                    <a:stretch>
                      <a:fillRect/>
                    </a:stretch>
                  </pic:blipFill>
                  <pic:spPr>
                    <a:xfrm>
                      <a:off x="0" y="0"/>
                      <a:ext cx="1829511" cy="6096"/>
                    </a:xfrm>
                    <a:prstGeom prst="rect">
                      <a:avLst/>
                    </a:prstGeom>
                  </pic:spPr>
                </pic:pic>
              </a:graphicData>
            </a:graphic>
          </wp:inline>
        </w:drawing>
      </w:r>
    </w:p>
    <w:p>
      <w:pPr>
        <w:spacing w:before="30" w:line="282" w:lineRule="exact"/>
        <w:ind w:left="723" w:right="0" w:firstLine="0"/>
        <w:jc w:val="left"/>
        <w:rPr>
          <w:sz w:val="18"/>
        </w:rPr>
      </w:pPr>
      <w:r>
        <w:rPr>
          <w:rFonts w:ascii="Times New Roman" w:eastAsia="Times New Roman"/>
          <w:sz w:val="18"/>
          <w:vertAlign w:val="superscript"/>
        </w:rPr>
        <w:t>22</w:t>
      </w:r>
      <w:r>
        <w:rPr>
          <w:rFonts w:ascii="Times New Roman" w:eastAsia="Times New Roman"/>
          <w:spacing w:val="45"/>
          <w:sz w:val="18"/>
          <w:vertAlign w:val="baseline"/>
        </w:rPr>
        <w:t xml:space="preserve"> </w:t>
      </w:r>
      <w:r>
        <w:rPr>
          <w:rFonts w:ascii="微软雅黑" w:eastAsia="微软雅黑"/>
          <w:b/>
          <w:sz w:val="18"/>
          <w:vertAlign w:val="baseline"/>
        </w:rPr>
        <w:t>肢体：</w:t>
      </w:r>
      <w:r>
        <w:rPr>
          <w:spacing w:val="-1"/>
          <w:sz w:val="18"/>
          <w:vertAlign w:val="baseline"/>
        </w:rPr>
        <w:t>肢体是指包括肩关节的整个上肢或包括髋关节的整个下肢。</w:t>
      </w:r>
    </w:p>
    <w:p>
      <w:pPr>
        <w:spacing w:before="0" w:line="262" w:lineRule="exact"/>
        <w:ind w:left="723" w:right="0" w:firstLine="0"/>
        <w:jc w:val="left"/>
        <w:rPr>
          <w:sz w:val="18"/>
        </w:rPr>
      </w:pPr>
      <w:r>
        <w:rPr>
          <w:rFonts w:ascii="Times New Roman" w:eastAsia="Times New Roman"/>
          <w:sz w:val="18"/>
          <w:vertAlign w:val="superscript"/>
        </w:rPr>
        <w:t>23</w:t>
      </w:r>
      <w:r>
        <w:rPr>
          <w:rFonts w:ascii="Times New Roman" w:eastAsia="Times New Roman"/>
          <w:spacing w:val="46"/>
          <w:sz w:val="18"/>
          <w:vertAlign w:val="baseline"/>
        </w:rPr>
        <w:t xml:space="preserve"> </w:t>
      </w:r>
      <w:r>
        <w:rPr>
          <w:rFonts w:ascii="微软雅黑" w:eastAsia="微软雅黑"/>
          <w:b/>
          <w:sz w:val="18"/>
          <w:vertAlign w:val="baseline"/>
        </w:rPr>
        <w:t>肌力：</w:t>
      </w:r>
      <w:r>
        <w:rPr>
          <w:sz w:val="18"/>
          <w:vertAlign w:val="baseline"/>
        </w:rPr>
        <w:t>指肌肉收缩时的力量。肌力划分为 0-5</w:t>
      </w:r>
      <w:r>
        <w:rPr>
          <w:spacing w:val="-2"/>
          <w:sz w:val="18"/>
          <w:vertAlign w:val="baseline"/>
        </w:rPr>
        <w:t xml:space="preserve"> 级，具体为：</w:t>
      </w:r>
    </w:p>
    <w:p>
      <w:pPr>
        <w:pStyle w:val="10"/>
        <w:numPr>
          <w:ilvl w:val="0"/>
          <w:numId w:val="17"/>
        </w:numPr>
        <w:tabs>
          <w:tab w:val="left" w:pos="907"/>
        </w:tabs>
        <w:spacing w:before="0" w:after="0" w:line="210" w:lineRule="exact"/>
        <w:ind w:left="906" w:right="0" w:hanging="184"/>
        <w:jc w:val="left"/>
        <w:rPr>
          <w:sz w:val="18"/>
        </w:rPr>
      </w:pPr>
      <w:r>
        <w:rPr>
          <w:spacing w:val="-3"/>
          <w:sz w:val="18"/>
        </w:rPr>
        <w:t>级：肌肉完全瘫痪，毫无收缩。</w:t>
      </w:r>
    </w:p>
    <w:p>
      <w:pPr>
        <w:pStyle w:val="10"/>
        <w:numPr>
          <w:ilvl w:val="0"/>
          <w:numId w:val="17"/>
        </w:numPr>
        <w:tabs>
          <w:tab w:val="left" w:pos="907"/>
        </w:tabs>
        <w:spacing w:before="2" w:after="0" w:line="240" w:lineRule="auto"/>
        <w:ind w:left="906" w:right="0" w:hanging="184"/>
        <w:jc w:val="left"/>
        <w:rPr>
          <w:sz w:val="18"/>
        </w:rPr>
      </w:pPr>
      <w:r>
        <w:rPr>
          <w:spacing w:val="-3"/>
          <w:sz w:val="18"/>
        </w:rPr>
        <w:t>级：可看到或者触及肌肉轻微收缩，但不能产生动作。</w:t>
      </w:r>
    </w:p>
    <w:p>
      <w:pPr>
        <w:pStyle w:val="10"/>
        <w:numPr>
          <w:ilvl w:val="0"/>
          <w:numId w:val="17"/>
        </w:numPr>
        <w:tabs>
          <w:tab w:val="left" w:pos="907"/>
        </w:tabs>
        <w:spacing w:before="5" w:after="0" w:line="240" w:lineRule="auto"/>
        <w:ind w:left="906" w:right="0" w:hanging="184"/>
        <w:jc w:val="left"/>
        <w:rPr>
          <w:sz w:val="18"/>
        </w:rPr>
      </w:pPr>
      <w:r>
        <w:rPr>
          <w:spacing w:val="-3"/>
          <w:sz w:val="18"/>
        </w:rPr>
        <w:t>级：肌肉在不受重力影响下，可进行运动，即肢体能在床面上移动，但不能抬高。</w:t>
      </w:r>
    </w:p>
    <w:p>
      <w:pPr>
        <w:pStyle w:val="10"/>
        <w:numPr>
          <w:ilvl w:val="0"/>
          <w:numId w:val="17"/>
        </w:numPr>
        <w:tabs>
          <w:tab w:val="left" w:pos="907"/>
        </w:tabs>
        <w:spacing w:before="2" w:after="0" w:line="240" w:lineRule="auto"/>
        <w:ind w:left="906" w:right="0" w:hanging="184"/>
        <w:jc w:val="left"/>
        <w:rPr>
          <w:sz w:val="18"/>
        </w:rPr>
      </w:pPr>
      <w:r>
        <w:rPr>
          <w:spacing w:val="-3"/>
          <w:sz w:val="18"/>
        </w:rPr>
        <w:t>级：在和地心引力相反的方向中尚能完成其动作，但不能对抗外加阻力。</w:t>
      </w:r>
    </w:p>
    <w:p>
      <w:pPr>
        <w:pStyle w:val="10"/>
        <w:numPr>
          <w:ilvl w:val="0"/>
          <w:numId w:val="17"/>
        </w:numPr>
        <w:tabs>
          <w:tab w:val="left" w:pos="907"/>
        </w:tabs>
        <w:spacing w:before="3" w:after="0" w:line="240" w:lineRule="auto"/>
        <w:ind w:left="906" w:right="0" w:hanging="184"/>
        <w:jc w:val="left"/>
        <w:rPr>
          <w:sz w:val="18"/>
        </w:rPr>
      </w:pPr>
      <w:r>
        <w:rPr>
          <w:spacing w:val="-3"/>
          <w:sz w:val="18"/>
        </w:rPr>
        <w:t>级：能对抗一定的阻力，但较正常人为低。</w:t>
      </w:r>
    </w:p>
    <w:p>
      <w:pPr>
        <w:pStyle w:val="10"/>
        <w:numPr>
          <w:ilvl w:val="0"/>
          <w:numId w:val="17"/>
        </w:numPr>
        <w:tabs>
          <w:tab w:val="left" w:pos="907"/>
        </w:tabs>
        <w:spacing w:before="2" w:after="0" w:line="204" w:lineRule="exact"/>
        <w:ind w:left="906" w:right="0" w:hanging="184"/>
        <w:jc w:val="left"/>
        <w:rPr>
          <w:sz w:val="18"/>
        </w:rPr>
      </w:pPr>
      <w:r>
        <w:rPr>
          <w:spacing w:val="-2"/>
          <w:sz w:val="18"/>
        </w:rPr>
        <w:t>级：正常肌力。</w:t>
      </w:r>
    </w:p>
    <w:p>
      <w:pPr>
        <w:spacing w:before="9" w:line="204" w:lineRule="auto"/>
        <w:ind w:left="723" w:right="414" w:firstLine="0"/>
        <w:jc w:val="left"/>
        <w:rPr>
          <w:sz w:val="18"/>
        </w:rPr>
      </w:pPr>
      <w:r>
        <w:rPr>
          <w:rFonts w:ascii="Times New Roman" w:eastAsia="Times New Roman"/>
          <w:spacing w:val="-2"/>
          <w:sz w:val="18"/>
          <w:vertAlign w:val="superscript"/>
        </w:rPr>
        <w:t>24</w:t>
      </w:r>
      <w:r>
        <w:rPr>
          <w:rFonts w:ascii="Times New Roman" w:eastAsia="Times New Roman"/>
          <w:spacing w:val="40"/>
          <w:sz w:val="18"/>
          <w:vertAlign w:val="baseline"/>
        </w:rPr>
        <w:t xml:space="preserve"> </w:t>
      </w:r>
      <w:r>
        <w:rPr>
          <w:rFonts w:ascii="微软雅黑" w:eastAsia="微软雅黑"/>
          <w:b/>
          <w:spacing w:val="-2"/>
          <w:sz w:val="18"/>
          <w:vertAlign w:val="baseline"/>
        </w:rPr>
        <w:t>语言能力完全丧失或严重咀嚼吞咽功能障碍：</w:t>
      </w:r>
      <w:r>
        <w:rPr>
          <w:spacing w:val="-2"/>
          <w:sz w:val="18"/>
          <w:vertAlign w:val="baseline"/>
        </w:rPr>
        <w:t>语言能力完全丧失，指无法发出四种语音（包括口唇音、齿舌音、口盖音和喉头音）中的任何三种、或声带全部切除，或因大脑语言中枢受伤害而患失语症。</w:t>
      </w:r>
    </w:p>
    <w:p>
      <w:pPr>
        <w:spacing w:before="10" w:line="244" w:lineRule="auto"/>
        <w:ind w:left="723" w:right="415" w:firstLine="0"/>
        <w:jc w:val="left"/>
        <w:rPr>
          <w:sz w:val="18"/>
        </w:rPr>
      </w:pPr>
      <w:r>
        <w:rPr>
          <w:spacing w:val="-2"/>
          <w:sz w:val="18"/>
        </w:rPr>
        <w:t>严重咀嚼吞咽功能障碍，指因牙齿以外的原因导致器质障碍或机能障碍，以致不能作咀嚼吞咽运动，除流质食物外不能摄取或吞咽的状态。</w:t>
      </w:r>
    </w:p>
    <w:p>
      <w:pPr>
        <w:spacing w:before="0" w:line="251" w:lineRule="exact"/>
        <w:ind w:left="723" w:right="0" w:firstLine="0"/>
        <w:jc w:val="left"/>
        <w:rPr>
          <w:sz w:val="18"/>
        </w:rPr>
      </w:pPr>
      <w:r>
        <w:rPr>
          <w:rFonts w:ascii="Times New Roman" w:eastAsia="Times New Roman"/>
          <w:spacing w:val="-4"/>
          <w:sz w:val="18"/>
          <w:vertAlign w:val="superscript"/>
        </w:rPr>
        <w:t>25</w:t>
      </w:r>
      <w:r>
        <w:rPr>
          <w:rFonts w:ascii="Times New Roman" w:eastAsia="Times New Roman"/>
          <w:spacing w:val="38"/>
          <w:sz w:val="18"/>
          <w:vertAlign w:val="baseline"/>
        </w:rPr>
        <w:t xml:space="preserve"> </w:t>
      </w:r>
      <w:r>
        <w:rPr>
          <w:rFonts w:ascii="微软雅黑" w:eastAsia="微软雅黑"/>
          <w:b/>
          <w:spacing w:val="-4"/>
          <w:sz w:val="18"/>
          <w:vertAlign w:val="baseline"/>
        </w:rPr>
        <w:t>六项基本日常生活活动：</w:t>
      </w:r>
      <w:r>
        <w:rPr>
          <w:spacing w:val="-10"/>
          <w:sz w:val="18"/>
          <w:vertAlign w:val="baseline"/>
        </w:rPr>
        <w:t>六项基本日常生活活动是指：</w:t>
      </w:r>
      <w:r>
        <w:rPr>
          <w:spacing w:val="22"/>
          <w:sz w:val="18"/>
          <w:vertAlign w:val="baseline"/>
        </w:rPr>
        <w:t>（</w:t>
      </w:r>
      <w:r>
        <w:rPr>
          <w:spacing w:val="23"/>
          <w:sz w:val="18"/>
          <w:vertAlign w:val="baseline"/>
        </w:rPr>
        <w:t>1</w:t>
      </w:r>
      <w:r>
        <w:rPr>
          <w:spacing w:val="14"/>
          <w:sz w:val="18"/>
          <w:vertAlign w:val="baseline"/>
        </w:rPr>
        <w:t>）</w:t>
      </w:r>
      <w:r>
        <w:rPr>
          <w:spacing w:val="-10"/>
          <w:sz w:val="18"/>
          <w:vertAlign w:val="baseline"/>
        </w:rPr>
        <w:t>穿衣：自己能够穿衣及脱衣；</w:t>
      </w:r>
      <w:r>
        <w:rPr>
          <w:spacing w:val="22"/>
          <w:sz w:val="18"/>
          <w:vertAlign w:val="baseline"/>
        </w:rPr>
        <w:t>（</w:t>
      </w:r>
      <w:r>
        <w:rPr>
          <w:spacing w:val="23"/>
          <w:sz w:val="18"/>
          <w:vertAlign w:val="baseline"/>
        </w:rPr>
        <w:t>2</w:t>
      </w:r>
      <w:r>
        <w:rPr>
          <w:spacing w:val="14"/>
          <w:sz w:val="18"/>
          <w:vertAlign w:val="baseline"/>
        </w:rPr>
        <w:t>）</w:t>
      </w:r>
      <w:r>
        <w:rPr>
          <w:spacing w:val="-5"/>
          <w:sz w:val="18"/>
          <w:vertAlign w:val="baseline"/>
        </w:rPr>
        <w:t>移动：自己从一个房间到</w:t>
      </w:r>
    </w:p>
    <w:p>
      <w:pPr>
        <w:spacing w:before="0" w:line="210" w:lineRule="exact"/>
        <w:ind w:left="723" w:right="0" w:firstLine="0"/>
        <w:jc w:val="left"/>
        <w:rPr>
          <w:sz w:val="18"/>
        </w:rPr>
      </w:pPr>
      <w:r>
        <w:rPr>
          <w:spacing w:val="-6"/>
          <w:sz w:val="18"/>
        </w:rPr>
        <w:t>另一个房间；（3）行动：自己上下床或上下轮椅；（4）如厕：自己控制进行大小便；（5）</w:t>
      </w:r>
      <w:r>
        <w:rPr>
          <w:spacing w:val="-7"/>
          <w:sz w:val="18"/>
        </w:rPr>
        <w:t>进食：自己从已准备好的碗或碟</w:t>
      </w:r>
    </w:p>
    <w:p>
      <w:pPr>
        <w:spacing w:before="2" w:line="204" w:lineRule="exact"/>
        <w:ind w:left="723" w:right="0" w:firstLine="0"/>
        <w:jc w:val="left"/>
        <w:rPr>
          <w:sz w:val="18"/>
        </w:rPr>
      </w:pPr>
      <w:r>
        <w:rPr>
          <w:spacing w:val="-4"/>
          <w:sz w:val="18"/>
        </w:rPr>
        <w:t>中取食物放入口中；（6）</w:t>
      </w:r>
      <w:r>
        <w:rPr>
          <w:spacing w:val="-5"/>
          <w:sz w:val="18"/>
        </w:rPr>
        <w:t>洗澡：自己进行淋浴或盆浴。</w:t>
      </w:r>
    </w:p>
    <w:p>
      <w:pPr>
        <w:spacing w:before="0" w:line="305" w:lineRule="exact"/>
        <w:ind w:left="723" w:right="0" w:firstLine="0"/>
        <w:jc w:val="left"/>
        <w:rPr>
          <w:rFonts w:ascii="微软雅黑" w:eastAsia="微软雅黑"/>
          <w:b/>
          <w:sz w:val="18"/>
        </w:rPr>
      </w:pPr>
      <w:r>
        <w:rPr>
          <w:rFonts w:ascii="微软雅黑" w:eastAsia="微软雅黑"/>
          <w:b/>
          <w:spacing w:val="1"/>
          <w:sz w:val="18"/>
        </w:rPr>
        <w:t xml:space="preserve">六项基本日常生活活动能力的鉴定不适用于 </w:t>
      </w:r>
      <w:r>
        <w:rPr>
          <w:rFonts w:ascii="微软雅黑" w:eastAsia="微软雅黑"/>
          <w:b/>
          <w:sz w:val="18"/>
        </w:rPr>
        <w:t>0-3</w:t>
      </w:r>
      <w:r>
        <w:rPr>
          <w:rFonts w:ascii="微软雅黑" w:eastAsia="微软雅黑"/>
          <w:b/>
          <w:spacing w:val="1"/>
          <w:sz w:val="18"/>
        </w:rPr>
        <w:t xml:space="preserve"> 周岁幼儿。</w:t>
      </w:r>
    </w:p>
    <w:p>
      <w:pPr>
        <w:spacing w:after="0" w:line="305" w:lineRule="exact"/>
        <w:jc w:val="left"/>
        <w:rPr>
          <w:rFonts w:ascii="微软雅黑" w:eastAsia="微软雅黑"/>
          <w:sz w:val="18"/>
        </w:rPr>
        <w:sectPr>
          <w:type w:val="continuous"/>
          <w:pgSz w:w="11910" w:h="16840"/>
          <w:pgMar w:top="280" w:right="660" w:bottom="280" w:left="580" w:header="0" w:footer="1060" w:gutter="0"/>
          <w:cols w:space="720" w:num="1"/>
        </w:sectPr>
      </w:pPr>
    </w:p>
    <w:p>
      <w:pPr>
        <w:pStyle w:val="6"/>
        <w:spacing w:before="2"/>
        <w:rPr>
          <w:rFonts w:ascii="微软雅黑"/>
          <w:b/>
          <w:sz w:val="7"/>
        </w:rPr>
      </w:pPr>
    </w:p>
    <w:p>
      <w:pPr>
        <w:spacing w:after="0"/>
        <w:rPr>
          <w:rFonts w:ascii="微软雅黑"/>
          <w:sz w:val="7"/>
        </w:rPr>
        <w:sectPr>
          <w:pgSz w:w="11910" w:h="16840"/>
          <w:pgMar w:top="1580" w:right="660" w:bottom="1260" w:left="580" w:header="0" w:footer="1060" w:gutter="0"/>
          <w:cols w:space="720" w:num="1"/>
        </w:sectPr>
      </w:pPr>
    </w:p>
    <w:p>
      <w:pPr>
        <w:pStyle w:val="4"/>
        <w:numPr>
          <w:ilvl w:val="2"/>
          <w:numId w:val="14"/>
        </w:numPr>
        <w:tabs>
          <w:tab w:val="left" w:pos="1826"/>
        </w:tabs>
        <w:spacing w:before="85" w:after="0" w:line="223" w:lineRule="auto"/>
        <w:ind w:left="1825" w:right="0" w:hanging="1102"/>
        <w:jc w:val="both"/>
      </w:pPr>
      <w:r>
        <w:pict>
          <v:shape id="docshape62" o:spid="_x0000_s1086" o:spt="202" type="#_x0000_t202" style="position:absolute;left:0pt;margin-left:62.65pt;margin-top:124.25pt;height:634.05pt;width:485pt;mso-position-horizontal-relative:page;mso-position-vertical-relative:page;z-index:251688960;mso-width-relative:page;mso-height-relative:page;" filled="f" stroked="f" coordsize="21600,21600">
            <v:path/>
            <v:fill on="f" focussize="0,0"/>
            <v:stroke on="f" joinstyle="miter"/>
            <v:imagedata o:title=""/>
            <o:lock v:ext="edit"/>
            <v:textbox inset="0mm,0mm,0mm,0mm">
              <w:txbxContent>
                <w:tbl>
                  <w:tblPr>
                    <w:tblStyle w:val="7"/>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0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6" w:hRule="atLeast"/>
                    </w:trPr>
                    <w:tc>
                      <w:tcPr>
                        <w:tcW w:w="2605" w:type="dxa"/>
                        <w:gridSpan w:val="2"/>
                      </w:tcPr>
                      <w:p>
                        <w:pPr>
                          <w:pStyle w:val="11"/>
                          <w:rPr>
                            <w:rFonts w:ascii="Times New Roman"/>
                            <w:sz w:val="20"/>
                          </w:rPr>
                        </w:pPr>
                      </w:p>
                    </w:tc>
                    <w:tc>
                      <w:tcPr>
                        <w:tcW w:w="7095" w:type="dxa"/>
                      </w:tcPr>
                      <w:p>
                        <w:pPr>
                          <w:pStyle w:val="11"/>
                          <w:spacing w:line="241" w:lineRule="exact"/>
                          <w:ind w:left="106"/>
                          <w:rPr>
                            <w:sz w:val="21"/>
                          </w:rPr>
                        </w:pPr>
                        <w:r>
                          <w:rPr>
                            <w:spacing w:val="-5"/>
                            <w:sz w:val="21"/>
                          </w:rPr>
                          <w:t>造血干细胞移植术，指因造血功能损害或造血系统恶性肿瘤，已经实施了造</w:t>
                        </w:r>
                      </w:p>
                      <w:p>
                        <w:pPr>
                          <w:pStyle w:val="11"/>
                          <w:spacing w:before="43" w:line="278" w:lineRule="auto"/>
                          <w:ind w:left="106" w:right="113"/>
                          <w:rPr>
                            <w:sz w:val="21"/>
                          </w:rPr>
                        </w:pPr>
                        <w:r>
                          <w:rPr>
                            <w:spacing w:val="-2"/>
                            <w:sz w:val="21"/>
                          </w:rPr>
                          <w:t>血干细胞（包括骨髓造血干细胞、外周血造血干细胞和脐血造血干细胞）的移植手术。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trPr>
                    <w:tc>
                      <w:tcPr>
                        <w:tcW w:w="918" w:type="dxa"/>
                      </w:tcPr>
                      <w:p>
                        <w:pPr>
                          <w:pStyle w:val="11"/>
                          <w:spacing w:before="173"/>
                          <w:ind w:left="50"/>
                          <w:rPr>
                            <w:sz w:val="22"/>
                          </w:rPr>
                        </w:pPr>
                        <w:r>
                          <w:rPr>
                            <w:spacing w:val="-2"/>
                            <w:sz w:val="22"/>
                          </w:rPr>
                          <w:t>8.1.5</w:t>
                        </w:r>
                      </w:p>
                    </w:tc>
                    <w:tc>
                      <w:tcPr>
                        <w:tcW w:w="1687" w:type="dxa"/>
                      </w:tcPr>
                      <w:p>
                        <w:pPr>
                          <w:pStyle w:val="11"/>
                          <w:spacing w:before="173" w:line="266" w:lineRule="auto"/>
                          <w:ind w:left="233" w:right="105"/>
                          <w:jc w:val="both"/>
                          <w:rPr>
                            <w:sz w:val="22"/>
                          </w:rPr>
                        </w:pPr>
                        <w:r>
                          <w:rPr>
                            <w:spacing w:val="10"/>
                            <w:w w:val="95"/>
                            <w:sz w:val="22"/>
                          </w:rPr>
                          <w:t>冠状动脉搭桥</w:t>
                        </w:r>
                        <w:r>
                          <w:rPr>
                            <w:spacing w:val="12"/>
                            <w:w w:val="95"/>
                            <w:sz w:val="22"/>
                          </w:rPr>
                          <w:t>术（</w:t>
                        </w:r>
                        <w:r>
                          <w:rPr>
                            <w:spacing w:val="8"/>
                            <w:w w:val="95"/>
                            <w:sz w:val="22"/>
                          </w:rPr>
                          <w:t>或称冠状</w:t>
                        </w:r>
                        <w:r>
                          <w:rPr>
                            <w:spacing w:val="10"/>
                            <w:w w:val="95"/>
                            <w:sz w:val="22"/>
                          </w:rPr>
                          <w:t>动脉旁路移植</w:t>
                        </w:r>
                        <w:r>
                          <w:rPr>
                            <w:spacing w:val="-6"/>
                            <w:sz w:val="22"/>
                          </w:rPr>
                          <w:t>术）</w:t>
                        </w:r>
                      </w:p>
                    </w:tc>
                    <w:tc>
                      <w:tcPr>
                        <w:tcW w:w="7095" w:type="dxa"/>
                      </w:tcPr>
                      <w:p>
                        <w:pPr>
                          <w:pStyle w:val="11"/>
                          <w:spacing w:before="3"/>
                          <w:rPr>
                            <w:sz w:val="14"/>
                          </w:rPr>
                        </w:pPr>
                      </w:p>
                      <w:p>
                        <w:pPr>
                          <w:pStyle w:val="11"/>
                          <w:spacing w:line="278" w:lineRule="auto"/>
                          <w:ind w:left="106" w:right="116"/>
                          <w:rPr>
                            <w:sz w:val="21"/>
                          </w:rPr>
                        </w:pPr>
                        <w:r>
                          <w:rPr>
                            <w:spacing w:val="-8"/>
                            <w:sz w:val="21"/>
                          </w:rPr>
                          <w:t>指为治疗严重的冠心病，已经实施了切开心包进行的冠状动脉血管旁路移植</w:t>
                        </w:r>
                        <w:r>
                          <w:rPr>
                            <w:spacing w:val="-4"/>
                            <w:sz w:val="21"/>
                          </w:rPr>
                          <w:t>的手术。</w:t>
                        </w:r>
                      </w:p>
                      <w:p>
                        <w:pPr>
                          <w:pStyle w:val="11"/>
                          <w:spacing w:line="269" w:lineRule="exact"/>
                          <w:ind w:left="106"/>
                          <w:rPr>
                            <w:sz w:val="21"/>
                          </w:rPr>
                        </w:pPr>
                        <w:r>
                          <w:rPr>
                            <w:color w:val="000000"/>
                            <w:spacing w:val="-3"/>
                            <w:sz w:val="21"/>
                            <w:shd w:val="clear" w:color="auto" w:fill="C0C0C0"/>
                          </w:rPr>
                          <w:t>所有未切开心包的冠状动脉介入治疗不在保障范围内。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72"/>
                          <w:ind w:left="50"/>
                          <w:rPr>
                            <w:sz w:val="22"/>
                          </w:rPr>
                        </w:pPr>
                        <w:r>
                          <w:rPr>
                            <w:spacing w:val="-2"/>
                            <w:sz w:val="22"/>
                          </w:rPr>
                          <w:t>8.1.6</w:t>
                        </w:r>
                      </w:p>
                    </w:tc>
                    <w:tc>
                      <w:tcPr>
                        <w:tcW w:w="1687" w:type="dxa"/>
                      </w:tcPr>
                      <w:p>
                        <w:pPr>
                          <w:pStyle w:val="11"/>
                          <w:spacing w:before="144" w:line="310" w:lineRule="atLeast"/>
                          <w:ind w:left="233" w:right="105"/>
                          <w:rPr>
                            <w:sz w:val="22"/>
                          </w:rPr>
                        </w:pPr>
                        <w:r>
                          <w:rPr>
                            <w:spacing w:val="10"/>
                            <w:w w:val="95"/>
                            <w:sz w:val="22"/>
                          </w:rPr>
                          <w:t>严重慢性肾衰</w:t>
                        </w:r>
                        <w:r>
                          <w:rPr>
                            <w:spacing w:val="-10"/>
                            <w:sz w:val="22"/>
                          </w:rPr>
                          <w:t>竭</w:t>
                        </w:r>
                      </w:p>
                    </w:tc>
                    <w:tc>
                      <w:tcPr>
                        <w:tcW w:w="7095" w:type="dxa"/>
                      </w:tcPr>
                      <w:p>
                        <w:pPr>
                          <w:pStyle w:val="11"/>
                          <w:spacing w:before="141" w:line="310" w:lineRule="atLeast"/>
                          <w:ind w:left="106" w:right="113"/>
                          <w:rPr>
                            <w:sz w:val="21"/>
                          </w:rPr>
                        </w:pPr>
                        <w:r>
                          <w:rPr>
                            <w:spacing w:val="-2"/>
                            <w:sz w:val="21"/>
                          </w:rPr>
                          <w:t>指双肾功能慢性不可逆性衰竭，依据肾脏病预后质量倡议（K/DOQI）制定的</w:t>
                        </w:r>
                        <w:r>
                          <w:rPr>
                            <w:spacing w:val="-5"/>
                            <w:sz w:val="21"/>
                          </w:rPr>
                          <w:t xml:space="preserve">指南，分期达到慢性肾脏病 </w:t>
                        </w:r>
                        <w:r>
                          <w:rPr>
                            <w:spacing w:val="-2"/>
                            <w:sz w:val="21"/>
                          </w:rPr>
                          <w:t>5</w:t>
                        </w:r>
                        <w:r>
                          <w:rPr>
                            <w:spacing w:val="-10"/>
                            <w:sz w:val="21"/>
                          </w:rPr>
                          <w:t xml:space="preserve"> 期，且经诊断后已经进行了至少 </w:t>
                        </w:r>
                        <w:r>
                          <w:rPr>
                            <w:spacing w:val="-2"/>
                            <w:sz w:val="21"/>
                          </w:rPr>
                          <w:t>90</w:t>
                        </w:r>
                        <w:r>
                          <w:rPr>
                            <w:spacing w:val="-11"/>
                            <w:sz w:val="21"/>
                          </w:rPr>
                          <w:t xml:space="preserve"> 天的规律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1"/>
                          <w:ind w:left="106"/>
                          <w:rPr>
                            <w:sz w:val="21"/>
                          </w:rPr>
                        </w:pPr>
                        <w:r>
                          <w:rPr>
                            <w:spacing w:val="-3"/>
                            <w:sz w:val="21"/>
                          </w:rPr>
                          <w:t>性透析治疗。规律性透析是指每周进行血液透析或每天进行腹膜透析。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8.1.7</w:t>
                        </w:r>
                      </w:p>
                    </w:tc>
                    <w:tc>
                      <w:tcPr>
                        <w:tcW w:w="1687" w:type="dxa"/>
                      </w:tcPr>
                      <w:p>
                        <w:pPr>
                          <w:pStyle w:val="11"/>
                          <w:spacing w:before="173" w:line="281" w:lineRule="exact"/>
                          <w:ind w:left="233"/>
                          <w:rPr>
                            <w:sz w:val="22"/>
                          </w:rPr>
                        </w:pPr>
                        <w:r>
                          <w:rPr>
                            <w:w w:val="95"/>
                            <w:sz w:val="22"/>
                          </w:rPr>
                          <w:t>多个</w:t>
                        </w:r>
                        <w:r>
                          <w:rPr>
                            <w:spacing w:val="-3"/>
                            <w:w w:val="95"/>
                            <w:sz w:val="22"/>
                          </w:rPr>
                          <w:t>肢体缺失</w:t>
                        </w:r>
                      </w:p>
                    </w:tc>
                    <w:tc>
                      <w:tcPr>
                        <w:tcW w:w="7095" w:type="dxa"/>
                      </w:tcPr>
                      <w:p>
                        <w:pPr>
                          <w:pStyle w:val="11"/>
                          <w:spacing w:before="3"/>
                          <w:rPr>
                            <w:sz w:val="14"/>
                          </w:rPr>
                        </w:pPr>
                      </w:p>
                      <w:p>
                        <w:pPr>
                          <w:pStyle w:val="11"/>
                          <w:ind w:left="106"/>
                          <w:rPr>
                            <w:sz w:val="21"/>
                          </w:rPr>
                        </w:pPr>
                        <w:r>
                          <w:rPr>
                            <w:spacing w:val="-5"/>
                            <w:sz w:val="21"/>
                          </w:rPr>
                          <w:t>指因疾病或意外伤害导致两个或两个以上肢体自腕关节或踝关节近端</w:t>
                        </w:r>
                        <w:r>
                          <w:rPr>
                            <w:spacing w:val="-2"/>
                            <w:sz w:val="21"/>
                          </w:rPr>
                          <w:t>（</w:t>
                        </w:r>
                        <w:r>
                          <w:rPr>
                            <w:spacing w:val="-6"/>
                            <w:sz w:val="21"/>
                          </w:rPr>
                          <w:t>靠近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1"/>
                          <w:ind w:left="106"/>
                          <w:rPr>
                            <w:sz w:val="21"/>
                          </w:rPr>
                        </w:pPr>
                        <w:r>
                          <w:rPr>
                            <w:spacing w:val="-2"/>
                            <w:sz w:val="21"/>
                          </w:rPr>
                          <w:t>躯干端）</w:t>
                        </w:r>
                        <w:r>
                          <w:rPr>
                            <w:spacing w:val="-4"/>
                            <w:sz w:val="21"/>
                          </w:rPr>
                          <w:t>以上完全性断离。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7" w:hRule="atLeast"/>
                    </w:trPr>
                    <w:tc>
                      <w:tcPr>
                        <w:tcW w:w="918" w:type="dxa"/>
                      </w:tcPr>
                      <w:p>
                        <w:pPr>
                          <w:pStyle w:val="11"/>
                          <w:spacing w:before="173"/>
                          <w:ind w:left="50"/>
                          <w:rPr>
                            <w:sz w:val="22"/>
                          </w:rPr>
                        </w:pPr>
                        <w:r>
                          <w:rPr>
                            <w:spacing w:val="-2"/>
                            <w:sz w:val="22"/>
                          </w:rPr>
                          <w:t>8.1.8</w:t>
                        </w:r>
                      </w:p>
                    </w:tc>
                    <w:tc>
                      <w:tcPr>
                        <w:tcW w:w="1687" w:type="dxa"/>
                      </w:tcPr>
                      <w:p>
                        <w:pPr>
                          <w:pStyle w:val="11"/>
                          <w:spacing w:before="144" w:line="310" w:lineRule="atLeast"/>
                          <w:ind w:left="233" w:right="105"/>
                          <w:jc w:val="both"/>
                          <w:rPr>
                            <w:sz w:val="22"/>
                          </w:rPr>
                        </w:pPr>
                        <w:r>
                          <w:rPr>
                            <w:spacing w:val="10"/>
                            <w:w w:val="95"/>
                            <w:sz w:val="22"/>
                          </w:rPr>
                          <w:t>急性重症肝炎或亚急性重症</w:t>
                        </w:r>
                        <w:r>
                          <w:rPr>
                            <w:spacing w:val="-6"/>
                            <w:sz w:val="22"/>
                          </w:rPr>
                          <w:t>肝炎</w:t>
                        </w:r>
                      </w:p>
                    </w:tc>
                    <w:tc>
                      <w:tcPr>
                        <w:tcW w:w="7095" w:type="dxa"/>
                      </w:tcPr>
                      <w:p>
                        <w:pPr>
                          <w:pStyle w:val="11"/>
                          <w:spacing w:before="3"/>
                          <w:rPr>
                            <w:sz w:val="14"/>
                          </w:rPr>
                        </w:pPr>
                      </w:p>
                      <w:p>
                        <w:pPr>
                          <w:pStyle w:val="11"/>
                          <w:spacing w:line="278" w:lineRule="auto"/>
                          <w:ind w:left="106" w:right="116"/>
                          <w:rPr>
                            <w:sz w:val="21"/>
                          </w:rPr>
                        </w:pPr>
                        <w:r>
                          <w:rPr>
                            <w:spacing w:val="-4"/>
                            <w:sz w:val="21"/>
                          </w:rPr>
                          <w:t>指因肝炎病毒感染引起肝脏组织弥漫性坏死，导致急性肝功能衰竭，且经血</w:t>
                        </w:r>
                        <w:r>
                          <w:rPr>
                            <w:spacing w:val="-2"/>
                            <w:sz w:val="21"/>
                          </w:rPr>
                          <w:t>清学或病毒学检查证实，并须满足下列全部条件：</w:t>
                        </w:r>
                      </w:p>
                      <w:p>
                        <w:pPr>
                          <w:pStyle w:val="11"/>
                          <w:spacing w:line="269" w:lineRule="exact"/>
                          <w:ind w:left="106"/>
                          <w:rPr>
                            <w:sz w:val="21"/>
                          </w:rPr>
                        </w:pPr>
                        <w:r>
                          <w:rPr>
                            <w:spacing w:val="-2"/>
                            <w:sz w:val="21"/>
                          </w:rPr>
                          <w:t>（1）</w:t>
                        </w:r>
                        <w:r>
                          <w:rPr>
                            <w:spacing w:val="-3"/>
                            <w:sz w:val="21"/>
                          </w:rPr>
                          <w:t>重度黄疸或黄疸迅速加重；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1"/>
                          <w:ind w:left="106"/>
                          <w:rPr>
                            <w:sz w:val="21"/>
                          </w:rPr>
                        </w:pPr>
                        <w:r>
                          <w:rPr>
                            <w:spacing w:val="-2"/>
                            <w:sz w:val="21"/>
                          </w:rPr>
                          <w:t>（2）</w:t>
                        </w:r>
                        <w:r>
                          <w:rPr>
                            <w:spacing w:val="-4"/>
                            <w:sz w:val="21"/>
                          </w:rPr>
                          <w:t>肝性脑病；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spacing w:val="-2"/>
                            <w:sz w:val="21"/>
                          </w:rPr>
                          <w:t>（3）B</w:t>
                        </w:r>
                        <w:r>
                          <w:rPr>
                            <w:spacing w:val="-10"/>
                            <w:sz w:val="21"/>
                          </w:rPr>
                          <w:t xml:space="preserve"> 超或其他影像学检查显示肝脏体积急速萎缩；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spacing w:val="-2"/>
                            <w:sz w:val="21"/>
                          </w:rPr>
                          <w:t>（4）</w:t>
                        </w:r>
                        <w:r>
                          <w:rPr>
                            <w:spacing w:val="-3"/>
                            <w:sz w:val="21"/>
                          </w:rPr>
                          <w:t>肝功能指标进行性恶化。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73"/>
                          <w:ind w:left="50"/>
                          <w:rPr>
                            <w:sz w:val="22"/>
                          </w:rPr>
                        </w:pPr>
                        <w:r>
                          <w:rPr>
                            <w:spacing w:val="-2"/>
                            <w:sz w:val="22"/>
                          </w:rPr>
                          <w:t>8.1.9</w:t>
                        </w:r>
                      </w:p>
                    </w:tc>
                    <w:tc>
                      <w:tcPr>
                        <w:tcW w:w="1687" w:type="dxa"/>
                      </w:tcPr>
                      <w:p>
                        <w:pPr>
                          <w:pStyle w:val="11"/>
                          <w:spacing w:before="145" w:line="310" w:lineRule="atLeast"/>
                          <w:ind w:left="233" w:right="105"/>
                          <w:rPr>
                            <w:sz w:val="22"/>
                          </w:rPr>
                        </w:pPr>
                        <w:r>
                          <w:rPr>
                            <w:spacing w:val="10"/>
                            <w:w w:val="95"/>
                            <w:sz w:val="22"/>
                          </w:rPr>
                          <w:t>严重非恶性颅</w:t>
                        </w:r>
                        <w:r>
                          <w:rPr>
                            <w:spacing w:val="-4"/>
                            <w:sz w:val="22"/>
                          </w:rPr>
                          <w:t>内肿瘤</w:t>
                        </w:r>
                      </w:p>
                    </w:tc>
                    <w:tc>
                      <w:tcPr>
                        <w:tcW w:w="7095" w:type="dxa"/>
                      </w:tcPr>
                      <w:p>
                        <w:pPr>
                          <w:pStyle w:val="11"/>
                          <w:spacing w:before="142" w:line="310" w:lineRule="atLeast"/>
                          <w:ind w:left="106" w:right="115"/>
                          <w:rPr>
                            <w:sz w:val="21"/>
                          </w:rPr>
                        </w:pPr>
                        <w:r>
                          <w:rPr>
                            <w:spacing w:val="-2"/>
                            <w:sz w:val="21"/>
                          </w:rPr>
                          <w:t>指起源于脑、脑神经、脑被膜的非恶性肿瘤，ICD-O-3</w:t>
                        </w:r>
                        <w:r>
                          <w:rPr>
                            <w:spacing w:val="-9"/>
                            <w:sz w:val="21"/>
                          </w:rPr>
                          <w:t xml:space="preserve"> 肿瘤形态学编码属于</w:t>
                        </w:r>
                        <w:r>
                          <w:rPr>
                            <w:spacing w:val="-2"/>
                            <w:sz w:val="21"/>
                          </w:rPr>
                          <w:t xml:space="preserve"> </w:t>
                        </w:r>
                        <w:r>
                          <w:rPr>
                            <w:sz w:val="21"/>
                          </w:rPr>
                          <w:t>0（良性肿瘤</w:t>
                        </w:r>
                        <w:r>
                          <w:rPr>
                            <w:spacing w:val="-106"/>
                            <w:sz w:val="21"/>
                          </w:rPr>
                          <w:t>）</w:t>
                        </w:r>
                        <w:r>
                          <w:rPr>
                            <w:sz w:val="21"/>
                          </w:rPr>
                          <w:t>、1（动态未定性肿瘤）</w:t>
                        </w:r>
                        <w:r>
                          <w:rPr>
                            <w:spacing w:val="-1"/>
                            <w:sz w:val="21"/>
                          </w:rPr>
                          <w:t>范畴，并已经引起颅内压升高或神经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1"/>
                          <w:ind w:left="106"/>
                          <w:rPr>
                            <w:sz w:val="21"/>
                          </w:rPr>
                        </w:pPr>
                        <w:r>
                          <w:rPr>
                            <w:spacing w:val="-3"/>
                            <w:sz w:val="21"/>
                          </w:rPr>
                          <w:t>系统功能损害，出现视乳头水肿或视觉受损、听觉受损、面部或肢体瘫痪、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spacing w:val="-8"/>
                            <w:sz w:val="21"/>
                          </w:rPr>
                          <w:t>癫痫等，须由头颅断层扫描</w:t>
                        </w:r>
                        <w:r>
                          <w:rPr>
                            <w:spacing w:val="16"/>
                            <w:sz w:val="21"/>
                          </w:rPr>
                          <w:t>（</w:t>
                        </w:r>
                        <w:r>
                          <w:rPr>
                            <w:spacing w:val="19"/>
                            <w:sz w:val="21"/>
                          </w:rPr>
                          <w:t>CT</w:t>
                        </w:r>
                        <w:r>
                          <w:rPr>
                            <w:spacing w:val="-89"/>
                            <w:sz w:val="21"/>
                          </w:rPr>
                          <w:t>）</w:t>
                        </w:r>
                        <w:r>
                          <w:rPr>
                            <w:spacing w:val="-8"/>
                            <w:sz w:val="21"/>
                          </w:rPr>
                          <w:t>、核磁共振检查（MRI）</w:t>
                        </w:r>
                        <w:r>
                          <w:rPr>
                            <w:spacing w:val="-9"/>
                            <w:sz w:val="21"/>
                          </w:rPr>
                          <w:t>或正电子发射断层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spacing w:val="-2"/>
                            <w:sz w:val="21"/>
                          </w:rPr>
                          <w:t>扫描（PET）</w:t>
                        </w:r>
                        <w:r>
                          <w:rPr>
                            <w:spacing w:val="-3"/>
                            <w:sz w:val="21"/>
                          </w:rPr>
                          <w:t>等影像学检查证实，且须满足下列至少一项条件：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spacing w:val="-2"/>
                            <w:sz w:val="21"/>
                          </w:rPr>
                          <w:t>（1）</w:t>
                        </w:r>
                        <w:r>
                          <w:rPr>
                            <w:spacing w:val="-3"/>
                            <w:sz w:val="21"/>
                          </w:rPr>
                          <w:t>已经实施了开颅进行的颅内肿瘤完全或部分切除手术；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spacing w:val="-2"/>
                            <w:sz w:val="21"/>
                          </w:rPr>
                          <w:t>（2）已经实施了针对颅内肿瘤的放射治疗，如γ</w:t>
                        </w:r>
                        <w:r>
                          <w:rPr>
                            <w:spacing w:val="-3"/>
                            <w:sz w:val="21"/>
                          </w:rPr>
                          <w:t>刀、质子重离子治疗等。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color w:val="000000"/>
                            <w:spacing w:val="-3"/>
                            <w:sz w:val="21"/>
                            <w:shd w:val="clear" w:color="auto" w:fill="C0C0C0"/>
                          </w:rPr>
                          <w:t>下列疾病不在保障范围内：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color w:val="000000"/>
                            <w:spacing w:val="-2"/>
                            <w:sz w:val="21"/>
                            <w:shd w:val="clear" w:color="auto" w:fill="C0C0C0"/>
                          </w:rPr>
                          <w:t>（1）</w:t>
                        </w:r>
                        <w:r>
                          <w:rPr>
                            <w:color w:val="000000"/>
                            <w:spacing w:val="-4"/>
                            <w:sz w:val="21"/>
                            <w:shd w:val="clear" w:color="auto" w:fill="C0C0C0"/>
                          </w:rPr>
                          <w:t>脑垂体瘤；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color w:val="000000"/>
                            <w:spacing w:val="-2"/>
                            <w:sz w:val="21"/>
                            <w:shd w:val="clear" w:color="auto" w:fill="C0C0C0"/>
                          </w:rPr>
                          <w:t>（2）</w:t>
                        </w:r>
                        <w:r>
                          <w:rPr>
                            <w:color w:val="000000"/>
                            <w:spacing w:val="-5"/>
                            <w:sz w:val="21"/>
                            <w:shd w:val="clear" w:color="auto" w:fill="C0C0C0"/>
                          </w:rPr>
                          <w:t>脑囊肿；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color w:val="000000"/>
                            <w:spacing w:val="-2"/>
                            <w:sz w:val="21"/>
                            <w:shd w:val="clear" w:color="auto" w:fill="C0C0C0"/>
                          </w:rPr>
                          <w:t>（3）颅内血管性疾病（</w:t>
                        </w:r>
                        <w:r>
                          <w:rPr>
                            <w:color w:val="000000"/>
                            <w:spacing w:val="-3"/>
                            <w:sz w:val="21"/>
                            <w:shd w:val="clear" w:color="auto" w:fill="C0C0C0"/>
                          </w:rPr>
                          <w:t>如脑动脉瘤、脑动静脉畸形、海绵状血管瘤、毛细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color w:val="000000"/>
                            <w:spacing w:val="-2"/>
                            <w:sz w:val="21"/>
                            <w:shd w:val="clear" w:color="auto" w:fill="C0C0C0"/>
                          </w:rPr>
                          <w:t>血管扩张症等</w:t>
                        </w:r>
                        <w:r>
                          <w:rPr>
                            <w:color w:val="000000"/>
                            <w:spacing w:val="-108"/>
                            <w:sz w:val="21"/>
                            <w:shd w:val="clear" w:color="auto" w:fill="C0C0C0"/>
                          </w:rPr>
                          <w:t>）</w:t>
                        </w:r>
                        <w:r>
                          <w:rPr>
                            <w:color w:val="000000"/>
                            <w:spacing w:val="-10"/>
                            <w:sz w:val="21"/>
                            <w:shd w:val="clear" w:color="auto" w:fill="C0C0C0"/>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73"/>
                          <w:ind w:left="50"/>
                          <w:rPr>
                            <w:sz w:val="22"/>
                          </w:rPr>
                        </w:pPr>
                        <w:r>
                          <w:rPr>
                            <w:spacing w:val="-2"/>
                            <w:sz w:val="22"/>
                          </w:rPr>
                          <w:t>8.1.10</w:t>
                        </w:r>
                      </w:p>
                    </w:tc>
                    <w:tc>
                      <w:tcPr>
                        <w:tcW w:w="1687" w:type="dxa"/>
                      </w:tcPr>
                      <w:p>
                        <w:pPr>
                          <w:pStyle w:val="11"/>
                          <w:spacing w:before="144" w:line="310" w:lineRule="atLeast"/>
                          <w:ind w:left="233" w:right="188"/>
                          <w:rPr>
                            <w:sz w:val="22"/>
                          </w:rPr>
                        </w:pPr>
                        <w:r>
                          <w:rPr>
                            <w:spacing w:val="-2"/>
                            <w:w w:val="95"/>
                            <w:sz w:val="22"/>
                          </w:rPr>
                          <w:t>严重慢性肝衰</w:t>
                        </w:r>
                        <w:r>
                          <w:rPr>
                            <w:spacing w:val="-10"/>
                            <w:sz w:val="22"/>
                          </w:rPr>
                          <w:t>竭</w:t>
                        </w:r>
                      </w:p>
                    </w:tc>
                    <w:tc>
                      <w:tcPr>
                        <w:tcW w:w="7095" w:type="dxa"/>
                      </w:tcPr>
                      <w:p>
                        <w:pPr>
                          <w:pStyle w:val="11"/>
                          <w:spacing w:before="3"/>
                          <w:rPr>
                            <w:sz w:val="14"/>
                          </w:rPr>
                        </w:pPr>
                      </w:p>
                      <w:p>
                        <w:pPr>
                          <w:pStyle w:val="11"/>
                          <w:ind w:left="106"/>
                          <w:rPr>
                            <w:sz w:val="21"/>
                          </w:rPr>
                        </w:pPr>
                        <w:r>
                          <w:rPr>
                            <w:spacing w:val="-3"/>
                            <w:sz w:val="21"/>
                          </w:rPr>
                          <w:t>指因慢性肝脏疾病导致的肝衰竭，且须满足下列全部条件：</w:t>
                        </w:r>
                      </w:p>
                      <w:p>
                        <w:pPr>
                          <w:pStyle w:val="11"/>
                          <w:spacing w:before="43"/>
                          <w:ind w:left="106"/>
                          <w:rPr>
                            <w:sz w:val="21"/>
                          </w:rPr>
                        </w:pPr>
                        <w:r>
                          <w:rPr>
                            <w:spacing w:val="-2"/>
                            <w:sz w:val="21"/>
                          </w:rPr>
                          <w:t>（1）</w:t>
                        </w:r>
                        <w:r>
                          <w:rPr>
                            <w:spacing w:val="-4"/>
                            <w:sz w:val="21"/>
                          </w:rPr>
                          <w:t>持续性黄疸；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1"/>
                          <w:ind w:left="106"/>
                          <w:rPr>
                            <w:sz w:val="21"/>
                          </w:rPr>
                        </w:pPr>
                        <w:r>
                          <w:rPr>
                            <w:spacing w:val="-2"/>
                            <w:sz w:val="21"/>
                          </w:rPr>
                          <w:t>（2）</w:t>
                        </w:r>
                        <w:r>
                          <w:rPr>
                            <w:spacing w:val="-5"/>
                            <w:sz w:val="21"/>
                          </w:rPr>
                          <w:t>腹水；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95" w:type="dxa"/>
                      </w:tcPr>
                      <w:p>
                        <w:pPr>
                          <w:pStyle w:val="11"/>
                          <w:spacing w:before="22"/>
                          <w:ind w:left="106"/>
                          <w:rPr>
                            <w:sz w:val="21"/>
                          </w:rPr>
                        </w:pPr>
                        <w:r>
                          <w:rPr>
                            <w:spacing w:val="-2"/>
                            <w:sz w:val="21"/>
                          </w:rPr>
                          <w:t>（3）</w:t>
                        </w:r>
                        <w:r>
                          <w:rPr>
                            <w:spacing w:val="-4"/>
                            <w:sz w:val="21"/>
                          </w:rPr>
                          <w:t>肝性脑病；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095" w:type="dxa"/>
                      </w:tcPr>
                      <w:p>
                        <w:pPr>
                          <w:pStyle w:val="11"/>
                          <w:spacing w:before="22" w:line="220" w:lineRule="exact"/>
                          <w:ind w:left="106"/>
                          <w:rPr>
                            <w:sz w:val="21"/>
                          </w:rPr>
                        </w:pPr>
                        <w:r>
                          <w:rPr>
                            <w:spacing w:val="-2"/>
                            <w:sz w:val="21"/>
                          </w:rPr>
                          <w:t>（4）</w:t>
                        </w:r>
                        <w:r>
                          <w:rPr>
                            <w:spacing w:val="-3"/>
                            <w:sz w:val="21"/>
                          </w:rPr>
                          <w:t>充血性脾肿大伴脾功能亢进或食管胃底静脉曲张。</w:t>
                        </w:r>
                      </w:p>
                    </w:tc>
                  </w:tr>
                </w:tbl>
                <w:p>
                  <w:pPr>
                    <w:pStyle w:val="6"/>
                  </w:pPr>
                </w:p>
              </w:txbxContent>
            </v:textbox>
          </v:shape>
        </w:pict>
      </w:r>
      <w:r>
        <w:rPr>
          <w:spacing w:val="12"/>
          <w:w w:val="95"/>
        </w:rPr>
        <w:t>重大器官移</w:t>
      </w:r>
      <w:r>
        <w:rPr>
          <w:w w:val="95"/>
        </w:rPr>
        <w:t>植</w:t>
      </w:r>
      <w:r>
        <w:rPr>
          <w:spacing w:val="12"/>
          <w:w w:val="95"/>
        </w:rPr>
        <w:t>术或造血干</w:t>
      </w:r>
      <w:r>
        <w:rPr>
          <w:w w:val="95"/>
        </w:rPr>
        <w:t>细</w:t>
      </w:r>
      <w:r>
        <w:rPr>
          <w:spacing w:val="-4"/>
        </w:rPr>
        <w:t>胞移植术</w:t>
      </w:r>
    </w:p>
    <w:p>
      <w:pPr>
        <w:pStyle w:val="6"/>
        <w:spacing w:before="103" w:line="278" w:lineRule="auto"/>
        <w:ind w:left="174" w:right="342"/>
      </w:pPr>
      <w:r>
        <w:br w:type="column"/>
      </w:r>
      <w:r>
        <w:rPr>
          <w:spacing w:val="-2"/>
        </w:rPr>
        <w:t>重大器官移植术，指因相应器官功能衰竭，已经实施了肾脏、肝脏、心脏、肺脏或小肠的异体移植手术。</w:t>
      </w:r>
    </w:p>
    <w:p>
      <w:pPr>
        <w:spacing w:after="0" w:line="278" w:lineRule="auto"/>
        <w:sectPr>
          <w:type w:val="continuous"/>
          <w:pgSz w:w="11910" w:h="16840"/>
          <w:pgMar w:top="280" w:right="660" w:bottom="280" w:left="580" w:header="0" w:footer="1060" w:gutter="0"/>
          <w:cols w:equalWidth="0" w:num="2">
            <w:col w:w="3171" w:space="40"/>
            <w:col w:w="7459"/>
          </w:cols>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722"/>
        <w:gridCol w:w="7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line="231" w:lineRule="exact"/>
              <w:ind w:left="71"/>
              <w:rPr>
                <w:sz w:val="21"/>
              </w:rPr>
            </w:pPr>
            <w:r>
              <w:rPr>
                <w:color w:val="000000"/>
                <w:spacing w:val="-3"/>
                <w:sz w:val="21"/>
                <w:shd w:val="clear" w:color="auto" w:fill="C0C0C0"/>
              </w:rPr>
              <w:t>因酗酒或药物滥用导致的肝衰竭不在保障范围内。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7" w:hRule="atLeast"/>
        </w:trPr>
        <w:tc>
          <w:tcPr>
            <w:tcW w:w="918" w:type="dxa"/>
          </w:tcPr>
          <w:p>
            <w:pPr>
              <w:pStyle w:val="11"/>
              <w:spacing w:before="163"/>
              <w:ind w:left="50"/>
              <w:rPr>
                <w:sz w:val="22"/>
              </w:rPr>
            </w:pPr>
            <w:r>
              <w:rPr>
                <w:spacing w:val="-2"/>
                <w:sz w:val="22"/>
              </w:rPr>
              <w:t>8.1.11</w:t>
            </w:r>
          </w:p>
        </w:tc>
        <w:tc>
          <w:tcPr>
            <w:tcW w:w="1722" w:type="dxa"/>
          </w:tcPr>
          <w:p>
            <w:pPr>
              <w:pStyle w:val="11"/>
              <w:spacing w:before="135" w:line="310" w:lineRule="atLeast"/>
              <w:ind w:left="234" w:right="140"/>
              <w:jc w:val="both"/>
              <w:rPr>
                <w:sz w:val="22"/>
              </w:rPr>
            </w:pPr>
            <w:r>
              <w:rPr>
                <w:spacing w:val="10"/>
                <w:w w:val="95"/>
                <w:sz w:val="22"/>
              </w:rPr>
              <w:t>严重脑炎后遗症或严重脑膜</w:t>
            </w:r>
            <w:r>
              <w:rPr>
                <w:spacing w:val="-4"/>
                <w:sz w:val="22"/>
              </w:rPr>
              <w:t>炎后遗症</w:t>
            </w:r>
          </w:p>
        </w:tc>
        <w:tc>
          <w:tcPr>
            <w:tcW w:w="7098" w:type="dxa"/>
          </w:tcPr>
          <w:p>
            <w:pPr>
              <w:pStyle w:val="11"/>
              <w:spacing w:before="173" w:line="278" w:lineRule="auto"/>
              <w:ind w:left="71" w:right="48"/>
              <w:rPr>
                <w:sz w:val="21"/>
              </w:rPr>
            </w:pPr>
            <w:r>
              <w:rPr>
                <w:spacing w:val="-5"/>
                <w:sz w:val="21"/>
              </w:rPr>
              <w:t>指因患脑炎或脑膜炎导致的神经系统永久性的功能障碍。神经系统永久性的</w:t>
            </w:r>
            <w:r>
              <w:rPr>
                <w:spacing w:val="-13"/>
                <w:sz w:val="21"/>
              </w:rPr>
              <w:t xml:space="preserve">功能障碍，指经相关专科医生确诊疾病 </w:t>
            </w:r>
            <w:r>
              <w:rPr>
                <w:sz w:val="21"/>
              </w:rPr>
              <w:t>180</w:t>
            </w:r>
            <w:r>
              <w:rPr>
                <w:spacing w:val="-13"/>
                <w:sz w:val="21"/>
              </w:rPr>
              <w:t xml:space="preserve"> 天后，仍遗留下列至少一种障碍：</w:t>
            </w:r>
          </w:p>
          <w:p>
            <w:pPr>
              <w:pStyle w:val="11"/>
              <w:spacing w:line="269" w:lineRule="exact"/>
              <w:ind w:left="71"/>
              <w:rPr>
                <w:sz w:val="21"/>
              </w:rPr>
            </w:pPr>
            <w:r>
              <w:rPr>
                <w:spacing w:val="-2"/>
                <w:sz w:val="21"/>
              </w:rPr>
              <w:t>（1）一肢（含）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1"/>
              <w:ind w:left="71"/>
              <w:rPr>
                <w:sz w:val="21"/>
              </w:rPr>
            </w:pPr>
            <w:r>
              <w:rPr>
                <w:spacing w:val="-2"/>
                <w:sz w:val="21"/>
              </w:rPr>
              <w:t>（2）</w:t>
            </w:r>
            <w:r>
              <w:rPr>
                <w:spacing w:val="-3"/>
                <w:sz w:val="21"/>
              </w:rPr>
              <w:t>语言能力完全丧失，或严重咀嚼吞咽功能障碍；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z w:val="21"/>
              </w:rPr>
              <w:t>（3）由具有评估资格的专科医生根据临床痴呆评定量表</w:t>
            </w:r>
            <w:r>
              <w:rPr>
                <w:spacing w:val="-2"/>
                <w:sz w:val="21"/>
              </w:rPr>
              <w:t>（CDR，Clinical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z w:val="21"/>
              </w:rPr>
              <w:t>Dementia</w:t>
            </w:r>
            <w:r>
              <w:rPr>
                <w:spacing w:val="-20"/>
                <w:sz w:val="21"/>
              </w:rPr>
              <w:t xml:space="preserve"> </w:t>
            </w:r>
            <w:r>
              <w:rPr>
                <w:sz w:val="21"/>
              </w:rPr>
              <w:t>Rating）</w:t>
            </w:r>
            <w:r>
              <w:rPr>
                <w:spacing w:val="-9"/>
                <w:sz w:val="21"/>
              </w:rPr>
              <w:t xml:space="preserve">评估结果为 </w:t>
            </w:r>
            <w:r>
              <w:rPr>
                <w:sz w:val="21"/>
              </w:rPr>
              <w:t>3</w:t>
            </w:r>
            <w:r>
              <w:rPr>
                <w:spacing w:val="-22"/>
                <w:sz w:val="21"/>
              </w:rPr>
              <w:t xml:space="preserve"> 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z w:val="21"/>
              </w:rPr>
              <w:t>（4）</w:t>
            </w:r>
            <w:r>
              <w:rPr>
                <w:spacing w:val="-1"/>
                <w:sz w:val="21"/>
              </w:rPr>
              <w:t>自主生活能力完全丧失，无法独立完成六项基本日常生活活动中的三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pacing w:val="-4"/>
                <w:sz w:val="21"/>
              </w:rPr>
              <w:t>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63"/>
              <w:ind w:left="50"/>
              <w:rPr>
                <w:sz w:val="22"/>
              </w:rPr>
            </w:pPr>
            <w:r>
              <w:rPr>
                <w:spacing w:val="-2"/>
                <w:sz w:val="22"/>
              </w:rPr>
              <w:t>8.1.12</w:t>
            </w:r>
          </w:p>
        </w:tc>
        <w:tc>
          <w:tcPr>
            <w:tcW w:w="1722" w:type="dxa"/>
          </w:tcPr>
          <w:p>
            <w:pPr>
              <w:pStyle w:val="11"/>
              <w:spacing w:before="163"/>
              <w:ind w:left="234"/>
              <w:rPr>
                <w:sz w:val="22"/>
              </w:rPr>
            </w:pPr>
            <w:r>
              <w:rPr>
                <w:w w:val="95"/>
                <w:sz w:val="22"/>
              </w:rPr>
              <w:t>深度</w:t>
            </w:r>
            <w:r>
              <w:rPr>
                <w:spacing w:val="-5"/>
                <w:w w:val="95"/>
                <w:sz w:val="22"/>
              </w:rPr>
              <w:t>昏迷</w:t>
            </w:r>
          </w:p>
        </w:tc>
        <w:tc>
          <w:tcPr>
            <w:tcW w:w="7098" w:type="dxa"/>
          </w:tcPr>
          <w:p>
            <w:pPr>
              <w:pStyle w:val="11"/>
              <w:spacing w:before="173"/>
              <w:ind w:left="71"/>
              <w:rPr>
                <w:sz w:val="21"/>
              </w:rPr>
            </w:pPr>
            <w:r>
              <w:rPr>
                <w:spacing w:val="-5"/>
                <w:sz w:val="21"/>
              </w:rPr>
              <w:t>指因疾病或意外伤害导致意识丧失，对外界刺激和体内需求均无反应，昏迷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1"/>
              <w:ind w:left="71"/>
              <w:rPr>
                <w:sz w:val="21"/>
              </w:rPr>
            </w:pPr>
            <w:r>
              <w:rPr>
                <w:sz w:val="21"/>
              </w:rPr>
              <w:t>程度按照格拉斯哥昏迷分级（GCS，Glasgow</w:t>
            </w:r>
            <w:r>
              <w:rPr>
                <w:spacing w:val="-27"/>
                <w:sz w:val="21"/>
              </w:rPr>
              <w:t xml:space="preserve"> </w:t>
            </w:r>
            <w:r>
              <w:rPr>
                <w:sz w:val="21"/>
              </w:rPr>
              <w:t>Coma</w:t>
            </w:r>
            <w:r>
              <w:rPr>
                <w:spacing w:val="-16"/>
                <w:sz w:val="21"/>
              </w:rPr>
              <w:t xml:space="preserve"> </w:t>
            </w:r>
            <w:r>
              <w:rPr>
                <w:sz w:val="21"/>
              </w:rPr>
              <w:t>Scale）</w:t>
            </w:r>
            <w:r>
              <w:rPr>
                <w:spacing w:val="-13"/>
                <w:sz w:val="21"/>
              </w:rPr>
              <w:t xml:space="preserve">结果为 </w:t>
            </w:r>
            <w:r>
              <w:rPr>
                <w:sz w:val="21"/>
              </w:rPr>
              <w:t>5</w:t>
            </w:r>
            <w:r>
              <w:rPr>
                <w:spacing w:val="-28"/>
                <w:sz w:val="21"/>
              </w:rPr>
              <w:t xml:space="preserve"> 分或 </w:t>
            </w:r>
            <w:r>
              <w:rPr>
                <w:spacing w:val="-10"/>
                <w:sz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pacing w:val="-4"/>
                <w:sz w:val="21"/>
              </w:rPr>
              <w:t xml:space="preserve">分以下，且已经持续使用呼吸机及其他生命维持系统 </w:t>
            </w:r>
            <w:r>
              <w:rPr>
                <w:spacing w:val="-2"/>
                <w:sz w:val="21"/>
              </w:rPr>
              <w:t>96</w:t>
            </w:r>
            <w:r>
              <w:rPr>
                <w:spacing w:val="-11"/>
                <w:sz w:val="21"/>
              </w:rPr>
              <w:t xml:space="preserve"> 小时以上。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color w:val="000000"/>
                <w:spacing w:val="-3"/>
                <w:sz w:val="21"/>
                <w:shd w:val="clear" w:color="auto" w:fill="C0C0C0"/>
              </w:rPr>
              <w:t>因酗酒或药物滥用导致的深度昏迷不在保障范围内。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8" w:hRule="atLeast"/>
        </w:trPr>
        <w:tc>
          <w:tcPr>
            <w:tcW w:w="918" w:type="dxa"/>
          </w:tcPr>
          <w:p>
            <w:pPr>
              <w:pStyle w:val="11"/>
              <w:spacing w:before="152"/>
              <w:ind w:left="50"/>
              <w:rPr>
                <w:sz w:val="22"/>
              </w:rPr>
            </w:pPr>
            <w:r>
              <w:rPr>
                <w:spacing w:val="-2"/>
                <w:sz w:val="22"/>
              </w:rPr>
              <w:t>8.1.13</w:t>
            </w:r>
          </w:p>
        </w:tc>
        <w:tc>
          <w:tcPr>
            <w:tcW w:w="1722" w:type="dxa"/>
          </w:tcPr>
          <w:p>
            <w:pPr>
              <w:pStyle w:val="11"/>
              <w:spacing w:before="170" w:line="184" w:lineRule="auto"/>
              <w:ind w:left="234" w:right="223"/>
              <w:rPr>
                <w:rFonts w:ascii="微软雅黑" w:eastAsia="微软雅黑"/>
                <w:b/>
                <w:sz w:val="22"/>
              </w:rPr>
            </w:pPr>
            <w:r>
              <w:rPr>
                <w:spacing w:val="-2"/>
                <w:w w:val="95"/>
                <w:sz w:val="22"/>
              </w:rPr>
              <w:t>双耳失聪</w:t>
            </w:r>
            <w:r>
              <w:rPr>
                <w:rFonts w:ascii="微软雅黑" w:eastAsia="微软雅黑"/>
                <w:b/>
                <w:spacing w:val="-2"/>
                <w:w w:val="95"/>
                <w:sz w:val="22"/>
              </w:rPr>
              <w:t>（三</w:t>
            </w:r>
            <w:r>
              <w:rPr>
                <w:rFonts w:ascii="微软雅黑" w:eastAsia="微软雅黑"/>
                <w:b/>
                <w:spacing w:val="-2"/>
                <w:sz w:val="22"/>
              </w:rPr>
              <w:t>周岁以上理</w:t>
            </w:r>
          </w:p>
          <w:p>
            <w:pPr>
              <w:pStyle w:val="11"/>
              <w:spacing w:line="293" w:lineRule="exact"/>
              <w:ind w:left="234"/>
              <w:rPr>
                <w:rFonts w:ascii="微软雅黑" w:eastAsia="微软雅黑"/>
                <w:b/>
                <w:sz w:val="22"/>
              </w:rPr>
            </w:pPr>
            <w:r>
              <w:rPr>
                <w:rFonts w:ascii="微软雅黑" w:eastAsia="微软雅黑"/>
                <w:b/>
                <w:w w:val="95"/>
                <w:sz w:val="22"/>
              </w:rPr>
              <w:t>赔</w:t>
            </w:r>
            <w:r>
              <w:rPr>
                <w:rFonts w:ascii="微软雅黑" w:eastAsia="微软雅黑"/>
                <w:b/>
                <w:spacing w:val="-10"/>
                <w:sz w:val="22"/>
              </w:rPr>
              <w:t>）</w:t>
            </w:r>
          </w:p>
        </w:tc>
        <w:tc>
          <w:tcPr>
            <w:tcW w:w="7098" w:type="dxa"/>
          </w:tcPr>
          <w:p>
            <w:pPr>
              <w:pStyle w:val="11"/>
              <w:spacing w:before="117" w:line="383" w:lineRule="exact"/>
              <w:ind w:left="71"/>
              <w:rPr>
                <w:sz w:val="21"/>
              </w:rPr>
            </w:pPr>
            <w:r>
              <w:rPr>
                <w:w w:val="95"/>
                <w:sz w:val="21"/>
              </w:rPr>
              <w:t>指因疾病或意外伤害导致双耳听力</w:t>
            </w:r>
            <w:r>
              <w:rPr>
                <w:rFonts w:ascii="微软雅黑" w:eastAsia="微软雅黑"/>
                <w:b/>
                <w:w w:val="95"/>
                <w:sz w:val="21"/>
              </w:rPr>
              <w:t>永久不可逆</w:t>
            </w:r>
            <w:r>
              <w:rPr>
                <w:rFonts w:ascii="微软雅黑" w:eastAsia="微软雅黑"/>
                <w:b/>
                <w:w w:val="95"/>
                <w:position w:val="11"/>
                <w:sz w:val="11"/>
              </w:rPr>
              <w:t>26</w:t>
            </w:r>
            <w:r>
              <w:rPr>
                <w:w w:val="95"/>
                <w:sz w:val="21"/>
              </w:rPr>
              <w:t>性丧失，在</w:t>
            </w:r>
            <w:r>
              <w:rPr>
                <w:spacing w:val="29"/>
                <w:sz w:val="21"/>
              </w:rPr>
              <w:t xml:space="preserve"> </w:t>
            </w:r>
            <w:r>
              <w:rPr>
                <w:w w:val="95"/>
                <w:sz w:val="21"/>
              </w:rPr>
              <w:t>500</w:t>
            </w:r>
            <w:r>
              <w:rPr>
                <w:spacing w:val="25"/>
                <w:sz w:val="21"/>
              </w:rPr>
              <w:t xml:space="preserve">  </w:t>
            </w:r>
            <w:r>
              <w:rPr>
                <w:w w:val="95"/>
                <w:sz w:val="21"/>
              </w:rPr>
              <w:t>赫兹、</w:t>
            </w:r>
            <w:r>
              <w:rPr>
                <w:spacing w:val="-4"/>
                <w:w w:val="95"/>
                <w:sz w:val="21"/>
              </w:rPr>
              <w:t>1000</w:t>
            </w:r>
          </w:p>
          <w:p>
            <w:pPr>
              <w:pStyle w:val="11"/>
              <w:spacing w:line="265" w:lineRule="exact"/>
              <w:ind w:left="71"/>
              <w:rPr>
                <w:sz w:val="21"/>
              </w:rPr>
            </w:pPr>
            <w:r>
              <w:rPr>
                <w:spacing w:val="-5"/>
                <w:sz w:val="21"/>
              </w:rPr>
              <w:t xml:space="preserve">赫兹和 </w:t>
            </w:r>
            <w:r>
              <w:rPr>
                <w:spacing w:val="-2"/>
                <w:sz w:val="21"/>
              </w:rPr>
              <w:t>2000</w:t>
            </w:r>
            <w:r>
              <w:rPr>
                <w:spacing w:val="-6"/>
                <w:sz w:val="21"/>
              </w:rPr>
              <w:t xml:space="preserve"> 赫兹语音频率下，平均听阈大于等于 </w:t>
            </w:r>
            <w:r>
              <w:rPr>
                <w:spacing w:val="-2"/>
                <w:sz w:val="21"/>
              </w:rPr>
              <w:t>91</w:t>
            </w:r>
            <w:r>
              <w:rPr>
                <w:spacing w:val="-6"/>
                <w:sz w:val="21"/>
              </w:rPr>
              <w:t xml:space="preserve"> 分贝，且经纯音听力</w:t>
            </w:r>
          </w:p>
          <w:p>
            <w:pPr>
              <w:pStyle w:val="11"/>
              <w:spacing w:before="43"/>
              <w:ind w:left="71"/>
              <w:rPr>
                <w:sz w:val="21"/>
              </w:rPr>
            </w:pPr>
            <w:r>
              <w:rPr>
                <w:spacing w:val="-3"/>
                <w:sz w:val="21"/>
              </w:rPr>
              <w:t>测试、声导抗检测或听觉诱发电位检测等证实。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line="291" w:lineRule="exact"/>
              <w:ind w:left="71"/>
              <w:rPr>
                <w:rFonts w:ascii="微软雅黑" w:eastAsia="微软雅黑"/>
                <w:b/>
                <w:sz w:val="21"/>
              </w:rPr>
            </w:pPr>
            <w:r>
              <w:rPr>
                <w:rFonts w:ascii="微软雅黑" w:eastAsia="微软雅黑"/>
                <w:b/>
                <w:spacing w:val="-8"/>
                <w:sz w:val="21"/>
              </w:rPr>
              <w:t>被保险人申请理赔时年龄必须在三周岁以上，并且提供理赔当时的听力丧失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line="332" w:lineRule="exact"/>
              <w:ind w:left="71"/>
              <w:rPr>
                <w:rFonts w:ascii="微软雅黑" w:eastAsia="微软雅黑"/>
                <w:b/>
                <w:sz w:val="21"/>
              </w:rPr>
            </w:pPr>
            <w:r>
              <w:rPr>
                <w:rFonts w:ascii="微软雅黑" w:eastAsia="微软雅黑"/>
                <w:b/>
                <w:spacing w:val="-2"/>
                <w:sz w:val="21"/>
              </w:rPr>
              <w:t>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7" w:hRule="atLeast"/>
        </w:trPr>
        <w:tc>
          <w:tcPr>
            <w:tcW w:w="918" w:type="dxa"/>
          </w:tcPr>
          <w:p>
            <w:pPr>
              <w:pStyle w:val="11"/>
              <w:spacing w:before="163"/>
              <w:ind w:left="50"/>
              <w:rPr>
                <w:sz w:val="22"/>
              </w:rPr>
            </w:pPr>
            <w:r>
              <w:rPr>
                <w:spacing w:val="-2"/>
                <w:sz w:val="22"/>
              </w:rPr>
              <w:t>8.1.14</w:t>
            </w:r>
          </w:p>
        </w:tc>
        <w:tc>
          <w:tcPr>
            <w:tcW w:w="1722" w:type="dxa"/>
          </w:tcPr>
          <w:p>
            <w:pPr>
              <w:pStyle w:val="11"/>
              <w:spacing w:before="159" w:line="184" w:lineRule="auto"/>
              <w:ind w:left="234" w:right="71"/>
              <w:rPr>
                <w:rFonts w:ascii="微软雅黑" w:eastAsia="微软雅黑"/>
                <w:b/>
                <w:sz w:val="22"/>
              </w:rPr>
            </w:pPr>
            <w:r>
              <w:rPr>
                <w:spacing w:val="12"/>
                <w:sz w:val="22"/>
              </w:rPr>
              <w:t>双目失明</w:t>
            </w:r>
            <w:r>
              <w:rPr>
                <w:rFonts w:ascii="微软雅黑" w:eastAsia="微软雅黑"/>
                <w:b/>
                <w:spacing w:val="12"/>
                <w:sz w:val="22"/>
              </w:rPr>
              <w:t>（三</w:t>
            </w:r>
            <w:r>
              <w:rPr>
                <w:rFonts w:ascii="微软雅黑" w:eastAsia="微软雅黑"/>
                <w:b/>
                <w:spacing w:val="-4"/>
                <w:sz w:val="22"/>
              </w:rPr>
              <w:t>周 岁 以 上 理</w:t>
            </w:r>
            <w:r>
              <w:rPr>
                <w:rFonts w:ascii="微软雅黑" w:eastAsia="微软雅黑"/>
                <w:b/>
                <w:spacing w:val="-10"/>
                <w:sz w:val="22"/>
              </w:rPr>
              <w:t xml:space="preserve"> </w:t>
            </w:r>
          </w:p>
          <w:p>
            <w:pPr>
              <w:pStyle w:val="11"/>
              <w:spacing w:line="294" w:lineRule="exact"/>
              <w:ind w:left="234"/>
              <w:rPr>
                <w:rFonts w:ascii="微软雅黑" w:eastAsia="微软雅黑"/>
                <w:b/>
                <w:sz w:val="22"/>
              </w:rPr>
            </w:pPr>
            <w:r>
              <w:rPr>
                <w:rFonts w:ascii="微软雅黑" w:eastAsia="微软雅黑"/>
                <w:b/>
                <w:w w:val="95"/>
                <w:sz w:val="22"/>
              </w:rPr>
              <w:t>赔</w:t>
            </w:r>
            <w:r>
              <w:rPr>
                <w:rFonts w:ascii="微软雅黑" w:eastAsia="微软雅黑"/>
                <w:b/>
                <w:spacing w:val="-10"/>
                <w:sz w:val="22"/>
              </w:rPr>
              <w:t>）</w:t>
            </w:r>
          </w:p>
        </w:tc>
        <w:tc>
          <w:tcPr>
            <w:tcW w:w="7098" w:type="dxa"/>
          </w:tcPr>
          <w:p>
            <w:pPr>
              <w:pStyle w:val="11"/>
              <w:spacing w:before="173" w:line="278" w:lineRule="auto"/>
              <w:ind w:left="71" w:right="151"/>
              <w:rPr>
                <w:sz w:val="21"/>
              </w:rPr>
            </w:pPr>
            <w:r>
              <w:rPr>
                <w:spacing w:val="-5"/>
                <w:sz w:val="21"/>
              </w:rPr>
              <w:t>指因疾病或意外伤害导致双眼视力永久不可逆性丧失，双眼中较好眼须满足</w:t>
            </w:r>
            <w:r>
              <w:rPr>
                <w:spacing w:val="-2"/>
                <w:sz w:val="21"/>
              </w:rPr>
              <w:t>下列至少一项条件：</w:t>
            </w:r>
          </w:p>
          <w:p>
            <w:pPr>
              <w:pStyle w:val="11"/>
              <w:spacing w:line="269" w:lineRule="exact"/>
              <w:ind w:left="71"/>
              <w:rPr>
                <w:sz w:val="21"/>
              </w:rPr>
            </w:pPr>
            <w:r>
              <w:rPr>
                <w:spacing w:val="-2"/>
                <w:sz w:val="21"/>
              </w:rPr>
              <w:t>（1）</w:t>
            </w:r>
            <w:r>
              <w:rPr>
                <w:spacing w:val="-4"/>
                <w:sz w:val="21"/>
              </w:rPr>
              <w:t>眼球缺失或摘除；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1"/>
              <w:ind w:left="71"/>
              <w:rPr>
                <w:sz w:val="21"/>
              </w:rPr>
            </w:pPr>
            <w:r>
              <w:rPr>
                <w:spacing w:val="-4"/>
                <w:sz w:val="21"/>
              </w:rPr>
              <w:t>（2）</w:t>
            </w:r>
            <w:r>
              <w:rPr>
                <w:sz w:val="21"/>
              </w:rPr>
              <w:t xml:space="preserve">矫正视力低于 </w:t>
            </w:r>
            <w:r>
              <w:rPr>
                <w:spacing w:val="-4"/>
                <w:sz w:val="21"/>
              </w:rPr>
              <w:t>0.02（</w:t>
            </w:r>
            <w:r>
              <w:rPr>
                <w:spacing w:val="-5"/>
                <w:sz w:val="21"/>
              </w:rPr>
              <w:t>采用国际标准视力表，如果使用其他视力表应进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pacing w:val="-2"/>
                <w:sz w:val="21"/>
              </w:rPr>
              <w:t>行换算</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z w:val="21"/>
              </w:rPr>
              <w:t>（3）</w:t>
            </w:r>
            <w:r>
              <w:rPr>
                <w:spacing w:val="-2"/>
                <w:sz w:val="21"/>
              </w:rPr>
              <w:t xml:space="preserve">视野半径小于 </w:t>
            </w:r>
            <w:r>
              <w:rPr>
                <w:sz w:val="21"/>
              </w:rPr>
              <w:t>5</w:t>
            </w:r>
            <w:r>
              <w:rPr>
                <w:spacing w:val="-6"/>
                <w:sz w:val="21"/>
              </w:rPr>
              <w:t xml:space="preserve"> 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line="292" w:lineRule="exact"/>
              <w:ind w:left="71"/>
              <w:rPr>
                <w:rFonts w:ascii="微软雅黑" w:eastAsia="微软雅黑"/>
                <w:b/>
                <w:sz w:val="21"/>
              </w:rPr>
            </w:pPr>
            <w:r>
              <w:rPr>
                <w:rFonts w:ascii="微软雅黑" w:eastAsia="微软雅黑"/>
                <w:b/>
                <w:spacing w:val="-8"/>
                <w:sz w:val="21"/>
              </w:rPr>
              <w:t>被保险人申请理赔时年龄必须在三周岁以上，并且提供理赔当时的视力丧失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line="332" w:lineRule="exact"/>
              <w:ind w:left="71"/>
              <w:rPr>
                <w:rFonts w:ascii="微软雅黑" w:eastAsia="微软雅黑"/>
                <w:b/>
                <w:sz w:val="21"/>
              </w:rPr>
            </w:pPr>
            <w:r>
              <w:rPr>
                <w:rFonts w:ascii="微软雅黑" w:eastAsia="微软雅黑"/>
                <w:b/>
                <w:spacing w:val="-2"/>
                <w:sz w:val="21"/>
              </w:rPr>
              <w:t>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63"/>
              <w:ind w:left="50"/>
              <w:rPr>
                <w:sz w:val="22"/>
              </w:rPr>
            </w:pPr>
            <w:r>
              <w:rPr>
                <w:spacing w:val="-2"/>
                <w:sz w:val="22"/>
              </w:rPr>
              <w:t>8.1.15</w:t>
            </w:r>
          </w:p>
        </w:tc>
        <w:tc>
          <w:tcPr>
            <w:tcW w:w="1722" w:type="dxa"/>
          </w:tcPr>
          <w:p>
            <w:pPr>
              <w:pStyle w:val="11"/>
              <w:spacing w:before="163"/>
              <w:ind w:left="234"/>
              <w:rPr>
                <w:sz w:val="22"/>
              </w:rPr>
            </w:pPr>
            <w:r>
              <w:rPr>
                <w:w w:val="95"/>
                <w:sz w:val="22"/>
              </w:rPr>
              <w:t>瘫</w:t>
            </w:r>
            <w:r>
              <w:rPr>
                <w:spacing w:val="-10"/>
                <w:sz w:val="22"/>
              </w:rPr>
              <w:t>痪</w:t>
            </w:r>
          </w:p>
        </w:tc>
        <w:tc>
          <w:tcPr>
            <w:tcW w:w="7098" w:type="dxa"/>
          </w:tcPr>
          <w:p>
            <w:pPr>
              <w:pStyle w:val="11"/>
              <w:spacing w:before="173"/>
              <w:ind w:left="71"/>
              <w:rPr>
                <w:sz w:val="21"/>
              </w:rPr>
            </w:pPr>
            <w:r>
              <w:rPr>
                <w:spacing w:val="-3"/>
                <w:sz w:val="21"/>
              </w:rPr>
              <w:t>指因疾病或意外伤害导致两肢或两肢以上肢体随意运动功能永久完全丧失。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1"/>
              <w:ind w:left="71"/>
              <w:rPr>
                <w:sz w:val="21"/>
              </w:rPr>
            </w:pPr>
            <w:r>
              <w:rPr>
                <w:spacing w:val="-5"/>
                <w:sz w:val="21"/>
              </w:rPr>
              <w:t xml:space="preserve">肢体随意运动功能永久完全丧失，指疾病确诊 </w:t>
            </w:r>
            <w:r>
              <w:rPr>
                <w:spacing w:val="-2"/>
                <w:sz w:val="21"/>
              </w:rPr>
              <w:t>180</w:t>
            </w:r>
            <w:r>
              <w:rPr>
                <w:spacing w:val="-13"/>
                <w:sz w:val="21"/>
              </w:rPr>
              <w:t xml:space="preserve"> 天后或意外伤害发生 </w:t>
            </w:r>
            <w:r>
              <w:rPr>
                <w:spacing w:val="-5"/>
                <w:sz w:val="21"/>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pacing w:val="-4"/>
                <w:sz w:val="21"/>
              </w:rPr>
              <w:t xml:space="preserve">天后，每肢三大关节中的两大关节仍然完全僵硬，或肢体肌力在 </w:t>
            </w:r>
            <w:r>
              <w:rPr>
                <w:spacing w:val="-2"/>
                <w:sz w:val="21"/>
              </w:rPr>
              <w:t>2</w:t>
            </w:r>
            <w:r>
              <w:rPr>
                <w:spacing w:val="-22"/>
                <w:sz w:val="21"/>
              </w:rPr>
              <w:t xml:space="preserve"> 级</w:t>
            </w:r>
            <w:r>
              <w:rPr>
                <w:spacing w:val="-2"/>
                <w:sz w:val="21"/>
              </w:rPr>
              <w:t>（含</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pacing w:val="-4"/>
                <w:sz w:val="21"/>
              </w:rPr>
              <w:t>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4" w:hRule="atLeast"/>
        </w:trPr>
        <w:tc>
          <w:tcPr>
            <w:tcW w:w="918" w:type="dxa"/>
          </w:tcPr>
          <w:p>
            <w:pPr>
              <w:pStyle w:val="11"/>
              <w:spacing w:before="163"/>
              <w:ind w:left="50"/>
              <w:rPr>
                <w:sz w:val="22"/>
              </w:rPr>
            </w:pPr>
            <w:r>
              <w:rPr>
                <w:spacing w:val="-2"/>
                <w:sz w:val="22"/>
              </w:rPr>
              <w:t>8.1.16</w:t>
            </w:r>
          </w:p>
        </w:tc>
        <w:tc>
          <w:tcPr>
            <w:tcW w:w="1722" w:type="dxa"/>
          </w:tcPr>
          <w:p>
            <w:pPr>
              <w:pStyle w:val="11"/>
              <w:spacing w:before="163"/>
              <w:ind w:left="234"/>
              <w:rPr>
                <w:sz w:val="22"/>
              </w:rPr>
            </w:pPr>
            <w:r>
              <w:rPr>
                <w:w w:val="95"/>
                <w:sz w:val="22"/>
              </w:rPr>
              <w:t>心脏</w:t>
            </w:r>
            <w:r>
              <w:rPr>
                <w:spacing w:val="-3"/>
                <w:w w:val="95"/>
                <w:sz w:val="22"/>
              </w:rPr>
              <w:t>瓣膜手术</w:t>
            </w:r>
          </w:p>
        </w:tc>
        <w:tc>
          <w:tcPr>
            <w:tcW w:w="7098" w:type="dxa"/>
          </w:tcPr>
          <w:p>
            <w:pPr>
              <w:pStyle w:val="11"/>
              <w:spacing w:before="173"/>
              <w:ind w:left="71"/>
              <w:rPr>
                <w:sz w:val="21"/>
              </w:rPr>
            </w:pPr>
            <w:r>
              <w:rPr>
                <w:spacing w:val="-9"/>
                <w:sz w:val="21"/>
              </w:rPr>
              <w:t>指为治疗心脏瓣膜疾病，已经实施了切开心脏进行的心脏瓣膜置换或修复的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spacing w:val="-4"/>
                <w:sz w:val="21"/>
              </w:rPr>
              <w:t>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2"/>
              <w:ind w:left="71"/>
              <w:rPr>
                <w:sz w:val="21"/>
              </w:rPr>
            </w:pPr>
            <w:r>
              <w:rPr>
                <w:color w:val="000000"/>
                <w:spacing w:val="-3"/>
                <w:sz w:val="21"/>
                <w:shd w:val="clear" w:color="auto" w:fill="C0C0C0"/>
              </w:rPr>
              <w:t>所有未切开心脏的心脏瓣膜介入手术不在保障范围内。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63"/>
              <w:ind w:left="50"/>
              <w:rPr>
                <w:sz w:val="22"/>
              </w:rPr>
            </w:pPr>
            <w:r>
              <w:rPr>
                <w:spacing w:val="-2"/>
                <w:sz w:val="22"/>
              </w:rPr>
              <w:t>8.1.17</w:t>
            </w:r>
          </w:p>
        </w:tc>
        <w:tc>
          <w:tcPr>
            <w:tcW w:w="1722" w:type="dxa"/>
          </w:tcPr>
          <w:p>
            <w:pPr>
              <w:pStyle w:val="11"/>
              <w:spacing w:before="135" w:line="310" w:lineRule="atLeast"/>
              <w:ind w:left="234" w:right="223"/>
              <w:rPr>
                <w:sz w:val="22"/>
              </w:rPr>
            </w:pPr>
            <w:r>
              <w:rPr>
                <w:spacing w:val="-2"/>
                <w:w w:val="95"/>
                <w:sz w:val="22"/>
              </w:rPr>
              <w:t>严重阿尔茨海</w:t>
            </w:r>
            <w:r>
              <w:rPr>
                <w:spacing w:val="-6"/>
                <w:sz w:val="22"/>
              </w:rPr>
              <w:t>默病</w:t>
            </w:r>
          </w:p>
        </w:tc>
        <w:tc>
          <w:tcPr>
            <w:tcW w:w="7098" w:type="dxa"/>
          </w:tcPr>
          <w:p>
            <w:pPr>
              <w:pStyle w:val="11"/>
              <w:spacing w:before="132" w:line="310" w:lineRule="atLeast"/>
              <w:ind w:left="71" w:right="154"/>
              <w:rPr>
                <w:sz w:val="21"/>
              </w:rPr>
            </w:pPr>
            <w:r>
              <w:rPr>
                <w:spacing w:val="-4"/>
                <w:sz w:val="21"/>
              </w:rPr>
              <w:t>指因大脑进行性、不可逆性改变导致智能严重衰退或丧失，临床表现为严重</w:t>
            </w:r>
            <w:r>
              <w:rPr>
                <w:spacing w:val="-5"/>
                <w:sz w:val="21"/>
              </w:rPr>
              <w:t>的认知功能障碍、精神行为异常和社交能力减退等，其日常生活必须持续受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22" w:type="dxa"/>
          </w:tcPr>
          <w:p>
            <w:pPr>
              <w:pStyle w:val="11"/>
              <w:rPr>
                <w:rFonts w:ascii="Times New Roman"/>
                <w:sz w:val="20"/>
              </w:rPr>
            </w:pPr>
          </w:p>
        </w:tc>
        <w:tc>
          <w:tcPr>
            <w:tcW w:w="7098" w:type="dxa"/>
          </w:tcPr>
          <w:p>
            <w:pPr>
              <w:pStyle w:val="11"/>
              <w:spacing w:before="11"/>
              <w:ind w:left="71"/>
              <w:rPr>
                <w:sz w:val="21"/>
              </w:rPr>
            </w:pPr>
            <w:r>
              <w:rPr>
                <w:spacing w:val="-8"/>
                <w:sz w:val="21"/>
              </w:rPr>
              <w:t>到他人监护。须由头颅断层扫描</w:t>
            </w:r>
            <w:r>
              <w:rPr>
                <w:spacing w:val="17"/>
                <w:sz w:val="21"/>
              </w:rPr>
              <w:t>（</w:t>
            </w:r>
            <w:r>
              <w:rPr>
                <w:spacing w:val="19"/>
                <w:sz w:val="21"/>
              </w:rPr>
              <w:t>CT</w:t>
            </w:r>
            <w:r>
              <w:rPr>
                <w:spacing w:val="-89"/>
                <w:sz w:val="21"/>
              </w:rPr>
              <w:t>）</w:t>
            </w:r>
            <w:r>
              <w:rPr>
                <w:spacing w:val="-8"/>
                <w:sz w:val="21"/>
              </w:rPr>
              <w:t>、核磁共振检查（MRI）</w:t>
            </w:r>
            <w:r>
              <w:rPr>
                <w:spacing w:val="-9"/>
                <w:sz w:val="21"/>
              </w:rPr>
              <w:t>或正电子发射</w:t>
            </w:r>
          </w:p>
        </w:tc>
      </w:tr>
    </w:tbl>
    <w:p>
      <w:pPr>
        <w:pStyle w:val="6"/>
        <w:spacing w:line="20" w:lineRule="exact"/>
        <w:ind w:left="723"/>
        <w:rPr>
          <w:sz w:val="2"/>
        </w:rPr>
      </w:pPr>
      <w:r>
        <w:rPr>
          <w:sz w:val="2"/>
        </w:rPr>
        <w:drawing>
          <wp:inline distT="0" distB="0" distL="0" distR="0">
            <wp:extent cx="1754505" cy="1270"/>
            <wp:effectExtent l="0" t="0" r="0" b="0"/>
            <wp:docPr id="7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0.png"/>
                    <pic:cNvPicPr>
                      <a:picLocks noChangeAspect="1"/>
                    </pic:cNvPicPr>
                  </pic:nvPicPr>
                  <pic:blipFill>
                    <a:blip r:embed="rId26" cstate="print"/>
                    <a:stretch>
                      <a:fillRect/>
                    </a:stretch>
                  </pic:blipFill>
                  <pic:spPr>
                    <a:xfrm>
                      <a:off x="0" y="0"/>
                      <a:ext cx="1754646" cy="1270"/>
                    </a:xfrm>
                    <a:prstGeom prst="rect">
                      <a:avLst/>
                    </a:prstGeom>
                  </pic:spPr>
                </pic:pic>
              </a:graphicData>
            </a:graphic>
          </wp:inline>
        </w:drawing>
      </w:r>
    </w:p>
    <w:p>
      <w:pPr>
        <w:spacing w:before="22"/>
        <w:ind w:left="723" w:right="0" w:firstLine="0"/>
        <w:jc w:val="left"/>
        <w:rPr>
          <w:sz w:val="18"/>
        </w:rPr>
      </w:pPr>
      <w:r>
        <w:rPr>
          <w:rFonts w:ascii="Times New Roman" w:eastAsia="Times New Roman"/>
          <w:sz w:val="18"/>
          <w:vertAlign w:val="superscript"/>
        </w:rPr>
        <w:t>26</w:t>
      </w:r>
      <w:r>
        <w:rPr>
          <w:rFonts w:ascii="Times New Roman" w:eastAsia="Times New Roman"/>
          <w:spacing w:val="45"/>
          <w:sz w:val="18"/>
          <w:vertAlign w:val="baseline"/>
        </w:rPr>
        <w:t xml:space="preserve"> </w:t>
      </w:r>
      <w:r>
        <w:rPr>
          <w:rFonts w:ascii="微软雅黑" w:eastAsia="微软雅黑"/>
          <w:b/>
          <w:sz w:val="18"/>
          <w:vertAlign w:val="baseline"/>
        </w:rPr>
        <w:t>永久不可逆：</w:t>
      </w:r>
      <w:r>
        <w:rPr>
          <w:sz w:val="18"/>
          <w:vertAlign w:val="baseline"/>
        </w:rPr>
        <w:t>指自疾病确诊或意外伤害发生之日起，经过积极治疗 180</w:t>
      </w:r>
      <w:r>
        <w:rPr>
          <w:spacing w:val="-1"/>
          <w:sz w:val="18"/>
          <w:vertAlign w:val="baseline"/>
        </w:rPr>
        <w:t xml:space="preserve"> 天后，仍无法通过现有医疗手段恢复。</w:t>
      </w:r>
    </w:p>
    <w:p>
      <w:pPr>
        <w:spacing w:after="0"/>
        <w:jc w:val="left"/>
        <w:rPr>
          <w:sz w:val="18"/>
        </w:rPr>
        <w:sectPr>
          <w:pgSz w:w="11910" w:h="16840"/>
          <w:pgMar w:top="1540" w:right="660" w:bottom="1260"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134" w:type="dxa"/>
          </w:tcPr>
          <w:p>
            <w:pPr>
              <w:pStyle w:val="11"/>
              <w:spacing w:line="231" w:lineRule="exact"/>
              <w:ind w:left="106"/>
              <w:rPr>
                <w:sz w:val="21"/>
              </w:rPr>
            </w:pPr>
            <w:r>
              <w:rPr>
                <w:sz w:val="21"/>
              </w:rPr>
              <w:t>断层扫描（PET）</w:t>
            </w:r>
            <w:r>
              <w:rPr>
                <w:spacing w:val="-1"/>
                <w:sz w:val="21"/>
              </w:rPr>
              <w:t>等影像学检查证实，并经相关专科医生确诊，且须满足下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4"/>
                <w:sz w:val="21"/>
              </w:rPr>
              <w:t>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z w:val="21"/>
              </w:rPr>
              <w:t>（1）由具有评估资格的专科医生根据临床痴呆评定量表</w:t>
            </w:r>
            <w:r>
              <w:rPr>
                <w:spacing w:val="-2"/>
                <w:sz w:val="21"/>
              </w:rPr>
              <w:t>（CDR，Clinical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z w:val="21"/>
              </w:rPr>
              <w:t>Dementia</w:t>
            </w:r>
            <w:r>
              <w:rPr>
                <w:spacing w:val="-20"/>
                <w:sz w:val="21"/>
              </w:rPr>
              <w:t xml:space="preserve"> </w:t>
            </w:r>
            <w:r>
              <w:rPr>
                <w:sz w:val="21"/>
              </w:rPr>
              <w:t>Rating）</w:t>
            </w:r>
            <w:r>
              <w:rPr>
                <w:spacing w:val="-9"/>
                <w:sz w:val="21"/>
              </w:rPr>
              <w:t xml:space="preserve">评估结果为 </w:t>
            </w:r>
            <w:r>
              <w:rPr>
                <w:sz w:val="21"/>
              </w:rPr>
              <w:t>3</w:t>
            </w:r>
            <w:r>
              <w:rPr>
                <w:spacing w:val="-22"/>
                <w:sz w:val="21"/>
              </w:rPr>
              <w:t xml:space="preserve"> 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z w:val="21"/>
              </w:rPr>
              <w:t>（2）</w:t>
            </w:r>
            <w:r>
              <w:rPr>
                <w:spacing w:val="-1"/>
                <w:sz w:val="21"/>
              </w:rPr>
              <w:t>自主生活能力完全丧失，无法独立完成六项基本日常生活活动中的三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4"/>
                <w:sz w:val="21"/>
              </w:rPr>
              <w:t>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color w:val="000000"/>
                <w:spacing w:val="-3"/>
                <w:sz w:val="21"/>
                <w:shd w:val="clear" w:color="auto" w:fill="C0C0C0"/>
              </w:rPr>
              <w:t>阿尔茨海默病之外的其他类型痴呆不在保障范围内。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63"/>
              <w:ind w:left="50"/>
              <w:rPr>
                <w:sz w:val="22"/>
              </w:rPr>
            </w:pPr>
            <w:r>
              <w:rPr>
                <w:spacing w:val="-2"/>
                <w:sz w:val="22"/>
              </w:rPr>
              <w:t>8.1.18</w:t>
            </w:r>
          </w:p>
        </w:tc>
        <w:tc>
          <w:tcPr>
            <w:tcW w:w="1687" w:type="dxa"/>
          </w:tcPr>
          <w:p>
            <w:pPr>
              <w:pStyle w:val="11"/>
              <w:spacing w:before="163"/>
              <w:ind w:left="233"/>
              <w:rPr>
                <w:sz w:val="22"/>
              </w:rPr>
            </w:pPr>
            <w:r>
              <w:rPr>
                <w:w w:val="95"/>
                <w:sz w:val="22"/>
              </w:rPr>
              <w:t>严重脑损</w:t>
            </w:r>
            <w:r>
              <w:rPr>
                <w:spacing w:val="-10"/>
                <w:w w:val="95"/>
                <w:sz w:val="22"/>
              </w:rPr>
              <w:t>伤</w:t>
            </w:r>
          </w:p>
        </w:tc>
        <w:tc>
          <w:tcPr>
            <w:tcW w:w="7134" w:type="dxa"/>
          </w:tcPr>
          <w:p>
            <w:pPr>
              <w:pStyle w:val="11"/>
              <w:spacing w:before="173"/>
              <w:ind w:left="106"/>
              <w:rPr>
                <w:sz w:val="21"/>
              </w:rPr>
            </w:pPr>
            <w:r>
              <w:rPr>
                <w:spacing w:val="-5"/>
                <w:sz w:val="21"/>
              </w:rPr>
              <w:t>指因头部遭受机械性外力，引起脑重要部位损伤，导致神经系统永久性的功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1"/>
              <w:ind w:left="106"/>
              <w:rPr>
                <w:sz w:val="21"/>
              </w:rPr>
            </w:pPr>
            <w:r>
              <w:rPr>
                <w:spacing w:val="-8"/>
                <w:sz w:val="21"/>
              </w:rPr>
              <w:t>能障碍。须由头颅断层扫描</w:t>
            </w:r>
            <w:r>
              <w:rPr>
                <w:spacing w:val="16"/>
                <w:sz w:val="21"/>
              </w:rPr>
              <w:t>（</w:t>
            </w:r>
            <w:r>
              <w:rPr>
                <w:spacing w:val="19"/>
                <w:sz w:val="21"/>
              </w:rPr>
              <w:t>CT</w:t>
            </w:r>
            <w:r>
              <w:rPr>
                <w:spacing w:val="-89"/>
                <w:sz w:val="21"/>
              </w:rPr>
              <w:t>）</w:t>
            </w:r>
            <w:r>
              <w:rPr>
                <w:spacing w:val="-8"/>
                <w:sz w:val="21"/>
              </w:rPr>
              <w:t>、核磁共振检查（MRI）</w:t>
            </w:r>
            <w:r>
              <w:rPr>
                <w:spacing w:val="-9"/>
                <w:sz w:val="21"/>
              </w:rPr>
              <w:t>或正电子发射断层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6"/>
                <w:sz w:val="21"/>
              </w:rPr>
              <w:t>扫描（PET）</w:t>
            </w:r>
            <w:r>
              <w:rPr>
                <w:spacing w:val="-7"/>
                <w:sz w:val="21"/>
              </w:rPr>
              <w:t xml:space="preserve">等影像学检查证实。神经系统永久性的功能障碍，指脑损伤 </w:t>
            </w:r>
            <w:r>
              <w:rPr>
                <w:spacing w:val="-6"/>
                <w:sz w:val="21"/>
              </w:rPr>
              <w:t>180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3"/>
                <w:sz w:val="21"/>
              </w:rPr>
              <w:t>天后，仍遗留下列至少一种障碍：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2"/>
                <w:sz w:val="21"/>
              </w:rPr>
              <w:t>（1）一肢（含）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2"/>
                <w:sz w:val="21"/>
              </w:rPr>
              <w:t>（2）</w:t>
            </w:r>
            <w:r>
              <w:rPr>
                <w:spacing w:val="-3"/>
                <w:sz w:val="21"/>
              </w:rPr>
              <w:t>语言能力完全丧失，或严重咀嚼吞咽功能障碍；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2"/>
                <w:sz w:val="21"/>
              </w:rPr>
              <w:t>（3）</w:t>
            </w:r>
            <w:r>
              <w:rPr>
                <w:spacing w:val="-3"/>
                <w:sz w:val="21"/>
              </w:rPr>
              <w:t>自主生活能力完全丧失，无法独立完成六项基本日常生活活动中的三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4"/>
                <w:sz w:val="21"/>
              </w:rPr>
              <w:t>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63"/>
              <w:ind w:left="50"/>
              <w:rPr>
                <w:sz w:val="22"/>
              </w:rPr>
            </w:pPr>
            <w:r>
              <w:rPr>
                <w:spacing w:val="-2"/>
                <w:sz w:val="22"/>
              </w:rPr>
              <w:t>8.1.19</w:t>
            </w:r>
          </w:p>
        </w:tc>
        <w:tc>
          <w:tcPr>
            <w:tcW w:w="1687" w:type="dxa"/>
          </w:tcPr>
          <w:p>
            <w:pPr>
              <w:pStyle w:val="11"/>
              <w:spacing w:before="163"/>
              <w:ind w:left="233"/>
              <w:rPr>
                <w:sz w:val="22"/>
              </w:rPr>
            </w:pPr>
            <w:r>
              <w:rPr>
                <w:w w:val="95"/>
                <w:sz w:val="22"/>
              </w:rPr>
              <w:t>严重</w:t>
            </w:r>
            <w:r>
              <w:rPr>
                <w:spacing w:val="-3"/>
                <w:w w:val="95"/>
                <w:sz w:val="22"/>
              </w:rPr>
              <w:t>原发性帕</w:t>
            </w:r>
          </w:p>
        </w:tc>
        <w:tc>
          <w:tcPr>
            <w:tcW w:w="7134" w:type="dxa"/>
          </w:tcPr>
          <w:p>
            <w:pPr>
              <w:pStyle w:val="11"/>
              <w:spacing w:before="173"/>
              <w:ind w:left="106"/>
              <w:rPr>
                <w:sz w:val="21"/>
              </w:rPr>
            </w:pPr>
            <w:r>
              <w:rPr>
                <w:spacing w:val="-5"/>
                <w:sz w:val="21"/>
              </w:rPr>
              <w:t>是一种中枢神经系统的退行性疾病，临床表现为运动迟缓、静止性震颤或肌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6"/>
              <w:ind w:left="233"/>
              <w:rPr>
                <w:sz w:val="22"/>
              </w:rPr>
            </w:pPr>
            <w:r>
              <w:rPr>
                <w:w w:val="95"/>
                <w:sz w:val="22"/>
              </w:rPr>
              <w:t>金森</w:t>
            </w:r>
            <w:r>
              <w:rPr>
                <w:spacing w:val="-10"/>
                <w:w w:val="95"/>
                <w:sz w:val="22"/>
              </w:rPr>
              <w:t>病</w:t>
            </w:r>
          </w:p>
        </w:tc>
        <w:tc>
          <w:tcPr>
            <w:tcW w:w="7134" w:type="dxa"/>
          </w:tcPr>
          <w:p>
            <w:pPr>
              <w:pStyle w:val="11"/>
              <w:spacing w:before="16"/>
              <w:ind w:left="106"/>
              <w:rPr>
                <w:sz w:val="21"/>
              </w:rPr>
            </w:pPr>
            <w:r>
              <w:rPr>
                <w:spacing w:val="-5"/>
                <w:sz w:val="21"/>
              </w:rPr>
              <w:t>强直等，经相关专科医生确诊，且须满足自主生活能力完全丧失，无法独立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1"/>
              <w:ind w:left="106"/>
              <w:rPr>
                <w:sz w:val="21"/>
              </w:rPr>
            </w:pPr>
            <w:r>
              <w:rPr>
                <w:spacing w:val="-3"/>
                <w:sz w:val="21"/>
              </w:rPr>
              <w:t>完成六项基本日常生活活动中的三项或三项以上。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color w:val="000000"/>
                <w:spacing w:val="-3"/>
                <w:sz w:val="21"/>
                <w:shd w:val="clear" w:color="auto" w:fill="C0C0C0"/>
              </w:rPr>
              <w:t>继发性帕金森综合征、帕金森叠加综合征不在保障范围内。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63"/>
              <w:ind w:left="50"/>
              <w:rPr>
                <w:sz w:val="22"/>
              </w:rPr>
            </w:pPr>
            <w:r>
              <w:rPr>
                <w:spacing w:val="-2"/>
                <w:sz w:val="22"/>
              </w:rPr>
              <w:t>8.1.20</w:t>
            </w:r>
          </w:p>
        </w:tc>
        <w:tc>
          <w:tcPr>
            <w:tcW w:w="1687" w:type="dxa"/>
          </w:tcPr>
          <w:p>
            <w:pPr>
              <w:pStyle w:val="11"/>
              <w:spacing w:before="163"/>
              <w:ind w:left="233"/>
              <w:rPr>
                <w:sz w:val="22"/>
              </w:rPr>
            </w:pPr>
            <w:r>
              <w:rPr>
                <w:w w:val="95"/>
                <w:sz w:val="22"/>
              </w:rPr>
              <w:t>严重</w:t>
            </w:r>
            <w:r>
              <w:rPr>
                <w:spacing w:val="-3"/>
                <w:w w:val="95"/>
                <w:sz w:val="22"/>
              </w:rPr>
              <w:t>Ⅲ度烧伤</w:t>
            </w:r>
          </w:p>
        </w:tc>
        <w:tc>
          <w:tcPr>
            <w:tcW w:w="7134" w:type="dxa"/>
          </w:tcPr>
          <w:p>
            <w:pPr>
              <w:pStyle w:val="11"/>
              <w:spacing w:before="173"/>
              <w:ind w:left="106"/>
              <w:rPr>
                <w:sz w:val="21"/>
              </w:rPr>
            </w:pPr>
            <w:r>
              <w:rPr>
                <w:spacing w:val="-12"/>
                <w:sz w:val="21"/>
              </w:rPr>
              <w:t xml:space="preserve">指烧伤程度为Ⅲ度，且Ⅲ度烧伤的面积达到全身体表面积的 </w:t>
            </w:r>
            <w:r>
              <w:rPr>
                <w:spacing w:val="-2"/>
                <w:sz w:val="21"/>
              </w:rPr>
              <w:t>20</w:t>
            </w:r>
            <w:r>
              <w:rPr>
                <w:spacing w:val="-15"/>
                <w:sz w:val="21"/>
              </w:rPr>
              <w:t xml:space="preserve">%或 </w:t>
            </w:r>
            <w:r>
              <w:rPr>
                <w:spacing w:val="-2"/>
                <w:sz w:val="21"/>
              </w:rPr>
              <w:t>20</w:t>
            </w: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1"/>
              <w:ind w:left="106"/>
              <w:rPr>
                <w:sz w:val="21"/>
              </w:rPr>
            </w:pPr>
            <w:r>
              <w:rPr>
                <w:spacing w:val="-3"/>
                <w:sz w:val="21"/>
              </w:rPr>
              <w:t>体表面积根据《中国新九分法》计算。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918" w:type="dxa"/>
          </w:tcPr>
          <w:p>
            <w:pPr>
              <w:pStyle w:val="11"/>
              <w:spacing w:before="163"/>
              <w:ind w:left="50"/>
              <w:rPr>
                <w:sz w:val="22"/>
              </w:rPr>
            </w:pPr>
            <w:r>
              <w:rPr>
                <w:spacing w:val="-2"/>
                <w:sz w:val="22"/>
              </w:rPr>
              <w:t>8.1.21</w:t>
            </w:r>
          </w:p>
        </w:tc>
        <w:tc>
          <w:tcPr>
            <w:tcW w:w="1687" w:type="dxa"/>
          </w:tcPr>
          <w:p>
            <w:pPr>
              <w:pStyle w:val="11"/>
              <w:spacing w:before="163"/>
              <w:ind w:left="233"/>
              <w:rPr>
                <w:sz w:val="22"/>
              </w:rPr>
            </w:pPr>
            <w:r>
              <w:rPr>
                <w:spacing w:val="10"/>
                <w:w w:val="95"/>
                <w:sz w:val="22"/>
              </w:rPr>
              <w:t>严重特发性肺</w:t>
            </w:r>
          </w:p>
        </w:tc>
        <w:tc>
          <w:tcPr>
            <w:tcW w:w="7134" w:type="dxa"/>
          </w:tcPr>
          <w:p>
            <w:pPr>
              <w:pStyle w:val="11"/>
              <w:spacing w:before="173"/>
              <w:ind w:left="106"/>
              <w:rPr>
                <w:sz w:val="21"/>
              </w:rPr>
            </w:pPr>
            <w:r>
              <w:rPr>
                <w:spacing w:val="-5"/>
                <w:sz w:val="21"/>
              </w:rPr>
              <w:t>指不明原因的肺动脉压力持续性增高，进行性发展而导致的慢性疾病，已经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8" w:hRule="atLeast"/>
        </w:trPr>
        <w:tc>
          <w:tcPr>
            <w:tcW w:w="918" w:type="dxa"/>
          </w:tcPr>
          <w:p>
            <w:pPr>
              <w:pStyle w:val="11"/>
              <w:rPr>
                <w:rFonts w:ascii="Times New Roman"/>
                <w:sz w:val="20"/>
              </w:rPr>
            </w:pPr>
          </w:p>
        </w:tc>
        <w:tc>
          <w:tcPr>
            <w:tcW w:w="1687" w:type="dxa"/>
          </w:tcPr>
          <w:p>
            <w:pPr>
              <w:pStyle w:val="11"/>
              <w:spacing w:before="6"/>
              <w:ind w:left="233"/>
              <w:rPr>
                <w:sz w:val="22"/>
              </w:rPr>
            </w:pPr>
            <w:r>
              <w:rPr>
                <w:w w:val="95"/>
                <w:sz w:val="22"/>
              </w:rPr>
              <w:t>动脉</w:t>
            </w:r>
            <w:r>
              <w:rPr>
                <w:spacing w:val="-5"/>
                <w:w w:val="95"/>
                <w:sz w:val="22"/>
              </w:rPr>
              <w:t>高压</w:t>
            </w:r>
          </w:p>
        </w:tc>
        <w:tc>
          <w:tcPr>
            <w:tcW w:w="7134" w:type="dxa"/>
          </w:tcPr>
          <w:p>
            <w:pPr>
              <w:pStyle w:val="11"/>
              <w:spacing w:line="299" w:lineRule="exact"/>
              <w:ind w:left="106"/>
              <w:rPr>
                <w:rFonts w:ascii="微软雅黑" w:eastAsia="微软雅黑"/>
                <w:b/>
                <w:sz w:val="21"/>
              </w:rPr>
            </w:pPr>
            <w:r>
              <w:rPr>
                <w:spacing w:val="-2"/>
                <w:sz w:val="21"/>
              </w:rPr>
              <w:t>造成永久不可逆性的体力活动能力受限，达到</w:t>
            </w:r>
            <w:r>
              <w:rPr>
                <w:rFonts w:ascii="微软雅黑" w:eastAsia="微软雅黑"/>
                <w:b/>
                <w:spacing w:val="-2"/>
                <w:sz w:val="21"/>
              </w:rPr>
              <w:t>美国纽约心脏病学会</w:t>
            </w:r>
            <w:r>
              <w:rPr>
                <w:rFonts w:ascii="微软雅黑" w:eastAsia="微软雅黑"/>
                <w:b/>
                <w:spacing w:val="-4"/>
                <w:sz w:val="21"/>
              </w:rPr>
              <w:t>（New</w:t>
            </w:r>
          </w:p>
          <w:p>
            <w:pPr>
              <w:pStyle w:val="11"/>
              <w:spacing w:line="309" w:lineRule="exact"/>
              <w:ind w:left="106"/>
              <w:rPr>
                <w:sz w:val="21"/>
              </w:rPr>
            </w:pPr>
            <w:r>
              <w:rPr>
                <w:rFonts w:ascii="微软雅黑" w:eastAsia="微软雅黑"/>
                <w:b/>
                <w:w w:val="90"/>
                <w:sz w:val="21"/>
              </w:rPr>
              <w:t>York</w:t>
            </w:r>
            <w:r>
              <w:rPr>
                <w:rFonts w:ascii="微软雅黑" w:eastAsia="微软雅黑"/>
                <w:b/>
                <w:spacing w:val="76"/>
                <w:w w:val="150"/>
                <w:sz w:val="21"/>
              </w:rPr>
              <w:t xml:space="preserve"> </w:t>
            </w:r>
            <w:r>
              <w:rPr>
                <w:rFonts w:ascii="微软雅黑" w:eastAsia="微软雅黑"/>
                <w:b/>
                <w:w w:val="90"/>
                <w:sz w:val="21"/>
              </w:rPr>
              <w:t>Heart</w:t>
            </w:r>
            <w:r>
              <w:rPr>
                <w:rFonts w:ascii="微软雅黑" w:eastAsia="微软雅黑"/>
                <w:b/>
                <w:spacing w:val="77"/>
                <w:w w:val="150"/>
                <w:sz w:val="21"/>
              </w:rPr>
              <w:t xml:space="preserve"> </w:t>
            </w:r>
            <w:r>
              <w:rPr>
                <w:rFonts w:ascii="微软雅黑" w:eastAsia="微软雅黑"/>
                <w:b/>
                <w:w w:val="90"/>
                <w:sz w:val="21"/>
              </w:rPr>
              <w:t>Association，NYHA）心功能状态分级</w:t>
            </w:r>
            <w:r>
              <w:rPr>
                <w:rFonts w:ascii="微软雅黑" w:eastAsia="微软雅黑"/>
                <w:b/>
                <w:w w:val="90"/>
                <w:position w:val="11"/>
                <w:sz w:val="11"/>
              </w:rPr>
              <w:t>27</w:t>
            </w:r>
            <w:r>
              <w:rPr>
                <w:w w:val="90"/>
                <w:sz w:val="21"/>
              </w:rPr>
              <w:t>IV</w:t>
            </w:r>
            <w:r>
              <w:rPr>
                <w:spacing w:val="2"/>
                <w:sz w:val="21"/>
              </w:rPr>
              <w:t xml:space="preserve"> </w:t>
            </w:r>
            <w:r>
              <w:rPr>
                <w:spacing w:val="-2"/>
                <w:w w:val="90"/>
                <w:sz w:val="21"/>
              </w:rPr>
              <w:t>级，且静息状态下肺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4"/>
                <w:sz w:val="21"/>
              </w:rPr>
              <w:t xml:space="preserve">动脉平均压在 </w:t>
            </w:r>
            <w:r>
              <w:rPr>
                <w:sz w:val="21"/>
              </w:rPr>
              <w:t>36mmHg（含）</w:t>
            </w: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63"/>
              <w:ind w:left="50"/>
              <w:rPr>
                <w:sz w:val="22"/>
              </w:rPr>
            </w:pPr>
            <w:r>
              <w:rPr>
                <w:spacing w:val="-2"/>
                <w:sz w:val="22"/>
              </w:rPr>
              <w:t>8.1.22</w:t>
            </w:r>
          </w:p>
        </w:tc>
        <w:tc>
          <w:tcPr>
            <w:tcW w:w="1687" w:type="dxa"/>
          </w:tcPr>
          <w:p>
            <w:pPr>
              <w:pStyle w:val="11"/>
              <w:spacing w:before="163"/>
              <w:ind w:left="233"/>
              <w:rPr>
                <w:sz w:val="22"/>
              </w:rPr>
            </w:pPr>
            <w:r>
              <w:rPr>
                <w:spacing w:val="10"/>
                <w:w w:val="95"/>
                <w:sz w:val="22"/>
              </w:rPr>
              <w:t>严重运动神经</w:t>
            </w:r>
          </w:p>
        </w:tc>
        <w:tc>
          <w:tcPr>
            <w:tcW w:w="7134" w:type="dxa"/>
          </w:tcPr>
          <w:p>
            <w:pPr>
              <w:pStyle w:val="11"/>
              <w:spacing w:before="173"/>
              <w:ind w:left="106"/>
              <w:rPr>
                <w:sz w:val="21"/>
              </w:rPr>
            </w:pPr>
            <w:r>
              <w:rPr>
                <w:spacing w:val="-1"/>
                <w:sz w:val="21"/>
              </w:rPr>
              <w:t>是一组中枢神经系统运动神经元的进行性变性疾病，包括进行性脊肌萎缩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6"/>
              <w:ind w:left="233"/>
              <w:rPr>
                <w:sz w:val="22"/>
              </w:rPr>
            </w:pPr>
            <w:r>
              <w:rPr>
                <w:w w:val="95"/>
                <w:sz w:val="22"/>
              </w:rPr>
              <w:t>元</w:t>
            </w:r>
            <w:r>
              <w:rPr>
                <w:spacing w:val="-10"/>
                <w:sz w:val="22"/>
              </w:rPr>
              <w:t>病</w:t>
            </w:r>
          </w:p>
        </w:tc>
        <w:tc>
          <w:tcPr>
            <w:tcW w:w="7134" w:type="dxa"/>
          </w:tcPr>
          <w:p>
            <w:pPr>
              <w:pStyle w:val="11"/>
              <w:spacing w:before="16"/>
              <w:ind w:left="106"/>
              <w:rPr>
                <w:sz w:val="21"/>
              </w:rPr>
            </w:pPr>
            <w:r>
              <w:rPr>
                <w:spacing w:val="-5"/>
                <w:sz w:val="21"/>
              </w:rPr>
              <w:t>症、进行性延髓麻痹症、原发性侧索硬化症、肌萎缩性侧索硬化症。经相关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1"/>
              <w:ind w:left="106"/>
              <w:rPr>
                <w:sz w:val="21"/>
              </w:rPr>
            </w:pPr>
            <w:r>
              <w:rPr>
                <w:spacing w:val="-3"/>
                <w:sz w:val="21"/>
              </w:rPr>
              <w:t>专科医生确诊，且须满足下列至少一项条件：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2"/>
                <w:sz w:val="21"/>
              </w:rPr>
              <w:t>（1）</w:t>
            </w:r>
            <w:r>
              <w:rPr>
                <w:spacing w:val="-3"/>
                <w:sz w:val="21"/>
              </w:rPr>
              <w:t>严重咀嚼吞咽功能障碍；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2"/>
                <w:sz w:val="21"/>
              </w:rPr>
              <w:t>（2）</w:t>
            </w:r>
            <w:r>
              <w:rPr>
                <w:spacing w:val="-3"/>
                <w:sz w:val="21"/>
              </w:rPr>
              <w:t xml:space="preserve">呼吸肌麻痹导致严重呼吸困难，且已经持续使用呼吸机 </w:t>
            </w:r>
            <w:r>
              <w:rPr>
                <w:spacing w:val="-2"/>
                <w:sz w:val="21"/>
              </w:rPr>
              <w:t>7</w:t>
            </w:r>
            <w:r>
              <w:rPr>
                <w:spacing w:val="-12"/>
                <w:sz w:val="21"/>
              </w:rPr>
              <w:t xml:space="preserve"> 天</w:t>
            </w:r>
            <w:r>
              <w:rPr>
                <w:spacing w:val="-2"/>
                <w:sz w:val="21"/>
              </w:rPr>
              <w:t>（含）</w:t>
            </w:r>
            <w:r>
              <w:rPr>
                <w:spacing w:val="-10"/>
                <w:sz w:val="21"/>
              </w:rPr>
              <w:t>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pacing w:val="-5"/>
                <w:sz w:val="21"/>
              </w:rPr>
              <w:t>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12"/>
              <w:ind w:left="106"/>
              <w:rPr>
                <w:sz w:val="21"/>
              </w:rPr>
            </w:pPr>
            <w:r>
              <w:rPr>
                <w:sz w:val="21"/>
              </w:rPr>
              <w:t>（3）</w:t>
            </w:r>
            <w:r>
              <w:rPr>
                <w:spacing w:val="-1"/>
                <w:sz w:val="21"/>
              </w:rPr>
              <w:t>自主生活能力完全丧失，无法独立完成六项基本日常生活活动中的三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134" w:type="dxa"/>
          </w:tcPr>
          <w:p>
            <w:pPr>
              <w:pStyle w:val="11"/>
              <w:spacing w:before="12" w:line="229" w:lineRule="exact"/>
              <w:ind w:left="106"/>
              <w:rPr>
                <w:sz w:val="21"/>
              </w:rPr>
            </w:pPr>
            <w:r>
              <w:rPr>
                <w:spacing w:val="-4"/>
                <w:sz w:val="21"/>
              </w:rPr>
              <w:t>项或三项以上。</w:t>
            </w:r>
          </w:p>
        </w:tc>
      </w:tr>
    </w:tbl>
    <w:p>
      <w:pPr>
        <w:pStyle w:val="6"/>
        <w:rPr>
          <w:sz w:val="20"/>
        </w:rPr>
      </w:pPr>
    </w:p>
    <w:p>
      <w:pPr>
        <w:pStyle w:val="6"/>
        <w:spacing w:before="1"/>
        <w:rPr>
          <w:sz w:val="24"/>
        </w:rPr>
      </w:pPr>
      <w:r>
        <w:drawing>
          <wp:anchor distT="0" distB="0" distL="0" distR="0" simplePos="0" relativeHeight="251659264" behindDoc="0" locked="0" layoutInCell="1" allowOverlap="1">
            <wp:simplePos x="0" y="0"/>
            <wp:positionH relativeFrom="page">
              <wp:posOffset>827405</wp:posOffset>
            </wp:positionH>
            <wp:positionV relativeFrom="paragraph">
              <wp:posOffset>210820</wp:posOffset>
            </wp:positionV>
            <wp:extent cx="1829435" cy="6350"/>
            <wp:effectExtent l="0" t="0" r="0" b="0"/>
            <wp:wrapTopAndBottom/>
            <wp:docPr id="8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6.png"/>
                    <pic:cNvPicPr>
                      <a:picLocks noChangeAspect="1"/>
                    </pic:cNvPicPr>
                  </pic:nvPicPr>
                  <pic:blipFill>
                    <a:blip r:embed="rId32" cstate="print"/>
                    <a:stretch>
                      <a:fillRect/>
                    </a:stretch>
                  </pic:blipFill>
                  <pic:spPr>
                    <a:xfrm>
                      <a:off x="0" y="0"/>
                      <a:ext cx="1829511" cy="6095"/>
                    </a:xfrm>
                    <a:prstGeom prst="rect">
                      <a:avLst/>
                    </a:prstGeom>
                  </pic:spPr>
                </pic:pic>
              </a:graphicData>
            </a:graphic>
          </wp:anchor>
        </w:drawing>
      </w:r>
    </w:p>
    <w:p>
      <w:pPr>
        <w:spacing w:before="71" w:line="206" w:lineRule="auto"/>
        <w:ind w:left="723" w:right="0" w:firstLine="0"/>
        <w:jc w:val="left"/>
        <w:rPr>
          <w:sz w:val="18"/>
        </w:rPr>
      </w:pPr>
      <w:r>
        <w:rPr>
          <w:rFonts w:ascii="Times New Roman" w:eastAsia="Times New Roman"/>
          <w:w w:val="95"/>
          <w:sz w:val="18"/>
          <w:vertAlign w:val="superscript"/>
        </w:rPr>
        <w:t>27</w:t>
      </w:r>
      <w:r>
        <w:rPr>
          <w:rFonts w:ascii="Times New Roman" w:eastAsia="Times New Roman"/>
          <w:spacing w:val="46"/>
          <w:w w:val="95"/>
          <w:sz w:val="18"/>
          <w:vertAlign w:val="baseline"/>
        </w:rPr>
        <w:t xml:space="preserve"> </w:t>
      </w:r>
      <w:r>
        <w:rPr>
          <w:rFonts w:ascii="微软雅黑" w:eastAsia="微软雅黑"/>
          <w:b/>
          <w:w w:val="95"/>
          <w:sz w:val="18"/>
          <w:vertAlign w:val="baseline"/>
        </w:rPr>
        <w:t>美国纽约心脏病学会（New</w:t>
      </w:r>
      <w:r>
        <w:rPr>
          <w:rFonts w:ascii="微软雅黑" w:eastAsia="微软雅黑"/>
          <w:b/>
          <w:spacing w:val="40"/>
          <w:sz w:val="18"/>
          <w:vertAlign w:val="baseline"/>
        </w:rPr>
        <w:t xml:space="preserve"> </w:t>
      </w:r>
      <w:r>
        <w:rPr>
          <w:rFonts w:ascii="微软雅黑" w:eastAsia="微软雅黑"/>
          <w:b/>
          <w:w w:val="95"/>
          <w:sz w:val="18"/>
          <w:vertAlign w:val="baseline"/>
        </w:rPr>
        <w:t>York</w:t>
      </w:r>
      <w:r>
        <w:rPr>
          <w:rFonts w:ascii="微软雅黑" w:eastAsia="微软雅黑"/>
          <w:b/>
          <w:spacing w:val="40"/>
          <w:sz w:val="18"/>
          <w:vertAlign w:val="baseline"/>
        </w:rPr>
        <w:t xml:space="preserve"> </w:t>
      </w:r>
      <w:r>
        <w:rPr>
          <w:rFonts w:ascii="微软雅黑" w:eastAsia="微软雅黑"/>
          <w:b/>
          <w:w w:val="95"/>
          <w:sz w:val="18"/>
          <w:vertAlign w:val="baseline"/>
        </w:rPr>
        <w:t>Heart</w:t>
      </w:r>
      <w:r>
        <w:rPr>
          <w:rFonts w:ascii="微软雅黑" w:eastAsia="微软雅黑"/>
          <w:b/>
          <w:sz w:val="18"/>
          <w:vertAlign w:val="baseline"/>
        </w:rPr>
        <w:t xml:space="preserve"> </w:t>
      </w:r>
      <w:r>
        <w:rPr>
          <w:rFonts w:ascii="微软雅黑" w:eastAsia="微软雅黑"/>
          <w:b/>
          <w:w w:val="67"/>
          <w:sz w:val="18"/>
          <w:vertAlign w:val="baseline"/>
        </w:rPr>
        <w:t>A</w:t>
      </w:r>
      <w:r>
        <w:rPr>
          <w:rFonts w:ascii="微软雅黑" w:eastAsia="微软雅黑"/>
          <w:b/>
          <w:w w:val="102"/>
          <w:sz w:val="18"/>
          <w:vertAlign w:val="baseline"/>
        </w:rPr>
        <w:t>ss</w:t>
      </w:r>
      <w:r>
        <w:rPr>
          <w:rFonts w:ascii="微软雅黑" w:eastAsia="微软雅黑"/>
          <w:b/>
          <w:w w:val="77"/>
          <w:sz w:val="18"/>
          <w:vertAlign w:val="baseline"/>
        </w:rPr>
        <w:t>o</w:t>
      </w:r>
      <w:r>
        <w:rPr>
          <w:rFonts w:ascii="微软雅黑" w:eastAsia="微软雅黑"/>
          <w:b/>
          <w:spacing w:val="-3"/>
          <w:w w:val="97"/>
          <w:sz w:val="18"/>
          <w:vertAlign w:val="baseline"/>
        </w:rPr>
        <w:t>c</w:t>
      </w:r>
      <w:r>
        <w:rPr>
          <w:rFonts w:ascii="微软雅黑" w:eastAsia="微软雅黑"/>
          <w:b/>
          <w:w w:val="169"/>
          <w:sz w:val="18"/>
          <w:vertAlign w:val="baseline"/>
        </w:rPr>
        <w:t>i</w:t>
      </w:r>
      <w:r>
        <w:rPr>
          <w:rFonts w:ascii="微软雅黑" w:eastAsia="微软雅黑"/>
          <w:b/>
          <w:w w:val="87"/>
          <w:sz w:val="18"/>
          <w:vertAlign w:val="baseline"/>
        </w:rPr>
        <w:t>a</w:t>
      </w:r>
      <w:r>
        <w:rPr>
          <w:rFonts w:ascii="微软雅黑" w:eastAsia="微软雅黑"/>
          <w:b/>
          <w:w w:val="121"/>
          <w:sz w:val="18"/>
          <w:vertAlign w:val="baseline"/>
        </w:rPr>
        <w:t>t</w:t>
      </w:r>
      <w:r>
        <w:rPr>
          <w:rFonts w:ascii="微软雅黑" w:eastAsia="微软雅黑"/>
          <w:b/>
          <w:w w:val="169"/>
          <w:sz w:val="18"/>
          <w:vertAlign w:val="baseline"/>
        </w:rPr>
        <w:t>i</w:t>
      </w:r>
      <w:r>
        <w:rPr>
          <w:rFonts w:ascii="微软雅黑" w:eastAsia="微软雅黑"/>
          <w:b/>
          <w:spacing w:val="-3"/>
          <w:w w:val="77"/>
          <w:sz w:val="18"/>
          <w:vertAlign w:val="baseline"/>
        </w:rPr>
        <w:t>o</w:t>
      </w:r>
      <w:r>
        <w:rPr>
          <w:rFonts w:ascii="微软雅黑" w:eastAsia="微软雅黑"/>
          <w:b/>
          <w:spacing w:val="3"/>
          <w:w w:val="78"/>
          <w:sz w:val="18"/>
          <w:vertAlign w:val="baseline"/>
        </w:rPr>
        <w:t>n</w:t>
      </w:r>
      <w:r>
        <w:rPr>
          <w:rFonts w:ascii="微软雅黑" w:eastAsia="微软雅黑"/>
          <w:b/>
          <w:spacing w:val="-1"/>
          <w:w w:val="101"/>
          <w:sz w:val="18"/>
          <w:vertAlign w:val="baseline"/>
        </w:rPr>
        <w:t>，</w:t>
      </w:r>
      <w:r>
        <w:rPr>
          <w:rFonts w:ascii="微软雅黑" w:eastAsia="微软雅黑"/>
          <w:b/>
          <w:w w:val="66"/>
          <w:sz w:val="18"/>
          <w:vertAlign w:val="baseline"/>
        </w:rPr>
        <w:t>NYH</w:t>
      </w:r>
      <w:r>
        <w:rPr>
          <w:rFonts w:ascii="微软雅黑" w:eastAsia="微软雅黑"/>
          <w:b/>
          <w:spacing w:val="-3"/>
          <w:w w:val="66"/>
          <w:sz w:val="18"/>
          <w:vertAlign w:val="baseline"/>
        </w:rPr>
        <w:t>A</w:t>
      </w:r>
      <w:r>
        <w:rPr>
          <w:rFonts w:ascii="微软雅黑" w:eastAsia="微软雅黑"/>
          <w:b/>
          <w:spacing w:val="1"/>
          <w:w w:val="101"/>
          <w:sz w:val="18"/>
          <w:vertAlign w:val="baseline"/>
        </w:rPr>
        <w:t>）</w:t>
      </w:r>
      <w:r>
        <w:rPr>
          <w:rFonts w:ascii="微软雅黑" w:eastAsia="微软雅黑"/>
          <w:b/>
          <w:w w:val="95"/>
          <w:sz w:val="18"/>
          <w:vertAlign w:val="baseline"/>
        </w:rPr>
        <w:t>心功能状态分级：</w:t>
      </w:r>
      <w:r>
        <w:rPr>
          <w:w w:val="95"/>
          <w:sz w:val="18"/>
          <w:vertAlign w:val="baseline"/>
        </w:rPr>
        <w:t xml:space="preserve">美国纽约心脏病学会（New York Heart </w:t>
      </w:r>
      <w:r>
        <w:rPr>
          <w:spacing w:val="-2"/>
          <w:sz w:val="18"/>
          <w:vertAlign w:val="baseline"/>
        </w:rPr>
        <w:t>Association，NYHA）将心功能状态分为四级：</w:t>
      </w:r>
    </w:p>
    <w:p>
      <w:pPr>
        <w:spacing w:before="9" w:line="242" w:lineRule="auto"/>
        <w:ind w:left="723" w:right="2741" w:firstLine="0"/>
        <w:jc w:val="left"/>
        <w:rPr>
          <w:sz w:val="18"/>
        </w:rPr>
      </w:pPr>
      <w:r>
        <w:rPr>
          <w:spacing w:val="-2"/>
          <w:sz w:val="18"/>
        </w:rPr>
        <w:t>Ⅰ级：心脏病病人日常活动量不受限制，一般活动不引起乏力、呼吸困难等心衰症状。</w:t>
      </w:r>
      <w:r>
        <w:rPr>
          <w:spacing w:val="80"/>
          <w:sz w:val="18"/>
        </w:rPr>
        <w:t xml:space="preserve">  </w:t>
      </w:r>
      <w:r>
        <w:rPr>
          <w:spacing w:val="-2"/>
          <w:sz w:val="18"/>
        </w:rPr>
        <w:t>Ⅱ级：心脏病病人体力活动轻度受限制，休息时无自觉症状，一般活动下可出现心衰症状。 Ⅲ级：心脏病病人体力活动明显受限，低于平时一般活动即引起心衰症状。</w:t>
      </w:r>
      <w:r>
        <w:rPr>
          <w:spacing w:val="80"/>
          <w:w w:val="150"/>
          <w:sz w:val="18"/>
        </w:rPr>
        <w:t xml:space="preserve">      </w:t>
      </w:r>
      <w:r>
        <w:rPr>
          <w:spacing w:val="-2"/>
          <w:sz w:val="18"/>
        </w:rPr>
        <w:t>Ⅳ级：心脏病病人不能从事任何体力活动，休息状态下也存在心衰症状，活动后加重。</w:t>
      </w:r>
    </w:p>
    <w:p>
      <w:pPr>
        <w:spacing w:after="0" w:line="242" w:lineRule="auto"/>
        <w:jc w:val="left"/>
        <w:rPr>
          <w:sz w:val="18"/>
        </w:rPr>
        <w:sectPr>
          <w:pgSz w:w="11910" w:h="16840"/>
          <w:pgMar w:top="1540" w:right="660" w:bottom="1260"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918" w:type="dxa"/>
          </w:tcPr>
          <w:p>
            <w:pPr>
              <w:pStyle w:val="11"/>
              <w:spacing w:line="248" w:lineRule="exact"/>
              <w:ind w:left="50"/>
              <w:rPr>
                <w:sz w:val="22"/>
              </w:rPr>
            </w:pPr>
            <w:r>
              <w:rPr>
                <w:spacing w:val="-2"/>
                <w:sz w:val="22"/>
              </w:rPr>
              <w:t>8.1.23</w:t>
            </w:r>
          </w:p>
        </w:tc>
        <w:tc>
          <w:tcPr>
            <w:tcW w:w="1687" w:type="dxa"/>
          </w:tcPr>
          <w:p>
            <w:pPr>
              <w:pStyle w:val="11"/>
              <w:spacing w:line="248" w:lineRule="exact"/>
              <w:ind w:left="233"/>
              <w:rPr>
                <w:sz w:val="22"/>
              </w:rPr>
            </w:pPr>
            <w:r>
              <w:rPr>
                <w:w w:val="95"/>
                <w:sz w:val="22"/>
              </w:rPr>
              <w:t>语言</w:t>
            </w:r>
            <w:r>
              <w:rPr>
                <w:spacing w:val="-3"/>
                <w:w w:val="95"/>
                <w:sz w:val="22"/>
              </w:rPr>
              <w:t>能力丧失</w:t>
            </w:r>
          </w:p>
        </w:tc>
        <w:tc>
          <w:tcPr>
            <w:tcW w:w="7133" w:type="dxa"/>
          </w:tcPr>
          <w:p>
            <w:pPr>
              <w:pStyle w:val="11"/>
              <w:spacing w:line="248" w:lineRule="exact"/>
              <w:ind w:left="106"/>
              <w:rPr>
                <w:sz w:val="21"/>
              </w:rPr>
            </w:pPr>
            <w:r>
              <w:rPr>
                <w:spacing w:val="-9"/>
                <w:sz w:val="21"/>
              </w:rPr>
              <w:t xml:space="preserve">指因疾病或意外伤害导致语言能力完全丧失，经过积极治疗至少 </w:t>
            </w:r>
            <w:r>
              <w:rPr>
                <w:spacing w:val="-2"/>
                <w:sz w:val="21"/>
              </w:rPr>
              <w:t>12</w:t>
            </w:r>
            <w:r>
              <w:rPr>
                <w:spacing w:val="-45"/>
                <w:sz w:val="21"/>
              </w:rPr>
              <w:t xml:space="preserve"> 个月</w:t>
            </w:r>
            <w:r>
              <w:rPr>
                <w:spacing w:val="-2"/>
                <w:sz w:val="21"/>
              </w:rPr>
              <w:t>（</w:t>
            </w:r>
            <w:r>
              <w:rPr>
                <w:spacing w:val="-10"/>
                <w:sz w:val="21"/>
              </w:rPr>
              <w:t>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spacing w:line="292" w:lineRule="exact"/>
              <w:ind w:left="233"/>
              <w:rPr>
                <w:rFonts w:ascii="微软雅黑" w:eastAsia="微软雅黑"/>
                <w:b/>
                <w:sz w:val="22"/>
              </w:rPr>
            </w:pPr>
            <w:r>
              <w:rPr>
                <w:rFonts w:ascii="微软雅黑" w:eastAsia="微软雅黑"/>
                <w:b/>
                <w:w w:val="95"/>
                <w:sz w:val="22"/>
              </w:rPr>
              <w:t>（三周岁以</w:t>
            </w:r>
            <w:r>
              <w:rPr>
                <w:rFonts w:ascii="微软雅黑" w:eastAsia="微软雅黑"/>
                <w:b/>
                <w:spacing w:val="-10"/>
                <w:w w:val="95"/>
                <w:sz w:val="22"/>
              </w:rPr>
              <w:t>上</w:t>
            </w:r>
          </w:p>
        </w:tc>
        <w:tc>
          <w:tcPr>
            <w:tcW w:w="7133" w:type="dxa"/>
          </w:tcPr>
          <w:p>
            <w:pPr>
              <w:pStyle w:val="11"/>
              <w:spacing w:before="26" w:line="266" w:lineRule="exact"/>
              <w:ind w:left="106"/>
              <w:rPr>
                <w:sz w:val="21"/>
              </w:rPr>
            </w:pPr>
            <w:r>
              <w:rPr>
                <w:spacing w:val="-2"/>
                <w:sz w:val="21"/>
              </w:rPr>
              <w:t>带完全切除不受此时间限制</w:t>
            </w:r>
            <w:r>
              <w:rPr>
                <w:spacing w:val="-106"/>
                <w:sz w:val="21"/>
              </w:rPr>
              <w:t>）</w:t>
            </w:r>
            <w:r>
              <w:rPr>
                <w:spacing w:val="-4"/>
                <w:sz w:val="21"/>
              </w:rPr>
              <w:t>，仍无法通过现有医疗手段恢复。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line="297" w:lineRule="exact"/>
              <w:ind w:left="233"/>
              <w:rPr>
                <w:rFonts w:ascii="微软雅黑" w:eastAsia="微软雅黑"/>
                <w:b/>
                <w:sz w:val="22"/>
              </w:rPr>
            </w:pPr>
            <w:r>
              <w:rPr>
                <w:rFonts w:ascii="微软雅黑" w:eastAsia="微软雅黑"/>
                <w:b/>
                <w:w w:val="95"/>
                <w:sz w:val="22"/>
              </w:rPr>
              <w:t>理赔</w:t>
            </w:r>
            <w:r>
              <w:rPr>
                <w:rFonts w:ascii="微软雅黑" w:eastAsia="微软雅黑"/>
                <w:b/>
                <w:spacing w:val="-10"/>
                <w:w w:val="95"/>
                <w:sz w:val="22"/>
              </w:rPr>
              <w:t>）</w:t>
            </w:r>
          </w:p>
        </w:tc>
        <w:tc>
          <w:tcPr>
            <w:tcW w:w="7133" w:type="dxa"/>
          </w:tcPr>
          <w:p>
            <w:pPr>
              <w:pStyle w:val="11"/>
              <w:spacing w:before="26"/>
              <w:ind w:left="106"/>
              <w:rPr>
                <w:sz w:val="21"/>
              </w:rPr>
            </w:pPr>
            <w:r>
              <w:rPr>
                <w:color w:val="000000"/>
                <w:spacing w:val="-3"/>
                <w:sz w:val="21"/>
                <w:shd w:val="clear" w:color="auto" w:fill="C0C0C0"/>
              </w:rPr>
              <w:t>精神心理因素所致的语言能力丧失不在保障范围内。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line="291" w:lineRule="exact"/>
              <w:ind w:left="106"/>
              <w:rPr>
                <w:rFonts w:ascii="微软雅黑" w:eastAsia="微软雅黑"/>
                <w:b/>
                <w:sz w:val="21"/>
              </w:rPr>
            </w:pPr>
            <w:r>
              <w:rPr>
                <w:rFonts w:ascii="微软雅黑" w:eastAsia="微软雅黑"/>
                <w:b/>
                <w:spacing w:val="-8"/>
                <w:sz w:val="21"/>
              </w:rPr>
              <w:t>被保险人申请理赔时年龄必须在三周岁以上，并且提供理赔当时的语言能力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6"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line="342" w:lineRule="exact"/>
              <w:ind w:left="106"/>
              <w:rPr>
                <w:rFonts w:ascii="微软雅黑" w:eastAsia="微软雅黑"/>
                <w:b/>
                <w:sz w:val="21"/>
              </w:rPr>
            </w:pPr>
            <w:r>
              <w:rPr>
                <w:rFonts w:ascii="微软雅黑" w:eastAsia="微软雅黑"/>
                <w:b/>
                <w:spacing w:val="-3"/>
                <w:sz w:val="21"/>
              </w:rPr>
              <w:t>丧失诊断及检查证据。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918" w:type="dxa"/>
          </w:tcPr>
          <w:p>
            <w:pPr>
              <w:pStyle w:val="11"/>
              <w:spacing w:before="176" w:line="276" w:lineRule="exact"/>
              <w:ind w:left="50"/>
              <w:rPr>
                <w:sz w:val="22"/>
              </w:rPr>
            </w:pPr>
            <w:r>
              <w:rPr>
                <w:spacing w:val="-2"/>
                <w:sz w:val="22"/>
              </w:rPr>
              <w:t>8.1.24</w:t>
            </w:r>
          </w:p>
        </w:tc>
        <w:tc>
          <w:tcPr>
            <w:tcW w:w="1687" w:type="dxa"/>
          </w:tcPr>
          <w:p>
            <w:pPr>
              <w:pStyle w:val="11"/>
              <w:spacing w:before="176" w:line="276" w:lineRule="exact"/>
              <w:ind w:left="233"/>
              <w:rPr>
                <w:sz w:val="22"/>
              </w:rPr>
            </w:pPr>
            <w:r>
              <w:rPr>
                <w:spacing w:val="10"/>
                <w:w w:val="95"/>
                <w:sz w:val="22"/>
              </w:rPr>
              <w:t>重型再生障碍</w:t>
            </w:r>
          </w:p>
        </w:tc>
        <w:tc>
          <w:tcPr>
            <w:tcW w:w="7133" w:type="dxa"/>
          </w:tcPr>
          <w:p>
            <w:pPr>
              <w:pStyle w:val="11"/>
              <w:spacing w:before="7"/>
              <w:rPr>
                <w:sz w:val="14"/>
              </w:rPr>
            </w:pPr>
          </w:p>
          <w:p>
            <w:pPr>
              <w:pStyle w:val="11"/>
              <w:spacing w:line="266" w:lineRule="exact"/>
              <w:ind w:left="106"/>
              <w:rPr>
                <w:sz w:val="21"/>
              </w:rPr>
            </w:pPr>
            <w:r>
              <w:rPr>
                <w:spacing w:val="-6"/>
                <w:sz w:val="21"/>
              </w:rPr>
              <w:t>指因骨髓造血功能慢性持续性衰竭导致的贫血、中性粒细胞减少及血小板减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性贫</w:t>
            </w:r>
            <w:r>
              <w:rPr>
                <w:spacing w:val="-10"/>
                <w:w w:val="95"/>
                <w:sz w:val="22"/>
              </w:rPr>
              <w:t>血</w:t>
            </w:r>
          </w:p>
        </w:tc>
        <w:tc>
          <w:tcPr>
            <w:tcW w:w="7133" w:type="dxa"/>
          </w:tcPr>
          <w:p>
            <w:pPr>
              <w:pStyle w:val="11"/>
              <w:spacing w:before="26"/>
              <w:ind w:left="106"/>
              <w:rPr>
                <w:sz w:val="21"/>
              </w:rPr>
            </w:pPr>
            <w:r>
              <w:rPr>
                <w:spacing w:val="-3"/>
                <w:sz w:val="21"/>
              </w:rPr>
              <w:t>少，且须满足下列全部条件：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z w:val="21"/>
              </w:rPr>
              <w:t>（1）</w:t>
            </w:r>
            <w:r>
              <w:rPr>
                <w:spacing w:val="-1"/>
                <w:sz w:val="21"/>
              </w:rPr>
              <w:t>骨髓穿刺检查或骨髓活检结果支持诊断：骨髓细胞增生程度&lt;正常的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2"/>
                <w:sz w:val="21"/>
              </w:rPr>
              <w:t>25%</w:t>
            </w:r>
            <w:r>
              <w:rPr>
                <w:spacing w:val="-7"/>
                <w:sz w:val="21"/>
              </w:rPr>
              <w:t xml:space="preserve">；如≥正常的 </w:t>
            </w:r>
            <w:r>
              <w:rPr>
                <w:spacing w:val="-2"/>
                <w:sz w:val="21"/>
              </w:rPr>
              <w:t>25%但&lt;50</w:t>
            </w:r>
            <w:r>
              <w:rPr>
                <w:spacing w:val="-3"/>
                <w:sz w:val="21"/>
              </w:rPr>
              <w:t>%，则残存的造血细胞应&lt;</w:t>
            </w:r>
            <w:r>
              <w:rPr>
                <w:spacing w:val="-4"/>
                <w:sz w:val="21"/>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line="268" w:lineRule="exact"/>
              <w:ind w:left="106"/>
              <w:rPr>
                <w:sz w:val="21"/>
              </w:rPr>
            </w:pPr>
            <w:r>
              <w:rPr>
                <w:spacing w:val="-2"/>
                <w:sz w:val="21"/>
              </w:rPr>
              <w:t>（2）</w:t>
            </w:r>
            <w:r>
              <w:rPr>
                <w:spacing w:val="-3"/>
                <w:sz w:val="21"/>
              </w:rPr>
              <w:t>外周血象须具备以下三项条件中的两项：</w:t>
            </w:r>
          </w:p>
          <w:p>
            <w:pPr>
              <w:pStyle w:val="11"/>
              <w:spacing w:line="312" w:lineRule="exact"/>
              <w:ind w:left="106"/>
              <w:rPr>
                <w:sz w:val="21"/>
              </w:rPr>
            </w:pPr>
            <w:r>
              <w:rPr>
                <w:spacing w:val="-3"/>
                <w:sz w:val="21"/>
              </w:rPr>
              <w:t>① 中性粒细胞绝对值</w:t>
            </w:r>
            <w:r>
              <w:rPr>
                <w:spacing w:val="-2"/>
                <w:sz w:val="21"/>
              </w:rPr>
              <w:t>&lt;0.5×10</w:t>
            </w:r>
            <w:r>
              <w:rPr>
                <w:rFonts w:ascii="微软雅黑" w:hAnsi="微软雅黑" w:eastAsia="微软雅黑"/>
                <w:b/>
                <w:spacing w:val="-2"/>
                <w:position w:val="11"/>
                <w:sz w:val="11"/>
              </w:rPr>
              <w:t>9</w:t>
            </w:r>
            <w:r>
              <w:rPr>
                <w:spacing w:val="-2"/>
                <w:sz w:val="21"/>
              </w:rPr>
              <w:t>/L；</w:t>
            </w:r>
          </w:p>
          <w:p>
            <w:pPr>
              <w:pStyle w:val="11"/>
              <w:spacing w:line="312" w:lineRule="exact"/>
              <w:ind w:left="106"/>
              <w:rPr>
                <w:sz w:val="21"/>
              </w:rPr>
            </w:pPr>
            <w:r>
              <w:rPr>
                <w:spacing w:val="-3"/>
                <w:sz w:val="21"/>
              </w:rPr>
              <w:t>② 网织红细胞计数&lt;</w:t>
            </w:r>
            <w:r>
              <w:rPr>
                <w:spacing w:val="-2"/>
                <w:sz w:val="21"/>
              </w:rPr>
              <w:t>20×10</w:t>
            </w:r>
            <w:r>
              <w:rPr>
                <w:rFonts w:ascii="微软雅黑" w:hAnsi="微软雅黑" w:eastAsia="微软雅黑"/>
                <w:b/>
                <w:spacing w:val="-2"/>
                <w:position w:val="11"/>
                <w:sz w:val="11"/>
              </w:rPr>
              <w:t>9</w:t>
            </w:r>
            <w:r>
              <w:rPr>
                <w:spacing w:val="-2"/>
                <w:sz w:val="21"/>
              </w:rPr>
              <w:t>/L；</w:t>
            </w:r>
          </w:p>
          <w:p>
            <w:pPr>
              <w:pStyle w:val="11"/>
              <w:spacing w:line="313" w:lineRule="exact"/>
              <w:ind w:left="106"/>
              <w:rPr>
                <w:sz w:val="21"/>
              </w:rPr>
            </w:pPr>
            <w:r>
              <w:rPr>
                <w:spacing w:val="-2"/>
                <w:sz w:val="21"/>
              </w:rPr>
              <w:t>③ 血小板绝对值&lt;20×10</w:t>
            </w:r>
            <w:r>
              <w:rPr>
                <w:rFonts w:ascii="微软雅黑" w:hAnsi="微软雅黑" w:eastAsia="微软雅黑"/>
                <w:b/>
                <w:spacing w:val="-2"/>
                <w:position w:val="11"/>
                <w:sz w:val="11"/>
              </w:rPr>
              <w:t>9</w:t>
            </w:r>
            <w:r>
              <w:rPr>
                <w:spacing w:val="-2"/>
                <w:sz w:val="21"/>
              </w:rPr>
              <w:t>/L</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7" w:hRule="atLeast"/>
        </w:trPr>
        <w:tc>
          <w:tcPr>
            <w:tcW w:w="918" w:type="dxa"/>
          </w:tcPr>
          <w:p>
            <w:pPr>
              <w:pStyle w:val="11"/>
              <w:spacing w:before="176" w:line="281" w:lineRule="exact"/>
              <w:ind w:left="50"/>
              <w:rPr>
                <w:sz w:val="22"/>
              </w:rPr>
            </w:pPr>
            <w:r>
              <w:rPr>
                <w:spacing w:val="-2"/>
                <w:sz w:val="22"/>
              </w:rPr>
              <w:t>8.1.25</w:t>
            </w:r>
          </w:p>
        </w:tc>
        <w:tc>
          <w:tcPr>
            <w:tcW w:w="1687" w:type="dxa"/>
          </w:tcPr>
          <w:p>
            <w:pPr>
              <w:pStyle w:val="11"/>
              <w:spacing w:before="176" w:line="281" w:lineRule="exact"/>
              <w:ind w:left="233"/>
              <w:rPr>
                <w:sz w:val="22"/>
              </w:rPr>
            </w:pPr>
            <w:r>
              <w:rPr>
                <w:w w:val="95"/>
                <w:sz w:val="22"/>
              </w:rPr>
              <w:t>主动脉手</w:t>
            </w:r>
            <w:r>
              <w:rPr>
                <w:spacing w:val="-10"/>
                <w:w w:val="95"/>
                <w:sz w:val="22"/>
              </w:rPr>
              <w:t>术</w:t>
            </w:r>
          </w:p>
        </w:tc>
        <w:tc>
          <w:tcPr>
            <w:tcW w:w="7133" w:type="dxa"/>
          </w:tcPr>
          <w:p>
            <w:pPr>
              <w:pStyle w:val="11"/>
              <w:spacing w:before="7"/>
              <w:rPr>
                <w:sz w:val="14"/>
              </w:rPr>
            </w:pPr>
          </w:p>
          <w:p>
            <w:pPr>
              <w:pStyle w:val="11"/>
              <w:ind w:left="106"/>
              <w:rPr>
                <w:sz w:val="21"/>
              </w:rPr>
            </w:pPr>
            <w:r>
              <w:rPr>
                <w:spacing w:val="-4"/>
                <w:sz w:val="21"/>
              </w:rPr>
              <w:t>指为治疗主动脉疾病或主动脉创伤，已经实施了开胸（含胸腔镜下）</w:t>
            </w:r>
            <w:r>
              <w:rPr>
                <w:spacing w:val="-7"/>
                <w:sz w:val="21"/>
              </w:rPr>
              <w:t>或开腹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4"/>
                <w:sz w:val="21"/>
              </w:rPr>
              <w:t>（含腹腔镜下）</w:t>
            </w:r>
            <w:r>
              <w:rPr>
                <w:spacing w:val="-5"/>
                <w:sz w:val="21"/>
              </w:rPr>
              <w:t>进行的切除、置换、修补病损主动脉血管、主动脉创伤后修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4"/>
                <w:sz w:val="21"/>
              </w:rPr>
              <w:t>复的手术。主动脉指升主动脉、主动脉弓和降主动脉（</w:t>
            </w:r>
            <w:r>
              <w:rPr>
                <w:spacing w:val="-5"/>
                <w:sz w:val="21"/>
              </w:rPr>
              <w:t>含胸主动脉和腹主动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2"/>
                <w:sz w:val="21"/>
              </w:rPr>
              <w:t>脉</w:t>
            </w:r>
            <w:r>
              <w:rPr>
                <w:spacing w:val="-106"/>
                <w:sz w:val="21"/>
              </w:rPr>
              <w:t>）</w:t>
            </w:r>
            <w:r>
              <w:rPr>
                <w:spacing w:val="-4"/>
                <w:sz w:val="21"/>
              </w:rPr>
              <w:t>，不包括升主动脉、主动脉弓和降主动脉的分支血管。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3"/>
                <w:sz w:val="21"/>
                <w:shd w:val="clear" w:color="auto" w:fill="C0C0C0"/>
              </w:rPr>
              <w:t>所有未实施开胸或开腹的动脉内介入治疗不在保障范围内。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73" w:line="276" w:lineRule="exact"/>
              <w:ind w:left="50"/>
              <w:rPr>
                <w:sz w:val="22"/>
              </w:rPr>
            </w:pPr>
            <w:r>
              <w:rPr>
                <w:spacing w:val="-2"/>
                <w:sz w:val="22"/>
              </w:rPr>
              <w:t>8.1.26</w:t>
            </w:r>
          </w:p>
        </w:tc>
        <w:tc>
          <w:tcPr>
            <w:tcW w:w="1687" w:type="dxa"/>
          </w:tcPr>
          <w:p>
            <w:pPr>
              <w:pStyle w:val="11"/>
              <w:spacing w:before="173" w:line="276" w:lineRule="exact"/>
              <w:ind w:left="233"/>
              <w:rPr>
                <w:sz w:val="22"/>
              </w:rPr>
            </w:pPr>
            <w:r>
              <w:rPr>
                <w:spacing w:val="10"/>
                <w:w w:val="95"/>
                <w:sz w:val="22"/>
              </w:rPr>
              <w:t>严重慢性呼吸</w:t>
            </w:r>
          </w:p>
        </w:tc>
        <w:tc>
          <w:tcPr>
            <w:tcW w:w="7133" w:type="dxa"/>
          </w:tcPr>
          <w:p>
            <w:pPr>
              <w:pStyle w:val="11"/>
              <w:spacing w:before="3"/>
              <w:rPr>
                <w:sz w:val="14"/>
              </w:rPr>
            </w:pPr>
          </w:p>
          <w:p>
            <w:pPr>
              <w:pStyle w:val="11"/>
              <w:spacing w:line="266" w:lineRule="exact"/>
              <w:ind w:left="106"/>
              <w:rPr>
                <w:sz w:val="21"/>
              </w:rPr>
            </w:pPr>
            <w:r>
              <w:rPr>
                <w:spacing w:val="-7"/>
                <w:sz w:val="21"/>
              </w:rPr>
              <w:t xml:space="preserve">指因慢性呼吸系统疾病导致永久不可逆性的呼吸衰竭，经过积极治疗 </w:t>
            </w:r>
            <w:r>
              <w:rPr>
                <w:spacing w:val="-2"/>
                <w:sz w:val="21"/>
              </w:rPr>
              <w:t>180</w:t>
            </w:r>
            <w:r>
              <w:rPr>
                <w:spacing w:val="-26"/>
                <w:sz w:val="21"/>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衰</w:t>
            </w:r>
            <w:r>
              <w:rPr>
                <w:spacing w:val="-10"/>
                <w:sz w:val="22"/>
              </w:rPr>
              <w:t>竭</w:t>
            </w:r>
          </w:p>
        </w:tc>
        <w:tc>
          <w:tcPr>
            <w:tcW w:w="7133" w:type="dxa"/>
          </w:tcPr>
          <w:p>
            <w:pPr>
              <w:pStyle w:val="11"/>
              <w:spacing w:before="26"/>
              <w:ind w:left="106"/>
              <w:rPr>
                <w:sz w:val="21"/>
              </w:rPr>
            </w:pPr>
            <w:r>
              <w:rPr>
                <w:spacing w:val="-3"/>
                <w:sz w:val="21"/>
              </w:rPr>
              <w:t>后满足以下所有条件：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2"/>
                <w:sz w:val="21"/>
              </w:rPr>
              <w:t>（1）</w:t>
            </w:r>
            <w:r>
              <w:rPr>
                <w:spacing w:val="-3"/>
                <w:sz w:val="21"/>
              </w:rPr>
              <w:t>静息时出现呼吸困难；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2"/>
                <w:position w:val="1"/>
                <w:sz w:val="21"/>
              </w:rPr>
              <w:t>（2）肺功能第一秒用力呼气容积（FEV</w:t>
            </w:r>
            <w:r>
              <w:rPr>
                <w:spacing w:val="-2"/>
                <w:sz w:val="11"/>
              </w:rPr>
              <w:t>1</w:t>
            </w:r>
            <w:r>
              <w:rPr>
                <w:spacing w:val="-2"/>
                <w:position w:val="1"/>
                <w:sz w:val="21"/>
              </w:rPr>
              <w:t>）占预计值的百分比&lt;30%；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2"/>
                <w:position w:val="1"/>
                <w:sz w:val="21"/>
              </w:rPr>
              <w:t>（3）在静息状态、呼吸空气条件下，动脉血氧分压（PaO</w:t>
            </w:r>
            <w:r>
              <w:rPr>
                <w:spacing w:val="-2"/>
                <w:sz w:val="11"/>
              </w:rPr>
              <w:t>2</w:t>
            </w:r>
            <w:r>
              <w:rPr>
                <w:spacing w:val="-2"/>
                <w:position w:val="1"/>
                <w:sz w:val="21"/>
              </w:rPr>
              <w:t>）&lt;50mmHg</w:t>
            </w:r>
            <w:r>
              <w:rPr>
                <w:spacing w:val="-10"/>
                <w:position w:val="1"/>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8.1.27</w:t>
            </w:r>
          </w:p>
        </w:tc>
        <w:tc>
          <w:tcPr>
            <w:tcW w:w="1687" w:type="dxa"/>
          </w:tcPr>
          <w:p>
            <w:pPr>
              <w:pStyle w:val="11"/>
              <w:spacing w:before="173" w:line="281" w:lineRule="exact"/>
              <w:ind w:left="233"/>
              <w:rPr>
                <w:sz w:val="22"/>
              </w:rPr>
            </w:pPr>
            <w:r>
              <w:rPr>
                <w:w w:val="95"/>
                <w:sz w:val="22"/>
              </w:rPr>
              <w:t>严重</w:t>
            </w:r>
            <w:r>
              <w:rPr>
                <w:spacing w:val="-3"/>
                <w:w w:val="95"/>
                <w:sz w:val="22"/>
              </w:rPr>
              <w:t>克罗恩病</w:t>
            </w:r>
          </w:p>
        </w:tc>
        <w:tc>
          <w:tcPr>
            <w:tcW w:w="7133" w:type="dxa"/>
          </w:tcPr>
          <w:p>
            <w:pPr>
              <w:pStyle w:val="11"/>
              <w:spacing w:before="3"/>
              <w:rPr>
                <w:sz w:val="14"/>
              </w:rPr>
            </w:pPr>
          </w:p>
          <w:p>
            <w:pPr>
              <w:pStyle w:val="11"/>
              <w:ind w:left="106"/>
              <w:rPr>
                <w:sz w:val="21"/>
              </w:rPr>
            </w:pPr>
            <w:r>
              <w:rPr>
                <w:spacing w:val="-2"/>
                <w:sz w:val="21"/>
              </w:rPr>
              <w:t>指一种慢性肉芽肿性肠炎，具有特征性的克罗恩病（Crohn</w:t>
            </w:r>
            <w:r>
              <w:rPr>
                <w:spacing w:val="-20"/>
                <w:sz w:val="21"/>
              </w:rPr>
              <w:t xml:space="preserve"> 病</w:t>
            </w:r>
            <w:r>
              <w:rPr>
                <w:spacing w:val="-2"/>
                <w:sz w:val="21"/>
              </w:rPr>
              <w:t>）</w:t>
            </w:r>
            <w:r>
              <w:rPr>
                <w:spacing w:val="-4"/>
                <w:sz w:val="21"/>
              </w:rPr>
              <w:t>病理组织学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5"/>
                <w:sz w:val="21"/>
              </w:rPr>
              <w:t>变化，须根据组织病理学特点诊断，且已经造成瘘管形成并伴有肠梗阻或肠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4"/>
                <w:sz w:val="21"/>
              </w:rPr>
              <w:t>穿孔。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73" w:line="276" w:lineRule="exact"/>
              <w:ind w:left="50"/>
              <w:rPr>
                <w:sz w:val="22"/>
              </w:rPr>
            </w:pPr>
            <w:r>
              <w:rPr>
                <w:spacing w:val="-2"/>
                <w:sz w:val="22"/>
              </w:rPr>
              <w:t>8.1.28</w:t>
            </w:r>
          </w:p>
        </w:tc>
        <w:tc>
          <w:tcPr>
            <w:tcW w:w="1687" w:type="dxa"/>
          </w:tcPr>
          <w:p>
            <w:pPr>
              <w:pStyle w:val="11"/>
              <w:spacing w:before="173" w:line="276" w:lineRule="exact"/>
              <w:ind w:left="233"/>
              <w:rPr>
                <w:sz w:val="22"/>
              </w:rPr>
            </w:pPr>
            <w:r>
              <w:rPr>
                <w:spacing w:val="10"/>
                <w:w w:val="95"/>
                <w:sz w:val="22"/>
              </w:rPr>
              <w:t>严重溃疡性结</w:t>
            </w:r>
          </w:p>
        </w:tc>
        <w:tc>
          <w:tcPr>
            <w:tcW w:w="7133" w:type="dxa"/>
          </w:tcPr>
          <w:p>
            <w:pPr>
              <w:pStyle w:val="11"/>
              <w:spacing w:before="3"/>
              <w:rPr>
                <w:sz w:val="14"/>
              </w:rPr>
            </w:pPr>
          </w:p>
          <w:p>
            <w:pPr>
              <w:pStyle w:val="11"/>
              <w:spacing w:line="266" w:lineRule="exact"/>
              <w:ind w:left="106"/>
              <w:rPr>
                <w:sz w:val="21"/>
              </w:rPr>
            </w:pPr>
            <w:r>
              <w:rPr>
                <w:spacing w:val="-1"/>
                <w:sz w:val="21"/>
              </w:rPr>
              <w:t>指伴有致命性电解质紊乱的急性暴发性溃疡性结肠炎，病变已经累及全结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肠</w:t>
            </w:r>
            <w:r>
              <w:rPr>
                <w:spacing w:val="-10"/>
                <w:sz w:val="22"/>
              </w:rPr>
              <w:t>炎</w:t>
            </w:r>
          </w:p>
        </w:tc>
        <w:tc>
          <w:tcPr>
            <w:tcW w:w="7133" w:type="dxa"/>
          </w:tcPr>
          <w:p>
            <w:pPr>
              <w:pStyle w:val="11"/>
              <w:spacing w:before="26"/>
              <w:ind w:left="106"/>
              <w:rPr>
                <w:sz w:val="21"/>
              </w:rPr>
            </w:pPr>
            <w:r>
              <w:rPr>
                <w:spacing w:val="-5"/>
                <w:sz w:val="21"/>
              </w:rPr>
              <w:t>肠，表现为严重的血便和系统性症状体征，须根据组织病理学特点诊断，且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3"/>
                <w:sz w:val="21"/>
              </w:rPr>
              <w:t>已经实施了结肠切除或回肠造瘘术。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73" w:line="276" w:lineRule="exact"/>
              <w:ind w:left="50"/>
              <w:rPr>
                <w:sz w:val="22"/>
              </w:rPr>
            </w:pPr>
            <w:r>
              <w:rPr>
                <w:spacing w:val="-2"/>
                <w:sz w:val="22"/>
              </w:rPr>
              <w:t>8.1.29</w:t>
            </w:r>
          </w:p>
        </w:tc>
        <w:tc>
          <w:tcPr>
            <w:tcW w:w="1687" w:type="dxa"/>
          </w:tcPr>
          <w:p>
            <w:pPr>
              <w:pStyle w:val="11"/>
              <w:spacing w:before="173" w:line="276" w:lineRule="exact"/>
              <w:ind w:left="233"/>
              <w:rPr>
                <w:sz w:val="22"/>
              </w:rPr>
            </w:pPr>
            <w:r>
              <w:rPr>
                <w:spacing w:val="10"/>
                <w:w w:val="95"/>
                <w:sz w:val="22"/>
              </w:rPr>
              <w:t>严重的系统性</w:t>
            </w:r>
          </w:p>
        </w:tc>
        <w:tc>
          <w:tcPr>
            <w:tcW w:w="7133" w:type="dxa"/>
          </w:tcPr>
          <w:p>
            <w:pPr>
              <w:pStyle w:val="11"/>
              <w:spacing w:before="3"/>
              <w:rPr>
                <w:sz w:val="14"/>
              </w:rPr>
            </w:pPr>
          </w:p>
          <w:p>
            <w:pPr>
              <w:pStyle w:val="11"/>
              <w:spacing w:line="266" w:lineRule="exact"/>
              <w:ind w:left="106"/>
              <w:rPr>
                <w:sz w:val="21"/>
              </w:rPr>
            </w:pPr>
            <w:r>
              <w:rPr>
                <w:spacing w:val="-5"/>
                <w:sz w:val="21"/>
              </w:rPr>
              <w:t>指一种以局限性或弥漫性皮肤增厚和皮肤、血管、内脏器官异常纤维化为特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7"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硬皮</w:t>
            </w:r>
            <w:r>
              <w:rPr>
                <w:spacing w:val="-10"/>
                <w:w w:val="95"/>
                <w:sz w:val="22"/>
              </w:rPr>
              <w:t>病</w:t>
            </w:r>
          </w:p>
        </w:tc>
        <w:tc>
          <w:tcPr>
            <w:tcW w:w="7133" w:type="dxa"/>
          </w:tcPr>
          <w:p>
            <w:pPr>
              <w:pStyle w:val="11"/>
              <w:spacing w:before="26"/>
              <w:ind w:left="106"/>
              <w:rPr>
                <w:sz w:val="21"/>
              </w:rPr>
            </w:pPr>
            <w:r>
              <w:rPr>
                <w:spacing w:val="-15"/>
                <w:sz w:val="21"/>
              </w:rPr>
              <w:t>征的结缔组织病。本病须经专科医师明确诊断，并须满足下列至少一项条件：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z w:val="21"/>
              </w:rPr>
              <w:t>（1）</w:t>
            </w:r>
            <w:r>
              <w:rPr>
                <w:spacing w:val="-1"/>
                <w:sz w:val="21"/>
              </w:rPr>
              <w:t>肺脏：肺部病变进而发展为肺间质纤维化和严重肺动脉高压。严重肺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5"/>
                <w:sz w:val="21"/>
              </w:rPr>
              <w:t>动脉高压指肺动脉压力持续性增高，进行性发展而导致的慢性疾病，已经造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7"/>
                <w:sz w:val="21"/>
              </w:rPr>
              <w:t>成永久不可逆性的体力活动能力受限，达到美国纽约心脏病学会心功能状态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19"/>
                <w:sz w:val="21"/>
              </w:rPr>
              <w:t xml:space="preserve">分级 </w:t>
            </w:r>
            <w:r>
              <w:rPr>
                <w:spacing w:val="-2"/>
                <w:sz w:val="21"/>
              </w:rPr>
              <w:t>IV</w:t>
            </w:r>
            <w:r>
              <w:rPr>
                <w:spacing w:val="-5"/>
                <w:sz w:val="21"/>
              </w:rPr>
              <w:t xml:space="preserve"> 级，且静息状态下肺动脉平均压超过 </w:t>
            </w:r>
            <w:r>
              <w:rPr>
                <w:spacing w:val="-2"/>
                <w:sz w:val="21"/>
              </w:rPr>
              <w:t>3OmmHg；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z w:val="21"/>
              </w:rPr>
              <w:t>（2）</w:t>
            </w:r>
            <w:r>
              <w:rPr>
                <w:spacing w:val="-1"/>
                <w:sz w:val="21"/>
              </w:rPr>
              <w:t>心脏：心功能受损达到美国纽约心脏病学会的心功能分级标准之心功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26"/>
                <w:sz w:val="21"/>
              </w:rPr>
              <w:t xml:space="preserve">能 </w:t>
            </w:r>
            <w:r>
              <w:rPr>
                <w:sz w:val="21"/>
              </w:rPr>
              <w:t>IV</w:t>
            </w:r>
            <w:r>
              <w:rPr>
                <w:spacing w:val="-22"/>
                <w:sz w:val="21"/>
              </w:rPr>
              <w:t xml:space="preserve"> 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133" w:type="dxa"/>
          </w:tcPr>
          <w:p>
            <w:pPr>
              <w:pStyle w:val="11"/>
              <w:spacing w:before="22" w:line="220" w:lineRule="exact"/>
              <w:ind w:left="106"/>
              <w:rPr>
                <w:sz w:val="21"/>
              </w:rPr>
            </w:pPr>
            <w:r>
              <w:rPr>
                <w:spacing w:val="-2"/>
                <w:sz w:val="21"/>
              </w:rPr>
              <w:t>（3）</w:t>
            </w:r>
            <w:r>
              <w:rPr>
                <w:spacing w:val="-3"/>
                <w:sz w:val="21"/>
              </w:rPr>
              <w:t>肾脏：肾脏受损导致双肾功能慢性不可逆衰竭，达到尿毒症期。</w:t>
            </w:r>
          </w:p>
        </w:tc>
      </w:tr>
    </w:tbl>
    <w:p>
      <w:pPr>
        <w:spacing w:after="0" w:line="220" w:lineRule="exact"/>
        <w:rPr>
          <w:sz w:val="21"/>
        </w:rPr>
        <w:sectPr>
          <w:pgSz w:w="11910" w:h="16840"/>
          <w:pgMar w:top="1520" w:right="660" w:bottom="1260" w:left="580" w:header="0" w:footer="1060" w:gutter="0"/>
          <w:cols w:space="720" w:num="1"/>
        </w:sectPr>
      </w:pPr>
    </w:p>
    <w:p>
      <w:pPr>
        <w:pStyle w:val="6"/>
        <w:spacing w:before="9"/>
        <w:rPr>
          <w:sz w:val="19"/>
        </w:r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918" w:type="dxa"/>
          </w:tcPr>
          <w:p>
            <w:pPr>
              <w:pStyle w:val="11"/>
              <w:spacing w:line="247" w:lineRule="exact"/>
              <w:ind w:left="50"/>
              <w:rPr>
                <w:sz w:val="22"/>
              </w:rPr>
            </w:pPr>
            <w:r>
              <w:rPr>
                <w:spacing w:val="-2"/>
                <w:sz w:val="22"/>
              </w:rPr>
              <w:t>8.1.30</w:t>
            </w:r>
          </w:p>
        </w:tc>
        <w:tc>
          <w:tcPr>
            <w:tcW w:w="1687" w:type="dxa"/>
          </w:tcPr>
          <w:p>
            <w:pPr>
              <w:pStyle w:val="11"/>
              <w:spacing w:line="247" w:lineRule="exact"/>
              <w:ind w:left="233"/>
              <w:rPr>
                <w:sz w:val="22"/>
              </w:rPr>
            </w:pPr>
            <w:r>
              <w:rPr>
                <w:spacing w:val="10"/>
                <w:w w:val="95"/>
                <w:sz w:val="22"/>
              </w:rPr>
              <w:t>严重的原发性</w:t>
            </w:r>
          </w:p>
        </w:tc>
        <w:tc>
          <w:tcPr>
            <w:tcW w:w="7136" w:type="dxa"/>
          </w:tcPr>
          <w:p>
            <w:pPr>
              <w:pStyle w:val="11"/>
              <w:spacing w:line="247" w:lineRule="exact"/>
              <w:ind w:left="106"/>
              <w:rPr>
                <w:sz w:val="21"/>
              </w:rPr>
            </w:pPr>
            <w:r>
              <w:rPr>
                <w:spacing w:val="-5"/>
                <w:sz w:val="21"/>
              </w:rPr>
              <w:t>原发性硬化性胆管炎指一种胆汁淤积综合征，其特征是肝内、肝外胆道因非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硬化</w:t>
            </w:r>
            <w:r>
              <w:rPr>
                <w:spacing w:val="-3"/>
                <w:w w:val="95"/>
                <w:sz w:val="22"/>
              </w:rPr>
              <w:t>性胆管炎</w:t>
            </w:r>
          </w:p>
        </w:tc>
        <w:tc>
          <w:tcPr>
            <w:tcW w:w="7136" w:type="dxa"/>
          </w:tcPr>
          <w:p>
            <w:pPr>
              <w:pStyle w:val="11"/>
              <w:spacing w:before="26"/>
              <w:ind w:left="106"/>
              <w:rPr>
                <w:sz w:val="21"/>
              </w:rPr>
            </w:pPr>
            <w:r>
              <w:rPr>
                <w:spacing w:val="-5"/>
                <w:sz w:val="21"/>
              </w:rPr>
              <w:t>细菌性炎症、慢性纤维化逐渐狭窄，并最终导致完全阻塞而发展为胆汁淤积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1"/>
              <w:ind w:left="106"/>
              <w:rPr>
                <w:sz w:val="21"/>
              </w:rPr>
            </w:pPr>
            <w:r>
              <w:rPr>
                <w:spacing w:val="-3"/>
                <w:sz w:val="21"/>
              </w:rPr>
              <w:t>性肝硬化。须满足下列全部条件：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（1）</w:t>
            </w:r>
            <w:r>
              <w:rPr>
                <w:spacing w:val="-4"/>
                <w:sz w:val="21"/>
              </w:rPr>
              <w:t>持续性黄疸病史；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z w:val="21"/>
              </w:rPr>
              <w:t>（2）</w:t>
            </w:r>
            <w:r>
              <w:rPr>
                <w:spacing w:val="1"/>
                <w:sz w:val="21"/>
              </w:rPr>
              <w:t>总胆红素和直接胆红素同时升高，血清</w:t>
            </w:r>
            <w:r>
              <w:rPr>
                <w:spacing w:val="-2"/>
                <w:sz w:val="21"/>
              </w:rPr>
              <w:t>ALP&gt;200U/L；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（3）经内镜逆行胰胆管造影（ERCP）</w:t>
            </w:r>
            <w:r>
              <w:rPr>
                <w:spacing w:val="-4"/>
                <w:sz w:val="21"/>
              </w:rPr>
              <w:t>影像学检查确诊；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（4）</w:t>
            </w:r>
            <w:r>
              <w:rPr>
                <w:spacing w:val="-3"/>
                <w:sz w:val="21"/>
              </w:rPr>
              <w:t>出现胆汁淤积性肝硬化或门脉高压。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color w:val="000000"/>
                <w:spacing w:val="-3"/>
                <w:sz w:val="21"/>
                <w:shd w:val="clear" w:color="auto" w:fill="C0C0C0"/>
              </w:rPr>
              <w:t>因肿瘤或胆管损伤等继发性的硬化性胆管炎不在保障范围内。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8.1.31</w:t>
            </w:r>
          </w:p>
        </w:tc>
        <w:tc>
          <w:tcPr>
            <w:tcW w:w="1687" w:type="dxa"/>
          </w:tcPr>
          <w:p>
            <w:pPr>
              <w:pStyle w:val="11"/>
              <w:spacing w:before="173" w:line="281" w:lineRule="exact"/>
              <w:ind w:left="233"/>
              <w:rPr>
                <w:sz w:val="22"/>
              </w:rPr>
            </w:pPr>
            <w:r>
              <w:rPr>
                <w:w w:val="95"/>
                <w:sz w:val="22"/>
              </w:rPr>
              <w:t>骨髓纤维</w:t>
            </w:r>
            <w:r>
              <w:rPr>
                <w:spacing w:val="-10"/>
                <w:w w:val="95"/>
                <w:sz w:val="22"/>
              </w:rPr>
              <w:t>化</w:t>
            </w:r>
          </w:p>
        </w:tc>
        <w:tc>
          <w:tcPr>
            <w:tcW w:w="7136" w:type="dxa"/>
          </w:tcPr>
          <w:p>
            <w:pPr>
              <w:pStyle w:val="11"/>
              <w:spacing w:before="3"/>
              <w:rPr>
                <w:sz w:val="14"/>
              </w:rPr>
            </w:pPr>
          </w:p>
          <w:p>
            <w:pPr>
              <w:pStyle w:val="11"/>
              <w:ind w:left="106"/>
              <w:rPr>
                <w:sz w:val="21"/>
              </w:rPr>
            </w:pPr>
            <w:r>
              <w:rPr>
                <w:spacing w:val="-3"/>
                <w:sz w:val="21"/>
              </w:rPr>
              <w:t>骨髓纤维化为骨髓中成纤维细胞增殖，伴有髓外造血，表现为进行性贫血、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1"/>
              <w:ind w:left="106"/>
              <w:rPr>
                <w:sz w:val="21"/>
              </w:rPr>
            </w:pPr>
            <w:r>
              <w:rPr>
                <w:spacing w:val="-10"/>
                <w:sz w:val="21"/>
              </w:rPr>
              <w:t>脾肿大等症状。本疾病须根据骨髓的活组织检查和周围血象检查由我们认可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5"/>
                <w:sz w:val="21"/>
              </w:rPr>
              <w:t>的医院血液科专科医生明确诊断，并至少符合下列条件中的三项，且符合条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8"/>
                <w:sz w:val="21"/>
              </w:rPr>
              <w:t xml:space="preserve">件的状态持续 </w:t>
            </w:r>
            <w:r>
              <w:rPr>
                <w:spacing w:val="-2"/>
                <w:sz w:val="21"/>
              </w:rPr>
              <w:t>180</w:t>
            </w:r>
            <w:r>
              <w:rPr>
                <w:spacing w:val="-10"/>
                <w:sz w:val="21"/>
              </w:rPr>
              <w:t xml:space="preserve"> 天及以上，并已经实际实施了针对此症的治疗：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4"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（1）血红蛋白&lt;100g/L；</w:t>
            </w:r>
          </w:p>
          <w:p>
            <w:pPr>
              <w:pStyle w:val="11"/>
              <w:spacing w:before="33"/>
              <w:ind w:left="106"/>
              <w:rPr>
                <w:sz w:val="21"/>
              </w:rPr>
            </w:pPr>
            <w:r>
              <w:rPr>
                <w:spacing w:val="-2"/>
                <w:sz w:val="21"/>
              </w:rPr>
              <w:t>（2）白细胞计数&gt;25×10</w:t>
            </w:r>
            <w:r>
              <w:rPr>
                <w:spacing w:val="-2"/>
                <w:position w:val="11"/>
                <w:sz w:val="11"/>
              </w:rPr>
              <w:t>9</w:t>
            </w:r>
            <w:r>
              <w:rPr>
                <w:spacing w:val="-2"/>
                <w:sz w:val="21"/>
              </w:rPr>
              <w:t>/L；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5"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（3）</w:t>
            </w:r>
            <w:r>
              <w:rPr>
                <w:spacing w:val="-3"/>
                <w:sz w:val="21"/>
              </w:rPr>
              <w:t>外周血原始细胞≥</w:t>
            </w:r>
            <w:r>
              <w:rPr>
                <w:spacing w:val="-4"/>
                <w:sz w:val="21"/>
              </w:rPr>
              <w:t>1%；</w:t>
            </w:r>
          </w:p>
          <w:p>
            <w:pPr>
              <w:pStyle w:val="11"/>
              <w:spacing w:before="33"/>
              <w:ind w:left="106"/>
              <w:rPr>
                <w:sz w:val="21"/>
              </w:rPr>
            </w:pPr>
            <w:r>
              <w:rPr>
                <w:spacing w:val="-2"/>
                <w:sz w:val="21"/>
              </w:rPr>
              <w:t>（4）血小板计数&lt;100×10</w:t>
            </w:r>
            <w:r>
              <w:rPr>
                <w:spacing w:val="-2"/>
                <w:position w:val="11"/>
                <w:sz w:val="11"/>
              </w:rPr>
              <w:t>9</w:t>
            </w:r>
            <w:r>
              <w:rPr>
                <w:spacing w:val="-2"/>
                <w:sz w:val="21"/>
              </w:rPr>
              <w:t>/L</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73" w:line="276" w:lineRule="exact"/>
              <w:ind w:left="50"/>
              <w:rPr>
                <w:sz w:val="22"/>
              </w:rPr>
            </w:pPr>
            <w:r>
              <w:rPr>
                <w:spacing w:val="-2"/>
                <w:sz w:val="22"/>
              </w:rPr>
              <w:t>8.1.32</w:t>
            </w:r>
          </w:p>
        </w:tc>
        <w:tc>
          <w:tcPr>
            <w:tcW w:w="1687" w:type="dxa"/>
          </w:tcPr>
          <w:p>
            <w:pPr>
              <w:pStyle w:val="11"/>
              <w:spacing w:before="173" w:line="276" w:lineRule="exact"/>
              <w:ind w:left="233"/>
              <w:rPr>
                <w:sz w:val="22"/>
              </w:rPr>
            </w:pPr>
            <w:r>
              <w:rPr>
                <w:spacing w:val="10"/>
                <w:w w:val="95"/>
                <w:sz w:val="22"/>
              </w:rPr>
              <w:t>严重的骨髓增</w:t>
            </w:r>
          </w:p>
        </w:tc>
        <w:tc>
          <w:tcPr>
            <w:tcW w:w="7136" w:type="dxa"/>
          </w:tcPr>
          <w:p>
            <w:pPr>
              <w:pStyle w:val="11"/>
              <w:spacing w:before="3"/>
              <w:rPr>
                <w:sz w:val="14"/>
              </w:rPr>
            </w:pPr>
          </w:p>
          <w:p>
            <w:pPr>
              <w:pStyle w:val="11"/>
              <w:spacing w:line="266" w:lineRule="exact"/>
              <w:ind w:left="106"/>
              <w:rPr>
                <w:sz w:val="21"/>
              </w:rPr>
            </w:pPr>
            <w:r>
              <w:rPr>
                <w:spacing w:val="-2"/>
                <w:sz w:val="21"/>
              </w:rPr>
              <w:t>骨髓增生异常综合征(myelodysplastic</w:t>
            </w:r>
            <w:r>
              <w:rPr>
                <w:spacing w:val="-23"/>
                <w:sz w:val="21"/>
              </w:rPr>
              <w:t xml:space="preserve"> </w:t>
            </w:r>
            <w:r>
              <w:rPr>
                <w:spacing w:val="-2"/>
                <w:sz w:val="21"/>
              </w:rPr>
              <w:t>syndromes，MDS</w:t>
            </w:r>
            <w:r>
              <w:rPr>
                <w:spacing w:val="-3"/>
                <w:sz w:val="21"/>
              </w:rPr>
              <w:t>)是起源于造血干细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生异</w:t>
            </w:r>
            <w:r>
              <w:rPr>
                <w:spacing w:val="-3"/>
                <w:w w:val="95"/>
                <w:sz w:val="22"/>
              </w:rPr>
              <w:t>常综合征</w:t>
            </w:r>
          </w:p>
        </w:tc>
        <w:tc>
          <w:tcPr>
            <w:tcW w:w="7136" w:type="dxa"/>
          </w:tcPr>
          <w:p>
            <w:pPr>
              <w:pStyle w:val="11"/>
              <w:spacing w:before="26"/>
              <w:ind w:left="106"/>
              <w:rPr>
                <w:sz w:val="21"/>
              </w:rPr>
            </w:pPr>
            <w:r>
              <w:rPr>
                <w:spacing w:val="-5"/>
                <w:sz w:val="21"/>
              </w:rPr>
              <w:t>胞的一组异质性髓系克隆性疾病，特点是髓系细胞发育异常，表现为无效造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1"/>
              <w:ind w:left="106"/>
              <w:rPr>
                <w:sz w:val="21"/>
              </w:rPr>
            </w:pPr>
            <w:r>
              <w:rPr>
                <w:spacing w:val="-5"/>
                <w:sz w:val="21"/>
              </w:rPr>
              <w:t>血、难治性血细胞减少，本合同所指的严重的骨髓增生异常综合征须满足下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4"/>
                <w:sz w:val="21"/>
              </w:rPr>
              <w:t>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z w:val="21"/>
              </w:rPr>
              <w:t>（1）</w:t>
            </w:r>
            <w:r>
              <w:rPr>
                <w:spacing w:val="-1"/>
                <w:sz w:val="21"/>
              </w:rPr>
              <w:t>由设有专门血液病专科的公立三级甲等医院血液病专科的主治级别以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4"/>
                <w:sz w:val="21"/>
              </w:rPr>
              <w:t>上的医师确诊；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（2）骨髓涂片检查同时符合发育异常细胞比例&gt;10%、原始细胞比例&gt;15%；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（3）</w:t>
            </w:r>
            <w:r>
              <w:rPr>
                <w:spacing w:val="-3"/>
                <w:sz w:val="21"/>
              </w:rPr>
              <w:t>已接受至少累计三十日的化疗或已接受骨髓移植治疗。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3"/>
                <w:sz w:val="21"/>
              </w:rPr>
              <w:t>化疗日数的计算以被保险人实际服用、注射化疗药物的天数为准。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color w:val="000000"/>
                <w:spacing w:val="-3"/>
                <w:sz w:val="21"/>
                <w:shd w:val="clear" w:color="auto" w:fill="C0C0C0"/>
              </w:rPr>
              <w:t>疑似病例不在保障范围之内。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73" w:line="276" w:lineRule="exact"/>
              <w:ind w:left="50"/>
              <w:rPr>
                <w:sz w:val="22"/>
              </w:rPr>
            </w:pPr>
            <w:r>
              <w:rPr>
                <w:spacing w:val="-2"/>
                <w:sz w:val="22"/>
              </w:rPr>
              <w:t>8.1.33</w:t>
            </w:r>
          </w:p>
        </w:tc>
        <w:tc>
          <w:tcPr>
            <w:tcW w:w="1687" w:type="dxa"/>
          </w:tcPr>
          <w:p>
            <w:pPr>
              <w:pStyle w:val="11"/>
              <w:spacing w:before="173" w:line="276" w:lineRule="exact"/>
              <w:ind w:left="233"/>
              <w:rPr>
                <w:sz w:val="22"/>
              </w:rPr>
            </w:pPr>
            <w:r>
              <w:rPr>
                <w:spacing w:val="10"/>
                <w:w w:val="95"/>
                <w:sz w:val="22"/>
              </w:rPr>
              <w:t>肺淋巴管肌瘤</w:t>
            </w:r>
          </w:p>
        </w:tc>
        <w:tc>
          <w:tcPr>
            <w:tcW w:w="7136" w:type="dxa"/>
          </w:tcPr>
          <w:p>
            <w:pPr>
              <w:pStyle w:val="11"/>
              <w:spacing w:before="3"/>
              <w:rPr>
                <w:sz w:val="14"/>
              </w:rPr>
            </w:pPr>
          </w:p>
          <w:p>
            <w:pPr>
              <w:pStyle w:val="11"/>
              <w:spacing w:line="266" w:lineRule="exact"/>
              <w:ind w:left="106"/>
              <w:rPr>
                <w:sz w:val="21"/>
              </w:rPr>
            </w:pPr>
            <w:r>
              <w:rPr>
                <w:spacing w:val="-5"/>
                <w:sz w:val="21"/>
              </w:rPr>
              <w:t>是一种弥漫性肺部疾病，主要病理改变为肺间质、支气管、血管和淋巴管内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6"/>
                <w:sz w:val="22"/>
              </w:rPr>
              <w:t>病</w:t>
            </w:r>
          </w:p>
        </w:tc>
        <w:tc>
          <w:tcPr>
            <w:tcW w:w="7136" w:type="dxa"/>
          </w:tcPr>
          <w:p>
            <w:pPr>
              <w:pStyle w:val="11"/>
              <w:spacing w:before="26"/>
              <w:ind w:left="106"/>
              <w:rPr>
                <w:sz w:val="21"/>
              </w:rPr>
            </w:pPr>
            <w:r>
              <w:rPr>
                <w:spacing w:val="-3"/>
                <w:sz w:val="21"/>
              </w:rPr>
              <w:t>出现未成熟的平滑肌异常增生，同时须满足下列全部条件：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1"/>
              <w:ind w:left="106"/>
              <w:rPr>
                <w:sz w:val="21"/>
              </w:rPr>
            </w:pPr>
            <w:r>
              <w:rPr>
                <w:spacing w:val="-2"/>
                <w:sz w:val="21"/>
              </w:rPr>
              <w:t>（1）</w:t>
            </w:r>
            <w:r>
              <w:rPr>
                <w:spacing w:val="-3"/>
                <w:sz w:val="21"/>
              </w:rPr>
              <w:t>经组织病理学诊断；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（2）CT</w:t>
            </w:r>
            <w:r>
              <w:rPr>
                <w:spacing w:val="-10"/>
                <w:sz w:val="21"/>
              </w:rPr>
              <w:t xml:space="preserve"> 显示双肺弥漫性囊性改变；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（3）</w:t>
            </w:r>
            <w:r>
              <w:rPr>
                <w:spacing w:val="-3"/>
                <w:sz w:val="21"/>
              </w:rPr>
              <w:t>休息时出现呼吸困难；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（4）</w:t>
            </w:r>
            <w:r>
              <w:rPr>
                <w:spacing w:val="-3"/>
                <w:sz w:val="21"/>
              </w:rPr>
              <w:t>经本公司认可医院的专科医生认可有必要进行肺移植手术。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918" w:type="dxa"/>
          </w:tcPr>
          <w:p>
            <w:pPr>
              <w:pStyle w:val="11"/>
              <w:spacing w:before="173" w:line="276" w:lineRule="exact"/>
              <w:ind w:left="50"/>
              <w:rPr>
                <w:sz w:val="22"/>
              </w:rPr>
            </w:pPr>
            <w:r>
              <w:rPr>
                <w:spacing w:val="-2"/>
                <w:sz w:val="22"/>
              </w:rPr>
              <w:t>8.1.34</w:t>
            </w:r>
          </w:p>
        </w:tc>
        <w:tc>
          <w:tcPr>
            <w:tcW w:w="1687" w:type="dxa"/>
          </w:tcPr>
          <w:p>
            <w:pPr>
              <w:pStyle w:val="11"/>
              <w:spacing w:before="173" w:line="276" w:lineRule="exact"/>
              <w:ind w:left="233"/>
              <w:rPr>
                <w:sz w:val="22"/>
              </w:rPr>
            </w:pPr>
            <w:r>
              <w:rPr>
                <w:spacing w:val="10"/>
                <w:w w:val="95"/>
                <w:sz w:val="22"/>
              </w:rPr>
              <w:t>系统性红斑狼</w:t>
            </w:r>
          </w:p>
        </w:tc>
        <w:tc>
          <w:tcPr>
            <w:tcW w:w="7136" w:type="dxa"/>
          </w:tcPr>
          <w:p>
            <w:pPr>
              <w:pStyle w:val="11"/>
              <w:spacing w:before="3"/>
              <w:rPr>
                <w:sz w:val="14"/>
              </w:rPr>
            </w:pPr>
          </w:p>
          <w:p>
            <w:pPr>
              <w:pStyle w:val="11"/>
              <w:spacing w:line="266" w:lineRule="exact"/>
              <w:ind w:left="106"/>
              <w:rPr>
                <w:sz w:val="21"/>
              </w:rPr>
            </w:pPr>
            <w:r>
              <w:rPr>
                <w:spacing w:val="-5"/>
                <w:sz w:val="21"/>
              </w:rPr>
              <w:t>系统性红斑狼疮是由多种因素引起，累及多系统的自身免疫性疾病。其特点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spacing w:before="16" w:line="276" w:lineRule="exact"/>
              <w:ind w:left="233"/>
              <w:rPr>
                <w:sz w:val="22"/>
              </w:rPr>
            </w:pPr>
            <w:r>
              <w:rPr>
                <w:spacing w:val="10"/>
                <w:w w:val="95"/>
                <w:sz w:val="22"/>
              </w:rPr>
              <w:t>疮－Ⅲ型或以</w:t>
            </w:r>
          </w:p>
        </w:tc>
        <w:tc>
          <w:tcPr>
            <w:tcW w:w="7136" w:type="dxa"/>
          </w:tcPr>
          <w:p>
            <w:pPr>
              <w:pStyle w:val="11"/>
              <w:spacing w:before="26" w:line="266" w:lineRule="exact"/>
              <w:ind w:left="106"/>
              <w:rPr>
                <w:sz w:val="21"/>
              </w:rPr>
            </w:pPr>
            <w:r>
              <w:rPr>
                <w:spacing w:val="-3"/>
                <w:sz w:val="21"/>
              </w:rPr>
              <w:t>是生成自身抗体对抗多种自身抗原。多见于育龄妇女。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上狼</w:t>
            </w:r>
            <w:r>
              <w:rPr>
                <w:spacing w:val="-3"/>
                <w:w w:val="95"/>
                <w:sz w:val="22"/>
              </w:rPr>
              <w:t>疮性肾炎</w:t>
            </w:r>
          </w:p>
        </w:tc>
        <w:tc>
          <w:tcPr>
            <w:tcW w:w="7136" w:type="dxa"/>
          </w:tcPr>
          <w:p>
            <w:pPr>
              <w:pStyle w:val="11"/>
              <w:spacing w:before="26"/>
              <w:ind w:left="106"/>
              <w:rPr>
                <w:sz w:val="21"/>
              </w:rPr>
            </w:pPr>
            <w:r>
              <w:rPr>
                <w:spacing w:val="-5"/>
                <w:sz w:val="21"/>
              </w:rPr>
              <w:t>本保单所指的系统性红斑狼疮仅限于累及肾脏</w:t>
            </w:r>
            <w:r>
              <w:rPr>
                <w:spacing w:val="-2"/>
                <w:sz w:val="21"/>
              </w:rPr>
              <w:t>（</w:t>
            </w:r>
            <w:r>
              <w:rPr>
                <w:spacing w:val="-11"/>
                <w:sz w:val="21"/>
              </w:rPr>
              <w:t xml:space="preserve">经肾脏活检确认的，符合 </w:t>
            </w:r>
            <w:r>
              <w:rPr>
                <w:spacing w:val="-5"/>
                <w:sz w:val="21"/>
              </w:rPr>
              <w:t>WHO</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1"/>
              <w:ind w:left="106"/>
              <w:rPr>
                <w:sz w:val="21"/>
              </w:rPr>
            </w:pPr>
            <w:r>
              <w:rPr>
                <w:spacing w:val="-6"/>
                <w:sz w:val="21"/>
              </w:rPr>
              <w:t xml:space="preserve">诊断标准定义Ⅲ型至 </w:t>
            </w:r>
            <w:r>
              <w:rPr>
                <w:spacing w:val="-2"/>
                <w:sz w:val="21"/>
              </w:rPr>
              <w:t>V</w:t>
            </w:r>
            <w:r>
              <w:rPr>
                <w:spacing w:val="-9"/>
                <w:sz w:val="21"/>
              </w:rPr>
              <w:t xml:space="preserve"> 型狼疮性肾炎</w:t>
            </w:r>
            <w:r>
              <w:rPr>
                <w:spacing w:val="-2"/>
                <w:sz w:val="21"/>
              </w:rPr>
              <w:t>）的系统性红斑狼疮。</w:t>
            </w:r>
            <w:r>
              <w:rPr>
                <w:color w:val="000000"/>
                <w:spacing w:val="-4"/>
                <w:sz w:val="21"/>
                <w:shd w:val="clear" w:color="auto" w:fill="C0C0C0"/>
              </w:rPr>
              <w:t>其他类型的红斑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color w:val="000000"/>
                <w:spacing w:val="-3"/>
                <w:sz w:val="21"/>
                <w:shd w:val="clear" w:color="auto" w:fill="C0C0C0"/>
              </w:rPr>
              <w:t>性狼疮，如盘状狼疮、仅累及血液及关节的狼疮不在本保单保障范围内。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6" w:type="dxa"/>
          </w:tcPr>
          <w:p>
            <w:pPr>
              <w:pStyle w:val="11"/>
              <w:spacing w:before="22"/>
              <w:ind w:left="106"/>
              <w:rPr>
                <w:sz w:val="21"/>
              </w:rPr>
            </w:pPr>
            <w:r>
              <w:rPr>
                <w:spacing w:val="-2"/>
                <w:sz w:val="21"/>
              </w:rPr>
              <w:t>世界卫生组织（WHO）</w:t>
            </w:r>
            <w:r>
              <w:rPr>
                <w:spacing w:val="-4"/>
                <w:sz w:val="21"/>
              </w:rPr>
              <w:t>狼疮性肾炎分型：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136" w:type="dxa"/>
          </w:tcPr>
          <w:p>
            <w:pPr>
              <w:pStyle w:val="11"/>
              <w:tabs>
                <w:tab w:val="left" w:pos="2937"/>
              </w:tabs>
              <w:spacing w:before="22" w:line="220" w:lineRule="exact"/>
              <w:ind w:left="234"/>
              <w:rPr>
                <w:sz w:val="21"/>
              </w:rPr>
            </w:pPr>
            <w:r>
              <w:rPr>
                <w:spacing w:val="-2"/>
                <w:sz w:val="21"/>
              </w:rPr>
              <w:t>I</w:t>
            </w:r>
            <w:r>
              <w:rPr>
                <w:spacing w:val="-46"/>
                <w:sz w:val="21"/>
              </w:rPr>
              <w:t xml:space="preserve"> </w:t>
            </w:r>
            <w:r>
              <w:rPr>
                <w:spacing w:val="-2"/>
                <w:sz w:val="21"/>
              </w:rPr>
              <w:t>型（微小病变型</w:t>
            </w:r>
            <w:r>
              <w:rPr>
                <w:spacing w:val="-10"/>
                <w:sz w:val="21"/>
              </w:rPr>
              <w:t>）</w:t>
            </w:r>
            <w:r>
              <w:rPr>
                <w:sz w:val="21"/>
              </w:rPr>
              <w:tab/>
            </w:r>
            <w:r>
              <w:rPr>
                <w:spacing w:val="-2"/>
                <w:sz w:val="21"/>
              </w:rPr>
              <w:t>镜下阴性，尿液正</w:t>
            </w:r>
            <w:r>
              <w:rPr>
                <w:spacing w:val="-10"/>
                <w:sz w:val="21"/>
              </w:rPr>
              <w:t>常</w:t>
            </w:r>
          </w:p>
        </w:tc>
      </w:tr>
    </w:tbl>
    <w:p>
      <w:pPr>
        <w:spacing w:after="0" w:line="220" w:lineRule="exact"/>
        <w:rPr>
          <w:sz w:val="21"/>
        </w:rPr>
        <w:sectPr>
          <w:pgSz w:w="11910" w:h="16840"/>
          <w:pgMar w:top="1580" w:right="660" w:bottom="1260" w:left="580" w:header="0" w:footer="1060" w:gutter="0"/>
          <w:cols w:space="720" w:num="1"/>
        </w:sectPr>
      </w:pPr>
    </w:p>
    <w:p>
      <w:pPr>
        <w:pStyle w:val="6"/>
        <w:tabs>
          <w:tab w:val="left" w:pos="6215"/>
        </w:tabs>
        <w:spacing w:before="42" w:line="278" w:lineRule="auto"/>
        <w:ind w:left="3513" w:right="1714"/>
      </w:pPr>
      <w:r>
        <w:t>II</w:t>
      </w:r>
      <w:r>
        <w:rPr>
          <w:spacing w:val="-42"/>
        </w:rPr>
        <w:t xml:space="preserve"> </w:t>
      </w:r>
      <w:r>
        <w:t>型（系膜病变型）</w:t>
      </w:r>
      <w:r>
        <w:tab/>
      </w:r>
      <w:r>
        <w:rPr>
          <w:spacing w:val="-2"/>
        </w:rPr>
        <w:t xml:space="preserve">中度蛋白尿，偶有尿沉渣改变 </w:t>
      </w:r>
      <w:r>
        <w:t>Ⅲ型（局灶及节段增生型）</w:t>
      </w:r>
      <w:r>
        <w:rPr>
          <w:spacing w:val="75"/>
        </w:rPr>
        <w:t xml:space="preserve"> </w:t>
      </w:r>
      <w:r>
        <w:t>蛋白尿，尿沉渣改变</w:t>
      </w:r>
    </w:p>
    <w:p>
      <w:pPr>
        <w:pStyle w:val="6"/>
        <w:tabs>
          <w:tab w:val="left" w:pos="6215"/>
        </w:tabs>
        <w:spacing w:line="278" w:lineRule="auto"/>
        <w:ind w:left="3513" w:right="454"/>
      </w:pPr>
      <w:r>
        <w:t>IV</w:t>
      </w:r>
      <w:r>
        <w:rPr>
          <w:spacing w:val="-42"/>
        </w:rPr>
        <w:t xml:space="preserve"> </w:t>
      </w:r>
      <w:r>
        <w:t>型（弥漫增生型）</w:t>
      </w:r>
      <w:r>
        <w:tab/>
      </w:r>
      <w:r>
        <w:rPr>
          <w:spacing w:val="-2"/>
        </w:rPr>
        <w:t xml:space="preserve">急性肾炎伴有尿沉渣改变及／或肾病综合征 </w:t>
      </w:r>
      <w:r>
        <w:t>V</w:t>
      </w:r>
      <w:r>
        <w:rPr>
          <w:spacing w:val="-42"/>
        </w:rPr>
        <w:t xml:space="preserve"> </w:t>
      </w:r>
      <w:r>
        <w:t>型（膜型）</w:t>
      </w:r>
      <w:r>
        <w:tab/>
      </w:r>
      <w:r>
        <w:rPr>
          <w:spacing w:val="-2"/>
        </w:rPr>
        <w:t>肾病综合征或重度蛋白尿</w:t>
      </w:r>
    </w:p>
    <w:p>
      <w:pPr>
        <w:pStyle w:val="6"/>
        <w:spacing w:before="10"/>
        <w:rPr>
          <w:sz w:val="25"/>
        </w:r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704"/>
        <w:gridCol w:w="70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58" w:hRule="atLeast"/>
        </w:trPr>
        <w:tc>
          <w:tcPr>
            <w:tcW w:w="918" w:type="dxa"/>
          </w:tcPr>
          <w:p>
            <w:pPr>
              <w:pStyle w:val="11"/>
              <w:spacing w:line="253" w:lineRule="exact"/>
              <w:ind w:left="50"/>
              <w:rPr>
                <w:sz w:val="22"/>
              </w:rPr>
            </w:pPr>
            <w:r>
              <w:rPr>
                <w:spacing w:val="-2"/>
                <w:sz w:val="22"/>
              </w:rPr>
              <w:t>8.1.35</w:t>
            </w:r>
          </w:p>
        </w:tc>
        <w:tc>
          <w:tcPr>
            <w:tcW w:w="1704" w:type="dxa"/>
          </w:tcPr>
          <w:p>
            <w:pPr>
              <w:pStyle w:val="11"/>
              <w:spacing w:line="253" w:lineRule="exact"/>
              <w:ind w:left="233"/>
              <w:rPr>
                <w:sz w:val="22"/>
              </w:rPr>
            </w:pPr>
            <w:r>
              <w:rPr>
                <w:w w:val="95"/>
                <w:sz w:val="22"/>
              </w:rPr>
              <w:t>肾髓</w:t>
            </w:r>
            <w:r>
              <w:rPr>
                <w:spacing w:val="-3"/>
                <w:w w:val="95"/>
                <w:sz w:val="22"/>
              </w:rPr>
              <w:t>质囊性病</w:t>
            </w:r>
          </w:p>
        </w:tc>
        <w:tc>
          <w:tcPr>
            <w:tcW w:w="7077" w:type="dxa"/>
          </w:tcPr>
          <w:p>
            <w:pPr>
              <w:pStyle w:val="11"/>
              <w:spacing w:line="250" w:lineRule="exact"/>
              <w:ind w:left="89"/>
              <w:rPr>
                <w:sz w:val="21"/>
              </w:rPr>
            </w:pPr>
            <w:r>
              <w:rPr>
                <w:spacing w:val="-3"/>
                <w:sz w:val="21"/>
              </w:rPr>
              <w:t>肾髓质囊性病的诊断须同时符合下列要求：</w:t>
            </w:r>
          </w:p>
          <w:p>
            <w:pPr>
              <w:pStyle w:val="11"/>
              <w:numPr>
                <w:ilvl w:val="0"/>
                <w:numId w:val="18"/>
              </w:numPr>
              <w:tabs>
                <w:tab w:val="left" w:pos="620"/>
              </w:tabs>
              <w:spacing w:before="43" w:after="0" w:line="240" w:lineRule="auto"/>
              <w:ind w:left="619" w:right="0" w:hanging="531"/>
              <w:jc w:val="left"/>
              <w:rPr>
                <w:sz w:val="21"/>
              </w:rPr>
            </w:pPr>
            <w:r>
              <w:rPr>
                <w:spacing w:val="-3"/>
                <w:sz w:val="21"/>
              </w:rPr>
              <w:t>肾髓质有囊肿、肾小管萎缩及间质纤维化等病理改变；</w:t>
            </w:r>
          </w:p>
          <w:p>
            <w:pPr>
              <w:pStyle w:val="11"/>
              <w:numPr>
                <w:ilvl w:val="0"/>
                <w:numId w:val="18"/>
              </w:numPr>
              <w:tabs>
                <w:tab w:val="left" w:pos="620"/>
              </w:tabs>
              <w:spacing w:before="43" w:after="0" w:line="240" w:lineRule="auto"/>
              <w:ind w:left="619" w:right="0" w:hanging="531"/>
              <w:jc w:val="left"/>
              <w:rPr>
                <w:sz w:val="21"/>
              </w:rPr>
            </w:pPr>
            <w:r>
              <w:rPr>
                <w:spacing w:val="-3"/>
                <w:sz w:val="21"/>
              </w:rPr>
              <w:t>肾功能衰竭尿毒症期；</w:t>
            </w:r>
          </w:p>
          <w:p>
            <w:pPr>
              <w:pStyle w:val="11"/>
              <w:numPr>
                <w:ilvl w:val="0"/>
                <w:numId w:val="18"/>
              </w:numPr>
              <w:tabs>
                <w:tab w:val="left" w:pos="620"/>
              </w:tabs>
              <w:spacing w:before="43" w:after="0" w:line="240" w:lineRule="auto"/>
              <w:ind w:left="619" w:right="0" w:hanging="531"/>
              <w:jc w:val="left"/>
              <w:rPr>
                <w:sz w:val="21"/>
              </w:rPr>
            </w:pPr>
            <w:r>
              <w:rPr>
                <w:spacing w:val="-3"/>
                <w:sz w:val="21"/>
              </w:rPr>
              <w:t>诊断须由肾组织活检确定。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8" w:hRule="atLeast"/>
        </w:trPr>
        <w:tc>
          <w:tcPr>
            <w:tcW w:w="918" w:type="dxa"/>
          </w:tcPr>
          <w:p>
            <w:pPr>
              <w:pStyle w:val="11"/>
              <w:spacing w:before="173"/>
              <w:ind w:left="50"/>
              <w:rPr>
                <w:sz w:val="22"/>
              </w:rPr>
            </w:pPr>
            <w:r>
              <w:rPr>
                <w:spacing w:val="-2"/>
                <w:sz w:val="22"/>
              </w:rPr>
              <w:t>8.1.36</w:t>
            </w:r>
          </w:p>
        </w:tc>
        <w:tc>
          <w:tcPr>
            <w:tcW w:w="1704" w:type="dxa"/>
          </w:tcPr>
          <w:p>
            <w:pPr>
              <w:pStyle w:val="11"/>
              <w:spacing w:before="144" w:line="310" w:lineRule="atLeast"/>
              <w:ind w:left="233" w:right="121"/>
              <w:jc w:val="both"/>
              <w:rPr>
                <w:sz w:val="22"/>
              </w:rPr>
            </w:pPr>
            <w:r>
              <w:rPr>
                <w:spacing w:val="10"/>
                <w:w w:val="95"/>
                <w:sz w:val="22"/>
              </w:rPr>
              <w:t>肝豆状核变性</w:t>
            </w:r>
            <w:r>
              <w:rPr>
                <w:w w:val="95"/>
                <w:sz w:val="22"/>
              </w:rPr>
              <w:t xml:space="preserve"> </w:t>
            </w:r>
            <w:r>
              <w:rPr>
                <w:spacing w:val="-5"/>
                <w:w w:val="95"/>
                <w:sz w:val="22"/>
              </w:rPr>
              <w:t xml:space="preserve">( 或称 </w:t>
            </w:r>
            <w:r>
              <w:rPr>
                <w:w w:val="95"/>
                <w:sz w:val="22"/>
              </w:rPr>
              <w:t>Wilson</w:t>
            </w:r>
            <w:r>
              <w:rPr>
                <w:spacing w:val="-6"/>
                <w:sz w:val="22"/>
              </w:rPr>
              <w:t>病)</w:t>
            </w:r>
          </w:p>
        </w:tc>
        <w:tc>
          <w:tcPr>
            <w:tcW w:w="7077" w:type="dxa"/>
          </w:tcPr>
          <w:p>
            <w:pPr>
              <w:pStyle w:val="11"/>
              <w:spacing w:before="3"/>
              <w:rPr>
                <w:sz w:val="14"/>
              </w:rPr>
            </w:pPr>
          </w:p>
          <w:p>
            <w:pPr>
              <w:pStyle w:val="11"/>
              <w:spacing w:line="278" w:lineRule="auto"/>
              <w:ind w:left="89" w:right="47"/>
              <w:rPr>
                <w:sz w:val="21"/>
              </w:rPr>
            </w:pPr>
            <w:r>
              <w:rPr>
                <w:spacing w:val="-2"/>
                <w:sz w:val="21"/>
              </w:rPr>
              <w:t>指一种常染色体隐性遗传的铜代谢缺陷病，以不同程度的肝细胞损害、脑退行性病变和角膜边缘有铜盐沉着环为其临床特征，并须满足下列全部条件：</w:t>
            </w:r>
          </w:p>
          <w:p>
            <w:pPr>
              <w:pStyle w:val="11"/>
              <w:spacing w:line="269" w:lineRule="exact"/>
              <w:ind w:left="89"/>
              <w:rPr>
                <w:sz w:val="21"/>
              </w:rPr>
            </w:pPr>
            <w:r>
              <w:rPr>
                <w:spacing w:val="-2"/>
                <w:sz w:val="21"/>
              </w:rPr>
              <w:t>（1）</w:t>
            </w:r>
            <w:r>
              <w:rPr>
                <w:spacing w:val="-4"/>
                <w:sz w:val="21"/>
              </w:rPr>
              <w:t>典型症状；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1"/>
              <w:ind w:left="89"/>
              <w:rPr>
                <w:sz w:val="21"/>
              </w:rPr>
            </w:pPr>
            <w:r>
              <w:rPr>
                <w:spacing w:val="-2"/>
                <w:sz w:val="21"/>
              </w:rPr>
              <w:t>（2）角膜色素环（K-F</w:t>
            </w:r>
            <w:r>
              <w:rPr>
                <w:spacing w:val="-25"/>
                <w:sz w:val="21"/>
              </w:rPr>
              <w:t xml:space="preserve"> 环</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（3）</w:t>
            </w:r>
            <w:r>
              <w:rPr>
                <w:spacing w:val="-3"/>
                <w:sz w:val="21"/>
              </w:rPr>
              <w:t>血清铜和血清铜蓝蛋白降低，尿铜增加；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（4）</w:t>
            </w:r>
            <w:r>
              <w:rPr>
                <w:spacing w:val="-4"/>
                <w:sz w:val="21"/>
              </w:rPr>
              <w:t>经肝脏活检确诊。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5"/>
                <w:sz w:val="21"/>
              </w:rPr>
              <w:t>我们承担本项疾病责任不受本合同“责任免除”中“遗传性疾病，先天性畸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3"/>
                <w:sz w:val="21"/>
              </w:rPr>
              <w:t>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5" w:hRule="atLeast"/>
        </w:trPr>
        <w:tc>
          <w:tcPr>
            <w:tcW w:w="918" w:type="dxa"/>
          </w:tcPr>
          <w:p>
            <w:pPr>
              <w:pStyle w:val="11"/>
              <w:spacing w:before="173"/>
              <w:ind w:left="50"/>
              <w:rPr>
                <w:sz w:val="22"/>
              </w:rPr>
            </w:pPr>
            <w:r>
              <w:rPr>
                <w:spacing w:val="-2"/>
                <w:sz w:val="22"/>
              </w:rPr>
              <w:t>8.1.37</w:t>
            </w:r>
          </w:p>
        </w:tc>
        <w:tc>
          <w:tcPr>
            <w:tcW w:w="1704" w:type="dxa"/>
          </w:tcPr>
          <w:p>
            <w:pPr>
              <w:pStyle w:val="11"/>
              <w:spacing w:before="1"/>
              <w:rPr>
                <w:sz w:val="17"/>
              </w:rPr>
            </w:pPr>
          </w:p>
          <w:p>
            <w:pPr>
              <w:pStyle w:val="11"/>
              <w:spacing w:line="189" w:lineRule="auto"/>
              <w:ind w:left="233" w:right="88"/>
              <w:jc w:val="both"/>
              <w:rPr>
                <w:rFonts w:ascii="微软雅黑" w:eastAsia="微软雅黑"/>
                <w:b/>
                <w:sz w:val="22"/>
              </w:rPr>
            </w:pPr>
            <w:r>
              <w:rPr>
                <w:spacing w:val="10"/>
                <w:w w:val="95"/>
                <w:sz w:val="22"/>
              </w:rPr>
              <w:t>严重肠道疾病</w:t>
            </w:r>
            <w:r>
              <w:rPr>
                <w:spacing w:val="36"/>
                <w:w w:val="95"/>
                <w:sz w:val="22"/>
              </w:rPr>
              <w:t>并发症</w:t>
            </w:r>
            <w:r>
              <w:rPr>
                <w:rFonts w:ascii="微软雅黑" w:eastAsia="微软雅黑"/>
                <w:b/>
                <w:spacing w:val="10"/>
                <w:w w:val="95"/>
                <w:sz w:val="22"/>
              </w:rPr>
              <w:t>( 本项</w:t>
            </w:r>
            <w:r>
              <w:rPr>
                <w:rFonts w:ascii="微软雅黑" w:eastAsia="微软雅黑"/>
                <w:b/>
                <w:spacing w:val="12"/>
                <w:w w:val="95"/>
                <w:sz w:val="22"/>
              </w:rPr>
              <w:t>保险责任仅</w:t>
            </w:r>
            <w:r>
              <w:rPr>
                <w:rFonts w:ascii="微软雅黑" w:eastAsia="微软雅黑"/>
                <w:b/>
                <w:w w:val="95"/>
                <w:sz w:val="22"/>
              </w:rPr>
              <w:t>在</w:t>
            </w:r>
            <w:r>
              <w:rPr>
                <w:rFonts w:ascii="微软雅黑" w:eastAsia="微软雅黑"/>
                <w:b/>
                <w:w w:val="90"/>
                <w:sz w:val="22"/>
              </w:rPr>
              <w:t>被保险</w:t>
            </w:r>
            <w:r>
              <w:rPr>
                <w:rFonts w:ascii="微软雅黑" w:eastAsia="微软雅黑"/>
                <w:b/>
                <w:spacing w:val="38"/>
                <w:w w:val="90"/>
                <w:sz w:val="22"/>
              </w:rPr>
              <w:t>人</w:t>
            </w:r>
            <w:r>
              <w:rPr>
                <w:rFonts w:ascii="微软雅黑" w:eastAsia="微软雅黑"/>
                <w:b/>
                <w:w w:val="90"/>
                <w:sz w:val="22"/>
              </w:rPr>
              <w:t>18</w:t>
            </w:r>
            <w:r>
              <w:rPr>
                <w:rFonts w:ascii="微软雅黑" w:eastAsia="微软雅黑"/>
                <w:b/>
                <w:spacing w:val="-1"/>
                <w:w w:val="90"/>
                <w:sz w:val="22"/>
              </w:rPr>
              <w:t xml:space="preserve"> 周</w:t>
            </w:r>
            <w:r>
              <w:rPr>
                <w:rFonts w:ascii="微软雅黑" w:eastAsia="微软雅黑"/>
                <w:b/>
                <w:spacing w:val="12"/>
                <w:w w:val="95"/>
                <w:sz w:val="22"/>
              </w:rPr>
              <w:t>岁以前提供</w:t>
            </w:r>
            <w:r>
              <w:rPr>
                <w:rFonts w:ascii="微软雅黑" w:eastAsia="微软雅黑"/>
                <w:b/>
                <w:w w:val="95"/>
                <w:sz w:val="22"/>
              </w:rPr>
              <w:t>保</w:t>
            </w:r>
            <w:r>
              <w:rPr>
                <w:rFonts w:ascii="微软雅黑" w:eastAsia="微软雅黑"/>
                <w:b/>
                <w:spacing w:val="-6"/>
                <w:sz w:val="22"/>
              </w:rPr>
              <w:t>障)</w:t>
            </w:r>
          </w:p>
        </w:tc>
        <w:tc>
          <w:tcPr>
            <w:tcW w:w="7077" w:type="dxa"/>
          </w:tcPr>
          <w:p>
            <w:pPr>
              <w:pStyle w:val="11"/>
              <w:spacing w:before="3"/>
              <w:rPr>
                <w:sz w:val="14"/>
              </w:rPr>
            </w:pPr>
          </w:p>
          <w:p>
            <w:pPr>
              <w:pStyle w:val="11"/>
              <w:ind w:left="89"/>
              <w:rPr>
                <w:sz w:val="21"/>
              </w:rPr>
            </w:pPr>
            <w:r>
              <w:rPr>
                <w:spacing w:val="-3"/>
                <w:sz w:val="21"/>
              </w:rPr>
              <w:t>严重肠道疾病或外伤导致小肠损害并发症，必须满足以下所有条件：</w:t>
            </w:r>
          </w:p>
          <w:p>
            <w:pPr>
              <w:pStyle w:val="11"/>
              <w:numPr>
                <w:ilvl w:val="0"/>
                <w:numId w:val="19"/>
              </w:numPr>
              <w:tabs>
                <w:tab w:val="left" w:pos="620"/>
              </w:tabs>
              <w:spacing w:before="43" w:after="0" w:line="240" w:lineRule="auto"/>
              <w:ind w:left="619" w:right="0" w:hanging="531"/>
              <w:jc w:val="left"/>
              <w:rPr>
                <w:sz w:val="21"/>
              </w:rPr>
            </w:pPr>
            <w:r>
              <w:rPr>
                <w:spacing w:val="-3"/>
                <w:sz w:val="21"/>
              </w:rPr>
              <w:t>至少切除了三分之二小肠；</w:t>
            </w:r>
          </w:p>
          <w:p>
            <w:pPr>
              <w:pStyle w:val="11"/>
              <w:numPr>
                <w:ilvl w:val="0"/>
                <w:numId w:val="19"/>
              </w:numPr>
              <w:tabs>
                <w:tab w:val="left" w:pos="620"/>
              </w:tabs>
              <w:spacing w:before="43" w:after="0" w:line="257" w:lineRule="exact"/>
              <w:ind w:left="619" w:right="0" w:hanging="531"/>
              <w:jc w:val="left"/>
              <w:rPr>
                <w:sz w:val="21"/>
              </w:rPr>
            </w:pPr>
            <w:r>
              <w:rPr>
                <w:spacing w:val="-8"/>
                <w:sz w:val="21"/>
              </w:rPr>
              <w:t xml:space="preserve">完全肠外营养支持 </w:t>
            </w:r>
            <w:r>
              <w:rPr>
                <w:spacing w:val="-2"/>
                <w:sz w:val="21"/>
              </w:rPr>
              <w:t>3</w:t>
            </w:r>
            <w:r>
              <w:rPr>
                <w:spacing w:val="-12"/>
                <w:sz w:val="21"/>
              </w:rPr>
              <w:t xml:space="preserve"> 个月以上。</w:t>
            </w:r>
          </w:p>
          <w:p>
            <w:pPr>
              <w:pStyle w:val="11"/>
              <w:spacing w:line="375" w:lineRule="exact"/>
              <w:ind w:left="89"/>
              <w:rPr>
                <w:rFonts w:ascii="微软雅黑" w:eastAsia="微软雅黑"/>
                <w:b/>
                <w:sz w:val="21"/>
              </w:rPr>
            </w:pPr>
            <w:r>
              <w:rPr>
                <w:rFonts w:ascii="微软雅黑" w:eastAsia="微软雅黑"/>
                <w:b/>
                <w:w w:val="95"/>
                <w:sz w:val="21"/>
              </w:rPr>
              <w:t>本项保险责任仅在被保险人</w:t>
            </w:r>
            <w:r>
              <w:rPr>
                <w:rFonts w:ascii="微软雅黑" w:eastAsia="微软雅黑"/>
                <w:b/>
                <w:spacing w:val="73"/>
                <w:sz w:val="21"/>
              </w:rPr>
              <w:t xml:space="preserve"> </w:t>
            </w:r>
            <w:r>
              <w:rPr>
                <w:rFonts w:ascii="微软雅黑" w:eastAsia="微软雅黑"/>
                <w:b/>
                <w:w w:val="95"/>
                <w:sz w:val="21"/>
              </w:rPr>
              <w:t>18</w:t>
            </w:r>
            <w:r>
              <w:rPr>
                <w:rFonts w:ascii="微软雅黑" w:eastAsia="微软雅黑"/>
                <w:b/>
                <w:spacing w:val="74"/>
                <w:sz w:val="21"/>
              </w:rPr>
              <w:t xml:space="preserve"> </w:t>
            </w:r>
            <w:r>
              <w:rPr>
                <w:rFonts w:ascii="微软雅黑" w:eastAsia="微软雅黑"/>
                <w:b/>
                <w:w w:val="95"/>
                <w:sz w:val="21"/>
              </w:rPr>
              <w:t>周岁以前提供保障</w:t>
            </w:r>
            <w:r>
              <w:rPr>
                <w:rFonts w:ascii="微软雅黑" w:eastAsia="微软雅黑"/>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72"/>
              <w:ind w:left="50"/>
              <w:rPr>
                <w:sz w:val="22"/>
              </w:rPr>
            </w:pPr>
            <w:r>
              <w:rPr>
                <w:spacing w:val="-2"/>
                <w:sz w:val="22"/>
              </w:rPr>
              <w:t>8.1.38</w:t>
            </w:r>
          </w:p>
        </w:tc>
        <w:tc>
          <w:tcPr>
            <w:tcW w:w="1704" w:type="dxa"/>
          </w:tcPr>
          <w:p>
            <w:pPr>
              <w:pStyle w:val="11"/>
              <w:spacing w:before="102" w:line="359" w:lineRule="exact"/>
              <w:ind w:left="233"/>
              <w:rPr>
                <w:rFonts w:ascii="微软雅黑" w:eastAsia="微软雅黑"/>
                <w:b/>
                <w:sz w:val="22"/>
              </w:rPr>
            </w:pPr>
            <w:r>
              <w:rPr>
                <w:spacing w:val="14"/>
                <w:w w:val="95"/>
                <w:sz w:val="22"/>
              </w:rPr>
              <w:t>严重哮喘</w:t>
            </w:r>
            <w:r>
              <w:rPr>
                <w:rFonts w:ascii="微软雅黑" w:eastAsia="微软雅黑"/>
                <w:b/>
                <w:spacing w:val="-5"/>
                <w:w w:val="95"/>
                <w:sz w:val="22"/>
              </w:rPr>
              <w:t>（25</w:t>
            </w:r>
          </w:p>
          <w:p>
            <w:pPr>
              <w:pStyle w:val="11"/>
              <w:spacing w:line="305" w:lineRule="exact"/>
              <w:ind w:left="233"/>
              <w:rPr>
                <w:rFonts w:ascii="微软雅黑" w:eastAsia="微软雅黑"/>
                <w:b/>
                <w:sz w:val="22"/>
              </w:rPr>
            </w:pPr>
            <w:r>
              <w:rPr>
                <w:rFonts w:ascii="微软雅黑" w:eastAsia="微软雅黑"/>
                <w:b/>
                <w:w w:val="95"/>
                <w:sz w:val="22"/>
              </w:rPr>
              <w:t>周岁前理赔</w:t>
            </w:r>
            <w:r>
              <w:rPr>
                <w:rFonts w:ascii="微软雅黑" w:eastAsia="微软雅黑"/>
                <w:b/>
                <w:spacing w:val="-10"/>
                <w:w w:val="95"/>
                <w:sz w:val="22"/>
              </w:rPr>
              <w:t>）</w:t>
            </w:r>
          </w:p>
        </w:tc>
        <w:tc>
          <w:tcPr>
            <w:tcW w:w="7077" w:type="dxa"/>
          </w:tcPr>
          <w:p>
            <w:pPr>
              <w:pStyle w:val="11"/>
              <w:spacing w:before="141" w:line="310" w:lineRule="atLeast"/>
              <w:ind w:left="89" w:right="115"/>
              <w:rPr>
                <w:sz w:val="21"/>
              </w:rPr>
            </w:pPr>
            <w:r>
              <w:rPr>
                <w:spacing w:val="-4"/>
                <w:sz w:val="21"/>
              </w:rPr>
              <w:t>指一种反复发作的严重支气管阻塞性疾病，经我们认可的专科医生确诊，且</w:t>
            </w:r>
            <w:r>
              <w:rPr>
                <w:spacing w:val="-2"/>
                <w:sz w:val="21"/>
              </w:rPr>
              <w:t>必须同时符合下列标准：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1"/>
              <w:ind w:left="89"/>
              <w:rPr>
                <w:sz w:val="21"/>
              </w:rPr>
            </w:pPr>
            <w:r>
              <w:rPr>
                <w:spacing w:val="-2"/>
                <w:sz w:val="21"/>
              </w:rPr>
              <w:t>（1）</w:t>
            </w:r>
            <w:r>
              <w:rPr>
                <w:spacing w:val="-3"/>
                <w:sz w:val="21"/>
              </w:rPr>
              <w:t>过去两年中曾因哮喘持续状态住院治疗，并提供完整住院记录；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（2）</w:t>
            </w:r>
            <w:r>
              <w:rPr>
                <w:spacing w:val="-3"/>
                <w:sz w:val="21"/>
              </w:rPr>
              <w:t>因慢性过度换气导致胸廓畸形；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（3）</w:t>
            </w:r>
            <w:r>
              <w:rPr>
                <w:spacing w:val="-3"/>
                <w:sz w:val="21"/>
              </w:rPr>
              <w:t>在家中需要医生处方的氧气治疗法；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（4）</w:t>
            </w:r>
            <w:r>
              <w:rPr>
                <w:spacing w:val="-3"/>
                <w:sz w:val="21"/>
              </w:rPr>
              <w:t>持续日常服用口服类固醇激素治疗持续至少六个月。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line="342" w:lineRule="exact"/>
              <w:ind w:left="89"/>
              <w:rPr>
                <w:rFonts w:ascii="微软雅黑" w:eastAsia="微软雅黑"/>
                <w:b/>
                <w:sz w:val="21"/>
              </w:rPr>
            </w:pPr>
            <w:r>
              <w:rPr>
                <w:rFonts w:ascii="微软雅黑" w:eastAsia="微软雅黑"/>
                <w:b/>
                <w:w w:val="95"/>
                <w:sz w:val="21"/>
              </w:rPr>
              <w:t>被保险人申请理赔时年龄必须在年满</w:t>
            </w:r>
            <w:r>
              <w:rPr>
                <w:rFonts w:ascii="微软雅黑" w:eastAsia="微软雅黑"/>
                <w:b/>
                <w:spacing w:val="75"/>
                <w:sz w:val="21"/>
              </w:rPr>
              <w:t xml:space="preserve"> </w:t>
            </w:r>
            <w:r>
              <w:rPr>
                <w:rFonts w:ascii="微软雅黑" w:eastAsia="微软雅黑"/>
                <w:b/>
                <w:w w:val="95"/>
                <w:sz w:val="21"/>
              </w:rPr>
              <w:t>25</w:t>
            </w:r>
            <w:r>
              <w:rPr>
                <w:rFonts w:ascii="微软雅黑" w:eastAsia="微软雅黑"/>
                <w:b/>
                <w:spacing w:val="73"/>
                <w:sz w:val="21"/>
              </w:rPr>
              <w:t xml:space="preserve"> </w:t>
            </w:r>
            <w:r>
              <w:rPr>
                <w:rFonts w:ascii="微软雅黑" w:eastAsia="微软雅黑"/>
                <w:b/>
                <w:w w:val="95"/>
                <w:sz w:val="21"/>
              </w:rPr>
              <w:t>周岁之前</w:t>
            </w:r>
            <w:r>
              <w:rPr>
                <w:rFonts w:ascii="微软雅黑" w:eastAsia="微软雅黑"/>
                <w:b/>
                <w:spacing w:val="-10"/>
                <w:w w:val="9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73"/>
              <w:ind w:left="50"/>
              <w:rPr>
                <w:sz w:val="22"/>
              </w:rPr>
            </w:pPr>
            <w:r>
              <w:rPr>
                <w:spacing w:val="-2"/>
                <w:sz w:val="22"/>
              </w:rPr>
              <w:t>8.1.39</w:t>
            </w:r>
          </w:p>
        </w:tc>
        <w:tc>
          <w:tcPr>
            <w:tcW w:w="1704" w:type="dxa"/>
          </w:tcPr>
          <w:p>
            <w:pPr>
              <w:pStyle w:val="11"/>
              <w:spacing w:before="144" w:line="310" w:lineRule="atLeast"/>
              <w:ind w:left="233" w:right="122"/>
              <w:rPr>
                <w:sz w:val="22"/>
              </w:rPr>
            </w:pPr>
            <w:r>
              <w:rPr>
                <w:spacing w:val="10"/>
                <w:w w:val="95"/>
                <w:sz w:val="22"/>
              </w:rPr>
              <w:t>严重自身免疫</w:t>
            </w:r>
            <w:r>
              <w:rPr>
                <w:spacing w:val="-4"/>
                <w:sz w:val="22"/>
              </w:rPr>
              <w:t>性肝炎</w:t>
            </w:r>
          </w:p>
        </w:tc>
        <w:tc>
          <w:tcPr>
            <w:tcW w:w="7077" w:type="dxa"/>
          </w:tcPr>
          <w:p>
            <w:pPr>
              <w:pStyle w:val="11"/>
              <w:spacing w:before="142" w:line="310" w:lineRule="atLeast"/>
              <w:ind w:left="89" w:right="112"/>
              <w:rPr>
                <w:sz w:val="21"/>
              </w:rPr>
            </w:pPr>
            <w:r>
              <w:rPr>
                <w:spacing w:val="-5"/>
                <w:sz w:val="21"/>
              </w:rPr>
              <w:t>自身免疫性肝炎是一种原因不明的慢性肝脏的坏死性炎性疾病，机体免疫机制被破坏，产生针对肝脏自身抗原的抗体导致自身免疫反应，从而破坏肝细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1"/>
              <w:ind w:left="89"/>
              <w:rPr>
                <w:sz w:val="21"/>
              </w:rPr>
            </w:pPr>
            <w:r>
              <w:rPr>
                <w:spacing w:val="-3"/>
                <w:sz w:val="21"/>
              </w:rPr>
              <w:t>胞造成肝脏炎症坏死，进而发展为肝硬化。必须满足所有以下条件：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（1）高γ</w:t>
            </w:r>
            <w:r>
              <w:rPr>
                <w:spacing w:val="-4"/>
                <w:sz w:val="21"/>
              </w:rPr>
              <w:t>球蛋白血症；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z w:val="21"/>
              </w:rPr>
              <w:t>（2）血液中存在高水平的自身免疫抗体，如 ANA（抗核抗体</w:t>
            </w:r>
            <w:r>
              <w:rPr>
                <w:spacing w:val="-106"/>
                <w:sz w:val="21"/>
              </w:rPr>
              <w:t>）</w:t>
            </w:r>
            <w:r>
              <w:rPr>
                <w:sz w:val="21"/>
              </w:rPr>
              <w:t>、SMA（</w:t>
            </w:r>
            <w:r>
              <w:rPr>
                <w:spacing w:val="-5"/>
                <w:sz w:val="21"/>
              </w:rPr>
              <w:t>抗平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滑肌抗体</w:t>
            </w:r>
            <w:r>
              <w:rPr>
                <w:spacing w:val="-108"/>
                <w:sz w:val="21"/>
              </w:rPr>
              <w:t>）</w:t>
            </w:r>
            <w:r>
              <w:rPr>
                <w:spacing w:val="-18"/>
                <w:sz w:val="21"/>
              </w:rPr>
              <w:t xml:space="preserve">、抗 </w:t>
            </w:r>
            <w:r>
              <w:rPr>
                <w:spacing w:val="-2"/>
                <w:sz w:val="21"/>
              </w:rPr>
              <w:t>LKM1</w:t>
            </w:r>
            <w:r>
              <w:rPr>
                <w:spacing w:val="-11"/>
                <w:sz w:val="21"/>
              </w:rPr>
              <w:t xml:space="preserve"> 抗体或抗-</w:t>
            </w:r>
            <w:r>
              <w:rPr>
                <w:spacing w:val="-2"/>
                <w:sz w:val="21"/>
              </w:rPr>
              <w:t>SLA/LP</w:t>
            </w:r>
            <w:r>
              <w:rPr>
                <w:spacing w:val="-15"/>
                <w:sz w:val="21"/>
              </w:rPr>
              <w:t xml:space="preserve"> 抗体；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（3）</w:t>
            </w:r>
            <w:r>
              <w:rPr>
                <w:spacing w:val="-3"/>
                <w:sz w:val="21"/>
              </w:rPr>
              <w:t>肝脏活检证实免疫性肝炎；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04" w:type="dxa"/>
          </w:tcPr>
          <w:p>
            <w:pPr>
              <w:pStyle w:val="11"/>
              <w:rPr>
                <w:rFonts w:ascii="Times New Roman"/>
                <w:sz w:val="20"/>
              </w:rPr>
            </w:pPr>
          </w:p>
        </w:tc>
        <w:tc>
          <w:tcPr>
            <w:tcW w:w="7077" w:type="dxa"/>
          </w:tcPr>
          <w:p>
            <w:pPr>
              <w:pStyle w:val="11"/>
              <w:spacing w:before="22"/>
              <w:ind w:left="89"/>
              <w:rPr>
                <w:sz w:val="21"/>
              </w:rPr>
            </w:pPr>
            <w:r>
              <w:rPr>
                <w:spacing w:val="-2"/>
                <w:sz w:val="21"/>
              </w:rPr>
              <w:t>（4）</w:t>
            </w:r>
            <w:r>
              <w:rPr>
                <w:spacing w:val="-3"/>
                <w:sz w:val="21"/>
              </w:rPr>
              <w:t>临床已经出现腹水、食道静脉曲张和脾肿大等肝硬化表现。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918" w:type="dxa"/>
          </w:tcPr>
          <w:p>
            <w:pPr>
              <w:pStyle w:val="11"/>
              <w:spacing w:before="172" w:line="231" w:lineRule="exact"/>
              <w:ind w:left="50"/>
              <w:rPr>
                <w:sz w:val="22"/>
              </w:rPr>
            </w:pPr>
            <w:r>
              <w:rPr>
                <w:spacing w:val="-2"/>
                <w:sz w:val="22"/>
              </w:rPr>
              <w:t>8.1.40</w:t>
            </w:r>
          </w:p>
        </w:tc>
        <w:tc>
          <w:tcPr>
            <w:tcW w:w="1704" w:type="dxa"/>
          </w:tcPr>
          <w:p>
            <w:pPr>
              <w:pStyle w:val="11"/>
              <w:spacing w:before="172" w:line="231" w:lineRule="exact"/>
              <w:ind w:left="233"/>
              <w:rPr>
                <w:sz w:val="22"/>
              </w:rPr>
            </w:pPr>
            <w:r>
              <w:rPr>
                <w:spacing w:val="10"/>
                <w:w w:val="95"/>
                <w:sz w:val="22"/>
              </w:rPr>
              <w:t>特发性慢性肾</w:t>
            </w:r>
          </w:p>
        </w:tc>
        <w:tc>
          <w:tcPr>
            <w:tcW w:w="7077" w:type="dxa"/>
          </w:tcPr>
          <w:p>
            <w:pPr>
              <w:pStyle w:val="11"/>
              <w:spacing w:before="3"/>
              <w:rPr>
                <w:sz w:val="14"/>
              </w:rPr>
            </w:pPr>
          </w:p>
          <w:p>
            <w:pPr>
              <w:pStyle w:val="11"/>
              <w:spacing w:line="221" w:lineRule="exact"/>
              <w:ind w:left="89"/>
              <w:rPr>
                <w:sz w:val="21"/>
              </w:rPr>
            </w:pPr>
            <w:r>
              <w:rPr>
                <w:spacing w:val="-4"/>
                <w:sz w:val="21"/>
              </w:rPr>
              <w:t>指自身免疫性肾上腺炎（也称：特发性肾上腺皮质萎缩）</w:t>
            </w:r>
            <w:r>
              <w:rPr>
                <w:spacing w:val="-5"/>
                <w:sz w:val="21"/>
              </w:rPr>
              <w:t>导致肾上腺萎缩和</w:t>
            </w:r>
          </w:p>
        </w:tc>
      </w:tr>
    </w:tbl>
    <w:p>
      <w:pPr>
        <w:spacing w:after="0" w:line="221" w:lineRule="exact"/>
        <w:rPr>
          <w:sz w:val="21"/>
        </w:rPr>
        <w:sectPr>
          <w:pgSz w:w="11910" w:h="16840"/>
          <w:pgMar w:top="1460" w:right="660" w:bottom="1260"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794"/>
        <w:gridCol w:w="68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trPr>
        <w:tc>
          <w:tcPr>
            <w:tcW w:w="918" w:type="dxa"/>
          </w:tcPr>
          <w:p>
            <w:pPr>
              <w:pStyle w:val="11"/>
              <w:rPr>
                <w:rFonts w:ascii="Times New Roman"/>
                <w:sz w:val="20"/>
              </w:rPr>
            </w:pPr>
          </w:p>
        </w:tc>
        <w:tc>
          <w:tcPr>
            <w:tcW w:w="1794" w:type="dxa"/>
          </w:tcPr>
          <w:p>
            <w:pPr>
              <w:pStyle w:val="11"/>
              <w:spacing w:line="253" w:lineRule="exact"/>
              <w:ind w:left="233"/>
              <w:rPr>
                <w:sz w:val="22"/>
              </w:rPr>
            </w:pPr>
            <w:r>
              <w:rPr>
                <w:spacing w:val="10"/>
                <w:w w:val="95"/>
                <w:sz w:val="22"/>
              </w:rPr>
              <w:t>上腺皮质功能</w:t>
            </w:r>
          </w:p>
          <w:p>
            <w:pPr>
              <w:pStyle w:val="11"/>
              <w:spacing w:before="30" w:line="281" w:lineRule="exact"/>
              <w:ind w:left="233"/>
              <w:rPr>
                <w:sz w:val="22"/>
              </w:rPr>
            </w:pPr>
            <w:r>
              <w:rPr>
                <w:w w:val="95"/>
                <w:sz w:val="22"/>
              </w:rPr>
              <w:t>减</w:t>
            </w:r>
            <w:r>
              <w:rPr>
                <w:spacing w:val="-10"/>
                <w:sz w:val="22"/>
              </w:rPr>
              <w:t>退</w:t>
            </w:r>
          </w:p>
        </w:tc>
        <w:tc>
          <w:tcPr>
            <w:tcW w:w="6869" w:type="dxa"/>
          </w:tcPr>
          <w:p>
            <w:pPr>
              <w:pStyle w:val="11"/>
              <w:spacing w:line="250" w:lineRule="exact"/>
              <w:ind w:left="-1"/>
              <w:rPr>
                <w:sz w:val="21"/>
              </w:rPr>
            </w:pPr>
            <w:r>
              <w:rPr>
                <w:spacing w:val="-3"/>
                <w:sz w:val="21"/>
              </w:rPr>
              <w:t>慢性肾上腺皮质功能减退。必须满足所有以下条件：</w:t>
            </w:r>
          </w:p>
          <w:p>
            <w:pPr>
              <w:pStyle w:val="11"/>
              <w:spacing w:before="43"/>
              <w:ind w:left="-1"/>
              <w:rPr>
                <w:sz w:val="21"/>
              </w:rPr>
            </w:pPr>
            <w:r>
              <w:rPr>
                <w:spacing w:val="-2"/>
                <w:sz w:val="21"/>
              </w:rPr>
              <w:t>（一）</w:t>
            </w:r>
            <w:r>
              <w:rPr>
                <w:spacing w:val="-3"/>
                <w:sz w:val="21"/>
              </w:rPr>
              <w:t>必须由专科医生明确诊断，符合所有以下诊断标准：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1"/>
              <w:ind w:left="-1"/>
              <w:rPr>
                <w:sz w:val="21"/>
              </w:rPr>
            </w:pPr>
            <w:r>
              <w:rPr>
                <w:spacing w:val="-2"/>
                <w:sz w:val="21"/>
              </w:rPr>
              <w:t>（1）血浆促肾上腺皮质激素(ACTH)水平测定，&gt;100pg/ml；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ight="-15"/>
              <w:rPr>
                <w:sz w:val="21"/>
              </w:rPr>
            </w:pPr>
            <w:r>
              <w:rPr>
                <w:sz w:val="21"/>
              </w:rPr>
              <w:t>（2）</w:t>
            </w:r>
            <w:r>
              <w:rPr>
                <w:spacing w:val="-1"/>
                <w:sz w:val="21"/>
              </w:rPr>
              <w:t>血浆肾素活性、血管紧张素Ⅱ和醛固酮测定，显示为原发性肾上腺皮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4"/>
                <w:sz w:val="21"/>
              </w:rPr>
              <w:t>质功能减退症；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ight="-15"/>
              <w:rPr>
                <w:sz w:val="21"/>
              </w:rPr>
            </w:pPr>
            <w:r>
              <w:rPr>
                <w:sz w:val="21"/>
              </w:rPr>
              <w:t>（3）促肾上腺皮质激素(ACTH)</w:t>
            </w:r>
            <w:r>
              <w:rPr>
                <w:spacing w:val="-1"/>
                <w:sz w:val="21"/>
              </w:rPr>
              <w:t>刺激试验显示为原发性肾上腺皮质功能减退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5"/>
                <w:sz w:val="21"/>
              </w:rPr>
              <w:t>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2"/>
                <w:sz w:val="21"/>
              </w:rPr>
              <w:t>（二）</w:t>
            </w:r>
            <w:r>
              <w:rPr>
                <w:spacing w:val="-5"/>
                <w:sz w:val="21"/>
              </w:rPr>
              <w:t xml:space="preserve">已经采用皮质类固醇替代治疗 </w:t>
            </w:r>
            <w:r>
              <w:rPr>
                <w:spacing w:val="-2"/>
                <w:sz w:val="21"/>
              </w:rPr>
              <w:t>180</w:t>
            </w:r>
            <w:r>
              <w:rPr>
                <w:spacing w:val="-14"/>
                <w:sz w:val="21"/>
              </w:rPr>
              <w:t xml:space="preserve"> 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shd w:val="clear" w:color="auto" w:fill="C0C0C0"/>
          </w:tcPr>
          <w:p>
            <w:pPr>
              <w:pStyle w:val="11"/>
              <w:spacing w:before="22"/>
              <w:ind w:left="-1" w:right="-15"/>
              <w:rPr>
                <w:sz w:val="21"/>
              </w:rPr>
            </w:pPr>
            <w:r>
              <w:rPr>
                <w:spacing w:val="-2"/>
                <w:sz w:val="21"/>
              </w:rPr>
              <w:t>肾上腺结核、HIV</w:t>
            </w:r>
            <w:r>
              <w:rPr>
                <w:spacing w:val="-10"/>
                <w:sz w:val="21"/>
              </w:rPr>
              <w:t xml:space="preserve"> 感染或艾滋病、感染、肿瘤所致的原发性肾上腺皮质功能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5"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3" w:line="252" w:lineRule="exact"/>
              <w:ind w:left="-1"/>
              <w:rPr>
                <w:sz w:val="21"/>
              </w:rPr>
            </w:pPr>
            <w:r>
              <w:rPr>
                <w:spacing w:val="-3"/>
                <w:sz w:val="21"/>
              </w:rPr>
              <w:t>减退和继发性肾上腺皮质功能减退不在保障范围内。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trPr>
        <w:tc>
          <w:tcPr>
            <w:tcW w:w="918" w:type="dxa"/>
          </w:tcPr>
          <w:p>
            <w:pPr>
              <w:pStyle w:val="11"/>
              <w:spacing w:before="8"/>
              <w:rPr>
                <w:sz w:val="26"/>
              </w:rPr>
            </w:pPr>
          </w:p>
          <w:p>
            <w:pPr>
              <w:pStyle w:val="11"/>
              <w:spacing w:line="281" w:lineRule="exact"/>
              <w:ind w:left="50"/>
              <w:rPr>
                <w:sz w:val="22"/>
              </w:rPr>
            </w:pPr>
            <w:r>
              <w:rPr>
                <w:spacing w:val="-2"/>
                <w:sz w:val="22"/>
              </w:rPr>
              <w:t>8.1.41</w:t>
            </w:r>
          </w:p>
        </w:tc>
        <w:tc>
          <w:tcPr>
            <w:tcW w:w="1794" w:type="dxa"/>
          </w:tcPr>
          <w:p>
            <w:pPr>
              <w:pStyle w:val="11"/>
              <w:spacing w:before="8"/>
              <w:rPr>
                <w:sz w:val="26"/>
              </w:rPr>
            </w:pPr>
          </w:p>
          <w:p>
            <w:pPr>
              <w:pStyle w:val="11"/>
              <w:spacing w:line="281" w:lineRule="exact"/>
              <w:ind w:left="149" w:right="210"/>
              <w:jc w:val="center"/>
              <w:rPr>
                <w:sz w:val="22"/>
              </w:rPr>
            </w:pPr>
            <w:r>
              <w:rPr>
                <w:w w:val="95"/>
                <w:sz w:val="22"/>
              </w:rPr>
              <w:t>严重</w:t>
            </w:r>
            <w:r>
              <w:rPr>
                <w:spacing w:val="-3"/>
                <w:w w:val="95"/>
                <w:sz w:val="22"/>
              </w:rPr>
              <w:t>肺结节病</w:t>
            </w:r>
          </w:p>
        </w:tc>
        <w:tc>
          <w:tcPr>
            <w:tcW w:w="6869" w:type="dxa"/>
          </w:tcPr>
          <w:p>
            <w:pPr>
              <w:pStyle w:val="11"/>
              <w:spacing w:before="5"/>
              <w:rPr>
                <w:sz w:val="27"/>
              </w:rPr>
            </w:pPr>
          </w:p>
          <w:p>
            <w:pPr>
              <w:pStyle w:val="11"/>
              <w:ind w:left="-1" w:right="-15"/>
              <w:rPr>
                <w:sz w:val="21"/>
              </w:rPr>
            </w:pPr>
            <w:r>
              <w:rPr>
                <w:spacing w:val="-5"/>
                <w:sz w:val="21"/>
              </w:rPr>
              <w:t>结节病是一种原因未明的慢性肉芽肿病，可侵犯全身多个器官，以肺和淋巴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1"/>
              <w:ind w:left="-1" w:right="-15"/>
              <w:rPr>
                <w:sz w:val="21"/>
              </w:rPr>
            </w:pPr>
            <w:r>
              <w:rPr>
                <w:spacing w:val="-10"/>
                <w:sz w:val="21"/>
              </w:rPr>
              <w:t>结受累最为常见。严重肺结节病表现为肺的广泛纤维化导致慢性呼吸功能衰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3"/>
                <w:sz w:val="21"/>
              </w:rPr>
              <w:t>竭。必须满足下列所有条件：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z w:val="21"/>
              </w:rPr>
              <w:t>（1）</w:t>
            </w:r>
            <w:r>
              <w:rPr>
                <w:spacing w:val="4"/>
                <w:sz w:val="21"/>
              </w:rPr>
              <w:t>肺结节病的</w:t>
            </w:r>
            <w:r>
              <w:rPr>
                <w:sz w:val="21"/>
              </w:rPr>
              <w:t>X</w:t>
            </w:r>
            <w:r>
              <w:rPr>
                <w:spacing w:val="-19"/>
                <w:sz w:val="21"/>
              </w:rPr>
              <w:t xml:space="preserve"> 线分期为 </w:t>
            </w:r>
            <w:r>
              <w:rPr>
                <w:sz w:val="21"/>
              </w:rPr>
              <w:t>IV</w:t>
            </w:r>
            <w:r>
              <w:rPr>
                <w:spacing w:val="-9"/>
                <w:sz w:val="21"/>
              </w:rPr>
              <w:t xml:space="preserve"> 期，即广泛肺纤维化；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ight="-15"/>
              <w:rPr>
                <w:sz w:val="21"/>
              </w:rPr>
            </w:pPr>
            <w:r>
              <w:rPr>
                <w:spacing w:val="-2"/>
                <w:sz w:val="21"/>
              </w:rPr>
              <w:t>（2）</w:t>
            </w:r>
            <w:r>
              <w:rPr>
                <w:spacing w:val="-3"/>
                <w:sz w:val="21"/>
              </w:rPr>
              <w:t xml:space="preserve">永久不可逆性的慢性呼吸功能衰竭，临床持续 </w:t>
            </w:r>
            <w:r>
              <w:rPr>
                <w:spacing w:val="-2"/>
                <w:sz w:val="21"/>
              </w:rPr>
              <w:t>180</w:t>
            </w:r>
            <w:r>
              <w:rPr>
                <w:spacing w:val="-7"/>
                <w:sz w:val="21"/>
              </w:rPr>
              <w:t xml:space="preserve"> 天出现动脉血氧分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1"/>
              <w:ind w:left="-1"/>
              <w:rPr>
                <w:sz w:val="21"/>
              </w:rPr>
            </w:pPr>
            <w:r>
              <w:rPr>
                <w:spacing w:val="-2"/>
                <w:position w:val="1"/>
                <w:sz w:val="21"/>
              </w:rPr>
              <w:t>压（PaO</w:t>
            </w:r>
            <w:r>
              <w:rPr>
                <w:spacing w:val="-2"/>
                <w:sz w:val="11"/>
              </w:rPr>
              <w:t>2</w:t>
            </w:r>
            <w:r>
              <w:rPr>
                <w:spacing w:val="-2"/>
                <w:position w:val="1"/>
                <w:sz w:val="21"/>
              </w:rPr>
              <w:t>）&lt;50mmHg</w:t>
            </w:r>
            <w:r>
              <w:rPr>
                <w:spacing w:val="-7"/>
                <w:position w:val="1"/>
                <w:sz w:val="21"/>
              </w:rPr>
              <w:t xml:space="preserve"> 和动脉血氧饱和度</w:t>
            </w:r>
            <w:r>
              <w:rPr>
                <w:spacing w:val="-2"/>
                <w:position w:val="1"/>
                <w:sz w:val="21"/>
              </w:rPr>
              <w:t>（SaO</w:t>
            </w:r>
            <w:r>
              <w:rPr>
                <w:spacing w:val="-2"/>
                <w:sz w:val="11"/>
              </w:rPr>
              <w:t>2</w:t>
            </w:r>
            <w:r>
              <w:rPr>
                <w:spacing w:val="-2"/>
                <w:position w:val="1"/>
                <w:sz w:val="21"/>
              </w:rPr>
              <w:t>）&lt;80</w:t>
            </w:r>
            <w:r>
              <w:rPr>
                <w:spacing w:val="-6"/>
                <w:position w:val="1"/>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8.1.42</w:t>
            </w:r>
          </w:p>
        </w:tc>
        <w:tc>
          <w:tcPr>
            <w:tcW w:w="1794" w:type="dxa"/>
          </w:tcPr>
          <w:p>
            <w:pPr>
              <w:pStyle w:val="11"/>
              <w:spacing w:before="173" w:line="281" w:lineRule="exact"/>
              <w:ind w:left="149" w:right="210"/>
              <w:jc w:val="center"/>
              <w:rPr>
                <w:sz w:val="22"/>
              </w:rPr>
            </w:pPr>
            <w:r>
              <w:rPr>
                <w:w w:val="95"/>
                <w:sz w:val="22"/>
              </w:rPr>
              <w:t>重症</w:t>
            </w:r>
            <w:r>
              <w:rPr>
                <w:spacing w:val="-3"/>
                <w:w w:val="95"/>
                <w:sz w:val="22"/>
              </w:rPr>
              <w:t>手足口病</w:t>
            </w:r>
          </w:p>
        </w:tc>
        <w:tc>
          <w:tcPr>
            <w:tcW w:w="6869" w:type="dxa"/>
          </w:tcPr>
          <w:p>
            <w:pPr>
              <w:pStyle w:val="11"/>
              <w:spacing w:before="3"/>
              <w:rPr>
                <w:sz w:val="14"/>
              </w:rPr>
            </w:pPr>
          </w:p>
          <w:p>
            <w:pPr>
              <w:pStyle w:val="11"/>
              <w:ind w:left="-1" w:right="-15"/>
              <w:rPr>
                <w:sz w:val="21"/>
              </w:rPr>
            </w:pPr>
            <w:r>
              <w:rPr>
                <w:spacing w:val="-5"/>
                <w:sz w:val="21"/>
              </w:rPr>
              <w:t>由肠道病毒引起的急性传染病，主要症状表现为手、足、口腔等部位的斑丘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1"/>
              <w:ind w:left="-1" w:right="-15"/>
              <w:rPr>
                <w:sz w:val="21"/>
              </w:rPr>
            </w:pPr>
            <w:r>
              <w:rPr>
                <w:spacing w:val="-5"/>
                <w:sz w:val="21"/>
              </w:rPr>
              <w:t>疹、疱疹。经我们认可的医疗机构的儿科专科医生确诊为患有手足口病，并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3"/>
                <w:sz w:val="21"/>
              </w:rPr>
              <w:t>伴有下列三项中的任意一项并发症：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z w:val="21"/>
              </w:rPr>
              <w:t>（1）</w:t>
            </w:r>
            <w:r>
              <w:rPr>
                <w:spacing w:val="-1"/>
                <w:sz w:val="21"/>
              </w:rPr>
              <w:t>有脑膜炎或脑炎并发症，且导致意识障碍或瘫痪的临床表现及实验室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4"/>
                <w:sz w:val="21"/>
              </w:rPr>
              <w:t>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2"/>
                <w:sz w:val="21"/>
              </w:rPr>
              <w:t>（2）</w:t>
            </w:r>
            <w:r>
              <w:rPr>
                <w:spacing w:val="-3"/>
                <w:sz w:val="21"/>
              </w:rPr>
              <w:t>有肺水肿并发症，且导致呼吸衰竭的临床表现及实验室检查证据；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z w:val="21"/>
              </w:rPr>
              <w:t>（3）</w:t>
            </w:r>
            <w:r>
              <w:rPr>
                <w:spacing w:val="-1"/>
                <w:sz w:val="21"/>
              </w:rPr>
              <w:t>有心肌炎并发症，且导致心脏扩大或心力衰竭的临床表现及实验室检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4"/>
                <w:sz w:val="21"/>
              </w:rPr>
              <w:t>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21" w:hRule="atLeast"/>
        </w:trPr>
        <w:tc>
          <w:tcPr>
            <w:tcW w:w="918" w:type="dxa"/>
          </w:tcPr>
          <w:p>
            <w:pPr>
              <w:pStyle w:val="11"/>
              <w:spacing w:before="173"/>
              <w:ind w:left="50"/>
              <w:rPr>
                <w:sz w:val="22"/>
              </w:rPr>
            </w:pPr>
            <w:r>
              <w:rPr>
                <w:spacing w:val="-2"/>
                <w:sz w:val="22"/>
              </w:rPr>
              <w:t>8.1.43</w:t>
            </w:r>
          </w:p>
        </w:tc>
        <w:tc>
          <w:tcPr>
            <w:tcW w:w="1794" w:type="dxa"/>
          </w:tcPr>
          <w:p>
            <w:pPr>
              <w:pStyle w:val="11"/>
              <w:spacing w:before="11"/>
              <w:rPr>
                <w:sz w:val="16"/>
              </w:rPr>
            </w:pPr>
          </w:p>
          <w:p>
            <w:pPr>
              <w:pStyle w:val="11"/>
              <w:spacing w:before="1" w:line="192" w:lineRule="auto"/>
              <w:ind w:left="233" w:right="212"/>
              <w:jc w:val="both"/>
              <w:rPr>
                <w:rFonts w:ascii="微软雅黑" w:eastAsia="微软雅黑"/>
                <w:b/>
                <w:sz w:val="22"/>
              </w:rPr>
            </w:pPr>
            <w:r>
              <w:rPr>
                <w:spacing w:val="10"/>
                <w:w w:val="95"/>
                <w:sz w:val="22"/>
              </w:rPr>
              <w:t>范可尼综合征</w:t>
            </w:r>
            <w:r>
              <w:rPr>
                <w:w w:val="95"/>
                <w:sz w:val="22"/>
              </w:rPr>
              <w:t xml:space="preserve"> </w:t>
            </w:r>
            <w:r>
              <w:rPr>
                <w:rFonts w:ascii="微软雅黑" w:eastAsia="微软雅黑"/>
                <w:b/>
                <w:spacing w:val="7"/>
                <w:w w:val="95"/>
                <w:sz w:val="22"/>
              </w:rPr>
              <w:t>( 本</w:t>
            </w:r>
            <w:r>
              <w:rPr>
                <w:rFonts w:ascii="微软雅黑" w:eastAsia="微软雅黑"/>
                <w:b/>
                <w:spacing w:val="35"/>
                <w:w w:val="95"/>
                <w:sz w:val="22"/>
              </w:rPr>
              <w:t>项保险</w:t>
            </w:r>
            <w:r>
              <w:rPr>
                <w:rFonts w:ascii="微软雅黑" w:eastAsia="微软雅黑"/>
                <w:b/>
                <w:w w:val="95"/>
                <w:sz w:val="22"/>
              </w:rPr>
              <w:t>责</w:t>
            </w:r>
            <w:r>
              <w:rPr>
                <w:rFonts w:ascii="微软雅黑" w:eastAsia="微软雅黑"/>
                <w:b/>
                <w:spacing w:val="12"/>
                <w:w w:val="95"/>
                <w:sz w:val="22"/>
              </w:rPr>
              <w:t>任仅在被保</w:t>
            </w:r>
            <w:r>
              <w:rPr>
                <w:rFonts w:ascii="微软雅黑" w:eastAsia="微软雅黑"/>
                <w:b/>
                <w:w w:val="95"/>
                <w:sz w:val="22"/>
              </w:rPr>
              <w:t>险人</w:t>
            </w:r>
            <w:r>
              <w:rPr>
                <w:rFonts w:ascii="微软雅黑" w:eastAsia="微软雅黑"/>
                <w:b/>
                <w:spacing w:val="17"/>
                <w:sz w:val="22"/>
              </w:rPr>
              <w:t xml:space="preserve"> </w:t>
            </w:r>
            <w:r>
              <w:rPr>
                <w:rFonts w:ascii="微软雅黑" w:eastAsia="微软雅黑"/>
                <w:b/>
                <w:w w:val="95"/>
                <w:sz w:val="22"/>
              </w:rPr>
              <w:t>3</w:t>
            </w:r>
            <w:r>
              <w:rPr>
                <w:rFonts w:ascii="微软雅黑" w:eastAsia="微软雅黑"/>
                <w:b/>
                <w:spacing w:val="20"/>
                <w:w w:val="95"/>
                <w:sz w:val="22"/>
              </w:rPr>
              <w:t xml:space="preserve"> </w:t>
            </w:r>
            <w:r>
              <w:rPr>
                <w:rFonts w:ascii="微软雅黑" w:eastAsia="微软雅黑"/>
                <w:b/>
                <w:w w:val="95"/>
                <w:sz w:val="22"/>
              </w:rPr>
              <w:t>周岁以</w:t>
            </w:r>
            <w:r>
              <w:rPr>
                <w:rFonts w:ascii="微软雅黑" w:eastAsia="微软雅黑"/>
                <w:b/>
                <w:spacing w:val="-10"/>
                <w:w w:val="95"/>
                <w:sz w:val="22"/>
              </w:rPr>
              <w:t>后</w:t>
            </w:r>
          </w:p>
          <w:p>
            <w:pPr>
              <w:pStyle w:val="11"/>
              <w:spacing w:line="286" w:lineRule="exact"/>
              <w:ind w:left="233"/>
              <w:rPr>
                <w:rFonts w:ascii="微软雅黑" w:eastAsia="微软雅黑"/>
                <w:b/>
                <w:sz w:val="22"/>
              </w:rPr>
            </w:pPr>
            <w:r>
              <w:rPr>
                <w:rFonts w:ascii="微软雅黑" w:eastAsia="微软雅黑"/>
                <w:b/>
                <w:w w:val="95"/>
                <w:sz w:val="22"/>
              </w:rPr>
              <w:t>提供保障</w:t>
            </w:r>
            <w:r>
              <w:rPr>
                <w:rFonts w:ascii="微软雅黑" w:eastAsia="微软雅黑"/>
                <w:b/>
                <w:spacing w:val="-10"/>
                <w:w w:val="95"/>
                <w:sz w:val="22"/>
              </w:rPr>
              <w:t>)</w:t>
            </w:r>
          </w:p>
        </w:tc>
        <w:tc>
          <w:tcPr>
            <w:tcW w:w="6869" w:type="dxa"/>
          </w:tcPr>
          <w:p>
            <w:pPr>
              <w:pStyle w:val="11"/>
              <w:spacing w:before="3"/>
              <w:rPr>
                <w:sz w:val="14"/>
              </w:rPr>
            </w:pPr>
          </w:p>
          <w:p>
            <w:pPr>
              <w:pStyle w:val="11"/>
              <w:spacing w:line="278" w:lineRule="auto"/>
              <w:ind w:left="-1" w:right="-15"/>
              <w:rPr>
                <w:sz w:val="21"/>
              </w:rPr>
            </w:pPr>
            <w:r>
              <w:rPr>
                <w:spacing w:val="-19"/>
                <w:sz w:val="21"/>
              </w:rPr>
              <w:t xml:space="preserve">也称 </w:t>
            </w:r>
            <w:r>
              <w:rPr>
                <w:spacing w:val="-2"/>
                <w:sz w:val="21"/>
              </w:rPr>
              <w:t>Fanconi</w:t>
            </w:r>
            <w:r>
              <w:rPr>
                <w:spacing w:val="-10"/>
                <w:sz w:val="21"/>
              </w:rPr>
              <w:t xml:space="preserve"> 综合征，指近端肾小管的功能异常引起的一组症候群。须经专</w:t>
            </w:r>
            <w:r>
              <w:rPr>
                <w:spacing w:val="-2"/>
                <w:sz w:val="21"/>
              </w:rPr>
              <w:t>科医生诊断，且须满足下列至少三项条件：</w:t>
            </w:r>
          </w:p>
          <w:p>
            <w:pPr>
              <w:pStyle w:val="11"/>
              <w:numPr>
                <w:ilvl w:val="0"/>
                <w:numId w:val="20"/>
              </w:numPr>
              <w:tabs>
                <w:tab w:val="left" w:pos="530"/>
              </w:tabs>
              <w:spacing w:before="0" w:after="0" w:line="269" w:lineRule="exact"/>
              <w:ind w:left="529" w:right="0" w:hanging="531"/>
              <w:jc w:val="left"/>
              <w:rPr>
                <w:sz w:val="21"/>
              </w:rPr>
            </w:pPr>
            <w:r>
              <w:rPr>
                <w:spacing w:val="-3"/>
                <w:sz w:val="21"/>
              </w:rPr>
              <w:t>尿液检查出现肾性糖尿、全氨基酸糖尿或磷酸盐尿；</w:t>
            </w:r>
          </w:p>
          <w:p>
            <w:pPr>
              <w:pStyle w:val="11"/>
              <w:numPr>
                <w:ilvl w:val="0"/>
                <w:numId w:val="20"/>
              </w:numPr>
              <w:tabs>
                <w:tab w:val="left" w:pos="530"/>
              </w:tabs>
              <w:spacing w:before="43" w:after="0" w:line="240" w:lineRule="auto"/>
              <w:ind w:left="529" w:right="0" w:hanging="531"/>
              <w:jc w:val="left"/>
              <w:rPr>
                <w:sz w:val="21"/>
              </w:rPr>
            </w:pPr>
            <w:r>
              <w:rPr>
                <w:spacing w:val="-3"/>
                <w:sz w:val="21"/>
              </w:rPr>
              <w:t>血液检查出现低磷血症、低尿酸血症或近端肾小管酸中毒；</w:t>
            </w:r>
          </w:p>
          <w:p>
            <w:pPr>
              <w:pStyle w:val="11"/>
              <w:numPr>
                <w:ilvl w:val="0"/>
                <w:numId w:val="20"/>
              </w:numPr>
              <w:tabs>
                <w:tab w:val="left" w:pos="530"/>
              </w:tabs>
              <w:spacing w:before="43" w:after="0" w:line="240" w:lineRule="auto"/>
              <w:ind w:left="529" w:right="0" w:hanging="531"/>
              <w:jc w:val="left"/>
              <w:rPr>
                <w:sz w:val="21"/>
              </w:rPr>
            </w:pPr>
            <w:r>
              <w:rPr>
                <w:spacing w:val="-3"/>
                <w:sz w:val="21"/>
              </w:rPr>
              <w:t>出现骨质疏松、骨骼畸形或尿路结石；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1"/>
              <w:ind w:left="-1"/>
              <w:rPr>
                <w:sz w:val="21"/>
              </w:rPr>
            </w:pPr>
            <w:r>
              <w:rPr>
                <w:sz w:val="21"/>
              </w:rPr>
              <w:t>（4）</w:t>
            </w:r>
            <w:r>
              <w:rPr>
                <w:spacing w:val="-1"/>
                <w:sz w:val="21"/>
              </w:rPr>
              <w:t>通过骨髓片、白细胞、直肠黏膜中的结晶分析或裂隙灯检查角膜有胱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spacing w:val="-4"/>
                <w:sz w:val="21"/>
              </w:rPr>
              <w:t>氨酸结晶。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794" w:type="dxa"/>
          </w:tcPr>
          <w:p>
            <w:pPr>
              <w:pStyle w:val="11"/>
              <w:rPr>
                <w:rFonts w:ascii="Times New Roman"/>
                <w:sz w:val="20"/>
              </w:rPr>
            </w:pPr>
          </w:p>
        </w:tc>
        <w:tc>
          <w:tcPr>
            <w:tcW w:w="6869" w:type="dxa"/>
          </w:tcPr>
          <w:p>
            <w:pPr>
              <w:pStyle w:val="11"/>
              <w:spacing w:before="22"/>
              <w:ind w:left="-1"/>
              <w:rPr>
                <w:sz w:val="21"/>
              </w:rPr>
            </w:pPr>
            <w:r>
              <w:rPr>
                <w:color w:val="000000"/>
                <w:spacing w:val="-10"/>
                <w:sz w:val="21"/>
                <w:shd w:val="clear" w:color="auto" w:fill="C0C0C0"/>
              </w:rPr>
              <w:t xml:space="preserve">被保险人在 </w:t>
            </w:r>
            <w:r>
              <w:rPr>
                <w:color w:val="000000"/>
                <w:spacing w:val="-2"/>
                <w:sz w:val="21"/>
                <w:shd w:val="clear" w:color="auto" w:fill="C0C0C0"/>
              </w:rPr>
              <w:t>3</w:t>
            </w:r>
            <w:r>
              <w:rPr>
                <w:color w:val="000000"/>
                <w:spacing w:val="-10"/>
                <w:sz w:val="21"/>
                <w:shd w:val="clear" w:color="auto" w:fill="C0C0C0"/>
              </w:rPr>
              <w:t xml:space="preserve"> 周岁之前罹患该疾病，本公司不承担保险责任。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85" w:hRule="atLeast"/>
        </w:trPr>
        <w:tc>
          <w:tcPr>
            <w:tcW w:w="918" w:type="dxa"/>
          </w:tcPr>
          <w:p>
            <w:pPr>
              <w:pStyle w:val="11"/>
              <w:spacing w:before="173"/>
              <w:ind w:left="50"/>
              <w:rPr>
                <w:sz w:val="22"/>
              </w:rPr>
            </w:pPr>
            <w:r>
              <w:rPr>
                <w:spacing w:val="-2"/>
                <w:sz w:val="22"/>
              </w:rPr>
              <w:t>8.1.44</w:t>
            </w:r>
          </w:p>
        </w:tc>
        <w:tc>
          <w:tcPr>
            <w:tcW w:w="1794" w:type="dxa"/>
          </w:tcPr>
          <w:p>
            <w:pPr>
              <w:pStyle w:val="11"/>
              <w:spacing w:before="1"/>
              <w:rPr>
                <w:sz w:val="17"/>
              </w:rPr>
            </w:pPr>
          </w:p>
          <w:p>
            <w:pPr>
              <w:pStyle w:val="11"/>
              <w:spacing w:line="189" w:lineRule="auto"/>
              <w:ind w:left="233" w:right="212"/>
              <w:jc w:val="both"/>
              <w:rPr>
                <w:rFonts w:ascii="微软雅黑" w:eastAsia="微软雅黑"/>
                <w:b/>
                <w:sz w:val="22"/>
              </w:rPr>
            </w:pPr>
            <w:r>
              <w:rPr>
                <w:spacing w:val="10"/>
                <w:w w:val="95"/>
                <w:sz w:val="22"/>
              </w:rPr>
              <w:t>肾上腺脑白质</w:t>
            </w:r>
            <w:r>
              <w:rPr>
                <w:spacing w:val="36"/>
                <w:w w:val="95"/>
                <w:sz w:val="22"/>
              </w:rPr>
              <w:t>营养不良</w:t>
            </w:r>
            <w:r>
              <w:rPr>
                <w:rFonts w:ascii="微软雅黑" w:eastAsia="微软雅黑"/>
                <w:b/>
                <w:spacing w:val="-5"/>
                <w:w w:val="95"/>
                <w:sz w:val="22"/>
              </w:rPr>
              <w:t>( 本</w:t>
            </w:r>
            <w:r>
              <w:rPr>
                <w:rFonts w:ascii="微软雅黑" w:eastAsia="微软雅黑"/>
                <w:b/>
                <w:spacing w:val="12"/>
                <w:w w:val="95"/>
                <w:sz w:val="22"/>
              </w:rPr>
              <w:t>项保险责任</w:t>
            </w:r>
            <w:r>
              <w:rPr>
                <w:rFonts w:ascii="微软雅黑" w:eastAsia="微软雅黑"/>
                <w:b/>
                <w:w w:val="95"/>
                <w:sz w:val="22"/>
              </w:rPr>
              <w:t>仅</w:t>
            </w:r>
            <w:r>
              <w:rPr>
                <w:rFonts w:ascii="微软雅黑" w:eastAsia="微软雅黑"/>
                <w:b/>
                <w:spacing w:val="12"/>
                <w:sz w:val="22"/>
              </w:rPr>
              <w:t>在被保</w:t>
            </w:r>
            <w:r>
              <w:rPr>
                <w:rFonts w:ascii="微软雅黑" w:eastAsia="微软雅黑"/>
                <w:b/>
                <w:spacing w:val="-2"/>
                <w:sz w:val="22"/>
              </w:rPr>
              <w:t xml:space="preserve">险人 </w:t>
            </w:r>
            <w:r>
              <w:rPr>
                <w:rFonts w:ascii="微软雅黑" w:eastAsia="微软雅黑"/>
                <w:b/>
                <w:sz w:val="22"/>
              </w:rPr>
              <w:t>3</w:t>
            </w:r>
            <w:r>
              <w:rPr>
                <w:rFonts w:ascii="微软雅黑" w:eastAsia="微软雅黑"/>
                <w:b/>
                <w:spacing w:val="12"/>
                <w:w w:val="95"/>
                <w:sz w:val="22"/>
              </w:rPr>
              <w:t>周岁以后提</w:t>
            </w:r>
            <w:r>
              <w:rPr>
                <w:rFonts w:ascii="微软雅黑" w:eastAsia="微软雅黑"/>
                <w:b/>
                <w:w w:val="95"/>
                <w:sz w:val="22"/>
              </w:rPr>
              <w:t>供</w:t>
            </w:r>
            <w:r>
              <w:rPr>
                <w:rFonts w:ascii="微软雅黑" w:eastAsia="微软雅黑"/>
                <w:b/>
                <w:spacing w:val="-4"/>
                <w:sz w:val="22"/>
              </w:rPr>
              <w:t>保障</w:t>
            </w:r>
            <w:r>
              <w:rPr>
                <w:rFonts w:ascii="微软雅黑" w:eastAsia="微软雅黑"/>
                <w:b/>
                <w:spacing w:val="-4"/>
                <w:w w:val="105"/>
                <w:sz w:val="22"/>
              </w:rPr>
              <w:t>)</w:t>
            </w:r>
          </w:p>
        </w:tc>
        <w:tc>
          <w:tcPr>
            <w:tcW w:w="6869" w:type="dxa"/>
          </w:tcPr>
          <w:p>
            <w:pPr>
              <w:pStyle w:val="11"/>
              <w:spacing w:before="3"/>
              <w:rPr>
                <w:sz w:val="14"/>
              </w:rPr>
            </w:pPr>
          </w:p>
          <w:p>
            <w:pPr>
              <w:pStyle w:val="11"/>
              <w:spacing w:line="278" w:lineRule="auto"/>
              <w:ind w:left="-1" w:right="-15"/>
              <w:jc w:val="both"/>
              <w:rPr>
                <w:sz w:val="21"/>
              </w:rPr>
            </w:pPr>
            <w:r>
              <w:rPr>
                <w:spacing w:val="-2"/>
                <w:sz w:val="21"/>
              </w:rPr>
              <w:t>指一种最常见的过氧化物酶体病，主要累及肾上腺和脑白质，主要表现为进行性的精神运动障碍，视力及听力下降和（或）肾上腺皮质功能低下等。须经专科医生诊断，且已经造成自主生活能力完全丧失，无法独立完成六项基</w:t>
            </w:r>
            <w:r>
              <w:rPr>
                <w:spacing w:val="-1"/>
                <w:sz w:val="21"/>
              </w:rPr>
              <w:t xml:space="preserve">本日常生活活动中的三项或三项以上，持续至少 </w:t>
            </w:r>
            <w:r>
              <w:rPr>
                <w:sz w:val="21"/>
              </w:rPr>
              <w:t>180</w:t>
            </w:r>
            <w:r>
              <w:rPr>
                <w:spacing w:val="-8"/>
                <w:sz w:val="21"/>
              </w:rPr>
              <w:t xml:space="preserve"> 天。</w:t>
            </w:r>
          </w:p>
          <w:p>
            <w:pPr>
              <w:pStyle w:val="11"/>
              <w:ind w:left="-1"/>
              <w:jc w:val="both"/>
              <w:rPr>
                <w:sz w:val="21"/>
              </w:rPr>
            </w:pPr>
            <w:r>
              <w:rPr>
                <w:color w:val="000000"/>
                <w:spacing w:val="-10"/>
                <w:sz w:val="21"/>
                <w:shd w:val="clear" w:color="auto" w:fill="C0C0C0"/>
              </w:rPr>
              <w:t xml:space="preserve">被保险人在 </w:t>
            </w:r>
            <w:r>
              <w:rPr>
                <w:color w:val="000000"/>
                <w:spacing w:val="-2"/>
                <w:sz w:val="21"/>
                <w:shd w:val="clear" w:color="auto" w:fill="C0C0C0"/>
              </w:rPr>
              <w:t>3</w:t>
            </w:r>
            <w:r>
              <w:rPr>
                <w:color w:val="000000"/>
                <w:spacing w:val="-10"/>
                <w:sz w:val="21"/>
                <w:shd w:val="clear" w:color="auto" w:fill="C0C0C0"/>
              </w:rPr>
              <w:t xml:space="preserve"> 周岁之前罹患该疾病，本公司不承担保险责任。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3" w:hRule="atLeast"/>
        </w:trPr>
        <w:tc>
          <w:tcPr>
            <w:tcW w:w="918" w:type="dxa"/>
          </w:tcPr>
          <w:p>
            <w:pPr>
              <w:pStyle w:val="11"/>
              <w:spacing w:before="172" w:line="231" w:lineRule="exact"/>
              <w:ind w:left="50"/>
              <w:rPr>
                <w:sz w:val="22"/>
              </w:rPr>
            </w:pPr>
            <w:r>
              <w:rPr>
                <w:spacing w:val="-2"/>
                <w:sz w:val="22"/>
              </w:rPr>
              <w:t>8.1.45</w:t>
            </w:r>
          </w:p>
        </w:tc>
        <w:tc>
          <w:tcPr>
            <w:tcW w:w="1794" w:type="dxa"/>
          </w:tcPr>
          <w:p>
            <w:pPr>
              <w:pStyle w:val="11"/>
              <w:spacing w:before="172" w:line="231" w:lineRule="exact"/>
              <w:ind w:left="225" w:right="206"/>
              <w:jc w:val="center"/>
              <w:rPr>
                <w:sz w:val="22"/>
              </w:rPr>
            </w:pPr>
            <w:r>
              <w:rPr>
                <w:spacing w:val="10"/>
                <w:w w:val="95"/>
                <w:sz w:val="22"/>
              </w:rPr>
              <w:t>败血症导致的</w:t>
            </w:r>
          </w:p>
        </w:tc>
        <w:tc>
          <w:tcPr>
            <w:tcW w:w="6869" w:type="dxa"/>
          </w:tcPr>
          <w:p>
            <w:pPr>
              <w:pStyle w:val="11"/>
              <w:spacing w:before="2"/>
              <w:rPr>
                <w:sz w:val="14"/>
              </w:rPr>
            </w:pPr>
          </w:p>
          <w:p>
            <w:pPr>
              <w:pStyle w:val="11"/>
              <w:spacing w:line="221" w:lineRule="exact"/>
              <w:ind w:left="33" w:right="-15"/>
              <w:rPr>
                <w:sz w:val="21"/>
              </w:rPr>
            </w:pPr>
            <w:r>
              <w:rPr>
                <w:spacing w:val="-8"/>
                <w:sz w:val="21"/>
              </w:rPr>
              <w:t>指由我司认可医院的专科医生确诊为败血症，并由血液或骨骼检查证实致病</w:t>
            </w:r>
          </w:p>
        </w:tc>
      </w:tr>
    </w:tbl>
    <w:p>
      <w:pPr>
        <w:rPr>
          <w:sz w:val="2"/>
          <w:szCs w:val="2"/>
        </w:rPr>
      </w:pPr>
      <w:r>
        <w:drawing>
          <wp:anchor distT="0" distB="0" distL="0" distR="0" simplePos="0" relativeHeight="251719680" behindDoc="1" locked="0" layoutInCell="1" allowOverlap="1">
            <wp:simplePos x="0" y="0"/>
            <wp:positionH relativeFrom="page">
              <wp:posOffset>2517775</wp:posOffset>
            </wp:positionH>
            <wp:positionV relativeFrom="page">
              <wp:posOffset>2733675</wp:posOffset>
            </wp:positionV>
            <wp:extent cx="3041650" cy="185420"/>
            <wp:effectExtent l="0" t="0" r="0" b="0"/>
            <wp:wrapNone/>
            <wp:docPr id="8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8.png"/>
                    <pic:cNvPicPr>
                      <a:picLocks noChangeAspect="1"/>
                    </pic:cNvPicPr>
                  </pic:nvPicPr>
                  <pic:blipFill>
                    <a:blip r:embed="rId34" cstate="print"/>
                    <a:stretch>
                      <a:fillRect/>
                    </a:stretch>
                  </pic:blipFill>
                  <pic:spPr>
                    <a:xfrm>
                      <a:off x="0" y="0"/>
                      <a:ext cx="3041891" cy="185737"/>
                    </a:xfrm>
                    <a:prstGeom prst="rect">
                      <a:avLst/>
                    </a:prstGeom>
                  </pic:spPr>
                </pic:pic>
              </a:graphicData>
            </a:graphic>
          </wp:anchor>
        </w:drawing>
      </w:r>
    </w:p>
    <w:p>
      <w:pPr>
        <w:spacing w:after="0"/>
        <w:rPr>
          <w:sz w:val="2"/>
          <w:szCs w:val="2"/>
        </w:rPr>
        <w:sectPr>
          <w:type w:val="continuous"/>
          <w:pgSz w:w="11910" w:h="16840"/>
          <w:pgMar w:top="1520" w:right="660" w:bottom="1260"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trPr>
        <w:tc>
          <w:tcPr>
            <w:tcW w:w="918" w:type="dxa"/>
          </w:tcPr>
          <w:p>
            <w:pPr>
              <w:pStyle w:val="11"/>
              <w:rPr>
                <w:rFonts w:ascii="Times New Roman"/>
                <w:sz w:val="20"/>
              </w:rPr>
            </w:pPr>
          </w:p>
        </w:tc>
        <w:tc>
          <w:tcPr>
            <w:tcW w:w="1687" w:type="dxa"/>
          </w:tcPr>
          <w:p>
            <w:pPr>
              <w:pStyle w:val="11"/>
              <w:spacing w:line="253" w:lineRule="exact"/>
              <w:ind w:left="233"/>
              <w:rPr>
                <w:sz w:val="22"/>
              </w:rPr>
            </w:pPr>
            <w:r>
              <w:rPr>
                <w:spacing w:val="10"/>
                <w:w w:val="95"/>
                <w:sz w:val="22"/>
              </w:rPr>
              <w:t>多器官功能障</w:t>
            </w:r>
          </w:p>
          <w:p>
            <w:pPr>
              <w:pStyle w:val="11"/>
              <w:spacing w:before="30" w:line="281" w:lineRule="exact"/>
              <w:ind w:left="233"/>
              <w:rPr>
                <w:sz w:val="22"/>
              </w:rPr>
            </w:pPr>
            <w:r>
              <w:rPr>
                <w:w w:val="95"/>
                <w:sz w:val="22"/>
              </w:rPr>
              <w:t>碍综</w:t>
            </w:r>
            <w:r>
              <w:rPr>
                <w:spacing w:val="-5"/>
                <w:w w:val="95"/>
                <w:sz w:val="22"/>
              </w:rPr>
              <w:t>合症</w:t>
            </w:r>
          </w:p>
        </w:tc>
        <w:tc>
          <w:tcPr>
            <w:tcW w:w="7134" w:type="dxa"/>
          </w:tcPr>
          <w:p>
            <w:pPr>
              <w:pStyle w:val="11"/>
              <w:spacing w:line="250" w:lineRule="exact"/>
              <w:ind w:left="106"/>
              <w:rPr>
                <w:sz w:val="21"/>
              </w:rPr>
            </w:pPr>
            <w:r>
              <w:rPr>
                <w:spacing w:val="-3"/>
                <w:sz w:val="21"/>
              </w:rPr>
              <w:t>菌，伴发一个或多个器官系统生理功能障碍，同时至少满足以下一条标准：</w:t>
            </w:r>
          </w:p>
          <w:p>
            <w:pPr>
              <w:pStyle w:val="11"/>
              <w:spacing w:before="43"/>
              <w:ind w:left="106"/>
              <w:rPr>
                <w:sz w:val="21"/>
              </w:rPr>
            </w:pPr>
            <w:r>
              <w:rPr>
                <w:spacing w:val="-2"/>
                <w:sz w:val="21"/>
              </w:rPr>
              <w:t>（1）</w:t>
            </w:r>
            <w:r>
              <w:rPr>
                <w:spacing w:val="-3"/>
                <w:sz w:val="21"/>
              </w:rPr>
              <w:t>呼吸衰竭，需要进行气管插管机械通气；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1"/>
              <w:ind w:left="106"/>
              <w:rPr>
                <w:sz w:val="21"/>
              </w:rPr>
            </w:pPr>
            <w:r>
              <w:rPr>
                <w:spacing w:val="-2"/>
                <w:sz w:val="21"/>
              </w:rPr>
              <w:t>（2）凝血血小板计数&lt;50×10³</w:t>
            </w:r>
            <w:r>
              <w:rPr>
                <w:spacing w:val="-4"/>
                <w:sz w:val="21"/>
              </w:rPr>
              <w:t>/微升；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（3）肝功能不全，胆红素&gt;6mg/dl</w:t>
            </w:r>
            <w:r>
              <w:rPr>
                <w:spacing w:val="-20"/>
                <w:sz w:val="21"/>
              </w:rPr>
              <w:t xml:space="preserve"> 或</w:t>
            </w:r>
            <w:r>
              <w:rPr>
                <w:spacing w:val="-2"/>
                <w:sz w:val="21"/>
              </w:rPr>
              <w:t>&gt;102μmol/L；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（4）</w:t>
            </w:r>
            <w:r>
              <w:rPr>
                <w:spacing w:val="-4"/>
                <w:sz w:val="21"/>
              </w:rPr>
              <w:t>已经应用强心剂；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（5）昏迷程度按照格拉斯哥昏迷评分（GCS）</w:t>
            </w:r>
            <w:r>
              <w:rPr>
                <w:spacing w:val="3"/>
                <w:sz w:val="21"/>
              </w:rPr>
              <w:t xml:space="preserve">&lt;= </w:t>
            </w:r>
            <w:r>
              <w:rPr>
                <w:spacing w:val="-5"/>
                <w:sz w:val="21"/>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（6）肾功能衰竭，血清肌酐&gt;300μmol/L(3.5mg/dl)或尿量&lt;500ml/d；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color w:val="000000"/>
                <w:spacing w:val="-8"/>
                <w:sz w:val="21"/>
                <w:shd w:val="clear" w:color="auto" w:fill="C0C0C0"/>
              </w:rPr>
              <w:t xml:space="preserve">非败血症引起的 </w:t>
            </w:r>
            <w:r>
              <w:rPr>
                <w:color w:val="000000"/>
                <w:spacing w:val="-2"/>
                <w:sz w:val="21"/>
                <w:shd w:val="clear" w:color="auto" w:fill="C0C0C0"/>
              </w:rPr>
              <w:t>MODS</w:t>
            </w:r>
            <w:r>
              <w:rPr>
                <w:color w:val="000000"/>
                <w:spacing w:val="-10"/>
                <w:sz w:val="21"/>
                <w:shd w:val="clear" w:color="auto" w:fill="C0C0C0"/>
              </w:rPr>
              <w:t xml:space="preserve"> 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8.1.46</w:t>
            </w:r>
          </w:p>
        </w:tc>
        <w:tc>
          <w:tcPr>
            <w:tcW w:w="1687" w:type="dxa"/>
          </w:tcPr>
          <w:p>
            <w:pPr>
              <w:pStyle w:val="11"/>
              <w:spacing w:before="173" w:line="281" w:lineRule="exact"/>
              <w:ind w:left="233"/>
              <w:rPr>
                <w:sz w:val="22"/>
              </w:rPr>
            </w:pPr>
            <w:r>
              <w:rPr>
                <w:w w:val="95"/>
                <w:sz w:val="22"/>
              </w:rPr>
              <w:t>严重心肌</w:t>
            </w:r>
            <w:r>
              <w:rPr>
                <w:spacing w:val="-10"/>
                <w:w w:val="95"/>
                <w:sz w:val="22"/>
              </w:rPr>
              <w:t>病</w:t>
            </w:r>
          </w:p>
        </w:tc>
        <w:tc>
          <w:tcPr>
            <w:tcW w:w="7134" w:type="dxa"/>
          </w:tcPr>
          <w:p>
            <w:pPr>
              <w:pStyle w:val="11"/>
              <w:spacing w:before="3"/>
              <w:rPr>
                <w:sz w:val="14"/>
              </w:rPr>
            </w:pPr>
          </w:p>
          <w:p>
            <w:pPr>
              <w:pStyle w:val="11"/>
              <w:ind w:left="106"/>
              <w:rPr>
                <w:sz w:val="21"/>
              </w:rPr>
            </w:pPr>
            <w:r>
              <w:rPr>
                <w:spacing w:val="-3"/>
                <w:sz w:val="21"/>
              </w:rPr>
              <w:t>指被保险人因心肌病导致慢性心功能损害造成永久不可逆性的心功能衰竭。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1"/>
              <w:ind w:left="106"/>
              <w:rPr>
                <w:sz w:val="21"/>
              </w:rPr>
            </w:pPr>
            <w:r>
              <w:rPr>
                <w:spacing w:val="3"/>
                <w:sz w:val="21"/>
              </w:rPr>
              <w:t xml:space="preserve">心功能衰竭程度达到美国纽约心脏病学会的心功能分级标准之心功能  </w:t>
            </w:r>
            <w:r>
              <w:rPr>
                <w:spacing w:val="-5"/>
                <w:sz w:val="21"/>
              </w:rPr>
              <w:t>IV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3"/>
                <w:sz w:val="21"/>
              </w:rPr>
              <w:t>级。被保险人永久不可逆性的体力活动能力受限，不能从事任何体力活动。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4" w:hRule="atLeast"/>
        </w:trPr>
        <w:tc>
          <w:tcPr>
            <w:tcW w:w="918" w:type="dxa"/>
          </w:tcPr>
          <w:p>
            <w:pPr>
              <w:pStyle w:val="11"/>
              <w:spacing w:before="173" w:line="281" w:lineRule="exact"/>
              <w:ind w:left="50"/>
              <w:rPr>
                <w:sz w:val="22"/>
              </w:rPr>
            </w:pPr>
            <w:r>
              <w:rPr>
                <w:spacing w:val="-2"/>
                <w:sz w:val="22"/>
              </w:rPr>
              <w:t>8.1.47</w:t>
            </w:r>
          </w:p>
        </w:tc>
        <w:tc>
          <w:tcPr>
            <w:tcW w:w="1687" w:type="dxa"/>
          </w:tcPr>
          <w:p>
            <w:pPr>
              <w:pStyle w:val="11"/>
              <w:spacing w:before="173" w:line="281" w:lineRule="exact"/>
              <w:ind w:left="233"/>
              <w:rPr>
                <w:sz w:val="22"/>
              </w:rPr>
            </w:pPr>
            <w:r>
              <w:rPr>
                <w:w w:val="95"/>
                <w:sz w:val="22"/>
              </w:rPr>
              <w:t>严重冠心</w:t>
            </w:r>
            <w:r>
              <w:rPr>
                <w:spacing w:val="-10"/>
                <w:w w:val="95"/>
                <w:sz w:val="22"/>
              </w:rPr>
              <w:t>病</w:t>
            </w:r>
          </w:p>
        </w:tc>
        <w:tc>
          <w:tcPr>
            <w:tcW w:w="7134" w:type="dxa"/>
          </w:tcPr>
          <w:p>
            <w:pPr>
              <w:pStyle w:val="11"/>
              <w:spacing w:before="3"/>
              <w:rPr>
                <w:sz w:val="14"/>
              </w:rPr>
            </w:pPr>
          </w:p>
          <w:p>
            <w:pPr>
              <w:pStyle w:val="11"/>
              <w:ind w:left="106"/>
              <w:rPr>
                <w:sz w:val="21"/>
              </w:rPr>
            </w:pPr>
            <w:r>
              <w:rPr>
                <w:spacing w:val="-6"/>
                <w:sz w:val="21"/>
              </w:rPr>
              <w:t>指经冠状动脉造影检查明确诊断为主要血管严重狭窄性病变，须满足下列至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1"/>
              <w:ind w:left="106"/>
              <w:rPr>
                <w:sz w:val="21"/>
              </w:rPr>
            </w:pPr>
            <w:r>
              <w:rPr>
                <w:spacing w:val="-4"/>
                <w:sz w:val="21"/>
              </w:rPr>
              <w:t>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1.</w:t>
            </w:r>
            <w:r>
              <w:rPr>
                <w:spacing w:val="-4"/>
                <w:sz w:val="21"/>
              </w:rPr>
              <w:t xml:space="preserve">左冠状动脉主干和右冠状动脉中，一支血管管腔堵塞 </w:t>
            </w:r>
            <w:r>
              <w:rPr>
                <w:spacing w:val="-2"/>
                <w:sz w:val="21"/>
              </w:rPr>
              <w:t>75%</w:t>
            </w:r>
            <w:r>
              <w:rPr>
                <w:spacing w:val="-4"/>
                <w:sz w:val="21"/>
              </w:rPr>
              <w:t>以上，另一支血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10"/>
                <w:sz w:val="21"/>
              </w:rPr>
              <w:t xml:space="preserve">管管腔堵塞 </w:t>
            </w:r>
            <w:r>
              <w:rPr>
                <w:spacing w:val="-2"/>
                <w:sz w:val="21"/>
              </w:rPr>
              <w:t>60</w:t>
            </w: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2.</w:t>
            </w:r>
            <w:r>
              <w:rPr>
                <w:spacing w:val="-4"/>
                <w:sz w:val="21"/>
              </w:rPr>
              <w:t xml:space="preserve">左前降支、左旋支和右冠状动脉中，至少一支血管管腔堵塞 </w:t>
            </w:r>
            <w:r>
              <w:rPr>
                <w:spacing w:val="-2"/>
                <w:sz w:val="21"/>
              </w:rPr>
              <w:t>75</w:t>
            </w:r>
            <w:r>
              <w:rPr>
                <w:spacing w:val="-4"/>
                <w:sz w:val="21"/>
              </w:rPr>
              <w:t>%以上，其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6"/>
                <w:sz w:val="21"/>
              </w:rPr>
              <w:t xml:space="preserve">他两支血管管腔堵塞 </w:t>
            </w:r>
            <w:r>
              <w:rPr>
                <w:spacing w:val="-2"/>
                <w:sz w:val="21"/>
              </w:rPr>
              <w:t>60</w:t>
            </w:r>
            <w:r>
              <w:rPr>
                <w:spacing w:val="-4"/>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line="292" w:lineRule="exact"/>
              <w:ind w:left="106"/>
              <w:rPr>
                <w:rFonts w:ascii="微软雅黑" w:eastAsia="微软雅黑"/>
                <w:b/>
                <w:sz w:val="21"/>
              </w:rPr>
            </w:pPr>
            <w:r>
              <w:rPr>
                <w:rFonts w:ascii="微软雅黑" w:eastAsia="微软雅黑"/>
                <w:b/>
                <w:spacing w:val="-12"/>
                <w:sz w:val="21"/>
              </w:rPr>
              <w:t>左前降支的分支血管、左旋支的分支血管及右冠状动脉的分支血管的狭窄不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line="342" w:lineRule="exact"/>
              <w:ind w:left="106"/>
              <w:rPr>
                <w:rFonts w:ascii="微软雅黑" w:eastAsia="微软雅黑"/>
                <w:b/>
                <w:sz w:val="21"/>
              </w:rPr>
            </w:pPr>
            <w:r>
              <w:rPr>
                <w:rFonts w:ascii="微软雅黑" w:eastAsia="微软雅黑"/>
                <w:b/>
                <w:spacing w:val="-3"/>
                <w:sz w:val="21"/>
              </w:rPr>
              <w:t>作为本保障的衡量指标。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8.1.48</w:t>
            </w:r>
          </w:p>
        </w:tc>
        <w:tc>
          <w:tcPr>
            <w:tcW w:w="1687" w:type="dxa"/>
          </w:tcPr>
          <w:p>
            <w:pPr>
              <w:pStyle w:val="11"/>
              <w:spacing w:before="173" w:line="281" w:lineRule="exact"/>
              <w:ind w:left="233"/>
              <w:rPr>
                <w:sz w:val="22"/>
              </w:rPr>
            </w:pPr>
            <w:r>
              <w:rPr>
                <w:w w:val="95"/>
                <w:sz w:val="22"/>
              </w:rPr>
              <w:t>严重心肌</w:t>
            </w:r>
            <w:r>
              <w:rPr>
                <w:spacing w:val="-10"/>
                <w:w w:val="95"/>
                <w:sz w:val="22"/>
              </w:rPr>
              <w:t>炎</w:t>
            </w:r>
          </w:p>
        </w:tc>
        <w:tc>
          <w:tcPr>
            <w:tcW w:w="7134" w:type="dxa"/>
          </w:tcPr>
          <w:p>
            <w:pPr>
              <w:pStyle w:val="11"/>
              <w:spacing w:before="3"/>
              <w:rPr>
                <w:sz w:val="14"/>
              </w:rPr>
            </w:pPr>
          </w:p>
          <w:p>
            <w:pPr>
              <w:pStyle w:val="11"/>
              <w:ind w:left="106"/>
              <w:rPr>
                <w:sz w:val="21"/>
              </w:rPr>
            </w:pPr>
            <w:r>
              <w:rPr>
                <w:spacing w:val="-1"/>
                <w:sz w:val="21"/>
              </w:rPr>
              <w:t>指被保险人因严重心肌炎性病变导致心功能损害造成持续的永久不可逆性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1"/>
              <w:ind w:left="106"/>
              <w:rPr>
                <w:sz w:val="21"/>
              </w:rPr>
            </w:pPr>
            <w:r>
              <w:rPr>
                <w:spacing w:val="-3"/>
                <w:sz w:val="21"/>
              </w:rPr>
              <w:t>的心功能衰竭。必须满足所有以下条件：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z w:val="21"/>
              </w:rPr>
              <w:t>（1）</w:t>
            </w:r>
            <w:r>
              <w:rPr>
                <w:spacing w:val="-1"/>
                <w:sz w:val="21"/>
              </w:rPr>
              <w:t>心功能衰竭程度达到美国纽约心脏病学会的心功能分级标准之心功能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IV</w:t>
            </w:r>
            <w:r>
              <w:rPr>
                <w:spacing w:val="-13"/>
                <w:sz w:val="21"/>
              </w:rPr>
              <w:t xml:space="preserve"> 级，或左室射血分数低于 </w:t>
            </w:r>
            <w:r>
              <w:rPr>
                <w:spacing w:val="-4"/>
                <w:sz w:val="21"/>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（2）</w:t>
            </w:r>
            <w:r>
              <w:rPr>
                <w:spacing w:val="-10"/>
                <w:sz w:val="21"/>
              </w:rPr>
              <w:t xml:space="preserve">持续不间断 </w:t>
            </w:r>
            <w:r>
              <w:rPr>
                <w:spacing w:val="-2"/>
                <w:sz w:val="21"/>
              </w:rPr>
              <w:t>180</w:t>
            </w:r>
            <w:r>
              <w:rPr>
                <w:spacing w:val="-14"/>
                <w:sz w:val="21"/>
              </w:rPr>
              <w:t xml:space="preserve"> 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4"/>
                <w:sz w:val="21"/>
              </w:rPr>
              <w:t>（3）</w:t>
            </w:r>
            <w:r>
              <w:rPr>
                <w:spacing w:val="-5"/>
                <w:sz w:val="21"/>
              </w:rPr>
              <w:t>被保险人永久不可逆性的体力活动能力受限，不能从事任何体力活动。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8.1.49</w:t>
            </w:r>
          </w:p>
        </w:tc>
        <w:tc>
          <w:tcPr>
            <w:tcW w:w="1687" w:type="dxa"/>
          </w:tcPr>
          <w:p>
            <w:pPr>
              <w:pStyle w:val="11"/>
              <w:spacing w:before="173" w:line="281" w:lineRule="exact"/>
              <w:ind w:left="233"/>
              <w:rPr>
                <w:sz w:val="22"/>
              </w:rPr>
            </w:pPr>
            <w:r>
              <w:rPr>
                <w:w w:val="95"/>
                <w:sz w:val="22"/>
              </w:rPr>
              <w:t>肺源</w:t>
            </w:r>
            <w:r>
              <w:rPr>
                <w:spacing w:val="-3"/>
                <w:w w:val="95"/>
                <w:sz w:val="22"/>
              </w:rPr>
              <w:t>性心脏病</w:t>
            </w:r>
          </w:p>
        </w:tc>
        <w:tc>
          <w:tcPr>
            <w:tcW w:w="7134" w:type="dxa"/>
          </w:tcPr>
          <w:p>
            <w:pPr>
              <w:pStyle w:val="11"/>
              <w:spacing w:before="3"/>
              <w:rPr>
                <w:sz w:val="14"/>
              </w:rPr>
            </w:pPr>
          </w:p>
          <w:p>
            <w:pPr>
              <w:pStyle w:val="11"/>
              <w:ind w:left="106"/>
              <w:rPr>
                <w:sz w:val="21"/>
              </w:rPr>
            </w:pPr>
            <w:r>
              <w:rPr>
                <w:spacing w:val="-1"/>
                <w:sz w:val="21"/>
              </w:rPr>
              <w:t>指被险保人因慢性肺部疾病导致慢性心功能损害造成永久不可逆性的心功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1"/>
              <w:ind w:left="106"/>
              <w:rPr>
                <w:sz w:val="21"/>
              </w:rPr>
            </w:pPr>
            <w:r>
              <w:rPr>
                <w:spacing w:val="-10"/>
                <w:sz w:val="21"/>
              </w:rPr>
              <w:t>能衰竭。心功能衰竭程度达到美国纽约心脏病学会的心功能分级标准之心功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13"/>
                <w:sz w:val="21"/>
              </w:rPr>
              <w:t xml:space="preserve">能 </w:t>
            </w:r>
            <w:r>
              <w:rPr>
                <w:spacing w:val="-2"/>
                <w:sz w:val="21"/>
              </w:rPr>
              <w:t>IV</w:t>
            </w:r>
            <w:r>
              <w:rPr>
                <w:spacing w:val="-8"/>
                <w:sz w:val="21"/>
              </w:rPr>
              <w:t xml:space="preserve"> 级。被保险人永久不可逆性的体力活动能力受限，不能从事任何体力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4"/>
                <w:sz w:val="21"/>
              </w:rPr>
              <w:t>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73"/>
              <w:ind w:left="50"/>
              <w:rPr>
                <w:sz w:val="22"/>
              </w:rPr>
            </w:pPr>
            <w:r>
              <w:rPr>
                <w:spacing w:val="-2"/>
                <w:sz w:val="22"/>
              </w:rPr>
              <w:t>8.1.50</w:t>
            </w:r>
          </w:p>
        </w:tc>
        <w:tc>
          <w:tcPr>
            <w:tcW w:w="1687" w:type="dxa"/>
          </w:tcPr>
          <w:p>
            <w:pPr>
              <w:pStyle w:val="11"/>
              <w:spacing w:before="144" w:line="310" w:lineRule="atLeast"/>
              <w:ind w:left="233" w:right="105"/>
              <w:rPr>
                <w:sz w:val="22"/>
              </w:rPr>
            </w:pPr>
            <w:r>
              <w:rPr>
                <w:spacing w:val="10"/>
                <w:w w:val="95"/>
                <w:sz w:val="22"/>
              </w:rPr>
              <w:t>严重感染性心</w:t>
            </w:r>
            <w:r>
              <w:rPr>
                <w:spacing w:val="-4"/>
                <w:sz w:val="22"/>
              </w:rPr>
              <w:t>内膜炎</w:t>
            </w:r>
          </w:p>
        </w:tc>
        <w:tc>
          <w:tcPr>
            <w:tcW w:w="7134" w:type="dxa"/>
          </w:tcPr>
          <w:p>
            <w:pPr>
              <w:pStyle w:val="11"/>
              <w:spacing w:before="3"/>
              <w:rPr>
                <w:sz w:val="14"/>
              </w:rPr>
            </w:pPr>
          </w:p>
          <w:p>
            <w:pPr>
              <w:pStyle w:val="11"/>
              <w:ind w:left="106"/>
              <w:rPr>
                <w:sz w:val="21"/>
              </w:rPr>
            </w:pPr>
            <w:r>
              <w:rPr>
                <w:spacing w:val="-3"/>
                <w:sz w:val="21"/>
              </w:rPr>
              <w:t>因感染性病原体造成心脏内膜发炎，并符合下列所有条件：</w:t>
            </w:r>
          </w:p>
          <w:p>
            <w:pPr>
              <w:pStyle w:val="11"/>
              <w:spacing w:before="43"/>
              <w:ind w:left="106"/>
              <w:rPr>
                <w:sz w:val="21"/>
              </w:rPr>
            </w:pPr>
            <w:r>
              <w:rPr>
                <w:spacing w:val="-2"/>
                <w:sz w:val="21"/>
              </w:rPr>
              <w:t>（1）</w:t>
            </w:r>
            <w:r>
              <w:rPr>
                <w:spacing w:val="-3"/>
                <w:sz w:val="21"/>
              </w:rPr>
              <w:t>血液培养测试结果为阳性，证实存在感染病原体：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1"/>
              <w:ind w:left="106"/>
              <w:rPr>
                <w:sz w:val="21"/>
              </w:rPr>
            </w:pPr>
            <w:r>
              <w:rPr>
                <w:spacing w:val="-2"/>
                <w:sz w:val="21"/>
              </w:rPr>
              <w:t>1.1</w:t>
            </w:r>
            <w:r>
              <w:rPr>
                <w:spacing w:val="-10"/>
                <w:sz w:val="21"/>
              </w:rPr>
              <w:t xml:space="preserve"> 微生物：在赘生物、栓塞的赘生物或心脏内脓疡经培养或组织检查证实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4"/>
                <w:sz w:val="21"/>
              </w:rPr>
              <w:t>有微生物；或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1.2</w:t>
            </w:r>
            <w:r>
              <w:rPr>
                <w:spacing w:val="-10"/>
                <w:sz w:val="21"/>
              </w:rPr>
              <w:t xml:space="preserve"> 病理性病灶：组织病理学检查证实赘生物或心脏内脓疡有活动性心内膜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4"/>
                <w:sz w:val="21"/>
              </w:rPr>
              <w:t>炎；或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1.3</w:t>
            </w:r>
            <w:r>
              <w:rPr>
                <w:spacing w:val="-9"/>
                <w:sz w:val="21"/>
              </w:rPr>
              <w:t xml:space="preserve"> 分别两次血液培养证实有典型的病原体且与心内膜炎吻合；或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pacing w:val="-2"/>
                <w:sz w:val="21"/>
              </w:rPr>
              <w:t>1.4</w:t>
            </w:r>
            <w:r>
              <w:rPr>
                <w:spacing w:val="-9"/>
                <w:sz w:val="21"/>
              </w:rPr>
              <w:t xml:space="preserve"> 持续血液培养证实有病原体阳性反应，且与心内膜炎吻合。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4" w:type="dxa"/>
          </w:tcPr>
          <w:p>
            <w:pPr>
              <w:pStyle w:val="11"/>
              <w:spacing w:before="22"/>
              <w:ind w:left="106"/>
              <w:rPr>
                <w:sz w:val="21"/>
              </w:rPr>
            </w:pPr>
            <w:r>
              <w:rPr>
                <w:sz w:val="21"/>
              </w:rPr>
              <w:t>（2）心内膜炎引起中度心瓣膜闭锁不全（指返流分数 20%或以上）</w:t>
            </w:r>
            <w:r>
              <w:rPr>
                <w:spacing w:val="-4"/>
                <w:sz w:val="21"/>
              </w:rPr>
              <w:t>或中度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134" w:type="dxa"/>
          </w:tcPr>
          <w:p>
            <w:pPr>
              <w:pStyle w:val="11"/>
              <w:spacing w:before="22" w:line="220" w:lineRule="exact"/>
              <w:ind w:left="106"/>
              <w:rPr>
                <w:sz w:val="21"/>
              </w:rPr>
            </w:pPr>
            <w:r>
              <w:rPr>
                <w:spacing w:val="-6"/>
                <w:sz w:val="21"/>
              </w:rPr>
              <w:t>心瓣膜狭窄（</w:t>
            </w:r>
            <w:r>
              <w:rPr>
                <w:spacing w:val="-8"/>
                <w:sz w:val="21"/>
              </w:rPr>
              <w:t xml:space="preserve">指心瓣膜开口范围小于或等于正常的 </w:t>
            </w:r>
            <w:r>
              <w:rPr>
                <w:spacing w:val="15"/>
                <w:sz w:val="21"/>
              </w:rPr>
              <w:t>30%</w:t>
            </w:r>
            <w:r>
              <w:rPr>
                <w:spacing w:val="-91"/>
                <w:sz w:val="21"/>
              </w:rPr>
              <w:t>）</w:t>
            </w:r>
            <w:r>
              <w:rPr>
                <w:spacing w:val="1"/>
                <w:sz w:val="21"/>
              </w:rPr>
              <w:t>；及</w:t>
            </w:r>
          </w:p>
        </w:tc>
      </w:tr>
    </w:tbl>
    <w:p>
      <w:pPr>
        <w:spacing w:after="0" w:line="220" w:lineRule="exact"/>
        <w:rPr>
          <w:sz w:val="21"/>
        </w:rPr>
        <w:sectPr>
          <w:type w:val="continuous"/>
          <w:pgSz w:w="11910" w:h="16840"/>
          <w:pgMar w:top="1520" w:right="660" w:bottom="1488"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line="231" w:lineRule="exact"/>
              <w:ind w:left="106"/>
              <w:rPr>
                <w:sz w:val="21"/>
              </w:rPr>
            </w:pPr>
            <w:r>
              <w:rPr>
                <w:spacing w:val="-2"/>
                <w:sz w:val="21"/>
              </w:rPr>
              <w:t>（3）</w:t>
            </w:r>
            <w:r>
              <w:rPr>
                <w:spacing w:val="-3"/>
                <w:sz w:val="21"/>
              </w:rPr>
              <w:t>心内膜炎及心瓣膜病损须经心脏专科医生确诊。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63"/>
              <w:ind w:left="50"/>
              <w:rPr>
                <w:sz w:val="22"/>
              </w:rPr>
            </w:pPr>
            <w:r>
              <w:rPr>
                <w:spacing w:val="-2"/>
                <w:sz w:val="22"/>
              </w:rPr>
              <w:t>8.1.51</w:t>
            </w:r>
          </w:p>
        </w:tc>
        <w:tc>
          <w:tcPr>
            <w:tcW w:w="1687" w:type="dxa"/>
          </w:tcPr>
          <w:p>
            <w:pPr>
              <w:pStyle w:val="11"/>
              <w:spacing w:before="163"/>
              <w:ind w:left="233"/>
              <w:rPr>
                <w:sz w:val="22"/>
              </w:rPr>
            </w:pPr>
            <w:r>
              <w:rPr>
                <w:w w:val="95"/>
                <w:sz w:val="22"/>
              </w:rPr>
              <w:t>夹层</w:t>
            </w:r>
            <w:r>
              <w:rPr>
                <w:spacing w:val="-3"/>
                <w:w w:val="95"/>
                <w:sz w:val="22"/>
              </w:rPr>
              <w:t>主动脉瘤</w:t>
            </w:r>
          </w:p>
        </w:tc>
        <w:tc>
          <w:tcPr>
            <w:tcW w:w="7133" w:type="dxa"/>
          </w:tcPr>
          <w:p>
            <w:pPr>
              <w:pStyle w:val="11"/>
              <w:spacing w:before="173"/>
              <w:ind w:left="106"/>
              <w:rPr>
                <w:sz w:val="21"/>
              </w:rPr>
            </w:pPr>
            <w:r>
              <w:rPr>
                <w:spacing w:val="-1"/>
                <w:sz w:val="21"/>
              </w:rPr>
              <w:t>指主动脉的内膜破裂导致血液流入主动脉壁中形成夹层动脉瘤。在本定义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5"/>
                <w:sz w:val="21"/>
              </w:rPr>
              <w:t>中，主动脉指胸主动脉及腹主动脉而非其旁支。诊断必须由专科医生及检验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5"/>
                <w:sz w:val="21"/>
              </w:rPr>
              <w:t>结果证实，检验包括电脑扫描，磁共振扫描及磁共振血管造影或心导管检查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3"/>
                <w:sz w:val="21"/>
              </w:rPr>
              <w:t>的证明，并进行了紧急开胸或开腹修补手术。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63"/>
              <w:ind w:left="50"/>
              <w:rPr>
                <w:sz w:val="22"/>
              </w:rPr>
            </w:pPr>
            <w:r>
              <w:rPr>
                <w:spacing w:val="-2"/>
                <w:sz w:val="22"/>
              </w:rPr>
              <w:t>8.1.52</w:t>
            </w:r>
          </w:p>
        </w:tc>
        <w:tc>
          <w:tcPr>
            <w:tcW w:w="1687" w:type="dxa"/>
          </w:tcPr>
          <w:p>
            <w:pPr>
              <w:pStyle w:val="11"/>
              <w:spacing w:before="163"/>
              <w:ind w:left="233"/>
              <w:rPr>
                <w:sz w:val="22"/>
              </w:rPr>
            </w:pPr>
            <w:r>
              <w:rPr>
                <w:spacing w:val="10"/>
                <w:w w:val="95"/>
                <w:sz w:val="22"/>
              </w:rPr>
              <w:t>严重慢性缩窄</w:t>
            </w:r>
          </w:p>
        </w:tc>
        <w:tc>
          <w:tcPr>
            <w:tcW w:w="7133" w:type="dxa"/>
          </w:tcPr>
          <w:p>
            <w:pPr>
              <w:pStyle w:val="11"/>
              <w:spacing w:before="173"/>
              <w:ind w:left="106"/>
              <w:rPr>
                <w:sz w:val="21"/>
              </w:rPr>
            </w:pPr>
            <w:r>
              <w:rPr>
                <w:spacing w:val="-5"/>
                <w:sz w:val="21"/>
              </w:rPr>
              <w:t>由于慢性心包炎症导致心包脏层和壁层广泛瘢痕粘连、增厚和钙化，心包腔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6"/>
              <w:ind w:left="233"/>
              <w:rPr>
                <w:sz w:val="22"/>
              </w:rPr>
            </w:pPr>
            <w:r>
              <w:rPr>
                <w:w w:val="95"/>
                <w:sz w:val="22"/>
              </w:rPr>
              <w:t>型心</w:t>
            </w:r>
            <w:r>
              <w:rPr>
                <w:spacing w:val="-5"/>
                <w:w w:val="95"/>
                <w:sz w:val="22"/>
              </w:rPr>
              <w:t>包炎</w:t>
            </w:r>
          </w:p>
        </w:tc>
        <w:tc>
          <w:tcPr>
            <w:tcW w:w="7133" w:type="dxa"/>
          </w:tcPr>
          <w:p>
            <w:pPr>
              <w:pStyle w:val="11"/>
              <w:spacing w:before="16"/>
              <w:ind w:left="106"/>
              <w:rPr>
                <w:sz w:val="21"/>
              </w:rPr>
            </w:pPr>
            <w:r>
              <w:rPr>
                <w:spacing w:val="-16"/>
                <w:sz w:val="21"/>
              </w:rPr>
              <w:t>闭塞，形成一个纤维瘢痕外壳，使心脏和大血管根部受压，阻碍心脏的舒张。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3"/>
                <w:sz w:val="21"/>
              </w:rPr>
              <w:t>被保险人被明确诊断为慢性缩窄性心包炎且必须满足以下所有条件：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（1）</w:t>
            </w:r>
            <w:r>
              <w:rPr>
                <w:spacing w:val="-4"/>
                <w:sz w:val="21"/>
              </w:rPr>
              <w:t xml:space="preserve">心功能衰竭达到美国纽约心脏病学会心功能状态分级 </w:t>
            </w:r>
            <w:r>
              <w:rPr>
                <w:spacing w:val="-2"/>
                <w:sz w:val="21"/>
              </w:rPr>
              <w:t>IV</w:t>
            </w:r>
            <w:r>
              <w:rPr>
                <w:spacing w:val="-11"/>
                <w:sz w:val="21"/>
              </w:rPr>
              <w:t xml:space="preserve"> 级，并持续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180</w:t>
            </w:r>
            <w:r>
              <w:rPr>
                <w:spacing w:val="-14"/>
                <w:sz w:val="21"/>
              </w:rPr>
              <w:t xml:space="preserve"> 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（2）</w:t>
            </w:r>
            <w:r>
              <w:rPr>
                <w:spacing w:val="-3"/>
                <w:sz w:val="21"/>
              </w:rPr>
              <w:t>实际接受了以下任何一种手术路径的心包剥脱或心包切除手术：胸骨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3"/>
                <w:sz w:val="21"/>
              </w:rPr>
              <w:t>正中切口；双侧前胸切口；左前胸肋间切口。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color w:val="000000"/>
                <w:spacing w:val="-3"/>
                <w:sz w:val="21"/>
                <w:shd w:val="clear" w:color="auto" w:fill="C0C0C0"/>
              </w:rPr>
              <w:t>经胸腔镜、胸壁打孔进行的手术、心包粘连松解手术不在保障范围内。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63"/>
              <w:ind w:left="50"/>
              <w:rPr>
                <w:sz w:val="22"/>
              </w:rPr>
            </w:pPr>
            <w:r>
              <w:rPr>
                <w:spacing w:val="-2"/>
                <w:sz w:val="22"/>
              </w:rPr>
              <w:t>8.1.53</w:t>
            </w:r>
          </w:p>
        </w:tc>
        <w:tc>
          <w:tcPr>
            <w:tcW w:w="1687" w:type="dxa"/>
          </w:tcPr>
          <w:p>
            <w:pPr>
              <w:pStyle w:val="11"/>
              <w:spacing w:before="163"/>
              <w:ind w:left="233"/>
              <w:rPr>
                <w:sz w:val="22"/>
              </w:rPr>
            </w:pPr>
            <w:r>
              <w:rPr>
                <w:spacing w:val="10"/>
                <w:w w:val="95"/>
                <w:sz w:val="22"/>
              </w:rPr>
              <w:t>严重心脏衰竭</w:t>
            </w:r>
          </w:p>
        </w:tc>
        <w:tc>
          <w:tcPr>
            <w:tcW w:w="7133" w:type="dxa"/>
          </w:tcPr>
          <w:p>
            <w:pPr>
              <w:pStyle w:val="11"/>
              <w:spacing w:before="173"/>
              <w:ind w:left="106"/>
              <w:rPr>
                <w:sz w:val="21"/>
              </w:rPr>
            </w:pPr>
            <w:r>
              <w:rPr>
                <w:spacing w:val="-6"/>
                <w:sz w:val="21"/>
              </w:rPr>
              <w:t>指因缺血性心脏病或扩张性心肌病导致慢性严重心脏衰竭，被保险人实际接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spacing w:before="6"/>
              <w:ind w:left="233"/>
              <w:rPr>
                <w:sz w:val="22"/>
              </w:rPr>
            </w:pPr>
            <w:r>
              <w:rPr>
                <w:spacing w:val="10"/>
                <w:w w:val="95"/>
                <w:sz w:val="22"/>
              </w:rPr>
              <w:t>心脏再同步治</w:t>
            </w:r>
          </w:p>
        </w:tc>
        <w:tc>
          <w:tcPr>
            <w:tcW w:w="7133" w:type="dxa"/>
          </w:tcPr>
          <w:p>
            <w:pPr>
              <w:pStyle w:val="11"/>
              <w:spacing w:before="16"/>
              <w:ind w:left="106"/>
              <w:rPr>
                <w:sz w:val="21"/>
              </w:rPr>
            </w:pPr>
            <w:r>
              <w:rPr>
                <w:spacing w:val="-18"/>
                <w:sz w:val="21"/>
              </w:rPr>
              <w:t xml:space="preserve">受了 </w:t>
            </w:r>
            <w:r>
              <w:rPr>
                <w:spacing w:val="-4"/>
                <w:sz w:val="21"/>
              </w:rPr>
              <w:t>CRT</w:t>
            </w:r>
            <w:r>
              <w:rPr>
                <w:spacing w:val="-11"/>
                <w:sz w:val="21"/>
              </w:rPr>
              <w:t xml:space="preserve"> 治疗，以矫正心室收缩不协调和改善心脏功能。接受治疗之前必须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6"/>
              <w:ind w:left="233"/>
              <w:rPr>
                <w:sz w:val="22"/>
              </w:rPr>
            </w:pPr>
            <w:r>
              <w:rPr>
                <w:w w:val="95"/>
                <w:sz w:val="22"/>
              </w:rPr>
              <w:t>疗</w:t>
            </w:r>
            <w:r>
              <w:rPr>
                <w:spacing w:val="-2"/>
                <w:sz w:val="22"/>
              </w:rPr>
              <w:t>（CRT）</w:t>
            </w:r>
          </w:p>
        </w:tc>
        <w:tc>
          <w:tcPr>
            <w:tcW w:w="7133" w:type="dxa"/>
          </w:tcPr>
          <w:p>
            <w:pPr>
              <w:pStyle w:val="11"/>
              <w:spacing w:before="16"/>
              <w:ind w:left="106"/>
              <w:rPr>
                <w:sz w:val="21"/>
              </w:rPr>
            </w:pPr>
            <w:r>
              <w:rPr>
                <w:spacing w:val="-3"/>
                <w:sz w:val="21"/>
              </w:rPr>
              <w:t>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z w:val="21"/>
              </w:rPr>
              <w:t>1.</w:t>
            </w:r>
            <w:r>
              <w:rPr>
                <w:spacing w:val="-1"/>
                <w:sz w:val="21"/>
              </w:rPr>
              <w:t xml:space="preserve"> 心功能衰竭程度达到美国纽约心脏病学会的心功能分级标准之心功能Ⅲ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18"/>
                <w:sz w:val="21"/>
              </w:rPr>
              <w:t xml:space="preserve">级或 </w:t>
            </w:r>
            <w:r>
              <w:rPr>
                <w:spacing w:val="-2"/>
                <w:sz w:val="21"/>
              </w:rPr>
              <w:t>IV</w:t>
            </w:r>
            <w:r>
              <w:rPr>
                <w:spacing w:val="-22"/>
                <w:sz w:val="21"/>
              </w:rPr>
              <w:t xml:space="preserve"> 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z w:val="21"/>
              </w:rPr>
              <w:t>2.</w:t>
            </w:r>
            <w:r>
              <w:rPr>
                <w:spacing w:val="-9"/>
                <w:sz w:val="21"/>
              </w:rPr>
              <w:t xml:space="preserve"> 左室射血分数低于 </w:t>
            </w:r>
            <w:r>
              <w:rPr>
                <w:spacing w:val="-4"/>
                <w:sz w:val="21"/>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z w:val="21"/>
              </w:rPr>
              <w:t>3.</w:t>
            </w:r>
            <w:r>
              <w:rPr>
                <w:spacing w:val="-3"/>
                <w:sz w:val="21"/>
              </w:rPr>
              <w:t xml:space="preserve"> 左室舒张末期内径≥</w:t>
            </w:r>
            <w:r>
              <w:rPr>
                <w:spacing w:val="-2"/>
                <w:sz w:val="21"/>
              </w:rPr>
              <w:t>55mm；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z w:val="21"/>
              </w:rPr>
              <w:t>4.</w:t>
            </w:r>
            <w:r>
              <w:rPr>
                <w:spacing w:val="-6"/>
                <w:sz w:val="21"/>
              </w:rPr>
              <w:t xml:space="preserve"> </w:t>
            </w:r>
            <w:r>
              <w:rPr>
                <w:sz w:val="21"/>
              </w:rPr>
              <w:t>QRS</w:t>
            </w:r>
            <w:r>
              <w:rPr>
                <w:spacing w:val="-14"/>
                <w:sz w:val="21"/>
              </w:rPr>
              <w:t xml:space="preserve"> 时间≥</w:t>
            </w:r>
            <w:r>
              <w:rPr>
                <w:spacing w:val="-2"/>
                <w:sz w:val="21"/>
              </w:rPr>
              <w:t>130msec；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z w:val="21"/>
              </w:rPr>
              <w:t>5.</w:t>
            </w:r>
            <w:r>
              <w:rPr>
                <w:spacing w:val="-6"/>
                <w:sz w:val="21"/>
              </w:rPr>
              <w:t xml:space="preserve"> 药物治疗效果不佳，仍有症状。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918" w:type="dxa"/>
          </w:tcPr>
          <w:p>
            <w:pPr>
              <w:pStyle w:val="11"/>
              <w:spacing w:before="163"/>
              <w:ind w:left="50"/>
              <w:rPr>
                <w:sz w:val="22"/>
              </w:rPr>
            </w:pPr>
            <w:r>
              <w:rPr>
                <w:spacing w:val="-2"/>
                <w:sz w:val="22"/>
              </w:rPr>
              <w:t>8.1.54</w:t>
            </w:r>
          </w:p>
        </w:tc>
        <w:tc>
          <w:tcPr>
            <w:tcW w:w="1687" w:type="dxa"/>
          </w:tcPr>
          <w:p>
            <w:pPr>
              <w:pStyle w:val="11"/>
              <w:spacing w:before="163"/>
              <w:ind w:left="233"/>
              <w:rPr>
                <w:sz w:val="22"/>
              </w:rPr>
            </w:pPr>
            <w:r>
              <w:rPr>
                <w:spacing w:val="10"/>
                <w:w w:val="95"/>
                <w:sz w:val="22"/>
              </w:rPr>
              <w:t>严重的Ⅲ度房</w:t>
            </w:r>
          </w:p>
        </w:tc>
        <w:tc>
          <w:tcPr>
            <w:tcW w:w="7133" w:type="dxa"/>
          </w:tcPr>
          <w:p>
            <w:pPr>
              <w:pStyle w:val="11"/>
              <w:spacing w:before="173"/>
              <w:ind w:left="106"/>
              <w:rPr>
                <w:sz w:val="21"/>
              </w:rPr>
            </w:pPr>
            <w:r>
              <w:rPr>
                <w:spacing w:val="-5"/>
                <w:sz w:val="21"/>
              </w:rPr>
              <w:t>指心房激动在房室交界区、房室束及其分支内发生阻滞，不能正常地传到心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6"/>
              <w:ind w:left="233"/>
              <w:rPr>
                <w:sz w:val="22"/>
              </w:rPr>
            </w:pPr>
            <w:r>
              <w:rPr>
                <w:w w:val="95"/>
                <w:sz w:val="22"/>
              </w:rPr>
              <w:t>室传导阻</w:t>
            </w:r>
            <w:r>
              <w:rPr>
                <w:spacing w:val="-10"/>
                <w:w w:val="95"/>
                <w:sz w:val="22"/>
              </w:rPr>
              <w:t>滞</w:t>
            </w:r>
          </w:p>
        </w:tc>
        <w:tc>
          <w:tcPr>
            <w:tcW w:w="7133" w:type="dxa"/>
          </w:tcPr>
          <w:p>
            <w:pPr>
              <w:pStyle w:val="11"/>
              <w:spacing w:before="16"/>
              <w:ind w:left="106"/>
              <w:rPr>
                <w:sz w:val="21"/>
              </w:rPr>
            </w:pPr>
            <w:r>
              <w:rPr>
                <w:spacing w:val="-3"/>
                <w:sz w:val="21"/>
              </w:rPr>
              <w:t>室的心脏传导性疾病，须满足下列所有条件：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2"/>
                <w:sz w:val="21"/>
              </w:rPr>
              <w:t>（1）心电图显示房室搏动彼此独立，心室率&lt;50</w:t>
            </w:r>
            <w:r>
              <w:rPr>
                <w:spacing w:val="-10"/>
                <w:sz w:val="21"/>
              </w:rPr>
              <w:t xml:space="preserve"> 次/分钟；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（2）</w:t>
            </w:r>
            <w:r>
              <w:rPr>
                <w:spacing w:val="-3"/>
                <w:sz w:val="21"/>
              </w:rPr>
              <w:t>出现阿-斯综合征或心力衰竭的表现；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z w:val="21"/>
              </w:rPr>
              <w:t>（3）</w:t>
            </w:r>
            <w:r>
              <w:rPr>
                <w:spacing w:val="-1"/>
                <w:sz w:val="21"/>
              </w:rPr>
              <w:t>必须持续性依赖心脏起搏器维持心脏正常功能，且已经放置心脏起搏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5"/>
                <w:sz w:val="21"/>
              </w:rPr>
              <w:t>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9" w:hRule="atLeast"/>
        </w:trPr>
        <w:tc>
          <w:tcPr>
            <w:tcW w:w="918" w:type="dxa"/>
          </w:tcPr>
          <w:p>
            <w:pPr>
              <w:pStyle w:val="11"/>
              <w:spacing w:before="163"/>
              <w:ind w:left="50"/>
              <w:rPr>
                <w:sz w:val="22"/>
              </w:rPr>
            </w:pPr>
            <w:r>
              <w:rPr>
                <w:spacing w:val="-2"/>
                <w:sz w:val="22"/>
              </w:rPr>
              <w:t>8.1.55</w:t>
            </w:r>
          </w:p>
        </w:tc>
        <w:tc>
          <w:tcPr>
            <w:tcW w:w="1687" w:type="dxa"/>
          </w:tcPr>
          <w:p>
            <w:pPr>
              <w:pStyle w:val="11"/>
              <w:spacing w:before="163" w:line="266" w:lineRule="auto"/>
              <w:ind w:left="233" w:right="105"/>
              <w:rPr>
                <w:sz w:val="22"/>
              </w:rPr>
            </w:pPr>
            <w:r>
              <w:rPr>
                <w:spacing w:val="10"/>
                <w:w w:val="95"/>
                <w:sz w:val="22"/>
              </w:rPr>
              <w:t>艾森门格综合</w:t>
            </w:r>
            <w:r>
              <w:rPr>
                <w:spacing w:val="-10"/>
                <w:sz w:val="22"/>
              </w:rPr>
              <w:t>征</w:t>
            </w:r>
          </w:p>
        </w:tc>
        <w:tc>
          <w:tcPr>
            <w:tcW w:w="7133" w:type="dxa"/>
          </w:tcPr>
          <w:p>
            <w:pPr>
              <w:pStyle w:val="11"/>
              <w:spacing w:before="146" w:line="320" w:lineRule="atLeast"/>
              <w:ind w:left="106" w:right="154"/>
              <w:rPr>
                <w:sz w:val="21"/>
              </w:rPr>
            </w:pPr>
            <w:r>
              <w:rPr>
                <w:spacing w:val="-5"/>
                <w:sz w:val="21"/>
              </w:rPr>
              <w:t>因心脏病导致的严重肺动脉高压及右向左分流。诊断必须由医院专科医生经</w:t>
            </w:r>
            <w:r>
              <w:rPr>
                <w:spacing w:val="-2"/>
                <w:sz w:val="21"/>
              </w:rPr>
              <w:t>超声心动图和心导管检查证实及须符合以下所有标准: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6"/>
              <w:ind w:left="106"/>
              <w:rPr>
                <w:sz w:val="21"/>
              </w:rPr>
            </w:pPr>
            <w:r>
              <w:rPr>
                <w:spacing w:val="-2"/>
                <w:sz w:val="21"/>
              </w:rPr>
              <w:t>1.</w:t>
            </w:r>
            <w:r>
              <w:rPr>
                <w:spacing w:val="-7"/>
                <w:sz w:val="21"/>
              </w:rPr>
              <w:t xml:space="preserve">平均肺动脉压高于 </w:t>
            </w:r>
            <w:r>
              <w:rPr>
                <w:spacing w:val="-2"/>
                <w:sz w:val="21"/>
              </w:rPr>
              <w:t>40mmHg；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7"/>
              <w:ind w:left="106"/>
              <w:rPr>
                <w:sz w:val="21"/>
              </w:rPr>
            </w:pPr>
            <w:r>
              <w:rPr>
                <w:spacing w:val="-2"/>
                <w:sz w:val="21"/>
              </w:rPr>
              <w:t>2.</w:t>
            </w:r>
            <w:r>
              <w:rPr>
                <w:spacing w:val="-8"/>
                <w:sz w:val="21"/>
              </w:rPr>
              <w:t xml:space="preserve">肺血管阻力高于 </w:t>
            </w:r>
            <w:r>
              <w:rPr>
                <w:spacing w:val="-2"/>
                <w:sz w:val="21"/>
              </w:rPr>
              <w:t>3mm/L/min（Wood</w:t>
            </w:r>
            <w:r>
              <w:rPr>
                <w:spacing w:val="-16"/>
                <w:sz w:val="21"/>
              </w:rPr>
              <w:t xml:space="preserve"> 单位</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6"/>
              <w:ind w:left="106"/>
              <w:rPr>
                <w:sz w:val="21"/>
              </w:rPr>
            </w:pPr>
            <w:r>
              <w:rPr>
                <w:spacing w:val="-2"/>
                <w:sz w:val="21"/>
              </w:rPr>
              <w:t>3.</w:t>
            </w:r>
            <w:r>
              <w:rPr>
                <w:spacing w:val="-6"/>
                <w:sz w:val="21"/>
              </w:rPr>
              <w:t xml:space="preserve">正常肺微血管楔压低于 </w:t>
            </w:r>
            <w:r>
              <w:rPr>
                <w:spacing w:val="-2"/>
                <w:sz w:val="21"/>
              </w:rPr>
              <w:t>15mmHg</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4"/>
              <w:ind w:left="106"/>
              <w:rPr>
                <w:sz w:val="21"/>
              </w:rPr>
            </w:pPr>
            <w:r>
              <w:rPr>
                <w:spacing w:val="-5"/>
                <w:sz w:val="21"/>
              </w:rPr>
              <w:t>我们承担本项疾病责任不受本合同“责任免除”中“遗传性疾病，先天性畸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3"/>
                <w:sz w:val="21"/>
              </w:rPr>
              <w:t>形、变形或染色体异常”的限制。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63"/>
              <w:ind w:left="50"/>
              <w:rPr>
                <w:sz w:val="22"/>
              </w:rPr>
            </w:pPr>
            <w:r>
              <w:rPr>
                <w:spacing w:val="-2"/>
                <w:sz w:val="22"/>
              </w:rPr>
              <w:t>8.1.56</w:t>
            </w:r>
          </w:p>
        </w:tc>
        <w:tc>
          <w:tcPr>
            <w:tcW w:w="1687" w:type="dxa"/>
          </w:tcPr>
          <w:p>
            <w:pPr>
              <w:pStyle w:val="11"/>
              <w:spacing w:before="163"/>
              <w:ind w:left="233"/>
              <w:rPr>
                <w:sz w:val="22"/>
              </w:rPr>
            </w:pPr>
            <w:r>
              <w:rPr>
                <w:w w:val="95"/>
                <w:sz w:val="22"/>
              </w:rPr>
              <w:t>严重川崎</w:t>
            </w:r>
            <w:r>
              <w:rPr>
                <w:spacing w:val="-10"/>
                <w:w w:val="95"/>
                <w:sz w:val="22"/>
              </w:rPr>
              <w:t>病</w:t>
            </w:r>
          </w:p>
        </w:tc>
        <w:tc>
          <w:tcPr>
            <w:tcW w:w="7133" w:type="dxa"/>
          </w:tcPr>
          <w:p>
            <w:pPr>
              <w:pStyle w:val="11"/>
              <w:spacing w:before="173"/>
              <w:ind w:left="106"/>
              <w:rPr>
                <w:sz w:val="21"/>
              </w:rPr>
            </w:pPr>
            <w:r>
              <w:rPr>
                <w:spacing w:val="-5"/>
                <w:sz w:val="21"/>
              </w:rPr>
              <w:t>是指原因不明的系统性血管炎，本病须经专科医师明确诊断，并须满足下列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4"/>
                <w:sz w:val="21"/>
              </w:rPr>
              <w:t>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133" w:type="dxa"/>
          </w:tcPr>
          <w:p>
            <w:pPr>
              <w:pStyle w:val="11"/>
              <w:spacing w:before="12" w:line="229" w:lineRule="exact"/>
              <w:ind w:left="106"/>
              <w:rPr>
                <w:sz w:val="21"/>
              </w:rPr>
            </w:pPr>
            <w:r>
              <w:rPr>
                <w:spacing w:val="-2"/>
                <w:sz w:val="21"/>
              </w:rPr>
              <w:t>（1）</w:t>
            </w:r>
            <w:r>
              <w:rPr>
                <w:spacing w:val="-3"/>
                <w:sz w:val="21"/>
              </w:rPr>
              <w:t>超声心动图显示川崎病并发冠状动脉瘤或其他心血管异常；</w:t>
            </w:r>
          </w:p>
        </w:tc>
      </w:tr>
    </w:tbl>
    <w:p>
      <w:pPr>
        <w:spacing w:after="0" w:line="229" w:lineRule="exact"/>
        <w:rPr>
          <w:sz w:val="21"/>
        </w:rPr>
        <w:sectPr>
          <w:type w:val="continuous"/>
          <w:pgSz w:w="11910" w:h="16840"/>
          <w:pgMar w:top="1540" w:right="660" w:bottom="1260" w:left="580" w:header="0" w:footer="1060" w:gutter="0"/>
          <w:cols w:space="720" w:num="1"/>
        </w:sectPr>
      </w:pPr>
    </w:p>
    <w:p>
      <w:pPr>
        <w:pStyle w:val="6"/>
        <w:spacing w:before="42" w:line="278" w:lineRule="auto"/>
        <w:ind w:left="3385" w:right="410"/>
      </w:pPr>
      <w:r>
        <w:rPr>
          <w:spacing w:val="-2"/>
        </w:rPr>
        <w:t>（2）已接受了针对川崎病并发冠状动脉瘤或其他心血管异常所进行的手术</w:t>
      </w:r>
      <w:r>
        <w:rPr>
          <w:spacing w:val="-4"/>
        </w:rPr>
        <w:t>治疗。</w:t>
      </w:r>
    </w:p>
    <w:p>
      <w:pPr>
        <w:pStyle w:val="6"/>
        <w:rPr>
          <w:sz w:val="18"/>
        </w:rPr>
      </w:pPr>
    </w:p>
    <w:p>
      <w:pPr>
        <w:spacing w:after="0"/>
        <w:rPr>
          <w:sz w:val="18"/>
        </w:rPr>
        <w:sectPr>
          <w:pgSz w:w="11910" w:h="16840"/>
          <w:pgMar w:top="1460" w:right="660" w:bottom="1260" w:left="580" w:header="0" w:footer="1060" w:gutter="0"/>
          <w:cols w:space="720" w:num="1"/>
        </w:sectPr>
      </w:pPr>
    </w:p>
    <w:p>
      <w:pPr>
        <w:pStyle w:val="4"/>
        <w:numPr>
          <w:ilvl w:val="2"/>
          <w:numId w:val="21"/>
        </w:numPr>
        <w:tabs>
          <w:tab w:val="left" w:pos="1825"/>
          <w:tab w:val="left" w:pos="1826"/>
        </w:tabs>
        <w:spacing w:before="71" w:after="0" w:line="240" w:lineRule="auto"/>
        <w:ind w:left="1825" w:right="0" w:hanging="1103"/>
        <w:jc w:val="left"/>
      </w:pPr>
      <w:r>
        <w:rPr>
          <w:spacing w:val="14"/>
          <w:w w:val="95"/>
        </w:rPr>
        <w:t>需手术切除</w:t>
      </w:r>
      <w:r>
        <w:rPr>
          <w:spacing w:val="-10"/>
          <w:w w:val="95"/>
        </w:rPr>
        <w:t>的</w:t>
      </w:r>
    </w:p>
    <w:p>
      <w:pPr>
        <w:spacing w:before="30" w:line="266" w:lineRule="auto"/>
        <w:ind w:left="1825" w:right="0" w:firstLine="0"/>
        <w:jc w:val="left"/>
        <w:rPr>
          <w:sz w:val="22"/>
        </w:rPr>
      </w:pPr>
      <w:r>
        <w:rPr>
          <w:spacing w:val="10"/>
          <w:w w:val="95"/>
          <w:sz w:val="22"/>
        </w:rPr>
        <w:t>肾上腺嗜铬细</w:t>
      </w:r>
      <w:r>
        <w:rPr>
          <w:spacing w:val="-6"/>
          <w:sz w:val="22"/>
        </w:rPr>
        <w:t>胞瘤</w:t>
      </w:r>
    </w:p>
    <w:p>
      <w:pPr>
        <w:pStyle w:val="6"/>
        <w:spacing w:before="81" w:line="278" w:lineRule="auto"/>
        <w:ind w:left="174" w:right="341"/>
        <w:jc w:val="both"/>
      </w:pPr>
      <w:r>
        <w:br w:type="column"/>
      </w:r>
      <w:r>
        <w:rPr>
          <w:spacing w:val="-2"/>
        </w:rPr>
        <w:t>是指肾上腺出现的肾上腺嗜铬细胞瘤，分泌过多的醛固酮类或儿茶酚胺类，需要并实际进行了手术切除肿瘤且施行了单侧或双侧的肾上腺完全切除术。嗜铬细胞瘤的诊断必须由内分泌专科医生确定。</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rPr>
          <w:sz w:val="18"/>
        </w:rPr>
      </w:pPr>
    </w:p>
    <w:p>
      <w:pPr>
        <w:pStyle w:val="10"/>
        <w:numPr>
          <w:ilvl w:val="2"/>
          <w:numId w:val="21"/>
        </w:numPr>
        <w:tabs>
          <w:tab w:val="left" w:pos="1825"/>
          <w:tab w:val="left" w:pos="1826"/>
          <w:tab w:val="left" w:pos="3385"/>
        </w:tabs>
        <w:spacing w:before="71" w:after="0" w:line="273" w:lineRule="auto"/>
        <w:ind w:left="3385" w:right="411" w:hanging="2662"/>
        <w:jc w:val="left"/>
        <w:rPr>
          <w:sz w:val="21"/>
        </w:rPr>
      </w:pPr>
      <w:r>
        <w:rPr>
          <w:spacing w:val="-2"/>
          <w:sz w:val="22"/>
        </w:rPr>
        <w:t>心脏粘液瘤</w:t>
      </w:r>
      <w:r>
        <w:rPr>
          <w:sz w:val="22"/>
        </w:rPr>
        <w:tab/>
      </w:r>
      <w:r>
        <w:rPr>
          <w:spacing w:val="-2"/>
          <w:w w:val="95"/>
          <w:sz w:val="21"/>
        </w:rPr>
        <w:t>指为了治疗心脏粘液瘤，实际实施了切开心脏的心脏粘液瘤切除手术。</w:t>
      </w:r>
      <w:r>
        <w:rPr>
          <w:color w:val="000000"/>
          <w:spacing w:val="-2"/>
          <w:w w:val="95"/>
          <w:sz w:val="21"/>
          <w:shd w:val="clear" w:color="auto" w:fill="C0C0C0"/>
        </w:rPr>
        <w:t>经导</w:t>
      </w:r>
      <w:r>
        <w:rPr>
          <w:color w:val="000000"/>
          <w:spacing w:val="13257"/>
          <w:w w:val="95"/>
          <w:sz w:val="21"/>
          <w:shd w:val="clear" w:color="auto" w:fill="C0C0C0"/>
        </w:rPr>
        <w:t xml:space="preserve"> </w:t>
      </w:r>
      <w:r>
        <w:rPr>
          <w:color w:val="000000"/>
          <w:spacing w:val="-2"/>
          <w:sz w:val="21"/>
          <w:shd w:val="clear" w:color="auto" w:fill="C0C0C0"/>
        </w:rPr>
        <w:t>管介入手术治疗不在保障范围内。</w:t>
      </w:r>
    </w:p>
    <w:p>
      <w:pPr>
        <w:pStyle w:val="6"/>
        <w:spacing w:before="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2" w:after="0" w:line="240" w:lineRule="auto"/>
        <w:ind w:left="1825" w:right="0" w:hanging="1103"/>
        <w:jc w:val="left"/>
      </w:pPr>
      <w:r>
        <w:rPr>
          <w:spacing w:val="14"/>
          <w:w w:val="95"/>
        </w:rPr>
        <w:t>多发性大动</w:t>
      </w:r>
      <w:r>
        <w:rPr>
          <w:spacing w:val="-10"/>
          <w:w w:val="95"/>
        </w:rPr>
        <w:t>脉</w:t>
      </w:r>
    </w:p>
    <w:p>
      <w:pPr>
        <w:spacing w:before="30" w:line="266" w:lineRule="auto"/>
        <w:ind w:left="1825" w:right="0" w:firstLine="0"/>
        <w:jc w:val="left"/>
        <w:rPr>
          <w:sz w:val="22"/>
        </w:rPr>
      </w:pPr>
      <w:r>
        <w:rPr>
          <w:spacing w:val="10"/>
          <w:w w:val="95"/>
          <w:sz w:val="22"/>
        </w:rPr>
        <w:t>炎旁路移植手</w:t>
      </w:r>
      <w:r>
        <w:rPr>
          <w:spacing w:val="-10"/>
          <w:sz w:val="22"/>
        </w:rPr>
        <w:t>术</w:t>
      </w:r>
    </w:p>
    <w:p>
      <w:pPr>
        <w:pStyle w:val="6"/>
        <w:spacing w:before="82" w:line="278" w:lineRule="auto"/>
        <w:ind w:left="174" w:right="409"/>
        <w:jc w:val="both"/>
      </w:pPr>
      <w:r>
        <w:br w:type="column"/>
      </w:r>
      <w:r>
        <w:rPr>
          <w:spacing w:val="-7"/>
          <w:w w:val="100"/>
        </w:rPr>
        <w:t>多发性大动脉炎</w:t>
      </w:r>
      <w:r>
        <w:rPr>
          <w:spacing w:val="-3"/>
          <w:w w:val="100"/>
        </w:rPr>
        <w:t>（高安氏动脉炎</w:t>
      </w:r>
      <w:r>
        <w:rPr>
          <w:spacing w:val="-34"/>
          <w:w w:val="100"/>
        </w:rPr>
        <w:t>）</w:t>
      </w:r>
      <w:r>
        <w:rPr>
          <w:spacing w:val="-3"/>
          <w:w w:val="100"/>
        </w:rPr>
        <w:t>是一种发生在主动脉和其主要分支的慢性</w:t>
      </w:r>
      <w:r>
        <w:rPr>
          <w:spacing w:val="-9"/>
          <w:w w:val="100"/>
        </w:rPr>
        <w:t>炎症性动脉疾病，表现为受累动脉狭窄或闭塞。头臂动脉型多发性大动脉炎是指多发性大动脉炎头臂动脉型</w:t>
      </w:r>
      <w:r>
        <w:rPr>
          <w:spacing w:val="3"/>
          <w:w w:val="100"/>
        </w:rPr>
        <w:t>（</w:t>
      </w:r>
      <w:r>
        <w:rPr>
          <w:w w:val="100"/>
        </w:rPr>
        <w:t>I</w:t>
      </w:r>
      <w:r>
        <w:rPr>
          <w:spacing w:val="-2"/>
        </w:rPr>
        <w:t xml:space="preserve"> </w:t>
      </w:r>
      <w:r>
        <w:rPr>
          <w:spacing w:val="2"/>
          <w:w w:val="100"/>
        </w:rPr>
        <w:t>型</w:t>
      </w:r>
      <w:r>
        <w:rPr>
          <w:spacing w:val="-106"/>
          <w:w w:val="100"/>
        </w:rPr>
        <w:t>）</w:t>
      </w:r>
      <w:r>
        <w:rPr>
          <w:spacing w:val="-2"/>
          <w:w w:val="100"/>
        </w:rPr>
        <w:t>，又称为无脉症。被保险人被明确</w:t>
      </w:r>
      <w:r>
        <w:rPr>
          <w:spacing w:val="1"/>
          <w:w w:val="100"/>
        </w:rPr>
        <w:t>诊断为头臂动脉型多发性大动脉炎并且实际接受了经胸部切开进行的无名动脉（头臂干</w:t>
      </w:r>
      <w:r>
        <w:rPr>
          <w:spacing w:val="-106"/>
          <w:w w:val="100"/>
        </w:rPr>
        <w:t>）</w:t>
      </w:r>
      <w:r>
        <w:rPr>
          <w:w w:val="100"/>
        </w:rPr>
        <w:t>、颈总动脉、锁骨下动脉旁路移植手术。</w:t>
      </w:r>
      <w:r>
        <w:rPr>
          <w:color w:val="000000"/>
          <w:spacing w:val="-2"/>
          <w:w w:val="100"/>
          <w:shd w:val="clear" w:color="auto" w:fill="C0C0C0"/>
        </w:rPr>
        <w:t>非开胸的血管旁路</w:t>
      </w:r>
      <w:r>
        <w:rPr>
          <w:color w:val="000000"/>
          <w:w w:val="100"/>
          <w:shd w:val="clear" w:color="auto" w:fill="C0C0C0"/>
        </w:rPr>
        <w:t xml:space="preserve">                                                                                                                               </w:t>
      </w:r>
      <w:r>
        <w:rPr>
          <w:color w:val="000000"/>
          <w:spacing w:val="-9"/>
          <w:w w:val="100"/>
          <w:shd w:val="clear" w:color="auto" w:fill="C0C0C0"/>
        </w:rPr>
        <w:t>移植手术、因其他病因而进行的旁路移植手术，对其他动脉进行的旁路移植</w:t>
      </w:r>
      <w:r>
        <w:rPr>
          <w:color w:val="000000"/>
          <w:spacing w:val="-5"/>
          <w:w w:val="100"/>
          <w:shd w:val="clear" w:color="auto" w:fill="C0C0C0"/>
        </w:rPr>
        <w:t>手术，经皮经导管进行的血管内手术不在保障范围内。</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spacing w:before="12"/>
        <w:rPr>
          <w:sz w:val="17"/>
        </w:rPr>
      </w:pPr>
    </w:p>
    <w:p>
      <w:pPr>
        <w:pStyle w:val="10"/>
        <w:numPr>
          <w:ilvl w:val="2"/>
          <w:numId w:val="21"/>
        </w:numPr>
        <w:tabs>
          <w:tab w:val="left" w:pos="1825"/>
          <w:tab w:val="left" w:pos="1826"/>
          <w:tab w:val="left" w:pos="3385"/>
        </w:tabs>
        <w:spacing w:before="72" w:after="0" w:line="273" w:lineRule="auto"/>
        <w:ind w:left="3385" w:right="406" w:hanging="2662"/>
        <w:jc w:val="left"/>
        <w:rPr>
          <w:sz w:val="21"/>
        </w:rPr>
      </w:pPr>
      <w:r>
        <w:rPr>
          <w:w w:val="96"/>
          <w:sz w:val="22"/>
        </w:rPr>
        <w:t>室壁</w:t>
      </w:r>
      <w:r>
        <w:rPr>
          <w:spacing w:val="-3"/>
          <w:w w:val="96"/>
          <w:sz w:val="22"/>
        </w:rPr>
        <w:t>瘤</w:t>
      </w:r>
      <w:r>
        <w:rPr>
          <w:w w:val="96"/>
          <w:sz w:val="22"/>
        </w:rPr>
        <w:t>切</w:t>
      </w:r>
      <w:r>
        <w:rPr>
          <w:spacing w:val="-3"/>
          <w:w w:val="96"/>
          <w:sz w:val="22"/>
        </w:rPr>
        <w:t>除</w:t>
      </w:r>
      <w:r>
        <w:rPr>
          <w:w w:val="96"/>
          <w:sz w:val="22"/>
        </w:rPr>
        <w:t>术</w:t>
      </w:r>
      <w:r>
        <w:rPr>
          <w:sz w:val="22"/>
        </w:rPr>
        <w:tab/>
      </w:r>
      <w:r>
        <w:rPr>
          <w:spacing w:val="4"/>
          <w:w w:val="100"/>
          <w:sz w:val="21"/>
        </w:rPr>
        <w:t>被</w:t>
      </w:r>
      <w:r>
        <w:rPr>
          <w:spacing w:val="7"/>
          <w:w w:val="100"/>
          <w:sz w:val="21"/>
        </w:rPr>
        <w:t>保</w:t>
      </w:r>
      <w:r>
        <w:rPr>
          <w:w w:val="100"/>
          <w:sz w:val="21"/>
        </w:rPr>
        <w:t>险</w:t>
      </w:r>
      <w:r>
        <w:rPr>
          <w:spacing w:val="7"/>
          <w:w w:val="100"/>
          <w:sz w:val="21"/>
        </w:rPr>
        <w:t>人</w:t>
      </w:r>
      <w:r>
        <w:rPr>
          <w:w w:val="100"/>
          <w:sz w:val="21"/>
        </w:rPr>
        <w:t>被</w:t>
      </w:r>
      <w:r>
        <w:rPr>
          <w:spacing w:val="4"/>
          <w:w w:val="100"/>
          <w:sz w:val="21"/>
        </w:rPr>
        <w:t>明</w:t>
      </w:r>
      <w:r>
        <w:rPr>
          <w:w w:val="100"/>
          <w:sz w:val="21"/>
        </w:rPr>
        <w:t>确</w:t>
      </w:r>
      <w:r>
        <w:rPr>
          <w:spacing w:val="7"/>
          <w:w w:val="100"/>
          <w:sz w:val="21"/>
        </w:rPr>
        <w:t>诊</w:t>
      </w:r>
      <w:r>
        <w:rPr>
          <w:w w:val="100"/>
          <w:sz w:val="21"/>
        </w:rPr>
        <w:t>断</w:t>
      </w:r>
      <w:r>
        <w:rPr>
          <w:spacing w:val="7"/>
          <w:w w:val="100"/>
          <w:sz w:val="21"/>
        </w:rPr>
        <w:t>为</w:t>
      </w:r>
      <w:r>
        <w:rPr>
          <w:w w:val="100"/>
          <w:sz w:val="21"/>
        </w:rPr>
        <w:t>左</w:t>
      </w:r>
      <w:r>
        <w:rPr>
          <w:spacing w:val="4"/>
          <w:w w:val="100"/>
          <w:sz w:val="21"/>
        </w:rPr>
        <w:t>室</w:t>
      </w:r>
      <w:r>
        <w:rPr>
          <w:spacing w:val="7"/>
          <w:w w:val="100"/>
          <w:sz w:val="21"/>
        </w:rPr>
        <w:t>室</w:t>
      </w:r>
      <w:r>
        <w:rPr>
          <w:w w:val="100"/>
          <w:sz w:val="21"/>
        </w:rPr>
        <w:t>壁</w:t>
      </w:r>
      <w:r>
        <w:rPr>
          <w:spacing w:val="2"/>
          <w:w w:val="100"/>
          <w:sz w:val="21"/>
        </w:rPr>
        <w:t>瘤</w:t>
      </w:r>
      <w:r>
        <w:rPr>
          <w:spacing w:val="4"/>
          <w:w w:val="100"/>
          <w:sz w:val="21"/>
        </w:rPr>
        <w:t>并且</w:t>
      </w:r>
      <w:r>
        <w:rPr>
          <w:w w:val="100"/>
          <w:sz w:val="21"/>
        </w:rPr>
        <w:t>实</w:t>
      </w:r>
      <w:r>
        <w:rPr>
          <w:spacing w:val="7"/>
          <w:w w:val="100"/>
          <w:sz w:val="21"/>
        </w:rPr>
        <w:t>际</w:t>
      </w:r>
      <w:r>
        <w:rPr>
          <w:w w:val="100"/>
          <w:sz w:val="21"/>
        </w:rPr>
        <w:t>接</w:t>
      </w:r>
      <w:r>
        <w:rPr>
          <w:spacing w:val="7"/>
          <w:w w:val="100"/>
          <w:sz w:val="21"/>
        </w:rPr>
        <w:t>受</w:t>
      </w:r>
      <w:r>
        <w:rPr>
          <w:w w:val="100"/>
          <w:sz w:val="21"/>
        </w:rPr>
        <w:t>了</w:t>
      </w:r>
      <w:r>
        <w:rPr>
          <w:spacing w:val="4"/>
          <w:w w:val="100"/>
          <w:sz w:val="21"/>
        </w:rPr>
        <w:t>切</w:t>
      </w:r>
      <w:r>
        <w:rPr>
          <w:spacing w:val="6"/>
          <w:w w:val="100"/>
          <w:sz w:val="21"/>
        </w:rPr>
        <w:t>开</w:t>
      </w:r>
      <w:r>
        <w:rPr>
          <w:spacing w:val="4"/>
          <w:w w:val="100"/>
          <w:sz w:val="21"/>
        </w:rPr>
        <w:t>心</w:t>
      </w:r>
      <w:r>
        <w:rPr>
          <w:spacing w:val="5"/>
          <w:w w:val="100"/>
          <w:sz w:val="21"/>
        </w:rPr>
        <w:t>脏</w:t>
      </w:r>
      <w:r>
        <w:rPr>
          <w:w w:val="100"/>
          <w:sz w:val="21"/>
        </w:rPr>
        <w:t>进</w:t>
      </w:r>
      <w:r>
        <w:rPr>
          <w:spacing w:val="7"/>
          <w:w w:val="100"/>
          <w:sz w:val="21"/>
        </w:rPr>
        <w:t>行</w:t>
      </w:r>
      <w:r>
        <w:rPr>
          <w:w w:val="100"/>
          <w:sz w:val="21"/>
        </w:rPr>
        <w:t>的</w:t>
      </w:r>
      <w:r>
        <w:rPr>
          <w:spacing w:val="7"/>
          <w:w w:val="100"/>
          <w:sz w:val="21"/>
        </w:rPr>
        <w:t>室</w:t>
      </w:r>
      <w:r>
        <w:rPr>
          <w:w w:val="100"/>
          <w:sz w:val="21"/>
        </w:rPr>
        <w:t>壁瘤</w:t>
      </w:r>
      <w:r>
        <w:rPr>
          <w:spacing w:val="-5"/>
          <w:w w:val="100"/>
          <w:sz w:val="21"/>
        </w:rPr>
        <w:t>切</w:t>
      </w:r>
      <w:r>
        <w:rPr>
          <w:w w:val="100"/>
          <w:sz w:val="21"/>
        </w:rPr>
        <w:t>除</w:t>
      </w:r>
      <w:r>
        <w:rPr>
          <w:spacing w:val="-3"/>
          <w:w w:val="100"/>
          <w:sz w:val="21"/>
        </w:rPr>
        <w:t>手</w:t>
      </w:r>
      <w:r>
        <w:rPr>
          <w:w w:val="100"/>
          <w:sz w:val="21"/>
        </w:rPr>
        <w:t>术</w:t>
      </w:r>
      <w:r>
        <w:rPr>
          <w:spacing w:val="-1"/>
          <w:w w:val="100"/>
          <w:sz w:val="21"/>
        </w:rPr>
        <w:t>治</w:t>
      </w:r>
      <w:r>
        <w:rPr>
          <w:spacing w:val="-8"/>
          <w:w w:val="100"/>
          <w:sz w:val="21"/>
        </w:rPr>
        <w:t>疗</w:t>
      </w:r>
      <w:r>
        <w:rPr>
          <w:w w:val="100"/>
          <w:sz w:val="21"/>
        </w:rPr>
        <w:t>。</w:t>
      </w:r>
      <w:r>
        <w:rPr>
          <w:color w:val="000000"/>
          <w:spacing w:val="-3"/>
          <w:w w:val="100"/>
          <w:sz w:val="21"/>
          <w:shd w:val="clear" w:color="auto" w:fill="C0C0C0"/>
        </w:rPr>
        <w:t>经</w:t>
      </w:r>
      <w:r>
        <w:rPr>
          <w:color w:val="000000"/>
          <w:w w:val="100"/>
          <w:sz w:val="21"/>
          <w:shd w:val="clear" w:color="auto" w:fill="C0C0C0"/>
        </w:rPr>
        <w:t>导</w:t>
      </w:r>
      <w:r>
        <w:rPr>
          <w:color w:val="000000"/>
          <w:spacing w:val="-5"/>
          <w:w w:val="100"/>
          <w:sz w:val="21"/>
          <w:shd w:val="clear" w:color="auto" w:fill="C0C0C0"/>
        </w:rPr>
        <w:t>管</w:t>
      </w:r>
      <w:r>
        <w:rPr>
          <w:color w:val="000000"/>
          <w:spacing w:val="-3"/>
          <w:w w:val="100"/>
          <w:sz w:val="21"/>
          <w:shd w:val="clear" w:color="auto" w:fill="C0C0C0"/>
        </w:rPr>
        <w:t>心</w:t>
      </w:r>
      <w:r>
        <w:rPr>
          <w:color w:val="000000"/>
          <w:spacing w:val="-5"/>
          <w:w w:val="100"/>
          <w:sz w:val="21"/>
          <w:shd w:val="clear" w:color="auto" w:fill="C0C0C0"/>
        </w:rPr>
        <w:t>室</w:t>
      </w:r>
      <w:r>
        <w:rPr>
          <w:color w:val="000000"/>
          <w:w w:val="100"/>
          <w:sz w:val="21"/>
          <w:shd w:val="clear" w:color="auto" w:fill="C0C0C0"/>
        </w:rPr>
        <w:t>内</w:t>
      </w:r>
      <w:r>
        <w:rPr>
          <w:color w:val="000000"/>
          <w:spacing w:val="-5"/>
          <w:w w:val="100"/>
          <w:sz w:val="21"/>
          <w:shd w:val="clear" w:color="auto" w:fill="C0C0C0"/>
        </w:rPr>
        <w:t>成</w:t>
      </w:r>
      <w:r>
        <w:rPr>
          <w:color w:val="000000"/>
          <w:w w:val="100"/>
          <w:sz w:val="21"/>
          <w:shd w:val="clear" w:color="auto" w:fill="C0C0C0"/>
        </w:rPr>
        <w:t>型</w:t>
      </w:r>
      <w:r>
        <w:rPr>
          <w:color w:val="000000"/>
          <w:spacing w:val="-8"/>
          <w:w w:val="100"/>
          <w:sz w:val="21"/>
          <w:shd w:val="clear" w:color="auto" w:fill="C0C0C0"/>
        </w:rPr>
        <w:t>手</w:t>
      </w:r>
      <w:r>
        <w:rPr>
          <w:color w:val="000000"/>
          <w:w w:val="100"/>
          <w:sz w:val="21"/>
          <w:shd w:val="clear" w:color="auto" w:fill="C0C0C0"/>
        </w:rPr>
        <w:t>术</w:t>
      </w:r>
      <w:r>
        <w:rPr>
          <w:color w:val="000000"/>
          <w:spacing w:val="-8"/>
          <w:w w:val="100"/>
          <w:sz w:val="21"/>
          <w:shd w:val="clear" w:color="auto" w:fill="C0C0C0"/>
        </w:rPr>
        <w:t>治</w:t>
      </w:r>
      <w:r>
        <w:rPr>
          <w:color w:val="000000"/>
          <w:w w:val="100"/>
          <w:sz w:val="21"/>
          <w:shd w:val="clear" w:color="auto" w:fill="C0C0C0"/>
        </w:rPr>
        <w:t>疗不</w:t>
      </w:r>
      <w:r>
        <w:rPr>
          <w:color w:val="000000"/>
          <w:spacing w:val="-5"/>
          <w:w w:val="100"/>
          <w:sz w:val="21"/>
          <w:shd w:val="clear" w:color="auto" w:fill="C0C0C0"/>
        </w:rPr>
        <w:t>在</w:t>
      </w:r>
      <w:r>
        <w:rPr>
          <w:color w:val="000000"/>
          <w:spacing w:val="-8"/>
          <w:w w:val="100"/>
          <w:sz w:val="21"/>
          <w:shd w:val="clear" w:color="auto" w:fill="C0C0C0"/>
        </w:rPr>
        <w:t>保</w:t>
      </w:r>
      <w:r>
        <w:rPr>
          <w:color w:val="000000"/>
          <w:w w:val="100"/>
          <w:sz w:val="21"/>
          <w:shd w:val="clear" w:color="auto" w:fill="C0C0C0"/>
        </w:rPr>
        <w:t>障</w:t>
      </w:r>
      <w:r>
        <w:rPr>
          <w:color w:val="000000"/>
          <w:spacing w:val="-5"/>
          <w:w w:val="100"/>
          <w:sz w:val="21"/>
          <w:shd w:val="clear" w:color="auto" w:fill="C0C0C0"/>
        </w:rPr>
        <w:t>范</w:t>
      </w:r>
      <w:r>
        <w:rPr>
          <w:color w:val="000000"/>
          <w:w w:val="100"/>
          <w:sz w:val="21"/>
          <w:shd w:val="clear" w:color="auto" w:fill="C0C0C0"/>
        </w:rPr>
        <w:t>围</w:t>
      </w:r>
      <w:r>
        <w:rPr>
          <w:color w:val="000000"/>
          <w:spacing w:val="-7"/>
          <w:w w:val="100"/>
          <w:sz w:val="21"/>
          <w:shd w:val="clear" w:color="auto" w:fill="C0C0C0"/>
        </w:rPr>
        <w:t>内</w:t>
      </w:r>
      <w:r>
        <w:rPr>
          <w:color w:val="000000"/>
          <w:w w:val="100"/>
          <w:sz w:val="21"/>
          <w:shd w:val="clear" w:color="auto" w:fill="C0C0C0"/>
        </w:rPr>
        <w:t>。</w:t>
      </w:r>
    </w:p>
    <w:p>
      <w:pPr>
        <w:pStyle w:val="6"/>
        <w:spacing w:before="5"/>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2" w:after="0" w:line="266" w:lineRule="auto"/>
        <w:ind w:left="1825" w:right="0" w:hanging="1102"/>
        <w:jc w:val="left"/>
      </w:pPr>
      <w:r>
        <w:t>Brugada</w:t>
      </w:r>
      <w:r>
        <w:rPr>
          <w:spacing w:val="8"/>
        </w:rPr>
        <w:t xml:space="preserve"> 综合</w:t>
      </w:r>
      <w:r>
        <w:t xml:space="preserve"> </w:t>
      </w:r>
      <w:r>
        <w:rPr>
          <w:spacing w:val="-10"/>
        </w:rPr>
        <w:t>征</w:t>
      </w:r>
    </w:p>
    <w:p>
      <w:pPr>
        <w:pStyle w:val="6"/>
        <w:spacing w:before="82"/>
        <w:ind w:left="168"/>
      </w:pPr>
      <w:r>
        <w:br w:type="column"/>
      </w:r>
      <w:r>
        <w:rPr>
          <w:spacing w:val="-6"/>
        </w:rPr>
        <w:t xml:space="preserve">指由心脏专科医生诊断为 </w:t>
      </w:r>
      <w:r>
        <w:rPr>
          <w:spacing w:val="-2"/>
        </w:rPr>
        <w:t>Brugada</w:t>
      </w:r>
      <w:r>
        <w:rPr>
          <w:spacing w:val="-9"/>
        </w:rPr>
        <w:t xml:space="preserve"> 综合征，且满足下列全部条件：</w:t>
      </w:r>
    </w:p>
    <w:p>
      <w:pPr>
        <w:pStyle w:val="10"/>
        <w:numPr>
          <w:ilvl w:val="0"/>
          <w:numId w:val="22"/>
        </w:numPr>
        <w:tabs>
          <w:tab w:val="left" w:pos="699"/>
        </w:tabs>
        <w:spacing w:before="43" w:after="0" w:line="240" w:lineRule="auto"/>
        <w:ind w:left="698" w:right="0" w:hanging="531"/>
        <w:jc w:val="left"/>
        <w:rPr>
          <w:sz w:val="21"/>
        </w:rPr>
      </w:pPr>
      <w:r>
        <w:rPr>
          <w:spacing w:val="-3"/>
          <w:sz w:val="21"/>
        </w:rPr>
        <w:t>有晕厥或心脏骤停病史，并提供完整的诊疗记录；</w:t>
      </w:r>
    </w:p>
    <w:p>
      <w:pPr>
        <w:pStyle w:val="10"/>
        <w:numPr>
          <w:ilvl w:val="0"/>
          <w:numId w:val="22"/>
        </w:numPr>
        <w:tabs>
          <w:tab w:val="left" w:pos="699"/>
        </w:tabs>
        <w:spacing w:before="43" w:after="0" w:line="240" w:lineRule="auto"/>
        <w:ind w:left="698" w:right="0" w:hanging="531"/>
        <w:jc w:val="left"/>
        <w:rPr>
          <w:sz w:val="21"/>
        </w:rPr>
      </w:pPr>
      <w:r>
        <w:rPr>
          <w:spacing w:val="7"/>
          <w:sz w:val="21"/>
        </w:rPr>
        <w:t>心电图有典型的</w:t>
      </w:r>
      <w:r>
        <w:rPr>
          <w:sz w:val="21"/>
        </w:rPr>
        <w:t>I</w:t>
      </w:r>
      <w:r>
        <w:rPr>
          <w:spacing w:val="-22"/>
          <w:sz w:val="21"/>
        </w:rPr>
        <w:t xml:space="preserve"> 型 </w:t>
      </w:r>
      <w:r>
        <w:rPr>
          <w:sz w:val="21"/>
        </w:rPr>
        <w:t>Brugada</w:t>
      </w:r>
      <w:r>
        <w:rPr>
          <w:spacing w:val="-6"/>
          <w:sz w:val="21"/>
        </w:rPr>
        <w:t xml:space="preserve"> 波；</w:t>
      </w:r>
    </w:p>
    <w:p>
      <w:pPr>
        <w:pStyle w:val="10"/>
        <w:numPr>
          <w:ilvl w:val="0"/>
          <w:numId w:val="22"/>
        </w:numPr>
        <w:tabs>
          <w:tab w:val="left" w:pos="663"/>
        </w:tabs>
        <w:spacing w:before="43" w:after="0" w:line="240" w:lineRule="auto"/>
        <w:ind w:left="662" w:right="0" w:hanging="531"/>
        <w:jc w:val="left"/>
        <w:rPr>
          <w:sz w:val="21"/>
        </w:rPr>
      </w:pPr>
      <w:r>
        <w:rPr>
          <w:spacing w:val="-3"/>
          <w:sz w:val="21"/>
        </w:rPr>
        <w:t>已经安装了永久性心脏起搏器。</w:t>
      </w:r>
    </w:p>
    <w:p>
      <w:pPr>
        <w:spacing w:after="0" w:line="240" w:lineRule="auto"/>
        <w:jc w:val="left"/>
        <w:rPr>
          <w:sz w:val="21"/>
        </w:rPr>
        <w:sectPr>
          <w:type w:val="continuous"/>
          <w:pgSz w:w="11910" w:h="16840"/>
          <w:pgMar w:top="280" w:right="660" w:bottom="280" w:left="580" w:header="0" w:footer="1060" w:gutter="0"/>
          <w:cols w:equalWidth="0" w:num="2">
            <w:col w:w="3213" w:space="40"/>
            <w:col w:w="7417"/>
          </w:cols>
        </w:sectPr>
      </w:pPr>
    </w:p>
    <w:p>
      <w:pPr>
        <w:pStyle w:val="6"/>
        <w:spacing w:before="4"/>
      </w:pPr>
    </w:p>
    <w:p>
      <w:pPr>
        <w:spacing w:after="0"/>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2" w:after="0" w:line="266" w:lineRule="auto"/>
        <w:ind w:left="1825" w:right="0" w:hanging="1102"/>
        <w:jc w:val="left"/>
      </w:pPr>
      <w:r>
        <w:rPr>
          <w:spacing w:val="12"/>
          <w:w w:val="95"/>
        </w:rPr>
        <w:t>严重多发性</w:t>
      </w:r>
      <w:r>
        <w:rPr>
          <w:w w:val="95"/>
        </w:rPr>
        <w:t>硬</w:t>
      </w:r>
      <w:r>
        <w:rPr>
          <w:spacing w:val="-10"/>
        </w:rPr>
        <w:t>化</w:t>
      </w:r>
    </w:p>
    <w:p>
      <w:pPr>
        <w:pStyle w:val="6"/>
        <w:spacing w:before="82" w:line="278" w:lineRule="auto"/>
        <w:ind w:left="174" w:right="406"/>
        <w:jc w:val="both"/>
      </w:pPr>
      <w:r>
        <w:br w:type="column"/>
      </w:r>
      <w:r>
        <w:rPr>
          <w:spacing w:val="-2"/>
        </w:rPr>
        <w:t>指被保险人因脑及脊髓内的脱髓鞘病变而出现神经系统多灶性（多发性）多</w:t>
      </w:r>
      <w:r>
        <w:rPr>
          <w:spacing w:val="-4"/>
        </w:rPr>
        <w:t>时相（</w:t>
      </w:r>
      <w:r>
        <w:rPr>
          <w:spacing w:val="-11"/>
        </w:rPr>
        <w:t xml:space="preserve">至少 </w:t>
      </w:r>
      <w:r>
        <w:rPr>
          <w:spacing w:val="-4"/>
        </w:rPr>
        <w:t>6</w:t>
      </w:r>
      <w:r>
        <w:rPr>
          <w:spacing w:val="-8"/>
        </w:rPr>
        <w:t xml:space="preserve"> 个月以内有一次以上</w:t>
      </w:r>
      <w:r>
        <w:rPr>
          <w:spacing w:val="-4"/>
        </w:rPr>
        <w:t>（不包含一次）的发作）的病变，须由计</w:t>
      </w:r>
      <w:r>
        <w:rPr>
          <w:spacing w:val="-2"/>
        </w:rPr>
        <w:t>算机断层扫描</w:t>
      </w:r>
      <w:r>
        <w:rPr>
          <w:spacing w:val="27"/>
        </w:rPr>
        <w:t>（</w:t>
      </w:r>
      <w:r>
        <w:rPr>
          <w:spacing w:val="21"/>
        </w:rPr>
        <w:t>C</w:t>
      </w:r>
      <w:r>
        <w:rPr>
          <w:spacing w:val="26"/>
        </w:rPr>
        <w:t>T</w:t>
      </w:r>
      <w:r>
        <w:rPr>
          <w:spacing w:val="-82"/>
        </w:rPr>
        <w:t>）</w:t>
      </w:r>
      <w:r>
        <w:rPr>
          <w:spacing w:val="-2"/>
        </w:rPr>
        <w:t xml:space="preserve">、核磁共振检查（MRI）或正电子发射断层扫描（PET）等影像学检查证实，且已经造成自主生活能力完全丧失，无法独立完成六项基本日常生活活动中的三项或三项以上，持续至少 </w:t>
      </w:r>
      <w:r>
        <w:t>180</w:t>
      </w:r>
      <w:r>
        <w:rPr>
          <w:spacing w:val="-8"/>
        </w:rPr>
        <w:t xml:space="preserve"> 天。</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spacing w:before="12"/>
        <w:rPr>
          <w:sz w:val="17"/>
        </w:rPr>
      </w:pPr>
    </w:p>
    <w:p>
      <w:pPr>
        <w:spacing w:after="0"/>
        <w:rPr>
          <w:sz w:val="17"/>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2" w:after="0" w:line="240" w:lineRule="auto"/>
        <w:ind w:left="1825" w:right="0" w:hanging="1103"/>
        <w:jc w:val="left"/>
      </w:pPr>
      <w:r>
        <w:rPr>
          <w:spacing w:val="14"/>
          <w:w w:val="95"/>
        </w:rPr>
        <w:t>严重全身性</w:t>
      </w:r>
      <w:r>
        <w:rPr>
          <w:spacing w:val="-10"/>
          <w:w w:val="95"/>
        </w:rPr>
        <w:t>重</w:t>
      </w:r>
    </w:p>
    <w:p>
      <w:pPr>
        <w:spacing w:before="30"/>
        <w:ind w:left="1825" w:right="0" w:firstLine="0"/>
        <w:jc w:val="left"/>
        <w:rPr>
          <w:sz w:val="22"/>
        </w:rPr>
      </w:pPr>
      <w:r>
        <w:rPr>
          <w:w w:val="95"/>
          <w:sz w:val="22"/>
        </w:rPr>
        <w:t>症肌</w:t>
      </w:r>
      <w:r>
        <w:rPr>
          <w:spacing w:val="-5"/>
          <w:w w:val="95"/>
          <w:sz w:val="22"/>
        </w:rPr>
        <w:t>无力</w:t>
      </w:r>
    </w:p>
    <w:p>
      <w:pPr>
        <w:pStyle w:val="6"/>
        <w:spacing w:before="82" w:line="278" w:lineRule="auto"/>
        <w:ind w:left="174" w:right="406"/>
        <w:jc w:val="both"/>
      </w:pPr>
      <w:r>
        <w:br w:type="column"/>
      </w:r>
      <w:r>
        <w:rPr>
          <w:spacing w:val="-5"/>
        </w:rPr>
        <w:t>重症肌无力是一种神经肌肉接头传递障碍所致的疾病，表现为局部或全身骨</w:t>
      </w:r>
      <w:r>
        <w:rPr>
          <w:spacing w:val="-2"/>
        </w:rPr>
        <w:t>骼肌（特别是眼外肌）极易疲劳。疾病可以累及呼吸肌、上肢或下肢的近端肌群或全身肌肉，必须满足下列全部条件：</w:t>
      </w:r>
    </w:p>
    <w:p>
      <w:pPr>
        <w:pStyle w:val="10"/>
        <w:numPr>
          <w:ilvl w:val="0"/>
          <w:numId w:val="23"/>
        </w:numPr>
        <w:tabs>
          <w:tab w:val="left" w:pos="704"/>
        </w:tabs>
        <w:spacing w:before="0" w:after="0" w:line="269" w:lineRule="exact"/>
        <w:ind w:left="703" w:right="0" w:hanging="530"/>
        <w:jc w:val="left"/>
        <w:rPr>
          <w:sz w:val="21"/>
        </w:rPr>
      </w:pPr>
      <w:r>
        <w:rPr>
          <w:spacing w:val="-3"/>
          <w:sz w:val="21"/>
        </w:rPr>
        <w:t>经药物治疗和胸腺切除治疗一年以上仍无法控制病情；</w:t>
      </w:r>
    </w:p>
    <w:p>
      <w:pPr>
        <w:pStyle w:val="10"/>
        <w:numPr>
          <w:ilvl w:val="0"/>
          <w:numId w:val="23"/>
        </w:numPr>
        <w:tabs>
          <w:tab w:val="left" w:pos="740"/>
        </w:tabs>
        <w:spacing w:before="43" w:after="0" w:line="278" w:lineRule="auto"/>
        <w:ind w:left="210" w:right="408" w:firstLine="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280" w:right="660" w:bottom="280" w:left="580" w:header="0" w:footer="1060" w:gutter="0"/>
          <w:cols w:equalWidth="0" w:num="2">
            <w:col w:w="3172" w:space="40"/>
            <w:col w:w="7458"/>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1" w:after="0" w:line="240" w:lineRule="auto"/>
        <w:ind w:left="1825" w:right="0" w:hanging="1103"/>
        <w:jc w:val="left"/>
      </w:pPr>
      <w:r>
        <w:rPr>
          <w:spacing w:val="14"/>
          <w:w w:val="95"/>
        </w:rPr>
        <w:t>严重脊髓灰</w:t>
      </w:r>
      <w:r>
        <w:rPr>
          <w:spacing w:val="-10"/>
          <w:w w:val="95"/>
        </w:rPr>
        <w:t>质</w:t>
      </w:r>
    </w:p>
    <w:p>
      <w:pPr>
        <w:spacing w:before="30"/>
        <w:ind w:left="1825" w:right="0" w:firstLine="0"/>
        <w:jc w:val="left"/>
        <w:rPr>
          <w:sz w:val="22"/>
        </w:rPr>
      </w:pPr>
      <w:r>
        <w:rPr>
          <w:w w:val="95"/>
          <w:sz w:val="22"/>
        </w:rPr>
        <w:t>炎后</w:t>
      </w:r>
      <w:r>
        <w:rPr>
          <w:spacing w:val="-5"/>
          <w:w w:val="95"/>
          <w:sz w:val="22"/>
        </w:rPr>
        <w:t>遗症</w:t>
      </w:r>
    </w:p>
    <w:p>
      <w:pPr>
        <w:pStyle w:val="6"/>
        <w:spacing w:before="81" w:line="278" w:lineRule="auto"/>
        <w:ind w:left="174" w:right="406"/>
      </w:pPr>
      <w:r>
        <w:br w:type="column"/>
      </w:r>
      <w:r>
        <w:rPr>
          <w:spacing w:val="-5"/>
        </w:rPr>
        <w:t>脊髓灰质炎是由于脊髓灰质炎病毒感染所致的瘫痪性疾病，临床表现为运动</w:t>
      </w:r>
      <w:r>
        <w:rPr>
          <w:spacing w:val="-2"/>
        </w:rPr>
        <w:t>功能损害或呼吸无力。脊髓灰质炎必须明确诊断。</w:t>
      </w:r>
    </w:p>
    <w:p>
      <w:pPr>
        <w:pStyle w:val="6"/>
        <w:spacing w:line="278" w:lineRule="auto"/>
        <w:ind w:left="174" w:right="408"/>
        <w:jc w:val="both"/>
      </w:pPr>
      <w:r>
        <w:rPr>
          <w:spacing w:val="1"/>
          <w:w w:val="100"/>
        </w:rPr>
        <w:t>我们仅对脊髓灰质炎造成的神经系统功能损害导致被保险人一肢或一肢以</w:t>
      </w:r>
      <w:r>
        <w:rPr>
          <w:spacing w:val="-6"/>
          <w:w w:val="100"/>
        </w:rPr>
        <w:t>上肢体机能永久完全丧失的情况予以理赔。肢体机能永久完全丧失，指疾病确诊</w:t>
      </w:r>
      <w:r>
        <w:rPr>
          <w:spacing w:val="-52"/>
        </w:rPr>
        <w:t xml:space="preserve"> </w:t>
      </w:r>
      <w:r>
        <w:rPr>
          <w:spacing w:val="-3"/>
          <w:w w:val="100"/>
        </w:rPr>
        <w:t>1</w:t>
      </w:r>
      <w:r>
        <w:rPr>
          <w:w w:val="100"/>
        </w:rPr>
        <w:t>80</w:t>
      </w:r>
      <w:r>
        <w:rPr>
          <w:spacing w:val="-53"/>
        </w:rPr>
        <w:t xml:space="preserve"> </w:t>
      </w:r>
      <w:r>
        <w:rPr>
          <w:spacing w:val="-9"/>
          <w:w w:val="100"/>
        </w:rPr>
        <w:t>天后，每肢三大关节中的两大关节仍然完全僵硬，或不能随意识活</w:t>
      </w:r>
    </w:p>
    <w:p>
      <w:pPr>
        <w:spacing w:after="0" w:line="278" w:lineRule="auto"/>
        <w:jc w:val="both"/>
        <w:sectPr>
          <w:type w:val="continuous"/>
          <w:pgSz w:w="11910" w:h="16840"/>
          <w:pgMar w:top="280" w:right="660" w:bottom="280" w:left="580" w:header="0" w:footer="1060" w:gutter="0"/>
          <w:cols w:equalWidth="0" w:num="2">
            <w:col w:w="3172" w:space="40"/>
            <w:col w:w="7458"/>
          </w:cols>
        </w:sectPr>
      </w:pPr>
    </w:p>
    <w:p>
      <w:pPr>
        <w:pStyle w:val="6"/>
        <w:spacing w:before="42"/>
        <w:ind w:left="3385"/>
      </w:pPr>
      <w:r>
        <w:rPr>
          <w:spacing w:val="-5"/>
        </w:rPr>
        <w:t>动。</w:t>
      </w:r>
    </w:p>
    <w:p>
      <w:pPr>
        <w:pStyle w:val="6"/>
        <w:spacing w:before="4"/>
      </w:pPr>
    </w:p>
    <w:p>
      <w:pPr>
        <w:spacing w:after="0"/>
        <w:sectPr>
          <w:pgSz w:w="11910" w:h="16840"/>
          <w:pgMar w:top="1460" w:right="660" w:bottom="1260" w:left="580" w:header="0" w:footer="1060" w:gutter="0"/>
          <w:cols w:space="720" w:num="1"/>
        </w:sectPr>
      </w:pPr>
    </w:p>
    <w:p>
      <w:pPr>
        <w:pStyle w:val="4"/>
        <w:numPr>
          <w:ilvl w:val="2"/>
          <w:numId w:val="21"/>
        </w:numPr>
        <w:tabs>
          <w:tab w:val="left" w:pos="1825"/>
          <w:tab w:val="left" w:pos="1826"/>
        </w:tabs>
        <w:spacing w:before="72" w:after="0" w:line="266" w:lineRule="auto"/>
        <w:ind w:left="1825" w:right="0" w:hanging="1102"/>
        <w:jc w:val="left"/>
      </w:pPr>
      <w:r>
        <w:rPr>
          <w:spacing w:val="12"/>
          <w:w w:val="95"/>
        </w:rPr>
        <w:t>严重肌营养</w:t>
      </w:r>
      <w:r>
        <w:rPr>
          <w:w w:val="95"/>
        </w:rPr>
        <w:t>不</w:t>
      </w:r>
      <w:r>
        <w:rPr>
          <w:spacing w:val="-6"/>
        </w:rPr>
        <w:t>良症</w:t>
      </w:r>
    </w:p>
    <w:p>
      <w:pPr>
        <w:pStyle w:val="6"/>
        <w:spacing w:before="82" w:line="278" w:lineRule="auto"/>
        <w:ind w:left="174" w:right="409"/>
      </w:pPr>
      <w:r>
        <w:br w:type="column"/>
      </w:r>
      <w:r>
        <w:rPr>
          <w:spacing w:val="-7"/>
        </w:rPr>
        <w:t>指一组遗传性肌肉变性病变，临床特征为与神经系统无关的骨骼肌肉对称地</w:t>
      </w:r>
      <w:r>
        <w:rPr>
          <w:spacing w:val="-2"/>
        </w:rPr>
        <w:t>进行性无力和萎缩。其诊断须满足下列全部条件：</w:t>
      </w:r>
    </w:p>
    <w:p>
      <w:pPr>
        <w:pStyle w:val="10"/>
        <w:numPr>
          <w:ilvl w:val="0"/>
          <w:numId w:val="24"/>
        </w:numPr>
        <w:tabs>
          <w:tab w:val="left" w:pos="705"/>
        </w:tabs>
        <w:spacing w:before="0" w:after="0" w:line="269" w:lineRule="exact"/>
        <w:ind w:left="704" w:right="0" w:hanging="531"/>
        <w:jc w:val="left"/>
        <w:rPr>
          <w:sz w:val="21"/>
        </w:rPr>
      </w:pPr>
      <w:r>
        <w:rPr>
          <w:spacing w:val="-3"/>
          <w:sz w:val="21"/>
        </w:rPr>
        <w:t>肌电图显示典型肌营养不良症的阳性改变；</w:t>
      </w:r>
    </w:p>
    <w:p>
      <w:pPr>
        <w:pStyle w:val="10"/>
        <w:numPr>
          <w:ilvl w:val="0"/>
          <w:numId w:val="24"/>
        </w:numPr>
        <w:tabs>
          <w:tab w:val="left" w:pos="705"/>
        </w:tabs>
        <w:spacing w:before="43" w:after="0" w:line="278" w:lineRule="auto"/>
        <w:ind w:left="174" w:right="409" w:firstLine="0"/>
        <w:jc w:val="left"/>
        <w:rPr>
          <w:sz w:val="21"/>
        </w:rPr>
      </w:pPr>
      <w:r>
        <w:rPr>
          <w:spacing w:val="-2"/>
          <w:sz w:val="21"/>
        </w:rPr>
        <w:t>肌肉活检的病理学诊断符合肌营养不良症的肌肉细胞变性、坏死等阳</w:t>
      </w:r>
      <w:r>
        <w:rPr>
          <w:spacing w:val="-4"/>
          <w:sz w:val="21"/>
        </w:rPr>
        <w:t>性改变；</w:t>
      </w:r>
    </w:p>
    <w:p>
      <w:pPr>
        <w:pStyle w:val="10"/>
        <w:numPr>
          <w:ilvl w:val="0"/>
          <w:numId w:val="24"/>
        </w:numPr>
        <w:tabs>
          <w:tab w:val="left" w:pos="705"/>
        </w:tabs>
        <w:spacing w:before="0" w:after="0" w:line="278" w:lineRule="auto"/>
        <w:ind w:left="174" w:right="410" w:firstLine="0"/>
        <w:jc w:val="left"/>
        <w:rPr>
          <w:sz w:val="21"/>
        </w:rPr>
      </w:pPr>
      <w:r>
        <w:rPr>
          <w:spacing w:val="-2"/>
          <w:sz w:val="21"/>
        </w:rPr>
        <w:t>已导致被保险人持续超过三个月无法独立完成六项基本日常生活活动中的三项或三项以上。</w:t>
      </w:r>
    </w:p>
    <w:p>
      <w:pPr>
        <w:spacing w:after="0" w:line="278" w:lineRule="auto"/>
        <w:jc w:val="left"/>
        <w:rPr>
          <w:sz w:val="21"/>
        </w:rPr>
        <w:sectPr>
          <w:type w:val="continuous"/>
          <w:pgSz w:w="11910" w:h="16840"/>
          <w:pgMar w:top="280" w:right="660" w:bottom="280" w:left="580" w:header="0" w:footer="1060" w:gutter="0"/>
          <w:cols w:equalWidth="0" w:num="2">
            <w:col w:w="3171" w:space="40"/>
            <w:col w:w="7459"/>
          </w:cols>
        </w:sectPr>
      </w:pPr>
    </w:p>
    <w:p>
      <w:pPr>
        <w:pStyle w:val="6"/>
        <w:spacing w:before="12"/>
        <w:rPr>
          <w:sz w:val="17"/>
        </w:rPr>
      </w:pPr>
    </w:p>
    <w:p>
      <w:pPr>
        <w:spacing w:after="0"/>
        <w:rPr>
          <w:sz w:val="17"/>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2" w:after="0" w:line="240" w:lineRule="auto"/>
        <w:ind w:left="1825" w:right="0" w:hanging="1103"/>
        <w:jc w:val="left"/>
      </w:pPr>
      <w:r>
        <w:rPr>
          <w:spacing w:val="14"/>
          <w:w w:val="95"/>
        </w:rPr>
        <w:t>破裂脑动脉</w:t>
      </w:r>
      <w:r>
        <w:rPr>
          <w:spacing w:val="-10"/>
          <w:w w:val="95"/>
        </w:rPr>
        <w:t>瘤</w:t>
      </w:r>
    </w:p>
    <w:p>
      <w:pPr>
        <w:spacing w:before="30"/>
        <w:ind w:left="1825" w:right="0" w:firstLine="0"/>
        <w:jc w:val="left"/>
        <w:rPr>
          <w:sz w:val="22"/>
        </w:rPr>
      </w:pPr>
      <w:r>
        <w:pict>
          <v:shape id="docshape63" o:spid="_x0000_s1087" o:spt="202" type="#_x0000_t202" style="position:absolute;left:0pt;margin-left:198.25pt;margin-top:32.05pt;height:14.8pt;width:178.65pt;mso-position-horizontal-relative:page;z-index:251689984;mso-width-relative:page;mso-height-relative:page;"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3"/>
                    </w:rPr>
                    <w:t>手术及其他颅脑手术不在保障范围内。</w:t>
                  </w:r>
                </w:p>
              </w:txbxContent>
            </v:textbox>
          </v:shape>
        </w:pict>
      </w:r>
      <w:r>
        <w:pict>
          <v:shape id="docshape64" o:spid="_x0000_s1088" o:spt="202" type="#_x0000_t202" style="position:absolute;left:0pt;margin-left:198.25pt;margin-top:16.45pt;height:15.65pt;width:343.4pt;mso-position-horizontal-relative:page;z-index:251691008;mso-width-relative:page;mso-height-relative:page;"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4"/>
                    </w:rPr>
                    <w:t>脑动脉瘤（未破裂）</w:t>
                  </w:r>
                  <w:r>
                    <w:rPr>
                      <w:color w:val="000000"/>
                      <w:spacing w:val="-5"/>
                    </w:rPr>
                    <w:t>预防性手术、颅骨打孔手术、动脉瘤栓塞手术、血管内</w:t>
                  </w:r>
                </w:p>
              </w:txbxContent>
            </v:textbox>
          </v:shape>
        </w:pict>
      </w:r>
      <w:r>
        <w:rPr>
          <w:w w:val="95"/>
          <w:sz w:val="22"/>
        </w:rPr>
        <w:t>夹闭</w:t>
      </w:r>
      <w:r>
        <w:rPr>
          <w:spacing w:val="-5"/>
          <w:w w:val="95"/>
          <w:sz w:val="22"/>
        </w:rPr>
        <w:t>手术</w:t>
      </w:r>
    </w:p>
    <w:p>
      <w:pPr>
        <w:pStyle w:val="6"/>
        <w:spacing w:before="82" w:line="278" w:lineRule="auto"/>
        <w:ind w:left="174" w:right="409"/>
      </w:pPr>
      <w:r>
        <w:br w:type="column"/>
      </w:r>
      <w:r>
        <w:rPr>
          <w:spacing w:val="-6"/>
        </w:rPr>
        <w:t>指因脑动脉瘤破裂造成蛛网膜下腔出血，被保险人实际接受了在全麻下进行</w:t>
      </w:r>
      <w:r>
        <w:rPr>
          <w:spacing w:val="-2"/>
        </w:rPr>
        <w:t>的开颅动脉瘤夹闭手术。</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rPr>
          <w:sz w:val="20"/>
        </w:rPr>
      </w:pPr>
    </w:p>
    <w:p>
      <w:pPr>
        <w:pStyle w:val="6"/>
        <w:rPr>
          <w:sz w:val="20"/>
        </w:rPr>
      </w:pPr>
    </w:p>
    <w:p>
      <w:pPr>
        <w:pStyle w:val="6"/>
        <w:spacing w:before="9"/>
        <w:rPr>
          <w:sz w:val="26"/>
        </w:rPr>
      </w:pPr>
    </w:p>
    <w:p>
      <w:pPr>
        <w:pStyle w:val="10"/>
        <w:numPr>
          <w:ilvl w:val="2"/>
          <w:numId w:val="21"/>
        </w:numPr>
        <w:tabs>
          <w:tab w:val="left" w:pos="1826"/>
        </w:tabs>
        <w:spacing w:before="71" w:after="0" w:line="276" w:lineRule="auto"/>
        <w:ind w:left="3385" w:right="406" w:hanging="2662"/>
        <w:jc w:val="both"/>
        <w:rPr>
          <w:sz w:val="21"/>
        </w:rPr>
      </w:pPr>
      <w:r>
        <w:rPr>
          <w:sz w:val="22"/>
        </w:rPr>
        <w:t>植物人状态</w:t>
      </w:r>
      <w:r>
        <w:rPr>
          <w:spacing w:val="362"/>
          <w:sz w:val="22"/>
        </w:rPr>
        <w:t xml:space="preserve"> </w:t>
      </w:r>
      <w:r>
        <w:rPr>
          <w:sz w:val="21"/>
        </w:rPr>
        <w:t>植物人状态系指由于严重颅脑外伤造成大脑和/或脑干严重损害导致完全永</w:t>
      </w:r>
      <w:r>
        <w:rPr>
          <w:spacing w:val="-5"/>
          <w:sz w:val="21"/>
        </w:rPr>
        <w:t>久性的对自身和环境的意识丧失和中枢神经系统功能丧失，仅残存植物神经</w:t>
      </w:r>
      <w:r>
        <w:rPr>
          <w:spacing w:val="-10"/>
          <w:sz w:val="21"/>
        </w:rPr>
        <w:t>功能的疾病状态。植物人状态必须明确诊断并且具有严重颅脑外伤和脑损害</w:t>
      </w:r>
      <w:r>
        <w:rPr>
          <w:sz w:val="21"/>
        </w:rPr>
        <w:t>的证据。</w:t>
      </w:r>
      <w:r>
        <w:rPr>
          <w:color w:val="000000"/>
          <w:spacing w:val="-3"/>
          <w:sz w:val="21"/>
          <w:shd w:val="clear" w:color="auto" w:fill="C0C0C0"/>
        </w:rPr>
        <w:t xml:space="preserve">植物人状态必须持续 </w:t>
      </w:r>
      <w:r>
        <w:rPr>
          <w:color w:val="000000"/>
          <w:sz w:val="21"/>
          <w:shd w:val="clear" w:color="auto" w:fill="C0C0C0"/>
        </w:rPr>
        <w:t>30</w:t>
      </w:r>
      <w:r>
        <w:rPr>
          <w:color w:val="000000"/>
          <w:spacing w:val="-5"/>
          <w:sz w:val="21"/>
          <w:shd w:val="clear" w:color="auto" w:fill="C0C0C0"/>
        </w:rPr>
        <w:t xml:space="preserve"> 天以上方可申请理赔。</w:t>
      </w:r>
    </w:p>
    <w:p>
      <w:pPr>
        <w:pStyle w:val="6"/>
        <w:spacing w:before="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1" w:after="0" w:line="240" w:lineRule="auto"/>
        <w:ind w:left="1825" w:right="0" w:hanging="1103"/>
        <w:jc w:val="left"/>
      </w:pPr>
      <w:r>
        <w:rPr>
          <w:spacing w:val="14"/>
          <w:w w:val="95"/>
        </w:rPr>
        <w:t>非阿尔茨海</w:t>
      </w:r>
      <w:r>
        <w:rPr>
          <w:spacing w:val="-10"/>
          <w:w w:val="95"/>
        </w:rPr>
        <w:t>默</w:t>
      </w:r>
    </w:p>
    <w:p>
      <w:pPr>
        <w:spacing w:before="30" w:line="266" w:lineRule="auto"/>
        <w:ind w:left="1825" w:right="0" w:firstLine="0"/>
        <w:jc w:val="left"/>
        <w:rPr>
          <w:sz w:val="22"/>
        </w:rPr>
      </w:pPr>
      <w:r>
        <w:rPr>
          <w:spacing w:val="10"/>
          <w:w w:val="95"/>
          <w:sz w:val="22"/>
        </w:rPr>
        <w:t>病所致严重痴</w:t>
      </w:r>
      <w:r>
        <w:rPr>
          <w:spacing w:val="-10"/>
          <w:sz w:val="22"/>
        </w:rPr>
        <w:t>呆</w:t>
      </w:r>
    </w:p>
    <w:p>
      <w:pPr>
        <w:pStyle w:val="6"/>
        <w:spacing w:before="81" w:line="278" w:lineRule="auto"/>
        <w:ind w:left="174" w:right="303"/>
      </w:pPr>
      <w:r>
        <w:br w:type="column"/>
      </w:r>
      <w:r>
        <w:rPr>
          <w:spacing w:val="1"/>
          <w:w w:val="100"/>
        </w:rPr>
        <w:t>指因阿尔茨海默病以外的脑的器质性疾病造成脑功能衰竭导致永久不可逆</w:t>
      </w:r>
      <w:r>
        <w:rPr>
          <w:spacing w:val="-15"/>
          <w:w w:val="100"/>
        </w:rPr>
        <w:t>性的严重痴呆，临床表现为明显的认知能力障碍、行为异常和社交能力减退。</w:t>
      </w:r>
      <w:r>
        <w:rPr>
          <w:spacing w:val="-11"/>
          <w:w w:val="100"/>
        </w:rPr>
        <w:t>被保险人自主生活能力完全丧失，无法独立完成六项基本日常生活活动中的</w:t>
      </w:r>
      <w:r>
        <w:rPr>
          <w:spacing w:val="-10"/>
          <w:w w:val="100"/>
        </w:rPr>
        <w:t>三项或三项以上，日常生活必须持续受到他人监护。导致痴呆的疾病必须明</w:t>
      </w:r>
      <w:r>
        <w:rPr>
          <w:spacing w:val="-11"/>
          <w:w w:val="100"/>
        </w:rPr>
        <w:t>确诊断，并且由完整的临床、实验室和影像学检查结果证实。</w:t>
      </w:r>
      <w:r>
        <w:rPr>
          <w:color w:val="000000"/>
          <w:spacing w:val="-3"/>
          <w:w w:val="100"/>
          <w:shd w:val="clear" w:color="auto" w:fill="C0C0C0"/>
        </w:rPr>
        <w:t>神经官能症和                                                                                                                                 精神疾病不在保障范围内。</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1" w:after="0" w:line="240" w:lineRule="auto"/>
        <w:ind w:left="1825" w:right="0" w:hanging="1103"/>
        <w:jc w:val="left"/>
      </w:pPr>
      <w:r>
        <w:rPr>
          <w:w w:val="95"/>
        </w:rPr>
        <w:t>严重</w:t>
      </w:r>
      <w:r>
        <w:rPr>
          <w:spacing w:val="-3"/>
          <w:w w:val="95"/>
        </w:rPr>
        <w:t>进行性核</w:t>
      </w:r>
    </w:p>
    <w:p>
      <w:pPr>
        <w:spacing w:before="31" w:line="266" w:lineRule="auto"/>
        <w:ind w:left="1825" w:right="0" w:firstLine="0"/>
        <w:jc w:val="left"/>
        <w:rPr>
          <w:sz w:val="22"/>
        </w:rPr>
      </w:pPr>
      <w:r>
        <w:rPr>
          <w:spacing w:val="-4"/>
          <w:sz w:val="22"/>
        </w:rPr>
        <w:t xml:space="preserve">上性麻痹 </w:t>
      </w:r>
      <w:r>
        <w:rPr>
          <w:spacing w:val="-2"/>
          <w:sz w:val="22"/>
        </w:rPr>
        <w:t xml:space="preserve">(Steele- </w:t>
      </w:r>
      <w:r>
        <w:rPr>
          <w:sz w:val="22"/>
        </w:rPr>
        <w:t>Rchardson</w:t>
      </w:r>
      <w:r>
        <w:rPr>
          <w:spacing w:val="5"/>
          <w:sz w:val="22"/>
        </w:rPr>
        <w:t xml:space="preserve"> —</w:t>
      </w:r>
      <w:r>
        <w:rPr>
          <w:sz w:val="22"/>
        </w:rPr>
        <w:t xml:space="preserve"> Olszewski</w:t>
      </w:r>
      <w:r>
        <w:rPr>
          <w:spacing w:val="5"/>
          <w:sz w:val="22"/>
        </w:rPr>
        <w:t xml:space="preserve"> 综</w:t>
      </w:r>
      <w:r>
        <w:rPr>
          <w:spacing w:val="-4"/>
          <w:sz w:val="22"/>
        </w:rPr>
        <w:t>合征)</w:t>
      </w:r>
    </w:p>
    <w:p>
      <w:pPr>
        <w:pStyle w:val="6"/>
        <w:spacing w:before="81" w:line="278" w:lineRule="auto"/>
        <w:ind w:left="173" w:right="407"/>
        <w:jc w:val="both"/>
      </w:pPr>
      <w:r>
        <w:br w:type="column"/>
      </w:r>
      <w:r>
        <w:rPr>
          <w:spacing w:val="-2"/>
        </w:rPr>
        <w:t>进行性核上性麻痹（PSP）又称 Steele-Rchardson—Olszewski 综合征，是一种少见的神经系统变性疾病，以假球麻痹、垂直性核上性眼肌麻痹、锥体外系肌僵直、步态共济失调和轻度痴呆为主要临床特征。PSP</w:t>
      </w:r>
      <w:r>
        <w:rPr>
          <w:spacing w:val="-7"/>
        </w:rPr>
        <w:t xml:space="preserve"> 必须由三级甲</w:t>
      </w:r>
      <w:r>
        <w:rPr>
          <w:spacing w:val="-2"/>
        </w:rPr>
        <w:t>等医院的神经内科专科医生确诊，并且被保险人自主生活能力完全丧失，无法独立完成六项基本日常生活活动中的三项或三项以上。</w:t>
      </w:r>
    </w:p>
    <w:p>
      <w:pPr>
        <w:spacing w:after="0" w:line="278" w:lineRule="auto"/>
        <w:jc w:val="both"/>
        <w:sectPr>
          <w:type w:val="continuous"/>
          <w:pgSz w:w="11910" w:h="16840"/>
          <w:pgMar w:top="280" w:right="660" w:bottom="280" w:left="580" w:header="0" w:footer="1060" w:gutter="0"/>
          <w:cols w:equalWidth="0" w:num="2">
            <w:col w:w="3172" w:space="40"/>
            <w:col w:w="7458"/>
          </w:cols>
        </w:sectPr>
      </w:pPr>
    </w:p>
    <w:p>
      <w:pPr>
        <w:pStyle w:val="6"/>
        <w:spacing w:before="5"/>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21"/>
        </w:numPr>
        <w:tabs>
          <w:tab w:val="left" w:pos="1825"/>
          <w:tab w:val="left" w:pos="1826"/>
        </w:tabs>
        <w:spacing w:before="72" w:after="0" w:line="240" w:lineRule="auto"/>
        <w:ind w:left="1825" w:right="0" w:hanging="1103"/>
        <w:jc w:val="left"/>
      </w:pPr>
      <w:r>
        <w:rPr>
          <w:spacing w:val="14"/>
          <w:w w:val="95"/>
        </w:rPr>
        <w:t>亚急性硬化</w:t>
      </w:r>
      <w:r>
        <w:rPr>
          <w:spacing w:val="-10"/>
          <w:w w:val="95"/>
        </w:rPr>
        <w:t>性</w:t>
      </w:r>
    </w:p>
    <w:p>
      <w:pPr>
        <w:spacing w:before="30"/>
        <w:ind w:left="1825" w:right="0" w:firstLine="0"/>
        <w:jc w:val="left"/>
        <w:rPr>
          <w:sz w:val="22"/>
        </w:rPr>
      </w:pPr>
      <w:r>
        <w:rPr>
          <w:w w:val="95"/>
          <w:sz w:val="22"/>
        </w:rPr>
        <w:t>全脑</w:t>
      </w:r>
      <w:r>
        <w:rPr>
          <w:spacing w:val="-10"/>
          <w:w w:val="95"/>
          <w:sz w:val="22"/>
        </w:rPr>
        <w:t>炎</w:t>
      </w:r>
    </w:p>
    <w:p>
      <w:pPr>
        <w:pStyle w:val="6"/>
        <w:spacing w:before="106" w:line="285" w:lineRule="auto"/>
        <w:ind w:left="174" w:right="341"/>
        <w:jc w:val="both"/>
      </w:pPr>
      <w:r>
        <w:br w:type="column"/>
      </w:r>
      <w:r>
        <w:rPr>
          <w:spacing w:val="-6"/>
        </w:rPr>
        <w:t>指一种以大脑白质和灰质损害为主的全脑炎。本病的发生是由于缺损型麻疹</w:t>
      </w:r>
      <w:r>
        <w:rPr>
          <w:spacing w:val="-5"/>
        </w:rPr>
        <w:t>病毒慢性持续感染所致的一种罕见的致命性中枢神经系统退变性疾病。早期</w:t>
      </w:r>
      <w:r>
        <w:rPr>
          <w:spacing w:val="-2"/>
        </w:rPr>
        <w:t>以炎症性病变为主，晚期主要为神经元坏死和胶质增生，核内包涵体是本病</w:t>
      </w:r>
      <w:r>
        <w:rPr>
          <w:spacing w:val="-4"/>
        </w:rPr>
        <w:t xml:space="preserve">的特征性改变之一。疾病确诊 </w:t>
      </w:r>
      <w:r>
        <w:t>180</w:t>
      </w:r>
      <w:r>
        <w:rPr>
          <w:spacing w:val="-8"/>
        </w:rPr>
        <w:t xml:space="preserve"> 天后，仍遗留下列一种或一种以上障碍：</w:t>
      </w:r>
    </w:p>
    <w:p>
      <w:pPr>
        <w:pStyle w:val="10"/>
        <w:numPr>
          <w:ilvl w:val="0"/>
          <w:numId w:val="25"/>
        </w:numPr>
        <w:tabs>
          <w:tab w:val="left" w:pos="705"/>
        </w:tabs>
        <w:spacing w:before="0" w:after="0" w:line="319" w:lineRule="exact"/>
        <w:ind w:left="704" w:right="0" w:hanging="531"/>
        <w:jc w:val="left"/>
        <w:rPr>
          <w:sz w:val="21"/>
        </w:rPr>
      </w:pPr>
      <w:r>
        <w:rPr>
          <w:spacing w:val="-2"/>
          <w:sz w:val="21"/>
        </w:rPr>
        <w:t>一肢或一肢以上</w:t>
      </w:r>
      <w:r>
        <w:rPr>
          <w:rFonts w:ascii="微软雅黑" w:eastAsia="微软雅黑"/>
          <w:b/>
          <w:spacing w:val="-2"/>
          <w:sz w:val="21"/>
        </w:rPr>
        <w:t>肢体机能完全丧失</w:t>
      </w:r>
      <w:r>
        <w:rPr>
          <w:spacing w:val="-5"/>
          <w:position w:val="11"/>
          <w:sz w:val="11"/>
        </w:rPr>
        <w:t>28</w:t>
      </w:r>
      <w:r>
        <w:rPr>
          <w:spacing w:val="-5"/>
          <w:sz w:val="21"/>
        </w:rPr>
        <w:t>；</w:t>
      </w:r>
    </w:p>
    <w:p>
      <w:pPr>
        <w:pStyle w:val="10"/>
        <w:numPr>
          <w:ilvl w:val="0"/>
          <w:numId w:val="25"/>
        </w:numPr>
        <w:tabs>
          <w:tab w:val="left" w:pos="705"/>
        </w:tabs>
        <w:spacing w:before="0" w:after="0" w:line="269" w:lineRule="exact"/>
        <w:ind w:left="704" w:right="0" w:hanging="531"/>
        <w:jc w:val="left"/>
        <w:rPr>
          <w:sz w:val="21"/>
        </w:rPr>
      </w:pPr>
      <w:r>
        <w:rPr>
          <w:spacing w:val="-3"/>
          <w:sz w:val="21"/>
        </w:rPr>
        <w:t>语言能力完全丧失，或严重咀嚼吞咽功能障碍；</w:t>
      </w:r>
    </w:p>
    <w:p>
      <w:pPr>
        <w:pStyle w:val="10"/>
        <w:numPr>
          <w:ilvl w:val="0"/>
          <w:numId w:val="25"/>
        </w:numPr>
        <w:tabs>
          <w:tab w:val="left" w:pos="705"/>
        </w:tabs>
        <w:spacing w:before="28" w:after="0" w:line="278" w:lineRule="auto"/>
        <w:ind w:left="174" w:right="410" w:firstLine="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280" w:right="660" w:bottom="280" w:left="580" w:header="0" w:footer="1060" w:gutter="0"/>
          <w:cols w:equalWidth="0" w:num="2">
            <w:col w:w="3171" w:space="40"/>
            <w:col w:w="7459"/>
          </w:cols>
        </w:sectPr>
      </w:pPr>
    </w:p>
    <w:p>
      <w:pPr>
        <w:pStyle w:val="6"/>
        <w:spacing w:before="11"/>
        <w:rPr>
          <w:sz w:val="11"/>
        </w:rPr>
      </w:pPr>
    </w:p>
    <w:p>
      <w:pPr>
        <w:pStyle w:val="6"/>
        <w:spacing w:line="20" w:lineRule="exact"/>
        <w:ind w:left="723"/>
        <w:rPr>
          <w:sz w:val="2"/>
        </w:rPr>
      </w:pPr>
      <w:r>
        <w:rPr>
          <w:sz w:val="2"/>
        </w:rPr>
        <w:drawing>
          <wp:inline distT="0" distB="0" distL="0" distR="0">
            <wp:extent cx="1829435" cy="5715"/>
            <wp:effectExtent l="0" t="0" r="0" b="0"/>
            <wp:docPr id="8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0.png"/>
                    <pic:cNvPicPr>
                      <a:picLocks noChangeAspect="1"/>
                    </pic:cNvPicPr>
                  </pic:nvPicPr>
                  <pic:blipFill>
                    <a:blip r:embed="rId26" cstate="print"/>
                    <a:stretch>
                      <a:fillRect/>
                    </a:stretch>
                  </pic:blipFill>
                  <pic:spPr>
                    <a:xfrm>
                      <a:off x="0" y="0"/>
                      <a:ext cx="1829511" cy="6096"/>
                    </a:xfrm>
                    <a:prstGeom prst="rect">
                      <a:avLst/>
                    </a:prstGeom>
                  </pic:spPr>
                </pic:pic>
              </a:graphicData>
            </a:graphic>
          </wp:inline>
        </w:drawing>
      </w:r>
    </w:p>
    <w:p>
      <w:pPr>
        <w:spacing w:before="61" w:line="206" w:lineRule="auto"/>
        <w:ind w:left="723" w:right="415" w:firstLine="0"/>
        <w:jc w:val="left"/>
        <w:rPr>
          <w:sz w:val="18"/>
        </w:rPr>
      </w:pPr>
      <w:r>
        <w:rPr>
          <w:rFonts w:ascii="Times New Roman" w:eastAsia="Times New Roman"/>
          <w:spacing w:val="-2"/>
          <w:sz w:val="18"/>
          <w:vertAlign w:val="superscript"/>
        </w:rPr>
        <w:t>28</w:t>
      </w:r>
      <w:r>
        <w:rPr>
          <w:rFonts w:ascii="Times New Roman" w:eastAsia="Times New Roman"/>
          <w:spacing w:val="46"/>
          <w:sz w:val="18"/>
          <w:vertAlign w:val="baseline"/>
        </w:rPr>
        <w:t xml:space="preserve"> </w:t>
      </w:r>
      <w:r>
        <w:rPr>
          <w:rFonts w:ascii="微软雅黑" w:eastAsia="微软雅黑"/>
          <w:b/>
          <w:spacing w:val="-2"/>
          <w:sz w:val="18"/>
          <w:vertAlign w:val="baseline"/>
        </w:rPr>
        <w:t>肢体机能完全丧失：</w:t>
      </w:r>
      <w:r>
        <w:rPr>
          <w:spacing w:val="-2"/>
          <w:sz w:val="18"/>
          <w:vertAlign w:val="baseline"/>
        </w:rPr>
        <w:t>指肢体的三大关节中的两大关节僵硬，或不能随意识活动。肢体是指包括肩关节的整个上肢或包括髋关节的整个下肢。</w:t>
      </w:r>
    </w:p>
    <w:p>
      <w:pPr>
        <w:spacing w:after="0" w:line="206" w:lineRule="auto"/>
        <w:jc w:val="left"/>
        <w:rPr>
          <w:sz w:val="18"/>
        </w:rPr>
        <w:sectPr>
          <w:type w:val="continuous"/>
          <w:pgSz w:w="11910" w:h="16840"/>
          <w:pgMar w:top="280" w:right="660" w:bottom="280" w:left="580" w:header="0" w:footer="1060" w:gutter="0"/>
          <w:cols w:space="720" w:num="1"/>
        </w:sectPr>
      </w:pPr>
    </w:p>
    <w:p>
      <w:pPr>
        <w:pStyle w:val="6"/>
        <w:spacing w:before="9"/>
        <w:rPr>
          <w:sz w:val="19"/>
        </w:r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5" w:hRule="atLeast"/>
        </w:trPr>
        <w:tc>
          <w:tcPr>
            <w:tcW w:w="918" w:type="dxa"/>
          </w:tcPr>
          <w:p>
            <w:pPr>
              <w:pStyle w:val="11"/>
              <w:spacing w:line="253" w:lineRule="exact"/>
              <w:ind w:left="50"/>
              <w:rPr>
                <w:sz w:val="22"/>
              </w:rPr>
            </w:pPr>
            <w:r>
              <w:rPr>
                <w:spacing w:val="-2"/>
                <w:sz w:val="22"/>
              </w:rPr>
              <w:t>8.1.71</w:t>
            </w:r>
          </w:p>
        </w:tc>
        <w:tc>
          <w:tcPr>
            <w:tcW w:w="1687" w:type="dxa"/>
          </w:tcPr>
          <w:p>
            <w:pPr>
              <w:pStyle w:val="11"/>
              <w:spacing w:line="253" w:lineRule="exact"/>
              <w:ind w:left="233"/>
              <w:rPr>
                <w:sz w:val="22"/>
              </w:rPr>
            </w:pPr>
            <w:r>
              <w:rPr>
                <w:spacing w:val="10"/>
                <w:w w:val="95"/>
                <w:sz w:val="22"/>
              </w:rPr>
              <w:t>进行性多灶性</w:t>
            </w:r>
          </w:p>
          <w:p>
            <w:pPr>
              <w:pStyle w:val="11"/>
              <w:spacing w:before="30"/>
              <w:ind w:left="233"/>
              <w:rPr>
                <w:sz w:val="22"/>
              </w:rPr>
            </w:pPr>
            <w:r>
              <w:rPr>
                <w:w w:val="95"/>
                <w:sz w:val="22"/>
              </w:rPr>
              <w:t>白质</w:t>
            </w:r>
            <w:r>
              <w:rPr>
                <w:spacing w:val="-5"/>
                <w:w w:val="95"/>
                <w:sz w:val="22"/>
              </w:rPr>
              <w:t>脑病</w:t>
            </w:r>
          </w:p>
        </w:tc>
        <w:tc>
          <w:tcPr>
            <w:tcW w:w="7135" w:type="dxa"/>
          </w:tcPr>
          <w:p>
            <w:pPr>
              <w:pStyle w:val="11"/>
              <w:spacing w:line="250" w:lineRule="exact"/>
              <w:ind w:left="106"/>
              <w:rPr>
                <w:sz w:val="21"/>
              </w:rPr>
            </w:pPr>
            <w:r>
              <w:rPr>
                <w:spacing w:val="-5"/>
                <w:sz w:val="21"/>
              </w:rPr>
              <w:t>是一种亚急性脱髓鞘脑病，常常发生于免疫缺陷病人。必须根据脑组织活检</w:t>
            </w:r>
          </w:p>
          <w:p>
            <w:pPr>
              <w:pStyle w:val="11"/>
              <w:spacing w:before="43"/>
              <w:ind w:left="106"/>
              <w:rPr>
                <w:sz w:val="21"/>
              </w:rPr>
            </w:pPr>
            <w:r>
              <w:rPr>
                <w:spacing w:val="-4"/>
                <w:sz w:val="21"/>
              </w:rPr>
              <w:t>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918" w:type="dxa"/>
          </w:tcPr>
          <w:p>
            <w:pPr>
              <w:pStyle w:val="11"/>
              <w:spacing w:before="172" w:line="281" w:lineRule="exact"/>
              <w:ind w:left="50"/>
              <w:rPr>
                <w:sz w:val="22"/>
              </w:rPr>
            </w:pPr>
            <w:r>
              <w:rPr>
                <w:spacing w:val="-2"/>
                <w:sz w:val="22"/>
              </w:rPr>
              <w:t>8.1.72</w:t>
            </w:r>
          </w:p>
        </w:tc>
        <w:tc>
          <w:tcPr>
            <w:tcW w:w="1687" w:type="dxa"/>
          </w:tcPr>
          <w:p>
            <w:pPr>
              <w:pStyle w:val="11"/>
              <w:spacing w:before="172" w:line="281" w:lineRule="exact"/>
              <w:ind w:left="233"/>
              <w:rPr>
                <w:sz w:val="22"/>
              </w:rPr>
            </w:pPr>
            <w:r>
              <w:rPr>
                <w:w w:val="95"/>
                <w:sz w:val="22"/>
              </w:rPr>
              <w:t>神经白塞</w:t>
            </w:r>
            <w:r>
              <w:rPr>
                <w:spacing w:val="-10"/>
                <w:w w:val="95"/>
                <w:sz w:val="22"/>
              </w:rPr>
              <w:t>病</w:t>
            </w:r>
          </w:p>
        </w:tc>
        <w:tc>
          <w:tcPr>
            <w:tcW w:w="7135" w:type="dxa"/>
          </w:tcPr>
          <w:p>
            <w:pPr>
              <w:pStyle w:val="11"/>
              <w:spacing w:before="2"/>
              <w:rPr>
                <w:sz w:val="14"/>
              </w:rPr>
            </w:pPr>
          </w:p>
          <w:p>
            <w:pPr>
              <w:pStyle w:val="11"/>
              <w:ind w:left="106"/>
              <w:rPr>
                <w:sz w:val="21"/>
              </w:rPr>
            </w:pPr>
            <w:r>
              <w:rPr>
                <w:spacing w:val="-5"/>
                <w:sz w:val="21"/>
              </w:rPr>
              <w:t>白塞病是一种慢性全身性血管炎症性疾病，主要表现为复发性口腔溃疡、生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1"/>
              <w:ind w:left="106"/>
              <w:rPr>
                <w:sz w:val="21"/>
              </w:rPr>
            </w:pPr>
            <w:r>
              <w:rPr>
                <w:spacing w:val="-5"/>
                <w:sz w:val="21"/>
              </w:rPr>
              <w:t>殖器溃疡、眼炎及皮肤损害，并可累及大血管、神经系统、消化道、肺、肾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5"/>
                <w:sz w:val="21"/>
              </w:rPr>
              <w:t>等等。累及神经系统损害的白塞病称为神经白塞病。神经白塞病必须明确诊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5"/>
                <w:sz w:val="21"/>
              </w:rPr>
              <w:t>断，并且已经造成永久不可逆的神经系统功能损害。永久不可逆的神经系统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6"/>
                <w:sz w:val="21"/>
              </w:rPr>
              <w:t xml:space="preserve">损害指被保险人持续 </w:t>
            </w:r>
            <w:r>
              <w:rPr>
                <w:spacing w:val="-2"/>
                <w:sz w:val="21"/>
              </w:rPr>
              <w:t>180</w:t>
            </w:r>
            <w:r>
              <w:rPr>
                <w:spacing w:val="-10"/>
                <w:sz w:val="21"/>
              </w:rPr>
              <w:t xml:space="preserve"> 天无法独立完成下列基本日常生活活动之一：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（1）</w:t>
            </w:r>
            <w:r>
              <w:rPr>
                <w:spacing w:val="-3"/>
                <w:sz w:val="21"/>
              </w:rPr>
              <w:t>移动：自己从一个房间到另一个房间；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（2）</w:t>
            </w:r>
            <w:r>
              <w:rPr>
                <w:spacing w:val="-3"/>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9" w:hRule="atLeast"/>
        </w:trPr>
        <w:tc>
          <w:tcPr>
            <w:tcW w:w="918" w:type="dxa"/>
          </w:tcPr>
          <w:p>
            <w:pPr>
              <w:pStyle w:val="11"/>
              <w:spacing w:before="173" w:line="276" w:lineRule="exact"/>
              <w:ind w:left="50"/>
              <w:rPr>
                <w:sz w:val="22"/>
              </w:rPr>
            </w:pPr>
            <w:r>
              <w:rPr>
                <w:spacing w:val="-2"/>
                <w:sz w:val="22"/>
              </w:rPr>
              <w:t>8.1.73</w:t>
            </w:r>
          </w:p>
        </w:tc>
        <w:tc>
          <w:tcPr>
            <w:tcW w:w="1687" w:type="dxa"/>
          </w:tcPr>
          <w:p>
            <w:pPr>
              <w:pStyle w:val="11"/>
              <w:spacing w:before="173" w:line="276" w:lineRule="exact"/>
              <w:ind w:left="233"/>
              <w:rPr>
                <w:sz w:val="22"/>
              </w:rPr>
            </w:pPr>
            <w:r>
              <w:rPr>
                <w:spacing w:val="10"/>
                <w:w w:val="95"/>
                <w:sz w:val="22"/>
              </w:rPr>
              <w:t>横贯性脊髓炎</w:t>
            </w:r>
          </w:p>
        </w:tc>
        <w:tc>
          <w:tcPr>
            <w:tcW w:w="7135" w:type="dxa"/>
          </w:tcPr>
          <w:p>
            <w:pPr>
              <w:pStyle w:val="11"/>
              <w:spacing w:before="3"/>
              <w:rPr>
                <w:sz w:val="14"/>
              </w:rPr>
            </w:pPr>
          </w:p>
          <w:p>
            <w:pPr>
              <w:pStyle w:val="11"/>
              <w:spacing w:line="266" w:lineRule="exact"/>
              <w:ind w:left="106"/>
              <w:rPr>
                <w:sz w:val="21"/>
              </w:rPr>
            </w:pPr>
            <w:r>
              <w:rPr>
                <w:spacing w:val="-3"/>
                <w:sz w:val="21"/>
              </w:rPr>
              <w:t>脊髓炎是一种炎症性脊髓疾病。横贯性脊髓炎是指炎症扩展横贯整个脊髓，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7"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后遗</w:t>
            </w:r>
            <w:r>
              <w:rPr>
                <w:spacing w:val="-10"/>
                <w:w w:val="95"/>
                <w:sz w:val="22"/>
              </w:rPr>
              <w:t>症</w:t>
            </w:r>
          </w:p>
        </w:tc>
        <w:tc>
          <w:tcPr>
            <w:tcW w:w="7135" w:type="dxa"/>
          </w:tcPr>
          <w:p>
            <w:pPr>
              <w:pStyle w:val="11"/>
              <w:spacing w:before="26"/>
              <w:ind w:left="106"/>
              <w:rPr>
                <w:sz w:val="21"/>
              </w:rPr>
            </w:pPr>
            <w:r>
              <w:rPr>
                <w:spacing w:val="-5"/>
                <w:sz w:val="21"/>
              </w:rPr>
              <w:t>表现为运动障碍、感觉障碍和自主神经功能障碍。横断性脊髓炎必须明确诊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1"/>
              <w:ind w:left="106"/>
              <w:rPr>
                <w:sz w:val="21"/>
              </w:rPr>
            </w:pPr>
            <w:r>
              <w:rPr>
                <w:spacing w:val="-5"/>
                <w:sz w:val="21"/>
              </w:rPr>
              <w:t>断，并且已经造成永久不可逆的神经系统功能损害。永久不可逆的神经系统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z w:val="21"/>
              </w:rPr>
              <w:t>损害指被保险人持续 180</w:t>
            </w:r>
            <w:r>
              <w:rPr>
                <w:spacing w:val="-1"/>
                <w:sz w:val="21"/>
              </w:rPr>
              <w:t xml:space="preserve"> 天无法独立完成六项基本日常生活活动中的下述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4"/>
                <w:sz w:val="21"/>
              </w:rPr>
              <w:t>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（1）</w:t>
            </w:r>
            <w:r>
              <w:rPr>
                <w:spacing w:val="-3"/>
                <w:sz w:val="21"/>
              </w:rPr>
              <w:t>移动：自己从一个房间到另一个房间；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（2）</w:t>
            </w:r>
            <w:r>
              <w:rPr>
                <w:spacing w:val="-3"/>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（3）</w:t>
            </w:r>
            <w:r>
              <w:rPr>
                <w:spacing w:val="-3"/>
                <w:sz w:val="21"/>
              </w:rPr>
              <w:t>行动：自己上下床或上下轮椅；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73" w:line="276" w:lineRule="exact"/>
              <w:ind w:left="50"/>
              <w:rPr>
                <w:sz w:val="22"/>
              </w:rPr>
            </w:pPr>
            <w:r>
              <w:rPr>
                <w:spacing w:val="-2"/>
                <w:sz w:val="22"/>
              </w:rPr>
              <w:t>8.1.74</w:t>
            </w:r>
          </w:p>
        </w:tc>
        <w:tc>
          <w:tcPr>
            <w:tcW w:w="1687" w:type="dxa"/>
          </w:tcPr>
          <w:p>
            <w:pPr>
              <w:pStyle w:val="11"/>
              <w:spacing w:before="173" w:line="276" w:lineRule="exact"/>
              <w:ind w:left="233"/>
              <w:rPr>
                <w:sz w:val="22"/>
              </w:rPr>
            </w:pPr>
            <w:r>
              <w:rPr>
                <w:spacing w:val="10"/>
                <w:w w:val="95"/>
                <w:sz w:val="22"/>
              </w:rPr>
              <w:t>脊髓血管病后</w:t>
            </w:r>
          </w:p>
        </w:tc>
        <w:tc>
          <w:tcPr>
            <w:tcW w:w="7135" w:type="dxa"/>
          </w:tcPr>
          <w:p>
            <w:pPr>
              <w:pStyle w:val="11"/>
              <w:spacing w:before="3"/>
              <w:rPr>
                <w:sz w:val="14"/>
              </w:rPr>
            </w:pPr>
          </w:p>
          <w:p>
            <w:pPr>
              <w:pStyle w:val="11"/>
              <w:spacing w:line="266" w:lineRule="exact"/>
              <w:ind w:left="106"/>
              <w:rPr>
                <w:sz w:val="21"/>
              </w:rPr>
            </w:pPr>
            <w:r>
              <w:rPr>
                <w:spacing w:val="-6"/>
                <w:sz w:val="21"/>
              </w:rPr>
              <w:t>指脊髓血管的突发病变引起脊髓梗塞或脊髓出血，导致永久性不可逆的神经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遗</w:t>
            </w:r>
            <w:r>
              <w:rPr>
                <w:spacing w:val="-10"/>
                <w:sz w:val="22"/>
              </w:rPr>
              <w:t>症</w:t>
            </w:r>
          </w:p>
        </w:tc>
        <w:tc>
          <w:tcPr>
            <w:tcW w:w="7135" w:type="dxa"/>
          </w:tcPr>
          <w:p>
            <w:pPr>
              <w:pStyle w:val="11"/>
              <w:spacing w:before="26"/>
              <w:ind w:left="106"/>
              <w:rPr>
                <w:sz w:val="21"/>
              </w:rPr>
            </w:pPr>
            <w:r>
              <w:rPr>
                <w:spacing w:val="-5"/>
                <w:sz w:val="21"/>
              </w:rPr>
              <w:t>系统功能损害，表现为截瘫或四肢瘫。神经系统永久性的功能障碍指疾病确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1"/>
              <w:ind w:left="106"/>
              <w:rPr>
                <w:sz w:val="21"/>
              </w:rPr>
            </w:pPr>
            <w:r>
              <w:rPr>
                <w:spacing w:val="2"/>
                <w:sz w:val="21"/>
              </w:rPr>
              <w:t xml:space="preserve">诊 </w:t>
            </w:r>
            <w:r>
              <w:rPr>
                <w:sz w:val="21"/>
              </w:rPr>
              <w:t>180</w:t>
            </w:r>
            <w:r>
              <w:rPr>
                <w:spacing w:val="-1"/>
                <w:sz w:val="21"/>
              </w:rPr>
              <w:t xml:space="preserve"> 天后，仍然遗留后遗症并且无法独立完成六项基本日常生活活动中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4"/>
                <w:sz w:val="21"/>
              </w:rPr>
              <w:t>的下述三项：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（1）</w:t>
            </w:r>
            <w:r>
              <w:rPr>
                <w:spacing w:val="-3"/>
                <w:sz w:val="21"/>
              </w:rPr>
              <w:t>移动：自己从一个房间到另一个房间；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（2）</w:t>
            </w:r>
            <w:r>
              <w:rPr>
                <w:spacing w:val="-3"/>
                <w:sz w:val="21"/>
              </w:rPr>
              <w:t>进食：自己从已准备好的碗或碟中取食物放入口中；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2"/>
                <w:sz w:val="21"/>
              </w:rPr>
              <w:t>（3）</w:t>
            </w:r>
            <w:r>
              <w:rPr>
                <w:spacing w:val="-3"/>
                <w:sz w:val="21"/>
              </w:rPr>
              <w:t>行动：自己上下床或上下轮椅；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8.1.75</w:t>
            </w:r>
          </w:p>
        </w:tc>
        <w:tc>
          <w:tcPr>
            <w:tcW w:w="1687" w:type="dxa"/>
          </w:tcPr>
          <w:p>
            <w:pPr>
              <w:pStyle w:val="11"/>
              <w:spacing w:before="173" w:line="281" w:lineRule="exact"/>
              <w:ind w:left="233"/>
              <w:rPr>
                <w:sz w:val="22"/>
              </w:rPr>
            </w:pPr>
            <w:r>
              <w:rPr>
                <w:w w:val="95"/>
                <w:sz w:val="22"/>
              </w:rPr>
              <w:t>颅脑</w:t>
            </w:r>
            <w:r>
              <w:rPr>
                <w:spacing w:val="-5"/>
                <w:w w:val="95"/>
                <w:sz w:val="22"/>
              </w:rPr>
              <w:t>手术</w:t>
            </w:r>
          </w:p>
        </w:tc>
        <w:tc>
          <w:tcPr>
            <w:tcW w:w="7135" w:type="dxa"/>
          </w:tcPr>
          <w:p>
            <w:pPr>
              <w:pStyle w:val="11"/>
              <w:spacing w:before="3"/>
              <w:rPr>
                <w:sz w:val="14"/>
              </w:rPr>
            </w:pPr>
          </w:p>
          <w:p>
            <w:pPr>
              <w:pStyle w:val="11"/>
              <w:ind w:left="106"/>
              <w:rPr>
                <w:sz w:val="21"/>
              </w:rPr>
            </w:pPr>
            <w:r>
              <w:rPr>
                <w:spacing w:val="-7"/>
                <w:sz w:val="21"/>
              </w:rPr>
              <w:t>被保险人确已实施全麻下的开颅手术</w:t>
            </w:r>
            <w:r>
              <w:rPr>
                <w:spacing w:val="-2"/>
                <w:sz w:val="21"/>
              </w:rPr>
              <w:t>（</w:t>
            </w:r>
            <w:r>
              <w:rPr>
                <w:spacing w:val="-3"/>
                <w:sz w:val="21"/>
              </w:rPr>
              <w:t>不包括颅骨钻孔手术和经鼻蝶窦入颅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1"/>
              <w:ind w:left="106"/>
              <w:rPr>
                <w:sz w:val="21"/>
              </w:rPr>
            </w:pPr>
            <w:r>
              <w:rPr>
                <w:sz w:val="21"/>
              </w:rPr>
              <w:t>手术</w:t>
            </w:r>
            <w:r>
              <w:rPr>
                <w:spacing w:val="-108"/>
                <w:sz w:val="21"/>
              </w:rPr>
              <w:t>）</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color w:val="000000"/>
                <w:spacing w:val="-3"/>
                <w:sz w:val="21"/>
                <w:shd w:val="clear" w:color="auto" w:fill="C0C0C0"/>
              </w:rPr>
              <w:t>因外伤而实施的脑外科手术不在保障范围之内。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line="342" w:lineRule="exact"/>
              <w:ind w:left="106"/>
              <w:rPr>
                <w:rFonts w:ascii="微软雅黑" w:eastAsia="微软雅黑"/>
                <w:b/>
                <w:sz w:val="21"/>
              </w:rPr>
            </w:pPr>
            <w:r>
              <w:rPr>
                <w:rFonts w:ascii="微软雅黑" w:eastAsia="微软雅黑"/>
                <w:b/>
                <w:spacing w:val="-3"/>
                <w:sz w:val="21"/>
              </w:rPr>
              <w:t>理赔时必须提供由神经外科医生出具的诊断书及手术报告。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18" w:type="dxa"/>
          </w:tcPr>
          <w:p>
            <w:pPr>
              <w:pStyle w:val="11"/>
              <w:spacing w:before="173" w:line="276" w:lineRule="exact"/>
              <w:ind w:left="50"/>
              <w:rPr>
                <w:sz w:val="22"/>
              </w:rPr>
            </w:pPr>
            <w:r>
              <w:rPr>
                <w:spacing w:val="-2"/>
                <w:sz w:val="22"/>
              </w:rPr>
              <w:t>8.1.76</w:t>
            </w:r>
          </w:p>
        </w:tc>
        <w:tc>
          <w:tcPr>
            <w:tcW w:w="1687" w:type="dxa"/>
          </w:tcPr>
          <w:p>
            <w:pPr>
              <w:pStyle w:val="11"/>
              <w:spacing w:before="173" w:line="276" w:lineRule="exact"/>
              <w:ind w:left="233"/>
              <w:rPr>
                <w:sz w:val="22"/>
              </w:rPr>
            </w:pPr>
            <w:r>
              <w:rPr>
                <w:spacing w:val="10"/>
                <w:w w:val="95"/>
                <w:sz w:val="22"/>
              </w:rPr>
              <w:t>细菌性脑脊髓</w:t>
            </w:r>
          </w:p>
        </w:tc>
        <w:tc>
          <w:tcPr>
            <w:tcW w:w="7135" w:type="dxa"/>
          </w:tcPr>
          <w:p>
            <w:pPr>
              <w:pStyle w:val="11"/>
              <w:spacing w:before="3"/>
              <w:rPr>
                <w:sz w:val="14"/>
              </w:rPr>
            </w:pPr>
          </w:p>
          <w:p>
            <w:pPr>
              <w:pStyle w:val="11"/>
              <w:spacing w:line="266" w:lineRule="exact"/>
              <w:ind w:left="106"/>
              <w:rPr>
                <w:sz w:val="21"/>
              </w:rPr>
            </w:pPr>
            <w:r>
              <w:rPr>
                <w:spacing w:val="-3"/>
                <w:sz w:val="21"/>
              </w:rPr>
              <w:t>指因脑膜炎双球菌感染引起脑脊髓膜化脓性病变，且导致永久性神经损害，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18" w:type="dxa"/>
          </w:tcPr>
          <w:p>
            <w:pPr>
              <w:pStyle w:val="11"/>
              <w:rPr>
                <w:rFonts w:ascii="Times New Roman"/>
                <w:sz w:val="20"/>
              </w:rPr>
            </w:pPr>
          </w:p>
        </w:tc>
        <w:tc>
          <w:tcPr>
            <w:tcW w:w="1687" w:type="dxa"/>
          </w:tcPr>
          <w:p>
            <w:pPr>
              <w:pStyle w:val="11"/>
              <w:spacing w:before="16" w:line="281" w:lineRule="exact"/>
              <w:ind w:left="233"/>
              <w:rPr>
                <w:sz w:val="22"/>
              </w:rPr>
            </w:pPr>
            <w:r>
              <w:rPr>
                <w:w w:val="95"/>
                <w:sz w:val="22"/>
              </w:rPr>
              <w:t>膜</w:t>
            </w:r>
            <w:r>
              <w:rPr>
                <w:spacing w:val="-10"/>
                <w:sz w:val="22"/>
              </w:rPr>
              <w:t>炎</w:t>
            </w:r>
          </w:p>
        </w:tc>
        <w:tc>
          <w:tcPr>
            <w:tcW w:w="7135" w:type="dxa"/>
          </w:tcPr>
          <w:p>
            <w:pPr>
              <w:pStyle w:val="11"/>
              <w:spacing w:before="26"/>
              <w:ind w:left="106"/>
              <w:rPr>
                <w:sz w:val="21"/>
              </w:rPr>
            </w:pPr>
            <w:r>
              <w:rPr>
                <w:spacing w:val="-17"/>
                <w:sz w:val="21"/>
              </w:rPr>
              <w:t xml:space="preserve">持续 </w:t>
            </w:r>
            <w:r>
              <w:rPr>
                <w:spacing w:val="-2"/>
                <w:sz w:val="21"/>
              </w:rPr>
              <w:t>90</w:t>
            </w:r>
            <w:r>
              <w:rPr>
                <w:spacing w:val="-10"/>
                <w:sz w:val="21"/>
              </w:rPr>
              <w:t xml:space="preserve"> 天以上，并且脑脊液检查显示脑膜炎双球菌阳性。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1"/>
              <w:ind w:left="106"/>
              <w:rPr>
                <w:sz w:val="21"/>
              </w:rPr>
            </w:pPr>
            <w:r>
              <w:rPr>
                <w:spacing w:val="-10"/>
                <w:sz w:val="21"/>
              </w:rPr>
              <w:t>永久性神经损害是指由细菌性脑脊髓膜炎引起的耳聋、失明、动眼神经麻痹、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3"/>
                <w:sz w:val="21"/>
              </w:rPr>
              <w:t xml:space="preserve">瘫痪、脑积水、智力或性情中度以上的损害，且上述症状持续 </w:t>
            </w:r>
            <w:r>
              <w:rPr>
                <w:spacing w:val="-2"/>
                <w:sz w:val="21"/>
              </w:rPr>
              <w:t>90</w:t>
            </w:r>
            <w:r>
              <w:rPr>
                <w:spacing w:val="-9"/>
                <w:sz w:val="21"/>
              </w:rPr>
              <w:t xml:space="preserve"> 天以上仍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2"/>
              <w:ind w:left="106"/>
              <w:rPr>
                <w:sz w:val="21"/>
              </w:rPr>
            </w:pPr>
            <w:r>
              <w:rPr>
                <w:spacing w:val="-4"/>
                <w:sz w:val="21"/>
              </w:rPr>
              <w:t>无改善迹象。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19" w:hRule="atLeast"/>
        </w:trPr>
        <w:tc>
          <w:tcPr>
            <w:tcW w:w="918" w:type="dxa"/>
          </w:tcPr>
          <w:p>
            <w:pPr>
              <w:pStyle w:val="11"/>
              <w:spacing w:before="173"/>
              <w:ind w:left="50"/>
              <w:rPr>
                <w:sz w:val="22"/>
              </w:rPr>
            </w:pPr>
            <w:r>
              <w:rPr>
                <w:spacing w:val="-2"/>
                <w:sz w:val="22"/>
              </w:rPr>
              <w:t>8.1.77</w:t>
            </w:r>
          </w:p>
        </w:tc>
        <w:tc>
          <w:tcPr>
            <w:tcW w:w="1687" w:type="dxa"/>
          </w:tcPr>
          <w:p>
            <w:pPr>
              <w:pStyle w:val="11"/>
              <w:spacing w:before="173" w:line="266" w:lineRule="auto"/>
              <w:ind w:left="233" w:right="105"/>
              <w:rPr>
                <w:sz w:val="22"/>
              </w:rPr>
            </w:pPr>
            <w:r>
              <w:rPr>
                <w:spacing w:val="10"/>
                <w:w w:val="95"/>
                <w:sz w:val="22"/>
              </w:rPr>
              <w:t>婴儿进行性脊</w:t>
            </w:r>
            <w:r>
              <w:rPr>
                <w:spacing w:val="-4"/>
                <w:sz w:val="22"/>
              </w:rPr>
              <w:t>肌萎缩症</w:t>
            </w:r>
          </w:p>
        </w:tc>
        <w:tc>
          <w:tcPr>
            <w:tcW w:w="7135" w:type="dxa"/>
          </w:tcPr>
          <w:p>
            <w:pPr>
              <w:pStyle w:val="11"/>
              <w:spacing w:before="156" w:line="320" w:lineRule="atLeast"/>
              <w:ind w:left="106" w:right="153"/>
              <w:rPr>
                <w:sz w:val="21"/>
              </w:rPr>
            </w:pPr>
            <w:r>
              <w:rPr>
                <w:spacing w:val="-5"/>
                <w:sz w:val="21"/>
              </w:rPr>
              <w:t>该病是累及脊髓前角细胞及延髓运动核的神经元退行性变性病。在出生后一</w:t>
            </w:r>
            <w:r>
              <w:rPr>
                <w:spacing w:val="-6"/>
                <w:sz w:val="21"/>
              </w:rPr>
              <w:t>年内出现的脊髓和脑干颅神经前角细胞进行性机能障碍，伴随肌肉无力和延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5" w:type="dxa"/>
          </w:tcPr>
          <w:p>
            <w:pPr>
              <w:pStyle w:val="11"/>
              <w:spacing w:before="25"/>
              <w:ind w:left="106"/>
              <w:rPr>
                <w:sz w:val="21"/>
              </w:rPr>
            </w:pPr>
            <w:r>
              <w:rPr>
                <w:spacing w:val="-4"/>
                <w:sz w:val="21"/>
              </w:rPr>
              <w:t>髓机能障碍。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918" w:type="dxa"/>
          </w:tcPr>
          <w:p>
            <w:pPr>
              <w:pStyle w:val="11"/>
              <w:rPr>
                <w:rFonts w:ascii="Times New Roman"/>
                <w:sz w:val="18"/>
              </w:rPr>
            </w:pPr>
          </w:p>
        </w:tc>
        <w:tc>
          <w:tcPr>
            <w:tcW w:w="1687" w:type="dxa"/>
          </w:tcPr>
          <w:p>
            <w:pPr>
              <w:pStyle w:val="11"/>
              <w:rPr>
                <w:rFonts w:ascii="Times New Roman"/>
                <w:sz w:val="18"/>
              </w:rPr>
            </w:pPr>
          </w:p>
        </w:tc>
        <w:tc>
          <w:tcPr>
            <w:tcW w:w="7135" w:type="dxa"/>
          </w:tcPr>
          <w:p>
            <w:pPr>
              <w:pStyle w:val="11"/>
              <w:spacing w:before="26" w:line="220" w:lineRule="exact"/>
              <w:ind w:left="106"/>
              <w:rPr>
                <w:sz w:val="21"/>
              </w:rPr>
            </w:pPr>
            <w:r>
              <w:rPr>
                <w:spacing w:val="-6"/>
                <w:sz w:val="21"/>
              </w:rPr>
              <w:t>该病必须经由神经科医师通过肌肉活检而确诊。理赔时必须提供肌肉活检的</w:t>
            </w:r>
          </w:p>
        </w:tc>
      </w:tr>
    </w:tbl>
    <w:p>
      <w:pPr>
        <w:spacing w:after="0" w:line="220" w:lineRule="exact"/>
        <w:rPr>
          <w:sz w:val="21"/>
        </w:rPr>
        <w:sectPr>
          <w:pgSz w:w="11910" w:h="16840"/>
          <w:pgMar w:top="1580" w:right="660" w:bottom="1260" w:left="580" w:header="0" w:footer="1060" w:gutter="0"/>
          <w:cols w:space="720" w:num="1"/>
        </w:sectPr>
      </w:pPr>
    </w:p>
    <w:p>
      <w:pPr>
        <w:pStyle w:val="6"/>
        <w:spacing w:before="46" w:after="3"/>
        <w:ind w:left="3385"/>
      </w:pPr>
      <w:r>
        <w:drawing>
          <wp:anchor distT="0" distB="0" distL="0" distR="0" simplePos="0" relativeHeight="251720704" behindDoc="1" locked="0" layoutInCell="1" allowOverlap="1">
            <wp:simplePos x="0" y="0"/>
            <wp:positionH relativeFrom="page">
              <wp:posOffset>3165475</wp:posOffset>
            </wp:positionH>
            <wp:positionV relativeFrom="paragraph">
              <wp:posOffset>0</wp:posOffset>
            </wp:positionV>
            <wp:extent cx="3712845" cy="202565"/>
            <wp:effectExtent l="0" t="0" r="0" b="0"/>
            <wp:wrapNone/>
            <wp:docPr id="8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29.png"/>
                    <pic:cNvPicPr>
                      <a:picLocks noChangeAspect="1"/>
                    </pic:cNvPicPr>
                  </pic:nvPicPr>
                  <pic:blipFill>
                    <a:blip r:embed="rId35" cstate="print"/>
                    <a:stretch>
                      <a:fillRect/>
                    </a:stretch>
                  </pic:blipFill>
                  <pic:spPr>
                    <a:xfrm>
                      <a:off x="0" y="0"/>
                      <a:ext cx="3713099" cy="202692"/>
                    </a:xfrm>
                    <a:prstGeom prst="rect">
                      <a:avLst/>
                    </a:prstGeom>
                  </pic:spPr>
                </pic:pic>
              </a:graphicData>
            </a:graphic>
          </wp:anchor>
        </w:drawing>
      </w:r>
      <w:r>
        <w:rPr>
          <w:spacing w:val="-5"/>
        </w:rPr>
        <w:t>病理报告。其它类型的脊肌萎缩症如Ⅱ型中间型进行性脊肌萎缩症，Ⅲ型少</w:t>
      </w:r>
    </w:p>
    <w:p>
      <w:pPr>
        <w:pStyle w:val="6"/>
        <w:ind w:left="3385"/>
        <w:rPr>
          <w:sz w:val="20"/>
        </w:rPr>
      </w:pPr>
      <w:r>
        <w:rPr>
          <w:sz w:val="20"/>
        </w:rPr>
        <w:pict>
          <v:shape id="docshape65" o:spid="_x0000_s1089" o:spt="202" type="#_x0000_t202" style="height:16pt;width:296.75pt;"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spacing w:val="-4"/>
                    </w:rPr>
                    <w:t>年型脊肌萎缩症(Kugelberg-Welander</w:t>
                  </w:r>
                  <w:r>
                    <w:rPr>
                      <w:color w:val="000000"/>
                      <w:spacing w:val="-5"/>
                    </w:rPr>
                    <w:t xml:space="preserve"> 氏病)不在保障范围之内。</w:t>
                  </w:r>
                </w:p>
              </w:txbxContent>
            </v:textbox>
            <w10:wrap type="none"/>
            <w10:anchorlock/>
          </v:shape>
        </w:pict>
      </w:r>
    </w:p>
    <w:p>
      <w:pPr>
        <w:pStyle w:val="6"/>
        <w:spacing w:line="278" w:lineRule="auto"/>
        <w:ind w:left="3385" w:right="408"/>
      </w:pPr>
      <w:r>
        <w:rPr>
          <w:spacing w:val="-2"/>
        </w:rPr>
        <w:t>我们承担本项疾病责任不受本合同“责任免除”中“遗传性疾病，先天性畸形、变形或染色体异常”的限制。</w:t>
      </w:r>
    </w:p>
    <w:p>
      <w:pPr>
        <w:pStyle w:val="6"/>
        <w:spacing w:before="10"/>
        <w:rPr>
          <w:sz w:val="17"/>
        </w:rPr>
      </w:pPr>
    </w:p>
    <w:p>
      <w:pPr>
        <w:spacing w:after="0"/>
        <w:rPr>
          <w:sz w:val="17"/>
        </w:rPr>
        <w:sectPr>
          <w:pgSz w:w="11910" w:h="16840"/>
          <w:pgMar w:top="1480" w:right="660" w:bottom="1260" w:left="580" w:header="0" w:footer="1060" w:gutter="0"/>
          <w:cols w:space="720" w:num="1"/>
        </w:sectPr>
      </w:pPr>
    </w:p>
    <w:p>
      <w:pPr>
        <w:pStyle w:val="4"/>
        <w:numPr>
          <w:ilvl w:val="2"/>
          <w:numId w:val="26"/>
        </w:numPr>
        <w:tabs>
          <w:tab w:val="left" w:pos="1825"/>
          <w:tab w:val="left" w:pos="1826"/>
        </w:tabs>
        <w:spacing w:before="71" w:after="0" w:line="266" w:lineRule="auto"/>
        <w:ind w:left="1825" w:right="0" w:hanging="1102"/>
        <w:jc w:val="left"/>
      </w:pPr>
      <w:r>
        <w:rPr>
          <w:spacing w:val="12"/>
          <w:w w:val="95"/>
        </w:rPr>
        <w:t>严重结核性</w:t>
      </w:r>
      <w:r>
        <w:rPr>
          <w:w w:val="95"/>
        </w:rPr>
        <w:t>脑</w:t>
      </w:r>
      <w:r>
        <w:rPr>
          <w:spacing w:val="-6"/>
        </w:rPr>
        <w:t>膜炎</w:t>
      </w:r>
    </w:p>
    <w:p>
      <w:pPr>
        <w:pStyle w:val="6"/>
        <w:spacing w:before="81" w:line="278" w:lineRule="auto"/>
        <w:ind w:left="174" w:right="410"/>
      </w:pPr>
      <w:r>
        <w:br w:type="column"/>
      </w:r>
      <w:r>
        <w:rPr>
          <w:spacing w:val="1"/>
          <w:w w:val="100"/>
        </w:rPr>
        <w:t>由结核杆菌引起的脑膜和脊膜的非化脓性炎症性疾病。须满足以下全部条件：</w:t>
      </w:r>
    </w:p>
    <w:p>
      <w:pPr>
        <w:pStyle w:val="10"/>
        <w:numPr>
          <w:ilvl w:val="0"/>
          <w:numId w:val="27"/>
        </w:numPr>
        <w:tabs>
          <w:tab w:val="left" w:pos="705"/>
        </w:tabs>
        <w:spacing w:before="0" w:after="0" w:line="269" w:lineRule="exact"/>
        <w:ind w:left="704" w:right="0" w:hanging="531"/>
        <w:jc w:val="left"/>
        <w:rPr>
          <w:sz w:val="21"/>
        </w:rPr>
      </w:pPr>
      <w:r>
        <w:rPr>
          <w:spacing w:val="-3"/>
          <w:sz w:val="21"/>
        </w:rPr>
        <w:t>出现颅内压明显增高，表现头痛、呕吐和视乳头水肿；</w:t>
      </w:r>
    </w:p>
    <w:p>
      <w:pPr>
        <w:pStyle w:val="10"/>
        <w:numPr>
          <w:ilvl w:val="0"/>
          <w:numId w:val="27"/>
        </w:numPr>
        <w:tabs>
          <w:tab w:val="left" w:pos="705"/>
        </w:tabs>
        <w:spacing w:before="43" w:after="0" w:line="240" w:lineRule="auto"/>
        <w:ind w:left="704" w:right="0" w:hanging="531"/>
        <w:jc w:val="left"/>
        <w:rPr>
          <w:sz w:val="21"/>
        </w:rPr>
      </w:pPr>
      <w:r>
        <w:rPr>
          <w:spacing w:val="-3"/>
          <w:sz w:val="21"/>
        </w:rPr>
        <w:t>出现部分性、全身性癫痫发作或癫痫持续状态；</w:t>
      </w:r>
    </w:p>
    <w:p>
      <w:pPr>
        <w:pStyle w:val="10"/>
        <w:numPr>
          <w:ilvl w:val="0"/>
          <w:numId w:val="27"/>
        </w:numPr>
        <w:tabs>
          <w:tab w:val="left" w:pos="705"/>
        </w:tabs>
        <w:spacing w:before="43" w:after="0" w:line="240" w:lineRule="auto"/>
        <w:ind w:left="704" w:right="0" w:hanging="531"/>
        <w:jc w:val="left"/>
        <w:rPr>
          <w:sz w:val="21"/>
        </w:rPr>
      </w:pPr>
      <w:r>
        <w:rPr>
          <w:spacing w:val="-4"/>
          <w:sz w:val="21"/>
        </w:rPr>
        <w:t>昏睡或意识模糊；</w:t>
      </w:r>
    </w:p>
    <w:p>
      <w:pPr>
        <w:pStyle w:val="10"/>
        <w:numPr>
          <w:ilvl w:val="0"/>
          <w:numId w:val="27"/>
        </w:numPr>
        <w:tabs>
          <w:tab w:val="left" w:pos="705"/>
        </w:tabs>
        <w:spacing w:before="43" w:after="0" w:line="240" w:lineRule="auto"/>
        <w:ind w:left="704" w:right="0" w:hanging="531"/>
        <w:jc w:val="left"/>
        <w:rPr>
          <w:sz w:val="21"/>
        </w:rPr>
      </w:pPr>
      <w:r>
        <w:rPr>
          <w:spacing w:val="-3"/>
          <w:sz w:val="21"/>
        </w:rPr>
        <w:t>视力减退、复视和面神经麻痹。</w:t>
      </w:r>
    </w:p>
    <w:p>
      <w:pPr>
        <w:spacing w:after="0" w:line="240" w:lineRule="auto"/>
        <w:jc w:val="left"/>
        <w:rPr>
          <w:sz w:val="21"/>
        </w:rPr>
        <w:sectPr>
          <w:type w:val="continuous"/>
          <w:pgSz w:w="11910" w:h="16840"/>
          <w:pgMar w:top="280" w:right="660" w:bottom="280" w:left="580" w:header="0" w:footer="1060" w:gutter="0"/>
          <w:cols w:equalWidth="0" w:num="2">
            <w:col w:w="3171" w:space="40"/>
            <w:col w:w="7459"/>
          </w:cols>
        </w:sectPr>
      </w:pPr>
    </w:p>
    <w:p>
      <w:pPr>
        <w:pStyle w:val="6"/>
      </w:pPr>
    </w:p>
    <w:p>
      <w:pPr>
        <w:spacing w:after="0"/>
        <w:sectPr>
          <w:type w:val="continuous"/>
          <w:pgSz w:w="11910" w:h="16840"/>
          <w:pgMar w:top="280" w:right="660" w:bottom="280" w:left="580" w:header="0" w:footer="1060" w:gutter="0"/>
          <w:cols w:space="720" w:num="1"/>
        </w:sectPr>
      </w:pPr>
    </w:p>
    <w:p>
      <w:pPr>
        <w:pStyle w:val="4"/>
        <w:numPr>
          <w:ilvl w:val="2"/>
          <w:numId w:val="26"/>
        </w:numPr>
        <w:tabs>
          <w:tab w:val="left" w:pos="1825"/>
          <w:tab w:val="left" w:pos="1826"/>
        </w:tabs>
        <w:spacing w:before="76" w:after="0" w:line="266" w:lineRule="auto"/>
        <w:ind w:left="1825" w:right="0" w:hanging="1102"/>
        <w:jc w:val="left"/>
      </w:pPr>
      <w:r>
        <w:rPr>
          <w:spacing w:val="12"/>
          <w:w w:val="95"/>
        </w:rPr>
        <w:t>脊髓小脑变</w:t>
      </w:r>
      <w:r>
        <w:rPr>
          <w:w w:val="95"/>
        </w:rPr>
        <w:t>性</w:t>
      </w:r>
      <w:r>
        <w:rPr>
          <w:spacing w:val="-10"/>
        </w:rPr>
        <w:t>症</w:t>
      </w:r>
    </w:p>
    <w:p>
      <w:pPr>
        <w:pStyle w:val="6"/>
        <w:spacing w:before="71" w:line="244" w:lineRule="auto"/>
        <w:ind w:left="174" w:right="387"/>
      </w:pPr>
      <w:r>
        <w:br w:type="column"/>
      </w:r>
      <w:r>
        <w:rPr>
          <w:spacing w:val="-2"/>
        </w:rPr>
        <w:t>脊髓小脑变性症为一组以小脑萎缩和共济失调为主要临床特点的疾病。必须符合所有以下条件：</w:t>
      </w:r>
    </w:p>
    <w:p>
      <w:pPr>
        <w:pStyle w:val="6"/>
        <w:spacing w:before="14" w:line="280" w:lineRule="auto"/>
        <w:ind w:left="174" w:right="1823"/>
      </w:pPr>
      <w:r>
        <w:rPr>
          <w:spacing w:val="-7"/>
        </w:rPr>
        <w:t>Ⅰ 脊髓小脑变性症必须由医院诊断，并有以下证据支持：</w:t>
      </w:r>
      <w:r>
        <w:rPr>
          <w:spacing w:val="-2"/>
        </w:rPr>
        <w:t xml:space="preserve"> 1.1影像学检查证实存在小脑萎缩；</w:t>
      </w:r>
    </w:p>
    <w:p>
      <w:pPr>
        <w:pStyle w:val="6"/>
        <w:spacing w:line="268" w:lineRule="exact"/>
        <w:ind w:left="174"/>
      </w:pPr>
      <w:r>
        <w:rPr>
          <w:spacing w:val="-4"/>
        </w:rPr>
        <w:t>1.2</w:t>
      </w:r>
      <w:r>
        <w:rPr>
          <w:spacing w:val="-5"/>
        </w:rPr>
        <w:t>临床表现存在共济失调、语言障碍和肌张力异常。</w:t>
      </w:r>
    </w:p>
    <w:p>
      <w:pPr>
        <w:pStyle w:val="6"/>
        <w:spacing w:before="43" w:line="278" w:lineRule="auto"/>
        <w:ind w:left="174" w:right="408"/>
      </w:pPr>
      <w:r>
        <w:t>Ⅱ 被保险人运动功能严重障碍，自主生活能力完全丧失，无法独立完成六</w:t>
      </w:r>
      <w:r>
        <w:rPr>
          <w:spacing w:val="-2"/>
        </w:rPr>
        <w:t>项基本日常生活活动中的三项或三项以上。</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spacing w:before="12"/>
        <w:rPr>
          <w:sz w:val="17"/>
        </w:rPr>
      </w:pPr>
    </w:p>
    <w:p>
      <w:pPr>
        <w:spacing w:after="0"/>
        <w:rPr>
          <w:sz w:val="17"/>
        </w:rPr>
        <w:sectPr>
          <w:type w:val="continuous"/>
          <w:pgSz w:w="11910" w:h="16840"/>
          <w:pgMar w:top="280" w:right="660" w:bottom="280" w:left="580" w:header="0" w:footer="1060" w:gutter="0"/>
          <w:cols w:space="720" w:num="1"/>
        </w:sectPr>
      </w:pPr>
    </w:p>
    <w:p>
      <w:pPr>
        <w:pStyle w:val="4"/>
        <w:numPr>
          <w:ilvl w:val="2"/>
          <w:numId w:val="26"/>
        </w:numPr>
        <w:tabs>
          <w:tab w:val="left" w:pos="1826"/>
        </w:tabs>
        <w:spacing w:before="72" w:after="0" w:line="240" w:lineRule="auto"/>
        <w:ind w:left="1825" w:right="0" w:hanging="1103"/>
        <w:jc w:val="both"/>
      </w:pPr>
      <w:r>
        <w:rPr>
          <w:spacing w:val="14"/>
          <w:w w:val="95"/>
        </w:rPr>
        <w:t>严重瑞氏综</w:t>
      </w:r>
      <w:r>
        <w:rPr>
          <w:spacing w:val="-10"/>
          <w:w w:val="95"/>
        </w:rPr>
        <w:t>合</w:t>
      </w:r>
    </w:p>
    <w:p>
      <w:pPr>
        <w:spacing w:before="30" w:line="266" w:lineRule="auto"/>
        <w:ind w:left="1825" w:right="0" w:firstLine="0"/>
        <w:jc w:val="both"/>
        <w:rPr>
          <w:sz w:val="22"/>
        </w:rPr>
      </w:pPr>
      <w:r>
        <w:rPr>
          <w:w w:val="95"/>
          <w:sz w:val="22"/>
        </w:rPr>
        <w:t>征（Reye</w:t>
      </w:r>
      <w:r>
        <w:rPr>
          <w:spacing w:val="-8"/>
          <w:w w:val="95"/>
          <w:sz w:val="22"/>
        </w:rPr>
        <w:t xml:space="preserve"> 综合</w:t>
      </w:r>
      <w:r>
        <w:rPr>
          <w:spacing w:val="10"/>
          <w:w w:val="95"/>
          <w:sz w:val="22"/>
        </w:rPr>
        <w:t>征，也称赖氏综合征、雷氏</w:t>
      </w:r>
      <w:r>
        <w:rPr>
          <w:spacing w:val="-4"/>
          <w:sz w:val="22"/>
        </w:rPr>
        <w:t>综合征）</w:t>
      </w:r>
    </w:p>
    <w:p>
      <w:pPr>
        <w:pStyle w:val="6"/>
        <w:spacing w:before="82" w:line="278" w:lineRule="auto"/>
        <w:ind w:left="173" w:right="301"/>
      </w:pPr>
      <w:r>
        <w:br w:type="column"/>
      </w:r>
      <w:r>
        <w:rPr>
          <w:spacing w:val="-10"/>
        </w:rPr>
        <w:t>瑞氏综合征是线粒体功能障碍性疾病。导致脂肪代谢障碍，引起短链脂肪酸、</w:t>
      </w:r>
      <w:r>
        <w:rPr>
          <w:spacing w:val="-2"/>
        </w:rPr>
        <w:t>血氨升高，造成脑水肿。主要临床表现为急性发热、反复呕吐、惊厥及意识</w:t>
      </w:r>
      <w:r>
        <w:rPr>
          <w:spacing w:val="-4"/>
        </w:rPr>
        <w:t>障碍等。</w:t>
      </w:r>
    </w:p>
    <w:p>
      <w:pPr>
        <w:pStyle w:val="6"/>
        <w:spacing w:line="269" w:lineRule="exact"/>
        <w:ind w:left="173"/>
      </w:pPr>
      <w:r>
        <w:rPr>
          <w:spacing w:val="-3"/>
        </w:rPr>
        <w:t>瑞氏综合征需由三级医院的儿科专科医生确诊，并符合下列所有条件：</w:t>
      </w:r>
    </w:p>
    <w:p>
      <w:pPr>
        <w:pStyle w:val="10"/>
        <w:numPr>
          <w:ilvl w:val="0"/>
          <w:numId w:val="28"/>
        </w:numPr>
        <w:tabs>
          <w:tab w:val="left" w:pos="704"/>
        </w:tabs>
        <w:spacing w:before="43" w:after="0" w:line="240" w:lineRule="auto"/>
        <w:ind w:left="703" w:right="0" w:hanging="531"/>
        <w:jc w:val="left"/>
        <w:rPr>
          <w:sz w:val="21"/>
        </w:rPr>
      </w:pPr>
      <w:r>
        <w:rPr>
          <w:spacing w:val="-3"/>
          <w:sz w:val="21"/>
        </w:rPr>
        <w:t>有脑水肿和颅内压升高的脑脊液检查和影像学检查证据；</w:t>
      </w:r>
    </w:p>
    <w:p>
      <w:pPr>
        <w:pStyle w:val="10"/>
        <w:numPr>
          <w:ilvl w:val="0"/>
          <w:numId w:val="28"/>
        </w:numPr>
        <w:tabs>
          <w:tab w:val="left" w:pos="704"/>
        </w:tabs>
        <w:spacing w:before="43" w:after="0" w:line="240" w:lineRule="auto"/>
        <w:ind w:left="703" w:right="0" w:hanging="531"/>
        <w:jc w:val="left"/>
        <w:rPr>
          <w:sz w:val="21"/>
        </w:rPr>
      </w:pPr>
      <w:r>
        <w:rPr>
          <w:spacing w:val="-8"/>
          <w:sz w:val="21"/>
        </w:rPr>
        <w:t xml:space="preserve">血氨超过正常值的 </w:t>
      </w:r>
      <w:r>
        <w:rPr>
          <w:spacing w:val="-2"/>
          <w:sz w:val="21"/>
        </w:rPr>
        <w:t>3</w:t>
      </w:r>
      <w:r>
        <w:rPr>
          <w:spacing w:val="-21"/>
          <w:sz w:val="21"/>
        </w:rPr>
        <w:t xml:space="preserve"> 倍；</w:t>
      </w:r>
    </w:p>
    <w:p>
      <w:pPr>
        <w:pStyle w:val="10"/>
        <w:numPr>
          <w:ilvl w:val="0"/>
          <w:numId w:val="28"/>
        </w:numPr>
        <w:tabs>
          <w:tab w:val="left" w:pos="704"/>
        </w:tabs>
        <w:spacing w:before="43" w:after="0" w:line="240" w:lineRule="auto"/>
        <w:ind w:left="703" w:right="0" w:hanging="531"/>
        <w:jc w:val="left"/>
        <w:rPr>
          <w:sz w:val="21"/>
        </w:rPr>
      </w:pPr>
      <w:r>
        <w:rPr>
          <w:spacing w:val="-5"/>
          <w:sz w:val="21"/>
        </w:rPr>
        <w:t xml:space="preserve">临床出现昏迷，病程至少达到疾病分期第 </w:t>
      </w:r>
      <w:r>
        <w:rPr>
          <w:spacing w:val="-2"/>
          <w:sz w:val="21"/>
        </w:rPr>
        <w:t>3</w:t>
      </w:r>
      <w:r>
        <w:rPr>
          <w:spacing w:val="-20"/>
          <w:sz w:val="21"/>
        </w:rPr>
        <w:t xml:space="preserve"> 期。</w:t>
      </w:r>
    </w:p>
    <w:p>
      <w:pPr>
        <w:spacing w:after="0" w:line="240" w:lineRule="auto"/>
        <w:jc w:val="left"/>
        <w:rPr>
          <w:sz w:val="21"/>
        </w:rPr>
        <w:sectPr>
          <w:type w:val="continuous"/>
          <w:pgSz w:w="11910" w:h="16840"/>
          <w:pgMar w:top="280" w:right="660" w:bottom="280" w:left="580" w:header="0" w:footer="1060" w:gutter="0"/>
          <w:cols w:equalWidth="0" w:num="2">
            <w:col w:w="3172" w:space="40"/>
            <w:col w:w="7458"/>
          </w:cols>
        </w:sectPr>
      </w:pPr>
    </w:p>
    <w:p>
      <w:pPr>
        <w:pStyle w:val="6"/>
        <w:spacing w:before="4"/>
      </w:pPr>
    </w:p>
    <w:p>
      <w:pPr>
        <w:pStyle w:val="10"/>
        <w:numPr>
          <w:ilvl w:val="2"/>
          <w:numId w:val="26"/>
        </w:numPr>
        <w:tabs>
          <w:tab w:val="left" w:pos="1826"/>
        </w:tabs>
        <w:spacing w:before="76" w:after="0" w:line="285" w:lineRule="auto"/>
        <w:ind w:left="3385" w:right="342" w:hanging="2662"/>
        <w:jc w:val="both"/>
        <w:rPr>
          <w:sz w:val="21"/>
        </w:rPr>
      </w:pPr>
      <w:r>
        <w:rPr>
          <w:position w:val="2"/>
          <w:sz w:val="22"/>
        </w:rPr>
        <w:t>血管性痴呆</w:t>
      </w:r>
      <w:r>
        <w:rPr>
          <w:spacing w:val="321"/>
          <w:position w:val="2"/>
          <w:sz w:val="22"/>
        </w:rPr>
        <w:t xml:space="preserve"> </w:t>
      </w:r>
      <w:r>
        <w:rPr>
          <w:sz w:val="21"/>
        </w:rPr>
        <w:t>指由缺血性卒中、出血性卒中和造成记忆、认知和行为等脑区低灌注的脑血</w:t>
      </w:r>
      <w:r>
        <w:rPr>
          <w:spacing w:val="-2"/>
          <w:sz w:val="21"/>
        </w:rPr>
        <w:t>管疾病所致的严重认知功能障碍综合征。被保险人自主生活能力完全丧失，</w:t>
      </w:r>
      <w:r>
        <w:rPr>
          <w:spacing w:val="-5"/>
          <w:sz w:val="21"/>
        </w:rPr>
        <w:t>无法独立完成六项基本日常生活活动中的三项或三项以上，日常生活必须持</w:t>
      </w:r>
      <w:r>
        <w:rPr>
          <w:spacing w:val="-2"/>
          <w:sz w:val="21"/>
        </w:rPr>
        <w:t>续受到他人监护。导致痴呆的疾病必须明确诊断，并且有完整的临床、实验室和影像学检查结果证实。</w:t>
      </w:r>
    </w:p>
    <w:p>
      <w:pPr>
        <w:pStyle w:val="6"/>
        <w:spacing w:line="240" w:lineRule="exact"/>
        <w:ind w:left="3385"/>
      </w:pPr>
      <w:r>
        <w:rPr>
          <w:color w:val="000000"/>
          <w:spacing w:val="-3"/>
          <w:shd w:val="clear" w:color="auto" w:fill="C0C0C0"/>
        </w:rPr>
        <w:t>神经官能症，精神疾病及酒精中毒所致脑损害不在保障范围内。</w:t>
      </w:r>
    </w:p>
    <w:p>
      <w:pPr>
        <w:pStyle w:val="6"/>
        <w:spacing w:before="4"/>
      </w:pPr>
    </w:p>
    <w:p>
      <w:pPr>
        <w:spacing w:after="0"/>
        <w:sectPr>
          <w:type w:val="continuous"/>
          <w:pgSz w:w="11910" w:h="16840"/>
          <w:pgMar w:top="280" w:right="660" w:bottom="280" w:left="580" w:header="0" w:footer="1060" w:gutter="0"/>
          <w:cols w:space="720" w:num="1"/>
        </w:sectPr>
      </w:pPr>
    </w:p>
    <w:p>
      <w:pPr>
        <w:pStyle w:val="4"/>
        <w:numPr>
          <w:ilvl w:val="2"/>
          <w:numId w:val="26"/>
        </w:numPr>
        <w:tabs>
          <w:tab w:val="left" w:pos="1825"/>
          <w:tab w:val="left" w:pos="1826"/>
        </w:tabs>
        <w:spacing w:before="72" w:after="0" w:line="240" w:lineRule="auto"/>
        <w:ind w:left="1825" w:right="0" w:hanging="1103"/>
        <w:jc w:val="left"/>
      </w:pPr>
      <w:r>
        <w:rPr>
          <w:spacing w:val="14"/>
          <w:w w:val="95"/>
        </w:rPr>
        <w:t>严重类风湿</w:t>
      </w:r>
      <w:r>
        <w:rPr>
          <w:spacing w:val="-10"/>
          <w:w w:val="95"/>
        </w:rPr>
        <w:t>性</w:t>
      </w:r>
    </w:p>
    <w:p>
      <w:pPr>
        <w:spacing w:before="30"/>
        <w:ind w:left="1825" w:right="0" w:firstLine="0"/>
        <w:jc w:val="left"/>
        <w:rPr>
          <w:sz w:val="22"/>
        </w:rPr>
      </w:pPr>
      <w:r>
        <w:rPr>
          <w:w w:val="95"/>
          <w:sz w:val="22"/>
        </w:rPr>
        <w:t>关节</w:t>
      </w:r>
      <w:r>
        <w:rPr>
          <w:spacing w:val="-10"/>
          <w:w w:val="95"/>
          <w:sz w:val="22"/>
        </w:rPr>
        <w:t>炎</w:t>
      </w:r>
    </w:p>
    <w:p>
      <w:pPr>
        <w:pStyle w:val="6"/>
        <w:spacing w:before="82" w:line="278" w:lineRule="auto"/>
        <w:ind w:left="174" w:right="406"/>
        <w:jc w:val="both"/>
      </w:pPr>
      <w:r>
        <w:br w:type="column"/>
      </w:r>
      <w:r>
        <w:rPr>
          <w:spacing w:val="1"/>
          <w:w w:val="100"/>
        </w:rPr>
        <w:t>类风湿性关节炎为广泛分布的慢性进行性多关节病变，表现为关节严重变</w:t>
      </w:r>
      <w:r>
        <w:rPr>
          <w:spacing w:val="-7"/>
          <w:w w:val="100"/>
        </w:rPr>
        <w:t>形，侵犯至少三个主要关节或关节组【如：双手</w:t>
      </w:r>
      <w:r>
        <w:rPr>
          <w:spacing w:val="-3"/>
          <w:w w:val="100"/>
        </w:rPr>
        <w:t>（</w:t>
      </w:r>
      <w:r>
        <w:rPr>
          <w:spacing w:val="-1"/>
          <w:w w:val="100"/>
        </w:rPr>
        <w:t>多手指</w:t>
      </w:r>
      <w:r>
        <w:rPr>
          <w:spacing w:val="-10"/>
          <w:w w:val="100"/>
        </w:rPr>
        <w:t>）</w:t>
      </w:r>
      <w:r>
        <w:rPr>
          <w:spacing w:val="-6"/>
          <w:w w:val="100"/>
        </w:rPr>
        <w:t>关节、双足</w:t>
      </w:r>
      <w:r>
        <w:rPr>
          <w:spacing w:val="-3"/>
          <w:w w:val="100"/>
        </w:rPr>
        <w:t>（</w:t>
      </w:r>
      <w:r>
        <w:rPr>
          <w:w w:val="100"/>
        </w:rPr>
        <w:t>多足趾）</w:t>
      </w:r>
      <w:r>
        <w:rPr>
          <w:spacing w:val="-7"/>
          <w:w w:val="100"/>
        </w:rPr>
        <w:t>关节、双腕关节、双膝关节和双髋关节】。类风湿性关节炎必须明确</w:t>
      </w:r>
      <w:r>
        <w:rPr>
          <w:spacing w:val="-6"/>
          <w:w w:val="100"/>
        </w:rPr>
        <w:t>诊断并且已经达到类风湿性关节炎功能分级Ⅲ级以上的功能障碍</w:t>
      </w:r>
      <w:r>
        <w:rPr>
          <w:spacing w:val="-2"/>
          <w:w w:val="100"/>
        </w:rPr>
        <w:t>（关节活动</w:t>
      </w:r>
      <w:r>
        <w:rPr>
          <w:spacing w:val="-3"/>
          <w:w w:val="100"/>
        </w:rPr>
        <w:t>严重限制，不能完成大部分的日常工作和活动</w:t>
      </w:r>
      <w:r>
        <w:rPr>
          <w:w w:val="100"/>
        </w:rPr>
        <w:t>）</w:t>
      </w:r>
      <w:r>
        <w:rPr>
          <w:spacing w:val="-3"/>
          <w:w w:val="100"/>
        </w:rPr>
        <w:t>并且满足下列全部条件：</w:t>
      </w:r>
    </w:p>
    <w:p>
      <w:pPr>
        <w:pStyle w:val="6"/>
        <w:ind w:left="174"/>
      </w:pPr>
      <w:r>
        <w:rPr>
          <w:spacing w:val="-2"/>
        </w:rPr>
        <w:t>（1）</w:t>
      </w:r>
      <w:r>
        <w:rPr>
          <w:spacing w:val="-5"/>
        </w:rPr>
        <w:t>晨僵；</w:t>
      </w:r>
    </w:p>
    <w:p>
      <w:pPr>
        <w:pStyle w:val="10"/>
        <w:numPr>
          <w:ilvl w:val="0"/>
          <w:numId w:val="29"/>
        </w:numPr>
        <w:tabs>
          <w:tab w:val="left" w:pos="705"/>
        </w:tabs>
        <w:spacing w:before="43" w:after="0" w:line="240" w:lineRule="auto"/>
        <w:ind w:left="704" w:right="0" w:hanging="531"/>
        <w:jc w:val="left"/>
        <w:rPr>
          <w:sz w:val="21"/>
        </w:rPr>
      </w:pPr>
      <w:r>
        <w:rPr>
          <w:spacing w:val="-4"/>
          <w:sz w:val="21"/>
        </w:rPr>
        <w:t>对称性关节炎；</w:t>
      </w:r>
    </w:p>
    <w:p>
      <w:pPr>
        <w:pStyle w:val="10"/>
        <w:numPr>
          <w:ilvl w:val="0"/>
          <w:numId w:val="29"/>
        </w:numPr>
        <w:tabs>
          <w:tab w:val="left" w:pos="705"/>
        </w:tabs>
        <w:spacing w:before="42" w:after="0" w:line="240" w:lineRule="auto"/>
        <w:ind w:left="704" w:right="0" w:hanging="531"/>
        <w:jc w:val="left"/>
        <w:rPr>
          <w:sz w:val="21"/>
        </w:rPr>
      </w:pPr>
      <w:r>
        <w:rPr>
          <w:spacing w:val="-3"/>
          <w:sz w:val="21"/>
        </w:rPr>
        <w:t>类风湿性皮下结节；</w:t>
      </w:r>
    </w:p>
    <w:p>
      <w:pPr>
        <w:pStyle w:val="10"/>
        <w:numPr>
          <w:ilvl w:val="0"/>
          <w:numId w:val="29"/>
        </w:numPr>
        <w:tabs>
          <w:tab w:val="left" w:pos="705"/>
        </w:tabs>
        <w:spacing w:before="43" w:after="0" w:line="240" w:lineRule="auto"/>
        <w:ind w:left="704" w:right="0" w:hanging="531"/>
        <w:jc w:val="left"/>
        <w:rPr>
          <w:sz w:val="21"/>
        </w:rPr>
      </w:pPr>
      <w:r>
        <w:rPr>
          <w:spacing w:val="-3"/>
          <w:sz w:val="21"/>
        </w:rPr>
        <w:t>类风湿因子滴度升高；</w:t>
      </w:r>
    </w:p>
    <w:p>
      <w:pPr>
        <w:spacing w:after="0" w:line="240" w:lineRule="auto"/>
        <w:jc w:val="left"/>
        <w:rPr>
          <w:sz w:val="21"/>
        </w:rPr>
        <w:sectPr>
          <w:type w:val="continuous"/>
          <w:pgSz w:w="11910" w:h="16840"/>
          <w:pgMar w:top="280" w:right="660" w:bottom="280" w:left="580" w:header="0" w:footer="1060" w:gutter="0"/>
          <w:cols w:equalWidth="0" w:num="2">
            <w:col w:w="3171" w:space="40"/>
            <w:col w:w="7459"/>
          </w:cols>
        </w:sectPr>
      </w:pPr>
    </w:p>
    <w:p>
      <w:pPr>
        <w:pStyle w:val="6"/>
        <w:spacing w:before="42"/>
        <w:ind w:left="3385"/>
      </w:pPr>
      <w:r>
        <w:rPr>
          <w:spacing w:val="-2"/>
        </w:rPr>
        <w:t>（5）X</w:t>
      </w:r>
      <w:r>
        <w:rPr>
          <w:spacing w:val="-8"/>
        </w:rPr>
        <w:t xml:space="preserve"> 线显示严重的关节</w:t>
      </w:r>
      <w:r>
        <w:rPr>
          <w:spacing w:val="-2"/>
        </w:rPr>
        <w:t>（软骨和骨）</w:t>
      </w:r>
      <w:r>
        <w:rPr>
          <w:spacing w:val="-3"/>
        </w:rPr>
        <w:t>破坏和关节畸形。</w:t>
      </w:r>
    </w:p>
    <w:p>
      <w:pPr>
        <w:pStyle w:val="6"/>
        <w:spacing w:before="4"/>
      </w:pPr>
    </w:p>
    <w:p>
      <w:pPr>
        <w:spacing w:after="0"/>
        <w:sectPr>
          <w:pgSz w:w="11910" w:h="16840"/>
          <w:pgMar w:top="1460" w:right="660" w:bottom="1260" w:left="580" w:header="0" w:footer="1060" w:gutter="0"/>
          <w:cols w:space="720" w:num="1"/>
        </w:sectPr>
      </w:pPr>
    </w:p>
    <w:p>
      <w:pPr>
        <w:pStyle w:val="4"/>
        <w:numPr>
          <w:ilvl w:val="2"/>
          <w:numId w:val="26"/>
        </w:numPr>
        <w:tabs>
          <w:tab w:val="left" w:pos="1101"/>
          <w:tab w:val="left" w:pos="1826"/>
        </w:tabs>
        <w:spacing w:before="72" w:after="0" w:line="240" w:lineRule="auto"/>
        <w:ind w:left="1825" w:right="0" w:hanging="1826"/>
        <w:jc w:val="right"/>
      </w:pPr>
      <w:r>
        <w:rPr>
          <w:spacing w:val="10"/>
          <w:w w:val="95"/>
        </w:rPr>
        <w:t>严重幼年型类</w:t>
      </w:r>
    </w:p>
    <w:p>
      <w:pPr>
        <w:spacing w:before="30"/>
        <w:ind w:left="0" w:right="81" w:firstLine="0"/>
        <w:jc w:val="right"/>
        <w:rPr>
          <w:sz w:val="22"/>
        </w:rPr>
      </w:pPr>
      <w:r>
        <w:pict>
          <v:shape id="docshape66" o:spid="_x0000_s1090" o:spt="202" type="#_x0000_t202" style="position:absolute;left:0pt;margin-left:198.25pt;margin-top:16.45pt;height:14.8pt;width:343.4pt;mso-position-horizontal-relative:page;z-index:251692032;mso-width-relative:page;mso-height-relative:page;" fillcolor="#C0C0C0" filled="t" stroked="f" coordsize="21600,21600">
            <v:path/>
            <v:fill on="t" focussize="0,0"/>
            <v:stroke on="f" joinstyle="miter"/>
            <v:imagedata o:title=""/>
            <o:lock v:ext="edit"/>
            <v:textbox inset="0mm,0mm,0mm,0mm">
              <w:txbxContent>
                <w:p>
                  <w:pPr>
                    <w:pStyle w:val="6"/>
                    <w:spacing w:before="23"/>
                    <w:rPr>
                      <w:color w:val="000000"/>
                    </w:rPr>
                  </w:pPr>
                  <w:r>
                    <w:rPr>
                      <w:color w:val="000000"/>
                      <w:spacing w:val="-1"/>
                    </w:rPr>
                    <w:t>我们仅对实际接受了膝关节或髋关节置换手术治疗的严重的幼年型类风湿</w:t>
                  </w:r>
                </w:p>
              </w:txbxContent>
            </v:textbox>
          </v:shape>
        </w:pict>
      </w:r>
      <w:r>
        <w:rPr>
          <w:w w:val="95"/>
          <w:sz w:val="22"/>
        </w:rPr>
        <w:t>风湿</w:t>
      </w:r>
      <w:r>
        <w:rPr>
          <w:spacing w:val="-3"/>
          <w:w w:val="95"/>
          <w:sz w:val="22"/>
        </w:rPr>
        <w:t>性关节炎</w:t>
      </w:r>
    </w:p>
    <w:p>
      <w:pPr>
        <w:pStyle w:val="6"/>
        <w:spacing w:before="82" w:line="278" w:lineRule="auto"/>
        <w:ind w:left="174" w:right="406"/>
      </w:pPr>
      <w:r>
        <w:br w:type="column"/>
      </w:r>
      <w:r>
        <w:rPr>
          <w:spacing w:val="-5"/>
        </w:rPr>
        <w:t>幼年型类风湿关节炎是一种儿童期发病的慢性关节炎，其特点为在高热和系</w:t>
      </w:r>
      <w:r>
        <w:rPr>
          <w:spacing w:val="-2"/>
        </w:rPr>
        <w:t>统性病征出现数月后发生关节炎。</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spacing w:before="7"/>
        <w:rPr>
          <w:sz w:val="22"/>
        </w:rPr>
      </w:pPr>
    </w:p>
    <w:p>
      <w:pPr>
        <w:pStyle w:val="6"/>
        <w:ind w:left="3385"/>
        <w:rPr>
          <w:sz w:val="20"/>
        </w:rPr>
      </w:pPr>
      <w:r>
        <w:rPr>
          <w:sz w:val="20"/>
        </w:rPr>
        <w:pict>
          <v:shape id="docshape67" o:spid="_x0000_s1091" o:spt="202" type="#_x0000_t202" style="height:14.8pt;width:84.05pt;"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5"/>
                    </w:rPr>
                    <w:t>关节炎予以理赔。</w:t>
                  </w:r>
                </w:p>
              </w:txbxContent>
            </v:textbox>
            <w10:wrap type="none"/>
            <w10:anchorlock/>
          </v:shape>
        </w:pict>
      </w:r>
    </w:p>
    <w:p>
      <w:pPr>
        <w:pStyle w:val="6"/>
        <w:spacing w:before="1"/>
        <w:rPr>
          <w:sz w:val="20"/>
        </w:rPr>
      </w:pPr>
    </w:p>
    <w:p>
      <w:pPr>
        <w:spacing w:after="0"/>
        <w:rPr>
          <w:sz w:val="20"/>
        </w:rPr>
        <w:sectPr>
          <w:type w:val="continuous"/>
          <w:pgSz w:w="11910" w:h="16840"/>
          <w:pgMar w:top="280" w:right="660" w:bottom="280" w:left="580" w:header="0" w:footer="1060" w:gutter="0"/>
          <w:cols w:space="720" w:num="1"/>
        </w:sectPr>
      </w:pPr>
    </w:p>
    <w:p>
      <w:pPr>
        <w:pStyle w:val="10"/>
        <w:numPr>
          <w:ilvl w:val="2"/>
          <w:numId w:val="26"/>
        </w:numPr>
        <w:tabs>
          <w:tab w:val="left" w:pos="1825"/>
          <w:tab w:val="left" w:pos="1826"/>
        </w:tabs>
        <w:spacing w:before="71" w:after="0" w:line="262" w:lineRule="exact"/>
        <w:ind w:left="1825" w:right="0" w:hanging="1103"/>
        <w:jc w:val="left"/>
        <w:rPr>
          <w:sz w:val="22"/>
        </w:rPr>
      </w:pPr>
      <w:r>
        <w:rPr>
          <w:spacing w:val="10"/>
          <w:w w:val="95"/>
          <w:sz w:val="22"/>
        </w:rPr>
        <w:t>成骨不全症第</w:t>
      </w:r>
    </w:p>
    <w:p>
      <w:pPr>
        <w:pStyle w:val="3"/>
        <w:spacing w:before="47" w:line="184" w:lineRule="auto"/>
        <w:jc w:val="both"/>
      </w:pPr>
      <w:r>
        <w:rPr>
          <w:rFonts w:hint="eastAsia" w:ascii="宋体" w:eastAsia="宋体"/>
          <w:b w:val="0"/>
          <w:spacing w:val="34"/>
        </w:rPr>
        <w:t>三型</w:t>
      </w:r>
      <w:r>
        <w:rPr>
          <w:spacing w:val="5"/>
        </w:rPr>
        <w:t>( 本</w:t>
      </w:r>
      <w:r>
        <w:rPr>
          <w:spacing w:val="34"/>
        </w:rPr>
        <w:t>项保</w:t>
      </w:r>
      <w:r>
        <w:rPr>
          <w:spacing w:val="12"/>
        </w:rPr>
        <w:t>险责任仅在</w:t>
      </w:r>
      <w:r>
        <w:t>被</w:t>
      </w:r>
      <w:r>
        <w:rPr>
          <w:w w:val="95"/>
        </w:rPr>
        <w:t>保险</w:t>
      </w:r>
      <w:r>
        <w:rPr>
          <w:spacing w:val="38"/>
          <w:w w:val="95"/>
        </w:rPr>
        <w:t>人</w:t>
      </w:r>
      <w:r>
        <w:rPr>
          <w:w w:val="95"/>
        </w:rPr>
        <w:t>18</w:t>
      </w:r>
      <w:r>
        <w:rPr>
          <w:spacing w:val="-14"/>
          <w:w w:val="95"/>
        </w:rPr>
        <w:t xml:space="preserve"> </w:t>
      </w:r>
      <w:r>
        <w:rPr>
          <w:w w:val="95"/>
        </w:rPr>
        <w:t>周岁</w:t>
      </w:r>
      <w:r>
        <w:t xml:space="preserve">以 前 提 供 保 </w:t>
      </w:r>
      <w:r>
        <w:rPr>
          <w:spacing w:val="-6"/>
        </w:rPr>
        <w:t>障)</w:t>
      </w:r>
    </w:p>
    <w:p>
      <w:pPr>
        <w:pStyle w:val="6"/>
        <w:spacing w:before="81"/>
        <w:ind w:left="103"/>
      </w:pPr>
      <w:r>
        <w:br w:type="column"/>
      </w:r>
      <w:r>
        <w:rPr>
          <w:spacing w:val="-3"/>
        </w:rPr>
        <w:t>成骨不全症第三型须同时符合下列所有条件：</w:t>
      </w:r>
    </w:p>
    <w:p>
      <w:pPr>
        <w:pStyle w:val="6"/>
        <w:spacing w:before="43"/>
        <w:ind w:left="103"/>
      </w:pPr>
      <w:r>
        <w:rPr>
          <w:spacing w:val="-2"/>
        </w:rPr>
        <w:t>（1）</w:t>
      </w:r>
      <w:r>
        <w:rPr>
          <w:spacing w:val="-3"/>
        </w:rPr>
        <w:t>就成骨不全症第三型之诊断进行的皮肤切片的病理检查结果为阳性；</w:t>
      </w:r>
    </w:p>
    <w:p>
      <w:pPr>
        <w:pStyle w:val="6"/>
        <w:spacing w:before="43"/>
        <w:ind w:left="103"/>
      </w:pPr>
      <w:r>
        <w:rPr>
          <w:spacing w:val="-2"/>
        </w:rPr>
        <w:t>（2）X</w:t>
      </w:r>
      <w:r>
        <w:rPr>
          <w:spacing w:val="-9"/>
        </w:rPr>
        <w:t xml:space="preserve"> 光片结果显示多处骨折及逐步脊柱后侧凸畸形；</w:t>
      </w:r>
    </w:p>
    <w:p>
      <w:pPr>
        <w:pStyle w:val="10"/>
        <w:numPr>
          <w:ilvl w:val="0"/>
          <w:numId w:val="30"/>
        </w:numPr>
        <w:tabs>
          <w:tab w:val="left" w:pos="634"/>
        </w:tabs>
        <w:spacing w:before="43" w:after="0" w:line="240" w:lineRule="auto"/>
        <w:ind w:left="633" w:right="0" w:hanging="531"/>
        <w:jc w:val="left"/>
        <w:rPr>
          <w:sz w:val="21"/>
        </w:rPr>
      </w:pPr>
      <w:r>
        <w:rPr>
          <w:spacing w:val="-3"/>
          <w:sz w:val="21"/>
        </w:rPr>
        <w:t>有证明是因此疾病引致发育迟缓及听力损伤；</w:t>
      </w:r>
    </w:p>
    <w:p>
      <w:pPr>
        <w:pStyle w:val="10"/>
        <w:numPr>
          <w:ilvl w:val="0"/>
          <w:numId w:val="30"/>
        </w:numPr>
        <w:tabs>
          <w:tab w:val="left" w:pos="634"/>
        </w:tabs>
        <w:spacing w:before="43" w:after="0" w:line="269" w:lineRule="exact"/>
        <w:ind w:left="633" w:right="0" w:hanging="531"/>
        <w:jc w:val="left"/>
        <w:rPr>
          <w:sz w:val="21"/>
        </w:rPr>
      </w:pPr>
      <w:r>
        <w:rPr>
          <w:spacing w:val="-3"/>
          <w:sz w:val="21"/>
        </w:rPr>
        <w:t>由本公司认可医院的儿科专科医生明确诊断。</w:t>
      </w:r>
    </w:p>
    <w:p>
      <w:pPr>
        <w:pStyle w:val="5"/>
        <w:ind w:left="103"/>
      </w:pPr>
      <w:r>
        <w:rPr>
          <w:w w:val="95"/>
        </w:rPr>
        <w:t>本公司仅对被保险人年满</w:t>
      </w:r>
      <w:r>
        <w:rPr>
          <w:spacing w:val="69"/>
          <w:w w:val="150"/>
        </w:rPr>
        <w:t xml:space="preserve"> </w:t>
      </w:r>
      <w:r>
        <w:rPr>
          <w:w w:val="95"/>
        </w:rPr>
        <w:t>18</w:t>
      </w:r>
      <w:r>
        <w:rPr>
          <w:spacing w:val="77"/>
          <w:w w:val="150"/>
        </w:rPr>
        <w:t xml:space="preserve"> </w:t>
      </w:r>
      <w:r>
        <w:rPr>
          <w:w w:val="95"/>
        </w:rPr>
        <w:t>周岁前确诊本项疾病承担保险责任</w:t>
      </w:r>
      <w:r>
        <w:rPr>
          <w:spacing w:val="-10"/>
          <w:w w:val="95"/>
        </w:rPr>
        <w:t>。</w:t>
      </w:r>
    </w:p>
    <w:p>
      <w:pPr>
        <w:spacing w:after="0"/>
        <w:sectPr>
          <w:type w:val="continuous"/>
          <w:pgSz w:w="11910" w:h="16840"/>
          <w:pgMar w:top="280" w:right="660" w:bottom="280" w:left="580" w:header="0" w:footer="1060" w:gutter="0"/>
          <w:cols w:equalWidth="0" w:num="2">
            <w:col w:w="3242" w:space="40"/>
            <w:col w:w="7388"/>
          </w:cols>
        </w:sectPr>
      </w:pPr>
    </w:p>
    <w:p>
      <w:pPr>
        <w:pStyle w:val="6"/>
        <w:spacing w:before="4"/>
        <w:rPr>
          <w:rFonts w:ascii="微软雅黑"/>
          <w:b/>
          <w:sz w:val="11"/>
        </w:rPr>
      </w:pPr>
    </w:p>
    <w:p>
      <w:pPr>
        <w:pStyle w:val="10"/>
        <w:numPr>
          <w:ilvl w:val="2"/>
          <w:numId w:val="26"/>
        </w:numPr>
        <w:tabs>
          <w:tab w:val="left" w:pos="1826"/>
        </w:tabs>
        <w:spacing w:before="71" w:after="0" w:line="276" w:lineRule="auto"/>
        <w:ind w:left="3385" w:right="394" w:hanging="2662"/>
        <w:jc w:val="both"/>
        <w:rPr>
          <w:sz w:val="21"/>
        </w:rPr>
      </w:pPr>
      <w:r>
        <w:rPr>
          <w:spacing w:val="-1"/>
          <w:w w:val="96"/>
          <w:sz w:val="22"/>
        </w:rPr>
        <w:t>严重癫痫症</w:t>
      </w:r>
      <w:r>
        <w:rPr>
          <w:spacing w:val="-9"/>
          <w:sz w:val="22"/>
        </w:rPr>
        <w:t xml:space="preserve">     </w:t>
      </w:r>
      <w:r>
        <w:rPr>
          <w:spacing w:val="-3"/>
          <w:w w:val="100"/>
          <w:sz w:val="21"/>
        </w:rPr>
        <w:t>本病的诊断须由神经科或儿科专科医生根据典型临床症状和脑电图及</w:t>
      </w:r>
      <w:r>
        <w:rPr>
          <w:spacing w:val="-52"/>
          <w:sz w:val="21"/>
        </w:rPr>
        <w:t xml:space="preserve"> </w:t>
      </w:r>
      <w:r>
        <w:rPr>
          <w:spacing w:val="-3"/>
          <w:w w:val="100"/>
          <w:sz w:val="21"/>
        </w:rPr>
        <w:t>M</w:t>
      </w:r>
      <w:r>
        <w:rPr>
          <w:w w:val="100"/>
          <w:sz w:val="21"/>
        </w:rPr>
        <w:t>R</w:t>
      </w:r>
      <w:r>
        <w:rPr>
          <w:spacing w:val="-1"/>
          <w:w w:val="100"/>
          <w:sz w:val="21"/>
        </w:rPr>
        <w:t>I</w:t>
      </w:r>
      <w:r>
        <w:rPr>
          <w:w w:val="100"/>
          <w:sz w:val="21"/>
        </w:rPr>
        <w:t>、 PE</w:t>
      </w:r>
      <w:r>
        <w:rPr>
          <w:spacing w:val="-2"/>
          <w:w w:val="100"/>
          <w:sz w:val="21"/>
        </w:rPr>
        <w:t>T</w:t>
      </w:r>
      <w:r>
        <w:rPr>
          <w:spacing w:val="-5"/>
          <w:w w:val="100"/>
          <w:sz w:val="21"/>
        </w:rPr>
        <w:t>、</w:t>
      </w:r>
      <w:r>
        <w:rPr>
          <w:w w:val="100"/>
          <w:sz w:val="21"/>
        </w:rPr>
        <w:t>CT</w:t>
      </w:r>
      <w:r>
        <w:rPr>
          <w:spacing w:val="-55"/>
          <w:sz w:val="21"/>
        </w:rPr>
        <w:t xml:space="preserve"> </w:t>
      </w:r>
      <w:r>
        <w:rPr>
          <w:spacing w:val="-4"/>
          <w:w w:val="100"/>
          <w:sz w:val="21"/>
        </w:rPr>
        <w:t>等影像学检查做出。理赔时必须提供</w:t>
      </w:r>
      <w:r>
        <w:rPr>
          <w:spacing w:val="-53"/>
          <w:sz w:val="21"/>
        </w:rPr>
        <w:t xml:space="preserve"> </w:t>
      </w:r>
      <w:r>
        <w:rPr>
          <w:w w:val="100"/>
          <w:sz w:val="21"/>
        </w:rPr>
        <w:t>6</w:t>
      </w:r>
      <w:r>
        <w:rPr>
          <w:spacing w:val="-55"/>
          <w:sz w:val="21"/>
        </w:rPr>
        <w:t xml:space="preserve"> </w:t>
      </w:r>
      <w:r>
        <w:rPr>
          <w:spacing w:val="-3"/>
          <w:w w:val="100"/>
          <w:sz w:val="21"/>
        </w:rPr>
        <w:t>个月以上的相关病历记录证</w:t>
      </w:r>
      <w:r>
        <w:rPr>
          <w:spacing w:val="1"/>
          <w:w w:val="100"/>
          <w:sz w:val="21"/>
        </w:rPr>
        <w:t>明被保险人存在经抗癫痫药物治疗无效而反复发作的强直阵挛性发作或癫</w:t>
      </w:r>
      <w:r>
        <w:rPr>
          <w:spacing w:val="-3"/>
          <w:w w:val="100"/>
          <w:sz w:val="21"/>
        </w:rPr>
        <w:t>痫大发作，且已行神经外科手术以治疗反复发作的癫痫。</w:t>
      </w:r>
    </w:p>
    <w:p>
      <w:pPr>
        <w:pStyle w:val="6"/>
        <w:ind w:left="3385"/>
        <w:rPr>
          <w:sz w:val="20"/>
        </w:rPr>
      </w:pPr>
      <w:r>
        <w:rPr>
          <w:sz w:val="20"/>
        </w:rPr>
        <w:pict>
          <v:shape id="docshape68" o:spid="_x0000_s1092" o:spt="202" type="#_x0000_t202" style="height:14.8pt;width:343.4pt;"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6"/>
                    </w:rPr>
                    <w:t>发热性惊厥以及没有全身性发作的失神发作（癫痫小发作）</w:t>
                  </w:r>
                  <w:r>
                    <w:rPr>
                      <w:color w:val="000000"/>
                      <w:spacing w:val="-7"/>
                    </w:rPr>
                    <w:t>不在本保障范围</w:t>
                  </w:r>
                </w:p>
              </w:txbxContent>
            </v:textbox>
            <w10:wrap type="none"/>
            <w10:anchorlock/>
          </v:shape>
        </w:pict>
      </w:r>
    </w:p>
    <w:p>
      <w:pPr>
        <w:pStyle w:val="6"/>
        <w:ind w:left="3385"/>
        <w:rPr>
          <w:sz w:val="20"/>
        </w:rPr>
      </w:pPr>
      <w:r>
        <w:rPr>
          <w:sz w:val="20"/>
        </w:rPr>
        <w:pict>
          <v:shape id="docshape69" o:spid="_x0000_s1093" o:spt="202" type="#_x0000_t202" style="height:14.8pt;width:21.05pt;"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8"/>
                    </w:rPr>
                    <w:t>内。</w:t>
                  </w:r>
                </w:p>
              </w:txbxContent>
            </v:textbox>
            <w10:wrap type="none"/>
            <w10:anchorlock/>
          </v:shape>
        </w:pict>
      </w: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26"/>
        </w:numPr>
        <w:tabs>
          <w:tab w:val="left" w:pos="1825"/>
          <w:tab w:val="left" w:pos="1826"/>
        </w:tabs>
        <w:spacing w:before="71" w:after="0" w:line="240" w:lineRule="auto"/>
        <w:ind w:left="1825" w:right="0" w:hanging="1103"/>
        <w:jc w:val="left"/>
      </w:pPr>
      <w:r>
        <w:rPr>
          <w:spacing w:val="14"/>
          <w:w w:val="95"/>
        </w:rPr>
        <w:t>严重的脊髓</w:t>
      </w:r>
      <w:r>
        <w:rPr>
          <w:spacing w:val="-10"/>
          <w:w w:val="95"/>
        </w:rPr>
        <w:t>空</w:t>
      </w:r>
    </w:p>
    <w:p>
      <w:pPr>
        <w:spacing w:before="30" w:line="266" w:lineRule="auto"/>
        <w:ind w:left="1825" w:right="0" w:firstLine="0"/>
        <w:jc w:val="left"/>
        <w:rPr>
          <w:sz w:val="22"/>
        </w:rPr>
      </w:pPr>
      <w:r>
        <w:rPr>
          <w:spacing w:val="10"/>
          <w:w w:val="95"/>
          <w:sz w:val="22"/>
        </w:rPr>
        <w:t>洞症或严重的</w:t>
      </w:r>
      <w:r>
        <w:rPr>
          <w:spacing w:val="-2"/>
          <w:sz w:val="22"/>
        </w:rPr>
        <w:t>延髓空洞症</w:t>
      </w:r>
    </w:p>
    <w:p>
      <w:pPr>
        <w:pStyle w:val="6"/>
        <w:spacing w:before="81" w:line="278" w:lineRule="auto"/>
        <w:ind w:left="210" w:right="301"/>
      </w:pPr>
      <w:r>
        <w:br w:type="column"/>
      </w:r>
      <w:r>
        <w:rPr>
          <w:spacing w:val="-7"/>
        </w:rPr>
        <w:t>脊髓空洞症为慢性进行性的脊髓变性疾病，其特征为脊髓内空洞形成。表现</w:t>
      </w:r>
      <w:r>
        <w:rPr>
          <w:spacing w:val="-19"/>
        </w:rPr>
        <w:t>为感觉异常、肌萎缩及神经营养障碍。脊髓空洞症累及延髓称为延髓空洞症，</w:t>
      </w:r>
      <w:r>
        <w:rPr>
          <w:spacing w:val="-12"/>
        </w:rPr>
        <w:t xml:space="preserve">表现为延髓麻痹。脊髓空洞症必须明确诊断并且造成永久不可逆的神经系统功能障碍，存在持续至少 </w:t>
      </w:r>
      <w:r>
        <w:t>180</w:t>
      </w:r>
      <w:r>
        <w:rPr>
          <w:spacing w:val="-5"/>
        </w:rPr>
        <w:t xml:space="preserve"> 天以上的神经系统功能缺失并满足下列任一条</w:t>
      </w:r>
      <w:r>
        <w:rPr>
          <w:spacing w:val="-6"/>
        </w:rPr>
        <w:t>件：</w:t>
      </w:r>
    </w:p>
    <w:p>
      <w:pPr>
        <w:pStyle w:val="10"/>
        <w:numPr>
          <w:ilvl w:val="1"/>
          <w:numId w:val="30"/>
        </w:numPr>
        <w:tabs>
          <w:tab w:val="left" w:pos="741"/>
        </w:tabs>
        <w:spacing w:before="0" w:after="0" w:line="240" w:lineRule="auto"/>
        <w:ind w:left="740" w:right="0" w:hanging="531"/>
        <w:jc w:val="left"/>
        <w:rPr>
          <w:sz w:val="21"/>
        </w:rPr>
      </w:pPr>
      <w:r>
        <w:rPr>
          <w:spacing w:val="-3"/>
          <w:sz w:val="21"/>
        </w:rPr>
        <w:t>延髓麻痹呈现显著舌肌萎缩、构音困难和吞咽困难；或</w:t>
      </w:r>
    </w:p>
    <w:p>
      <w:pPr>
        <w:pStyle w:val="10"/>
        <w:numPr>
          <w:ilvl w:val="1"/>
          <w:numId w:val="30"/>
        </w:numPr>
        <w:tabs>
          <w:tab w:val="left" w:pos="705"/>
        </w:tabs>
        <w:spacing w:before="43" w:after="0" w:line="240" w:lineRule="auto"/>
        <w:ind w:left="704" w:right="0" w:hanging="531"/>
        <w:jc w:val="left"/>
        <w:rPr>
          <w:sz w:val="21"/>
        </w:rPr>
      </w:pPr>
      <w:r>
        <w:rPr>
          <w:spacing w:val="-6"/>
          <w:sz w:val="21"/>
        </w:rPr>
        <w:t xml:space="preserve">双手萎缩呈“爪形手”，肌力 </w:t>
      </w:r>
      <w:r>
        <w:rPr>
          <w:spacing w:val="-2"/>
          <w:sz w:val="21"/>
        </w:rPr>
        <w:t>2</w:t>
      </w:r>
      <w:r>
        <w:rPr>
          <w:spacing w:val="-12"/>
          <w:sz w:val="21"/>
        </w:rPr>
        <w:t xml:space="preserve"> 级或以下。</w:t>
      </w:r>
    </w:p>
    <w:p>
      <w:pPr>
        <w:spacing w:after="0" w:line="240" w:lineRule="auto"/>
        <w:jc w:val="left"/>
        <w:rPr>
          <w:sz w:val="21"/>
        </w:rPr>
        <w:sectPr>
          <w:type w:val="continuous"/>
          <w:pgSz w:w="11910" w:h="16840"/>
          <w:pgMar w:top="280" w:right="660" w:bottom="280" w:left="580" w:header="0" w:footer="1060" w:gutter="0"/>
          <w:cols w:equalWidth="0" w:num="2">
            <w:col w:w="3171" w:space="40"/>
            <w:col w:w="7459"/>
          </w:cols>
        </w:sectPr>
      </w:pPr>
    </w:p>
    <w:p>
      <w:pPr>
        <w:pStyle w:val="6"/>
        <w:spacing w:before="4"/>
      </w:pPr>
    </w:p>
    <w:p>
      <w:pPr>
        <w:pStyle w:val="10"/>
        <w:numPr>
          <w:ilvl w:val="2"/>
          <w:numId w:val="26"/>
        </w:numPr>
        <w:tabs>
          <w:tab w:val="left" w:pos="1826"/>
        </w:tabs>
        <w:spacing w:before="76" w:after="0" w:line="285" w:lineRule="auto"/>
        <w:ind w:left="3385" w:right="406" w:hanging="2662"/>
        <w:jc w:val="both"/>
        <w:rPr>
          <w:sz w:val="21"/>
        </w:rPr>
      </w:pPr>
      <w:r>
        <w:rPr>
          <w:position w:val="2"/>
          <w:sz w:val="22"/>
        </w:rPr>
        <w:t xml:space="preserve">坏死性筋膜炎 </w:t>
      </w:r>
      <w:r>
        <w:rPr>
          <w:spacing w:val="-3"/>
          <w:sz w:val="21"/>
        </w:rPr>
        <w:t>是一种由细菌侵入皮下组织和筋膜引起的急性坏死性软组织感染，可伴有毒</w:t>
      </w:r>
      <w:r>
        <w:rPr>
          <w:spacing w:val="-2"/>
          <w:sz w:val="21"/>
        </w:rPr>
        <w:t>血症、败血症、中毒性休克、弥漫性血管内凝血及多器官衰竭。必须满足以下所有条件：</w:t>
      </w:r>
    </w:p>
    <w:p>
      <w:pPr>
        <w:pStyle w:val="10"/>
        <w:numPr>
          <w:ilvl w:val="3"/>
          <w:numId w:val="26"/>
        </w:numPr>
        <w:tabs>
          <w:tab w:val="left" w:pos="3915"/>
        </w:tabs>
        <w:spacing w:before="0" w:after="0" w:line="266" w:lineRule="exact"/>
        <w:ind w:left="3914" w:right="0" w:hanging="530"/>
        <w:jc w:val="left"/>
        <w:rPr>
          <w:sz w:val="21"/>
        </w:rPr>
      </w:pPr>
      <w:r>
        <w:rPr>
          <w:spacing w:val="-3"/>
          <w:sz w:val="21"/>
        </w:rPr>
        <w:t>细菌培养和临床表现符合坏死性筋膜炎诊断标准；</w:t>
      </w:r>
    </w:p>
    <w:p>
      <w:pPr>
        <w:pStyle w:val="10"/>
        <w:numPr>
          <w:ilvl w:val="3"/>
          <w:numId w:val="26"/>
        </w:numPr>
        <w:tabs>
          <w:tab w:val="left" w:pos="3915"/>
        </w:tabs>
        <w:spacing w:before="28" w:after="0" w:line="240" w:lineRule="auto"/>
        <w:ind w:left="3914" w:right="0" w:hanging="530"/>
        <w:jc w:val="left"/>
        <w:rPr>
          <w:sz w:val="21"/>
        </w:rPr>
      </w:pPr>
      <w:r>
        <w:rPr>
          <w:spacing w:val="-3"/>
          <w:sz w:val="21"/>
        </w:rPr>
        <w:t>病情迅速恶化，有脓毒血症表现；</w:t>
      </w:r>
    </w:p>
    <w:p>
      <w:pPr>
        <w:pStyle w:val="10"/>
        <w:numPr>
          <w:ilvl w:val="3"/>
          <w:numId w:val="26"/>
        </w:numPr>
        <w:tabs>
          <w:tab w:val="left" w:pos="3915"/>
        </w:tabs>
        <w:spacing w:before="43" w:after="0" w:line="240" w:lineRule="auto"/>
        <w:ind w:left="3914" w:right="0" w:hanging="530"/>
        <w:jc w:val="left"/>
        <w:rPr>
          <w:sz w:val="21"/>
        </w:rPr>
      </w:pPr>
      <w:r>
        <w:rPr>
          <w:spacing w:val="-2"/>
          <w:sz w:val="21"/>
        </w:rPr>
        <w:t>受感染肢体被截肢（自腕关节或踝关节近端</w:t>
      </w:r>
      <w:r>
        <w:rPr>
          <w:spacing w:val="-108"/>
          <w:sz w:val="21"/>
        </w:rPr>
        <w:t>）</w:t>
      </w:r>
      <w:r>
        <w:rPr>
          <w:spacing w:val="-10"/>
          <w:sz w:val="21"/>
        </w:rPr>
        <w:t>。</w:t>
      </w:r>
    </w:p>
    <w:p>
      <w:pPr>
        <w:pStyle w:val="6"/>
        <w:spacing w:before="12"/>
        <w:rPr>
          <w:sz w:val="26"/>
        </w:rPr>
      </w:pPr>
    </w:p>
    <w:p>
      <w:pPr>
        <w:pStyle w:val="10"/>
        <w:numPr>
          <w:ilvl w:val="2"/>
          <w:numId w:val="26"/>
        </w:numPr>
        <w:tabs>
          <w:tab w:val="left" w:pos="1826"/>
        </w:tabs>
        <w:spacing w:before="0" w:after="0" w:line="273" w:lineRule="auto"/>
        <w:ind w:left="3421" w:right="406" w:hanging="2698"/>
        <w:jc w:val="both"/>
        <w:rPr>
          <w:sz w:val="21"/>
        </w:rPr>
      </w:pPr>
      <w:r>
        <w:rPr>
          <w:sz w:val="22"/>
        </w:rPr>
        <w:t>严重</w:t>
      </w:r>
      <w:r>
        <w:rPr>
          <w:spacing w:val="8"/>
          <w:sz w:val="22"/>
        </w:rPr>
        <w:t xml:space="preserve">面部烧伤 </w:t>
      </w:r>
      <w:r>
        <w:rPr>
          <w:sz w:val="21"/>
        </w:rPr>
        <w:t xml:space="preserve">指面部烧伤程度为Ⅲ度，且Ⅲ度烧伤的面积达到面部表面积的 80％或者 </w:t>
      </w:r>
      <w:r>
        <w:rPr>
          <w:spacing w:val="-2"/>
          <w:sz w:val="21"/>
        </w:rPr>
        <w:t>80％以上。</w:t>
      </w:r>
    </w:p>
    <w:p>
      <w:pPr>
        <w:pStyle w:val="6"/>
        <w:spacing w:before="6"/>
        <w:rPr>
          <w:sz w:val="18"/>
        </w:rPr>
      </w:pPr>
    </w:p>
    <w:p>
      <w:pPr>
        <w:spacing w:after="0"/>
        <w:rPr>
          <w:sz w:val="18"/>
        </w:rPr>
        <w:sectPr>
          <w:type w:val="continuous"/>
          <w:pgSz w:w="11910" w:h="16840"/>
          <w:pgMar w:top="280" w:right="660" w:bottom="280" w:left="580" w:header="0" w:footer="1060" w:gutter="0"/>
          <w:cols w:space="720" w:num="1"/>
        </w:sectPr>
      </w:pPr>
    </w:p>
    <w:p>
      <w:pPr>
        <w:pStyle w:val="10"/>
        <w:numPr>
          <w:ilvl w:val="2"/>
          <w:numId w:val="26"/>
        </w:numPr>
        <w:tabs>
          <w:tab w:val="left" w:pos="1825"/>
          <w:tab w:val="left" w:pos="1826"/>
        </w:tabs>
        <w:spacing w:before="72" w:after="0" w:line="262" w:lineRule="exact"/>
        <w:ind w:left="1825" w:right="0" w:hanging="1103"/>
        <w:jc w:val="left"/>
        <w:rPr>
          <w:sz w:val="22"/>
        </w:rPr>
      </w:pPr>
      <w:r>
        <w:rPr>
          <w:spacing w:val="14"/>
          <w:w w:val="95"/>
          <w:sz w:val="22"/>
        </w:rPr>
        <w:t>失去一肢及</w:t>
      </w:r>
      <w:r>
        <w:rPr>
          <w:spacing w:val="-10"/>
          <w:w w:val="95"/>
          <w:sz w:val="22"/>
        </w:rPr>
        <w:t>一</w:t>
      </w:r>
    </w:p>
    <w:p>
      <w:pPr>
        <w:pStyle w:val="3"/>
        <w:spacing w:before="47" w:line="184" w:lineRule="auto"/>
      </w:pPr>
      <w:r>
        <w:rPr>
          <w:rFonts w:hint="eastAsia" w:ascii="宋体" w:eastAsia="宋体"/>
          <w:b w:val="0"/>
          <w:spacing w:val="12"/>
          <w:w w:val="95"/>
        </w:rPr>
        <w:t>眼</w:t>
      </w:r>
      <w:r>
        <w:rPr>
          <w:spacing w:val="12"/>
          <w:w w:val="95"/>
        </w:rPr>
        <w:t>（三周岁</w:t>
      </w:r>
      <w:r>
        <w:rPr>
          <w:w w:val="95"/>
        </w:rPr>
        <w:t>以</w:t>
      </w:r>
      <w:r>
        <w:rPr>
          <w:spacing w:val="-4"/>
        </w:rPr>
        <w:t>上理赔）</w:t>
      </w:r>
    </w:p>
    <w:p>
      <w:pPr>
        <w:pStyle w:val="6"/>
        <w:spacing w:before="106" w:line="285" w:lineRule="auto"/>
        <w:ind w:left="174" w:right="417"/>
      </w:pPr>
      <w:r>
        <w:br w:type="column"/>
      </w:r>
      <w:r>
        <w:rPr>
          <w:spacing w:val="1"/>
          <w:w w:val="100"/>
        </w:rPr>
        <w:t>因疾病或受伤导致不可复原及永久性完全丧失一眼视力及任何一肢于腕骨</w:t>
      </w:r>
      <w:r>
        <w:rPr>
          <w:spacing w:val="-3"/>
          <w:w w:val="100"/>
        </w:rPr>
        <w:t>或踝骨部位或以上切断。</w:t>
      </w:r>
    </w:p>
    <w:p>
      <w:pPr>
        <w:pStyle w:val="6"/>
        <w:spacing w:line="267" w:lineRule="exact"/>
        <w:ind w:left="174"/>
      </w:pPr>
      <w:r>
        <w:rPr>
          <w:spacing w:val="-3"/>
        </w:rPr>
        <w:t>永久性完全丧失一眼视力需满足下列条件之一：</w:t>
      </w:r>
    </w:p>
    <w:p>
      <w:pPr>
        <w:pStyle w:val="10"/>
        <w:numPr>
          <w:ilvl w:val="0"/>
          <w:numId w:val="31"/>
        </w:numPr>
        <w:tabs>
          <w:tab w:val="left" w:pos="704"/>
        </w:tabs>
        <w:spacing w:before="28" w:after="0" w:line="240" w:lineRule="auto"/>
        <w:ind w:left="703" w:right="0" w:hanging="530"/>
        <w:jc w:val="left"/>
        <w:rPr>
          <w:sz w:val="21"/>
        </w:rPr>
      </w:pPr>
      <w:r>
        <w:rPr>
          <w:spacing w:val="-4"/>
          <w:sz w:val="21"/>
        </w:rPr>
        <w:t>眼球缺失或摘除；</w:t>
      </w:r>
    </w:p>
    <w:p>
      <w:pPr>
        <w:pStyle w:val="10"/>
        <w:numPr>
          <w:ilvl w:val="0"/>
          <w:numId w:val="31"/>
        </w:numPr>
        <w:tabs>
          <w:tab w:val="left" w:pos="704"/>
        </w:tabs>
        <w:spacing w:before="43" w:after="0" w:line="240" w:lineRule="auto"/>
        <w:ind w:left="703" w:right="0" w:hanging="530"/>
        <w:jc w:val="left"/>
        <w:rPr>
          <w:sz w:val="21"/>
        </w:rPr>
      </w:pPr>
      <w:r>
        <w:rPr>
          <w:spacing w:val="-8"/>
          <w:sz w:val="21"/>
        </w:rPr>
        <w:t xml:space="preserve">矫正视力低于 </w:t>
      </w:r>
      <w:r>
        <w:rPr>
          <w:spacing w:val="-2"/>
          <w:sz w:val="21"/>
        </w:rPr>
        <w:t>0.02（</w:t>
      </w:r>
      <w:r>
        <w:rPr>
          <w:spacing w:val="-3"/>
          <w:sz w:val="21"/>
        </w:rPr>
        <w:t>采用国际标准视力表，如果使用其它视力表应进</w:t>
      </w:r>
    </w:p>
    <w:p>
      <w:pPr>
        <w:spacing w:after="0" w:line="240" w:lineRule="auto"/>
        <w:jc w:val="left"/>
        <w:rPr>
          <w:sz w:val="21"/>
        </w:rPr>
        <w:sectPr>
          <w:type w:val="continuous"/>
          <w:pgSz w:w="11910" w:h="16840"/>
          <w:pgMar w:top="280" w:right="660" w:bottom="280" w:left="580" w:header="0" w:footer="1060" w:gutter="0"/>
          <w:cols w:equalWidth="0" w:num="2">
            <w:col w:w="3172" w:space="40"/>
            <w:col w:w="7458"/>
          </w:cols>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4" w:hRule="atLeast"/>
        </w:trPr>
        <w:tc>
          <w:tcPr>
            <w:tcW w:w="2605" w:type="dxa"/>
            <w:gridSpan w:val="2"/>
            <w:vMerge w:val="restart"/>
          </w:tcPr>
          <w:p>
            <w:pPr>
              <w:pStyle w:val="11"/>
              <w:rPr>
                <w:rFonts w:ascii="Times New Roman"/>
                <w:sz w:val="20"/>
              </w:rPr>
            </w:pPr>
          </w:p>
        </w:tc>
        <w:tc>
          <w:tcPr>
            <w:tcW w:w="7133" w:type="dxa"/>
          </w:tcPr>
          <w:p>
            <w:pPr>
              <w:pStyle w:val="11"/>
              <w:spacing w:line="231" w:lineRule="exact"/>
              <w:ind w:left="106"/>
              <w:rPr>
                <w:sz w:val="21"/>
              </w:rPr>
            </w:pPr>
            <w:r>
              <w:rPr>
                <w:spacing w:val="-2"/>
                <w:sz w:val="21"/>
              </w:rPr>
              <w:t>行换算</w:t>
            </w:r>
            <w:r>
              <w:rPr>
                <w:spacing w:val="-111"/>
                <w:sz w:val="21"/>
              </w:rPr>
              <w:t>）</w:t>
            </w:r>
            <w:r>
              <w:rPr>
                <w:spacing w:val="-5"/>
                <w:sz w:val="21"/>
              </w:rPr>
              <w:t>；</w:t>
            </w:r>
          </w:p>
          <w:p>
            <w:pPr>
              <w:pStyle w:val="11"/>
              <w:spacing w:before="43"/>
              <w:ind w:left="106"/>
              <w:rPr>
                <w:sz w:val="21"/>
              </w:rPr>
            </w:pPr>
            <w:r>
              <w:rPr>
                <w:spacing w:val="-2"/>
                <w:sz w:val="21"/>
              </w:rPr>
              <w:t>（3）</w:t>
            </w:r>
            <w:r>
              <w:rPr>
                <w:spacing w:val="-10"/>
                <w:sz w:val="21"/>
              </w:rPr>
              <w:t xml:space="preserve">视野半径小于 </w:t>
            </w:r>
            <w:r>
              <w:rPr>
                <w:spacing w:val="-2"/>
                <w:sz w:val="21"/>
              </w:rPr>
              <w:t>5</w:t>
            </w:r>
            <w:r>
              <w:rPr>
                <w:spacing w:val="-20"/>
                <w:sz w:val="21"/>
              </w:rPr>
              <w:t xml:space="preserve"> 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133" w:type="dxa"/>
          </w:tcPr>
          <w:p>
            <w:pPr>
              <w:pStyle w:val="11"/>
              <w:spacing w:line="292" w:lineRule="exact"/>
              <w:ind w:left="106"/>
              <w:rPr>
                <w:rFonts w:ascii="微软雅黑" w:eastAsia="微软雅黑"/>
                <w:b/>
                <w:sz w:val="21"/>
              </w:rPr>
            </w:pPr>
            <w:r>
              <w:rPr>
                <w:rFonts w:ascii="微软雅黑" w:eastAsia="微软雅黑"/>
                <w:b/>
                <w:spacing w:val="-8"/>
                <w:sz w:val="21"/>
              </w:rPr>
              <w:t>被保险人申请理赔时年龄必须在三周岁以上，并且提供理赔当时的视力丧失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2605" w:type="dxa"/>
            <w:gridSpan w:val="2"/>
            <w:vMerge w:val="continue"/>
            <w:tcBorders>
              <w:top w:val="nil"/>
            </w:tcBorders>
          </w:tcPr>
          <w:p>
            <w:pPr>
              <w:rPr>
                <w:sz w:val="2"/>
                <w:szCs w:val="2"/>
              </w:rPr>
            </w:pPr>
          </w:p>
        </w:tc>
        <w:tc>
          <w:tcPr>
            <w:tcW w:w="7133" w:type="dxa"/>
          </w:tcPr>
          <w:p>
            <w:pPr>
              <w:pStyle w:val="11"/>
              <w:spacing w:line="332" w:lineRule="exact"/>
              <w:ind w:left="106"/>
              <w:rPr>
                <w:rFonts w:ascii="微软雅黑" w:eastAsia="微软雅黑"/>
                <w:b/>
                <w:sz w:val="21"/>
              </w:rPr>
            </w:pPr>
            <w:r>
              <w:rPr>
                <w:rFonts w:ascii="微软雅黑" w:eastAsia="微软雅黑"/>
                <w:b/>
                <w:spacing w:val="-2"/>
                <w:sz w:val="21"/>
              </w:rPr>
              <w:t>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63"/>
              <w:ind w:left="50"/>
              <w:rPr>
                <w:sz w:val="22"/>
              </w:rPr>
            </w:pPr>
            <w:r>
              <w:rPr>
                <w:spacing w:val="-2"/>
                <w:sz w:val="22"/>
              </w:rPr>
              <w:t>8.1.90</w:t>
            </w:r>
          </w:p>
        </w:tc>
        <w:tc>
          <w:tcPr>
            <w:tcW w:w="1687" w:type="dxa"/>
          </w:tcPr>
          <w:p>
            <w:pPr>
              <w:pStyle w:val="11"/>
              <w:spacing w:before="135" w:line="310" w:lineRule="atLeast"/>
              <w:ind w:left="233" w:right="105"/>
              <w:rPr>
                <w:sz w:val="22"/>
              </w:rPr>
            </w:pPr>
            <w:r>
              <w:rPr>
                <w:spacing w:val="10"/>
                <w:w w:val="95"/>
                <w:sz w:val="22"/>
              </w:rPr>
              <w:t>溶血性链球菌</w:t>
            </w:r>
            <w:r>
              <w:rPr>
                <w:spacing w:val="-2"/>
                <w:sz w:val="22"/>
              </w:rPr>
              <w:t>引起的坏疽</w:t>
            </w:r>
          </w:p>
        </w:tc>
        <w:tc>
          <w:tcPr>
            <w:tcW w:w="7133" w:type="dxa"/>
          </w:tcPr>
          <w:p>
            <w:pPr>
              <w:pStyle w:val="11"/>
              <w:spacing w:before="133" w:line="312" w:lineRule="exact"/>
              <w:ind w:left="106" w:right="154"/>
              <w:rPr>
                <w:rFonts w:ascii="微软雅黑" w:eastAsia="微软雅黑"/>
                <w:b/>
                <w:sz w:val="21"/>
              </w:rPr>
            </w:pPr>
            <w:r>
              <w:rPr>
                <w:spacing w:val="-2"/>
                <w:sz w:val="21"/>
              </w:rPr>
              <w:t>包围肢体或躯干的浅筋膜和/或深筋膜受到溶血性链球菌的感染，病情在短</w:t>
            </w:r>
            <w:r>
              <w:rPr>
                <w:spacing w:val="-4"/>
                <w:sz w:val="21"/>
              </w:rPr>
              <w:t>时间内急剧恶化，必须立刻进行手术及清创术。</w:t>
            </w:r>
            <w:r>
              <w:rPr>
                <w:rFonts w:ascii="微软雅黑" w:eastAsia="微软雅黑"/>
                <w:b/>
                <w:spacing w:val="-5"/>
                <w:sz w:val="21"/>
              </w:rPr>
              <w:t>最后的诊断必须由微生物或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line="332" w:lineRule="exact"/>
              <w:ind w:left="106"/>
              <w:rPr>
                <w:rFonts w:ascii="微软雅黑" w:eastAsia="微软雅黑"/>
                <w:b/>
                <w:sz w:val="21"/>
              </w:rPr>
            </w:pPr>
            <w:r>
              <w:rPr>
                <w:rFonts w:ascii="微软雅黑" w:eastAsia="微软雅黑"/>
                <w:b/>
                <w:spacing w:val="-3"/>
                <w:sz w:val="21"/>
              </w:rPr>
              <w:t>病理学专家进行相关检查后证实。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63"/>
              <w:ind w:left="50"/>
              <w:rPr>
                <w:sz w:val="22"/>
              </w:rPr>
            </w:pPr>
            <w:r>
              <w:rPr>
                <w:spacing w:val="-2"/>
                <w:sz w:val="22"/>
              </w:rPr>
              <w:t>8.1.91</w:t>
            </w:r>
          </w:p>
        </w:tc>
        <w:tc>
          <w:tcPr>
            <w:tcW w:w="1687" w:type="dxa"/>
          </w:tcPr>
          <w:p>
            <w:pPr>
              <w:pStyle w:val="11"/>
              <w:spacing w:before="135" w:line="310" w:lineRule="atLeast"/>
              <w:ind w:left="233" w:right="105"/>
              <w:rPr>
                <w:sz w:val="22"/>
              </w:rPr>
            </w:pPr>
            <w:r>
              <w:rPr>
                <w:spacing w:val="10"/>
                <w:w w:val="95"/>
                <w:sz w:val="22"/>
              </w:rPr>
              <w:t>多处臂丛神经</w:t>
            </w:r>
            <w:r>
              <w:rPr>
                <w:spacing w:val="-4"/>
                <w:sz w:val="22"/>
              </w:rPr>
              <w:t>根性撕脱</w:t>
            </w:r>
          </w:p>
        </w:tc>
        <w:tc>
          <w:tcPr>
            <w:tcW w:w="7133" w:type="dxa"/>
          </w:tcPr>
          <w:p>
            <w:pPr>
              <w:pStyle w:val="11"/>
              <w:spacing w:before="133" w:line="312" w:lineRule="exact"/>
              <w:ind w:left="106" w:right="72"/>
              <w:rPr>
                <w:rFonts w:ascii="微软雅黑" w:eastAsia="微软雅黑"/>
                <w:b/>
                <w:sz w:val="21"/>
              </w:rPr>
            </w:pPr>
            <w:r>
              <w:rPr>
                <w:spacing w:val="-5"/>
                <w:sz w:val="21"/>
              </w:rPr>
              <w:t>由于疾病或意外导致至少两根臂丛神经根性撕脱，所造成的手臂感觉功能与</w:t>
            </w:r>
            <w:r>
              <w:rPr>
                <w:spacing w:val="-2"/>
                <w:sz w:val="21"/>
              </w:rPr>
              <w:t>运动功能完全永久性丧失。</w:t>
            </w:r>
            <w:r>
              <w:rPr>
                <w:rFonts w:ascii="微软雅黑" w:eastAsia="微软雅黑"/>
                <w:b/>
                <w:spacing w:val="-3"/>
                <w:sz w:val="21"/>
              </w:rPr>
              <w:t>该病必须由本公司认可的医院的专科医生确诊，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line="332" w:lineRule="exact"/>
              <w:ind w:left="106"/>
              <w:rPr>
                <w:rFonts w:ascii="微软雅黑" w:eastAsia="微软雅黑"/>
                <w:b/>
                <w:sz w:val="21"/>
              </w:rPr>
            </w:pPr>
            <w:r>
              <w:rPr>
                <w:rFonts w:ascii="微软雅黑" w:eastAsia="微软雅黑"/>
                <w:b/>
                <w:spacing w:val="-3"/>
                <w:sz w:val="21"/>
              </w:rPr>
              <w:t>并且有电生理检查结果证实。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6" w:hRule="atLeast"/>
        </w:trPr>
        <w:tc>
          <w:tcPr>
            <w:tcW w:w="918" w:type="dxa"/>
          </w:tcPr>
          <w:p>
            <w:pPr>
              <w:pStyle w:val="11"/>
              <w:spacing w:before="163"/>
              <w:ind w:left="50"/>
              <w:rPr>
                <w:sz w:val="22"/>
              </w:rPr>
            </w:pPr>
            <w:r>
              <w:rPr>
                <w:spacing w:val="-2"/>
                <w:sz w:val="22"/>
              </w:rPr>
              <w:t>8.1.92</w:t>
            </w:r>
          </w:p>
        </w:tc>
        <w:tc>
          <w:tcPr>
            <w:tcW w:w="1687" w:type="dxa"/>
          </w:tcPr>
          <w:p>
            <w:pPr>
              <w:pStyle w:val="11"/>
              <w:spacing w:before="135" w:line="310" w:lineRule="atLeast"/>
              <w:ind w:left="233" w:right="105"/>
              <w:rPr>
                <w:sz w:val="22"/>
              </w:rPr>
            </w:pPr>
            <w:r>
              <w:rPr>
                <w:spacing w:val="10"/>
                <w:w w:val="95"/>
                <w:sz w:val="22"/>
              </w:rPr>
              <w:t>湿性年龄相关</w:t>
            </w:r>
            <w:r>
              <w:rPr>
                <w:spacing w:val="-2"/>
                <w:sz w:val="22"/>
              </w:rPr>
              <w:t>性黄斑变性</w:t>
            </w:r>
          </w:p>
        </w:tc>
        <w:tc>
          <w:tcPr>
            <w:tcW w:w="7133" w:type="dxa"/>
          </w:tcPr>
          <w:p>
            <w:pPr>
              <w:pStyle w:val="11"/>
              <w:spacing w:before="132" w:line="310" w:lineRule="atLeast"/>
              <w:ind w:left="106" w:right="151"/>
              <w:rPr>
                <w:sz w:val="21"/>
              </w:rPr>
            </w:pPr>
            <w:r>
              <w:rPr>
                <w:spacing w:val="-2"/>
                <w:sz w:val="21"/>
              </w:rPr>
              <w:t>指新生血管性年龄相关性黄斑变性或“渗出性”年龄相关性黄斑变性，发生</w:t>
            </w:r>
            <w:r>
              <w:rPr>
                <w:sz w:val="21"/>
              </w:rPr>
              <w:t>脉络膜新生血管（CNV）</w:t>
            </w:r>
            <w:r>
              <w:rPr>
                <w:spacing w:val="-1"/>
                <w:sz w:val="21"/>
              </w:rPr>
              <w:t>异常生长穿透玻璃膜进入视网膜，新生血管渗漏，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1"/>
                <w:sz w:val="21"/>
              </w:rPr>
              <w:t>渗出及出血。该病必须由荧光素眼底血管造影检查提示黄斑区新生血管形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5"/>
                <w:sz w:val="21"/>
              </w:rPr>
              <w:t>成，并且必须由医院的眼科专科医生确诊为湿性年龄相关性黄斑变性，并且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z w:val="21"/>
              </w:rPr>
              <w:t>双眼中较好眼矫正视力低于 0.02（</w:t>
            </w:r>
            <w:r>
              <w:rPr>
                <w:spacing w:val="-1"/>
                <w:sz w:val="21"/>
              </w:rPr>
              <w:t>采用国际标准视力表，如果使用其他视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力表应进行换算</w:t>
            </w:r>
            <w:r>
              <w:rPr>
                <w:spacing w:val="-106"/>
                <w:sz w:val="21"/>
              </w:rPr>
              <w:t>）</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line="292" w:lineRule="exact"/>
              <w:ind w:left="106"/>
              <w:rPr>
                <w:rFonts w:ascii="微软雅黑" w:eastAsia="微软雅黑"/>
                <w:b/>
                <w:sz w:val="21"/>
              </w:rPr>
            </w:pPr>
            <w:r>
              <w:rPr>
                <w:rFonts w:ascii="微软雅黑" w:eastAsia="微软雅黑"/>
                <w:b/>
                <w:spacing w:val="2"/>
                <w:sz w:val="21"/>
              </w:rPr>
              <w:t xml:space="preserve">被保险人申请理赔时须提供近 </w:t>
            </w:r>
            <w:r>
              <w:rPr>
                <w:rFonts w:ascii="微软雅黑" w:eastAsia="微软雅黑"/>
                <w:b/>
                <w:sz w:val="21"/>
              </w:rPr>
              <w:t>3</w:t>
            </w:r>
            <w:r>
              <w:rPr>
                <w:rFonts w:ascii="微软雅黑" w:eastAsia="微软雅黑"/>
                <w:b/>
                <w:spacing w:val="-1"/>
                <w:sz w:val="21"/>
              </w:rPr>
              <w:t xml:space="preserve"> 个月内视力改变显示病情恶化的相关检查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line="332" w:lineRule="exact"/>
              <w:ind w:left="106"/>
              <w:rPr>
                <w:rFonts w:ascii="微软雅黑" w:eastAsia="微软雅黑"/>
                <w:b/>
                <w:sz w:val="21"/>
              </w:rPr>
            </w:pPr>
            <w:r>
              <w:rPr>
                <w:rFonts w:ascii="微软雅黑" w:eastAsia="微软雅黑"/>
                <w:b/>
                <w:spacing w:val="-3"/>
                <w:sz w:val="21"/>
              </w:rPr>
              <w:t>报告、诊断证明及病历报告。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63"/>
              <w:ind w:left="50"/>
              <w:rPr>
                <w:sz w:val="22"/>
              </w:rPr>
            </w:pPr>
            <w:r>
              <w:rPr>
                <w:spacing w:val="-2"/>
                <w:sz w:val="22"/>
              </w:rPr>
              <w:t>8.1.93</w:t>
            </w:r>
          </w:p>
        </w:tc>
        <w:tc>
          <w:tcPr>
            <w:tcW w:w="1687" w:type="dxa"/>
          </w:tcPr>
          <w:p>
            <w:pPr>
              <w:pStyle w:val="11"/>
              <w:spacing w:before="135" w:line="310" w:lineRule="atLeast"/>
              <w:ind w:left="233" w:right="105"/>
              <w:rPr>
                <w:sz w:val="22"/>
              </w:rPr>
            </w:pPr>
            <w:r>
              <w:rPr>
                <w:spacing w:val="10"/>
                <w:w w:val="95"/>
                <w:sz w:val="22"/>
              </w:rPr>
              <w:t>严重巨细胞动</w:t>
            </w:r>
            <w:r>
              <w:rPr>
                <w:spacing w:val="-6"/>
                <w:sz w:val="22"/>
              </w:rPr>
              <w:t>脉炎</w:t>
            </w:r>
          </w:p>
        </w:tc>
        <w:tc>
          <w:tcPr>
            <w:tcW w:w="7133" w:type="dxa"/>
          </w:tcPr>
          <w:p>
            <w:pPr>
              <w:pStyle w:val="11"/>
              <w:spacing w:before="132" w:line="310" w:lineRule="atLeast"/>
              <w:ind w:left="106" w:right="151"/>
              <w:rPr>
                <w:sz w:val="21"/>
              </w:rPr>
            </w:pPr>
            <w:r>
              <w:rPr>
                <w:spacing w:val="-2"/>
                <w:sz w:val="21"/>
              </w:rPr>
              <w:t>巨细胞动脉炎又称颅动脉炎、颞动脉炎、肉芽肿性动脉炎，须经我们指定医</w:t>
            </w:r>
            <w:r>
              <w:rPr>
                <w:spacing w:val="-9"/>
                <w:sz w:val="21"/>
              </w:rPr>
              <w:t>院的专科医师明确诊断，并造成永久不可逆性的单个肢体机能丧失或单眼失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16"/>
                <w:sz w:val="21"/>
              </w:rPr>
              <w:t>明。单眼失明指单眼视力永久不可逆性丧失，患眼须满足下列至少一项条件：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（1）</w:t>
            </w:r>
            <w:r>
              <w:rPr>
                <w:spacing w:val="-3"/>
                <w:sz w:val="21"/>
              </w:rPr>
              <w:t>眼球缺失或者摘除；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（2）</w:t>
            </w:r>
            <w:r>
              <w:rPr>
                <w:spacing w:val="-8"/>
                <w:sz w:val="21"/>
              </w:rPr>
              <w:t xml:space="preserve">矫正视力低于 </w:t>
            </w:r>
            <w:r>
              <w:rPr>
                <w:spacing w:val="-2"/>
                <w:sz w:val="21"/>
              </w:rPr>
              <w:t>0.02（</w:t>
            </w:r>
            <w:r>
              <w:rPr>
                <w:spacing w:val="-3"/>
                <w:sz w:val="21"/>
              </w:rPr>
              <w:t>采用国际标准视力表，如果使用其它视力表应进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行换算</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（3）</w:t>
            </w:r>
            <w:r>
              <w:rPr>
                <w:spacing w:val="-10"/>
                <w:sz w:val="21"/>
              </w:rPr>
              <w:t xml:space="preserve">视野半径小于 </w:t>
            </w:r>
            <w:r>
              <w:rPr>
                <w:spacing w:val="-2"/>
                <w:sz w:val="21"/>
              </w:rPr>
              <w:t>5</w:t>
            </w:r>
            <w:r>
              <w:rPr>
                <w:spacing w:val="-20"/>
                <w:sz w:val="21"/>
              </w:rPr>
              <w:t xml:space="preserve"> 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63"/>
              <w:ind w:left="50"/>
              <w:rPr>
                <w:sz w:val="22"/>
              </w:rPr>
            </w:pPr>
            <w:r>
              <w:rPr>
                <w:spacing w:val="-2"/>
                <w:sz w:val="22"/>
              </w:rPr>
              <w:t>8.1.94</w:t>
            </w:r>
          </w:p>
        </w:tc>
        <w:tc>
          <w:tcPr>
            <w:tcW w:w="1687" w:type="dxa"/>
          </w:tcPr>
          <w:p>
            <w:pPr>
              <w:pStyle w:val="11"/>
              <w:spacing w:before="135" w:line="310" w:lineRule="atLeast"/>
              <w:ind w:left="233" w:right="105"/>
              <w:rPr>
                <w:sz w:val="22"/>
              </w:rPr>
            </w:pPr>
            <w:r>
              <w:rPr>
                <w:spacing w:val="10"/>
                <w:w w:val="95"/>
                <w:sz w:val="22"/>
              </w:rPr>
              <w:t>严重Ⅲ度冻伤</w:t>
            </w:r>
            <w:r>
              <w:rPr>
                <w:spacing w:val="-4"/>
                <w:sz w:val="22"/>
              </w:rPr>
              <w:t>导致截肢</w:t>
            </w:r>
          </w:p>
        </w:tc>
        <w:tc>
          <w:tcPr>
            <w:tcW w:w="7133" w:type="dxa"/>
          </w:tcPr>
          <w:p>
            <w:pPr>
              <w:pStyle w:val="11"/>
              <w:spacing w:before="132" w:line="310" w:lineRule="atLeast"/>
              <w:ind w:left="106" w:right="151"/>
              <w:rPr>
                <w:sz w:val="21"/>
              </w:rPr>
            </w:pPr>
            <w:r>
              <w:rPr>
                <w:spacing w:val="1"/>
                <w:w w:val="100"/>
                <w:sz w:val="21"/>
              </w:rPr>
              <w:t>冻伤是由于寒冷潮湿作用引起的人体局部或全身损伤。指冻伤程度达到Ⅲ</w:t>
            </w:r>
            <w:r>
              <w:rPr>
                <w:spacing w:val="-7"/>
                <w:w w:val="100"/>
                <w:sz w:val="21"/>
              </w:rPr>
              <w:t>度，且导致一个或一个以上肢体自腕关节或踝关节近端</w:t>
            </w:r>
            <w:r>
              <w:rPr>
                <w:spacing w:val="-3"/>
                <w:w w:val="100"/>
                <w:sz w:val="21"/>
              </w:rPr>
              <w:t>（靠近躯干端</w:t>
            </w:r>
            <w:r>
              <w:rPr>
                <w:spacing w:val="-25"/>
                <w:w w:val="100"/>
                <w:sz w:val="21"/>
              </w:rPr>
              <w:t>）</w:t>
            </w:r>
            <w:r>
              <w:rPr>
                <w:w w:val="100"/>
                <w:sz w:val="21"/>
              </w:rPr>
              <w:t>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4"/>
                <w:sz w:val="21"/>
              </w:rPr>
              <w:t>完全性断离。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63"/>
              <w:ind w:left="50"/>
              <w:rPr>
                <w:sz w:val="22"/>
              </w:rPr>
            </w:pPr>
            <w:r>
              <w:rPr>
                <w:spacing w:val="-2"/>
                <w:sz w:val="22"/>
              </w:rPr>
              <w:t>8.1.95</w:t>
            </w:r>
          </w:p>
        </w:tc>
        <w:tc>
          <w:tcPr>
            <w:tcW w:w="1687" w:type="dxa"/>
          </w:tcPr>
          <w:p>
            <w:pPr>
              <w:pStyle w:val="11"/>
              <w:spacing w:before="163"/>
              <w:ind w:left="233"/>
              <w:rPr>
                <w:sz w:val="22"/>
              </w:rPr>
            </w:pPr>
            <w:r>
              <w:rPr>
                <w:w w:val="95"/>
                <w:sz w:val="22"/>
              </w:rPr>
              <w:t>1</w:t>
            </w:r>
            <w:r>
              <w:rPr>
                <w:spacing w:val="-16"/>
                <w:w w:val="95"/>
                <w:sz w:val="22"/>
              </w:rPr>
              <w:t xml:space="preserve"> 型糖</w:t>
            </w:r>
            <w:r>
              <w:rPr>
                <w:w w:val="95"/>
                <w:sz w:val="22"/>
              </w:rPr>
              <w:t>尿</w:t>
            </w:r>
            <w:r>
              <w:rPr>
                <w:spacing w:val="-10"/>
                <w:w w:val="95"/>
                <w:sz w:val="22"/>
              </w:rPr>
              <w:t>病</w:t>
            </w:r>
          </w:p>
        </w:tc>
        <w:tc>
          <w:tcPr>
            <w:tcW w:w="7133" w:type="dxa"/>
          </w:tcPr>
          <w:p>
            <w:pPr>
              <w:pStyle w:val="11"/>
              <w:spacing w:before="173"/>
              <w:ind w:left="106"/>
              <w:rPr>
                <w:sz w:val="21"/>
              </w:rPr>
            </w:pPr>
            <w:r>
              <w:rPr>
                <w:spacing w:val="-2"/>
                <w:sz w:val="21"/>
              </w:rPr>
              <w:t>1</w:t>
            </w:r>
            <w:r>
              <w:rPr>
                <w:spacing w:val="-10"/>
                <w:sz w:val="21"/>
              </w:rPr>
              <w:t xml:space="preserve"> 型糖尿病的特征为由于胰岛素分泌绝对不足引起严重胰岛素缺乏导致慢性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1"/>
              <w:ind w:left="106"/>
              <w:rPr>
                <w:sz w:val="21"/>
              </w:rPr>
            </w:pPr>
            <w:r>
              <w:rPr>
                <w:spacing w:val="-5"/>
                <w:sz w:val="21"/>
              </w:rPr>
              <w:t>血糖升高，需要依赖外源性胰岛素进行机体的葡萄糖代谢和维持生命。被保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14"/>
                <w:sz w:val="21"/>
              </w:rPr>
              <w:t xml:space="preserve">险人的 </w:t>
            </w:r>
            <w:r>
              <w:rPr>
                <w:spacing w:val="-2"/>
                <w:sz w:val="21"/>
              </w:rPr>
              <w:t>1</w:t>
            </w:r>
            <w:r>
              <w:rPr>
                <w:spacing w:val="-16"/>
                <w:sz w:val="21"/>
              </w:rPr>
              <w:t xml:space="preserve"> 型糖尿病必须明确诊断，而且有血胰岛素测定及血 </w:t>
            </w:r>
            <w:r>
              <w:rPr>
                <w:spacing w:val="-2"/>
                <w:sz w:val="21"/>
              </w:rPr>
              <w:t>C</w:t>
            </w:r>
            <w:r>
              <w:rPr>
                <w:spacing w:val="-22"/>
                <w:sz w:val="21"/>
              </w:rPr>
              <w:t xml:space="preserve"> 肽或尿 </w:t>
            </w:r>
            <w:r>
              <w:rPr>
                <w:spacing w:val="-2"/>
                <w:sz w:val="21"/>
              </w:rPr>
              <w:t>C</w:t>
            </w:r>
            <w:r>
              <w:rPr>
                <w:spacing w:val="-21"/>
                <w:sz w:val="21"/>
              </w:rPr>
              <w:t xml:space="preserve"> 肽测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3"/>
                <w:sz w:val="21"/>
              </w:rPr>
              <w:t>定结果支持诊断，并且满足下列全部条件：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（1）</w:t>
            </w:r>
            <w:r>
              <w:rPr>
                <w:spacing w:val="-5"/>
                <w:sz w:val="21"/>
              </w:rPr>
              <w:t xml:space="preserve">已经持续性地接受外源性胰岛素注射治疗连续 </w:t>
            </w:r>
            <w:r>
              <w:rPr>
                <w:spacing w:val="-2"/>
                <w:sz w:val="21"/>
              </w:rPr>
              <w:t>180</w:t>
            </w:r>
            <w:r>
              <w:rPr>
                <w:spacing w:val="-13"/>
                <w:sz w:val="21"/>
              </w:rPr>
              <w:t xml:space="preserve"> 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12"/>
              <w:ind w:left="106"/>
              <w:rPr>
                <w:sz w:val="21"/>
              </w:rPr>
            </w:pPr>
            <w:r>
              <w:rPr>
                <w:spacing w:val="-2"/>
                <w:sz w:val="21"/>
              </w:rPr>
              <w:t>（2）</w:t>
            </w:r>
            <w:r>
              <w:rPr>
                <w:spacing w:val="-3"/>
                <w:sz w:val="21"/>
              </w:rPr>
              <w:t>因需要已经接受了下列治疗：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numPr>
                <w:ilvl w:val="0"/>
                <w:numId w:val="32"/>
              </w:numPr>
              <w:tabs>
                <w:tab w:val="left" w:pos="425"/>
              </w:tabs>
              <w:spacing w:before="12" w:after="0" w:line="240" w:lineRule="auto"/>
              <w:ind w:left="424" w:right="0" w:hanging="319"/>
              <w:jc w:val="left"/>
              <w:rPr>
                <w:sz w:val="21"/>
              </w:rPr>
            </w:pPr>
            <w:r>
              <w:rPr>
                <w:spacing w:val="-3"/>
                <w:sz w:val="21"/>
              </w:rPr>
              <w:t>因严重心律失常植入了心脏起搏器；或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numPr>
                <w:ilvl w:val="0"/>
                <w:numId w:val="33"/>
              </w:numPr>
              <w:tabs>
                <w:tab w:val="left" w:pos="425"/>
              </w:tabs>
              <w:spacing w:before="12" w:after="0" w:line="240" w:lineRule="auto"/>
              <w:ind w:left="424" w:right="0" w:hanging="319"/>
              <w:jc w:val="left"/>
              <w:rPr>
                <w:sz w:val="21"/>
              </w:rPr>
            </w:pPr>
            <w:r>
              <w:rPr>
                <w:spacing w:val="-3"/>
                <w:sz w:val="21"/>
              </w:rPr>
              <w:t>因坏疽自跖趾关节或以上切除了一趾或多趾。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4" w:hRule="atLeast"/>
        </w:trPr>
        <w:tc>
          <w:tcPr>
            <w:tcW w:w="918" w:type="dxa"/>
          </w:tcPr>
          <w:p>
            <w:pPr>
              <w:pStyle w:val="11"/>
              <w:spacing w:before="163" w:line="241" w:lineRule="exact"/>
              <w:ind w:left="50"/>
              <w:rPr>
                <w:sz w:val="22"/>
              </w:rPr>
            </w:pPr>
            <w:r>
              <w:rPr>
                <w:spacing w:val="-2"/>
                <w:sz w:val="22"/>
              </w:rPr>
              <w:t>8.1.96</w:t>
            </w:r>
          </w:p>
        </w:tc>
        <w:tc>
          <w:tcPr>
            <w:tcW w:w="1687" w:type="dxa"/>
          </w:tcPr>
          <w:p>
            <w:pPr>
              <w:pStyle w:val="11"/>
              <w:spacing w:before="163" w:line="241" w:lineRule="exact"/>
              <w:ind w:left="233"/>
              <w:rPr>
                <w:sz w:val="22"/>
              </w:rPr>
            </w:pPr>
            <w:r>
              <w:rPr>
                <w:spacing w:val="10"/>
                <w:w w:val="95"/>
                <w:sz w:val="22"/>
              </w:rPr>
              <w:t>慢性复发性胰</w:t>
            </w:r>
          </w:p>
        </w:tc>
        <w:tc>
          <w:tcPr>
            <w:tcW w:w="7133" w:type="dxa"/>
          </w:tcPr>
          <w:p>
            <w:pPr>
              <w:pStyle w:val="11"/>
              <w:spacing w:before="173" w:line="231" w:lineRule="exact"/>
              <w:ind w:left="106"/>
              <w:rPr>
                <w:sz w:val="21"/>
              </w:rPr>
            </w:pPr>
            <w:r>
              <w:rPr>
                <w:spacing w:val="-5"/>
                <w:sz w:val="21"/>
              </w:rPr>
              <w:t>指慢性反复发作的胰腺炎症导致胰腺的广泛纤维化、坏死、弥漫性钙化及假</w:t>
            </w:r>
          </w:p>
        </w:tc>
      </w:tr>
    </w:tbl>
    <w:p>
      <w:pPr>
        <w:spacing w:after="0" w:line="231" w:lineRule="exact"/>
        <w:rPr>
          <w:sz w:val="21"/>
        </w:rPr>
        <w:sectPr>
          <w:pgSz w:w="11910" w:h="16840"/>
          <w:pgMar w:top="1540" w:right="660" w:bottom="1543"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0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918" w:type="dxa"/>
            <w:vMerge w:val="restart"/>
          </w:tcPr>
          <w:p>
            <w:pPr>
              <w:pStyle w:val="11"/>
              <w:rPr>
                <w:rFonts w:ascii="Times New Roman"/>
                <w:sz w:val="20"/>
              </w:rPr>
            </w:pPr>
          </w:p>
        </w:tc>
        <w:tc>
          <w:tcPr>
            <w:tcW w:w="1687" w:type="dxa"/>
          </w:tcPr>
          <w:p>
            <w:pPr>
              <w:pStyle w:val="11"/>
              <w:spacing w:line="252" w:lineRule="exact"/>
              <w:ind w:left="233"/>
              <w:rPr>
                <w:sz w:val="22"/>
              </w:rPr>
            </w:pPr>
            <w:r>
              <w:rPr>
                <w:w w:val="95"/>
                <w:sz w:val="22"/>
              </w:rPr>
              <w:t>腺</w:t>
            </w:r>
            <w:r>
              <w:rPr>
                <w:spacing w:val="-10"/>
                <w:sz w:val="22"/>
              </w:rPr>
              <w:t>炎</w:t>
            </w:r>
          </w:p>
        </w:tc>
        <w:tc>
          <w:tcPr>
            <w:tcW w:w="7030" w:type="dxa"/>
          </w:tcPr>
          <w:p>
            <w:pPr>
              <w:pStyle w:val="11"/>
              <w:spacing w:line="250" w:lineRule="exact"/>
              <w:ind w:left="106"/>
              <w:rPr>
                <w:sz w:val="21"/>
              </w:rPr>
            </w:pPr>
            <w:r>
              <w:rPr>
                <w:spacing w:val="-5"/>
                <w:sz w:val="21"/>
              </w:rPr>
              <w:t>性囊肿形成，造成胰腺功能障碍出现严重糖尿病和营养不良。必须满足以下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vMerge w:val="continue"/>
            <w:tcBorders>
              <w:top w:val="nil"/>
            </w:tcBorders>
          </w:tcPr>
          <w:p>
            <w:pPr>
              <w:rPr>
                <w:sz w:val="2"/>
                <w:szCs w:val="2"/>
              </w:rPr>
            </w:pPr>
          </w:p>
        </w:tc>
        <w:tc>
          <w:tcPr>
            <w:tcW w:w="1687" w:type="dxa"/>
          </w:tcPr>
          <w:p>
            <w:pPr>
              <w:pStyle w:val="11"/>
              <w:rPr>
                <w:rFonts w:ascii="Times New Roman"/>
                <w:sz w:val="20"/>
              </w:rPr>
            </w:pPr>
          </w:p>
        </w:tc>
        <w:tc>
          <w:tcPr>
            <w:tcW w:w="7030" w:type="dxa"/>
          </w:tcPr>
          <w:p>
            <w:pPr>
              <w:pStyle w:val="11"/>
              <w:spacing w:before="21"/>
              <w:ind w:left="106"/>
              <w:rPr>
                <w:sz w:val="21"/>
              </w:rPr>
            </w:pPr>
            <w:r>
              <w:rPr>
                <w:spacing w:val="-4"/>
                <w:sz w:val="21"/>
              </w:rPr>
              <w:t>所有条件：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vMerge w:val="continue"/>
            <w:tcBorders>
              <w:top w:val="nil"/>
            </w:tcBorders>
          </w:tcPr>
          <w:p>
            <w:pPr>
              <w:rPr>
                <w:sz w:val="2"/>
                <w:szCs w:val="2"/>
              </w:rPr>
            </w:pPr>
          </w:p>
        </w:tc>
        <w:tc>
          <w:tcPr>
            <w:tcW w:w="1687" w:type="dxa"/>
          </w:tcPr>
          <w:p>
            <w:pPr>
              <w:pStyle w:val="11"/>
              <w:rPr>
                <w:rFonts w:ascii="Times New Roman"/>
                <w:sz w:val="20"/>
              </w:rPr>
            </w:pPr>
          </w:p>
        </w:tc>
        <w:tc>
          <w:tcPr>
            <w:tcW w:w="7030" w:type="dxa"/>
          </w:tcPr>
          <w:p>
            <w:pPr>
              <w:pStyle w:val="11"/>
              <w:spacing w:before="22"/>
              <w:ind w:left="106"/>
              <w:rPr>
                <w:sz w:val="21"/>
              </w:rPr>
            </w:pPr>
            <w:r>
              <w:rPr>
                <w:spacing w:val="-2"/>
                <w:sz w:val="21"/>
              </w:rPr>
              <w:t>（1）CT</w:t>
            </w:r>
            <w:r>
              <w:rPr>
                <w:spacing w:val="-9"/>
                <w:sz w:val="21"/>
              </w:rPr>
              <w:t xml:space="preserve"> 显示胰腺广泛钙化或逆行胰胆管造影</w:t>
            </w:r>
            <w:r>
              <w:rPr>
                <w:spacing w:val="-2"/>
                <w:sz w:val="21"/>
              </w:rPr>
              <w:t>（ERCP）</w:t>
            </w:r>
            <w:r>
              <w:rPr>
                <w:spacing w:val="-3"/>
                <w:sz w:val="21"/>
              </w:rPr>
              <w:t>显示胰管扭曲、扩张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vMerge w:val="continue"/>
            <w:tcBorders>
              <w:top w:val="nil"/>
            </w:tcBorders>
          </w:tcPr>
          <w:p>
            <w:pPr>
              <w:rPr>
                <w:sz w:val="2"/>
                <w:szCs w:val="2"/>
              </w:rPr>
            </w:pPr>
          </w:p>
        </w:tc>
        <w:tc>
          <w:tcPr>
            <w:tcW w:w="1687" w:type="dxa"/>
          </w:tcPr>
          <w:p>
            <w:pPr>
              <w:pStyle w:val="11"/>
              <w:rPr>
                <w:rFonts w:ascii="Times New Roman"/>
                <w:sz w:val="20"/>
              </w:rPr>
            </w:pPr>
          </w:p>
        </w:tc>
        <w:tc>
          <w:tcPr>
            <w:tcW w:w="7030" w:type="dxa"/>
          </w:tcPr>
          <w:p>
            <w:pPr>
              <w:pStyle w:val="11"/>
              <w:spacing w:before="22"/>
              <w:ind w:left="106"/>
              <w:rPr>
                <w:sz w:val="21"/>
              </w:rPr>
            </w:pPr>
            <w:r>
              <w:rPr>
                <w:spacing w:val="-4"/>
                <w:sz w:val="21"/>
              </w:rPr>
              <w:t>和狭窄；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vMerge w:val="continue"/>
            <w:tcBorders>
              <w:top w:val="nil"/>
            </w:tcBorders>
          </w:tcPr>
          <w:p>
            <w:pPr>
              <w:rPr>
                <w:sz w:val="2"/>
                <w:szCs w:val="2"/>
              </w:rPr>
            </w:pPr>
          </w:p>
        </w:tc>
        <w:tc>
          <w:tcPr>
            <w:tcW w:w="1687" w:type="dxa"/>
          </w:tcPr>
          <w:p>
            <w:pPr>
              <w:pStyle w:val="11"/>
              <w:rPr>
                <w:rFonts w:ascii="Times New Roman"/>
                <w:sz w:val="20"/>
              </w:rPr>
            </w:pPr>
          </w:p>
        </w:tc>
        <w:tc>
          <w:tcPr>
            <w:tcW w:w="7030" w:type="dxa"/>
          </w:tcPr>
          <w:p>
            <w:pPr>
              <w:pStyle w:val="11"/>
              <w:spacing w:before="22"/>
              <w:ind w:left="106"/>
              <w:rPr>
                <w:sz w:val="21"/>
              </w:rPr>
            </w:pPr>
            <w:r>
              <w:rPr>
                <w:spacing w:val="-2"/>
                <w:sz w:val="21"/>
              </w:rPr>
              <w:t>（2）</w:t>
            </w:r>
            <w:r>
              <w:rPr>
                <w:spacing w:val="-5"/>
                <w:sz w:val="21"/>
              </w:rPr>
              <w:t xml:space="preserve">接受胰岛素替代治疗和酶替代治疗 </w:t>
            </w:r>
            <w:r>
              <w:rPr>
                <w:spacing w:val="-2"/>
                <w:sz w:val="21"/>
              </w:rPr>
              <w:t>180</w:t>
            </w:r>
            <w:r>
              <w:rPr>
                <w:spacing w:val="-14"/>
                <w:sz w:val="21"/>
              </w:rPr>
              <w:t xml:space="preserve"> 天以上。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vMerge w:val="continue"/>
            <w:tcBorders>
              <w:top w:val="nil"/>
            </w:tcBorders>
          </w:tcPr>
          <w:p>
            <w:pPr>
              <w:rPr>
                <w:sz w:val="2"/>
                <w:szCs w:val="2"/>
              </w:rPr>
            </w:pPr>
          </w:p>
        </w:tc>
        <w:tc>
          <w:tcPr>
            <w:tcW w:w="1687" w:type="dxa"/>
          </w:tcPr>
          <w:p>
            <w:pPr>
              <w:pStyle w:val="11"/>
              <w:rPr>
                <w:rFonts w:ascii="Times New Roman"/>
                <w:sz w:val="20"/>
              </w:rPr>
            </w:pPr>
          </w:p>
        </w:tc>
        <w:tc>
          <w:tcPr>
            <w:tcW w:w="7030" w:type="dxa"/>
          </w:tcPr>
          <w:p>
            <w:pPr>
              <w:pStyle w:val="11"/>
              <w:spacing w:before="22"/>
              <w:ind w:left="106"/>
              <w:rPr>
                <w:sz w:val="21"/>
              </w:rPr>
            </w:pPr>
            <w:r>
              <w:rPr>
                <w:color w:val="000000"/>
                <w:spacing w:val="-3"/>
                <w:sz w:val="21"/>
                <w:shd w:val="clear" w:color="auto" w:fill="C0C0C0"/>
              </w:rPr>
              <w:t>酒精导致的慢性复发性胰腺炎不在保障范围内。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8.1.97</w:t>
            </w:r>
          </w:p>
        </w:tc>
        <w:tc>
          <w:tcPr>
            <w:tcW w:w="1687" w:type="dxa"/>
          </w:tcPr>
          <w:p>
            <w:pPr>
              <w:pStyle w:val="11"/>
              <w:spacing w:before="173" w:line="281" w:lineRule="exact"/>
              <w:ind w:left="233"/>
              <w:rPr>
                <w:sz w:val="22"/>
              </w:rPr>
            </w:pPr>
            <w:r>
              <w:rPr>
                <w:w w:val="95"/>
                <w:sz w:val="22"/>
              </w:rPr>
              <w:t>胰腺</w:t>
            </w:r>
            <w:r>
              <w:rPr>
                <w:spacing w:val="-5"/>
                <w:w w:val="95"/>
                <w:sz w:val="22"/>
              </w:rPr>
              <w:t>移植</w:t>
            </w:r>
          </w:p>
        </w:tc>
        <w:tc>
          <w:tcPr>
            <w:tcW w:w="7030" w:type="dxa"/>
          </w:tcPr>
          <w:p>
            <w:pPr>
              <w:pStyle w:val="11"/>
              <w:spacing w:before="3"/>
              <w:rPr>
                <w:sz w:val="14"/>
              </w:rPr>
            </w:pPr>
          </w:p>
          <w:p>
            <w:pPr>
              <w:pStyle w:val="11"/>
              <w:ind w:left="106"/>
              <w:rPr>
                <w:sz w:val="21"/>
              </w:rPr>
            </w:pPr>
            <w:r>
              <w:rPr>
                <w:spacing w:val="-10"/>
                <w:sz w:val="21"/>
              </w:rPr>
              <w:t>指因胰腺功能衰竭，已经实施了在全身麻醉下进行的胰腺的异体器官移植手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30" w:type="dxa"/>
          </w:tcPr>
          <w:p>
            <w:pPr>
              <w:pStyle w:val="11"/>
              <w:spacing w:before="21"/>
              <w:ind w:left="106"/>
              <w:rPr>
                <w:sz w:val="21"/>
              </w:rPr>
            </w:pPr>
            <w:r>
              <w:rPr>
                <w:spacing w:val="-5"/>
                <w:sz w:val="21"/>
              </w:rPr>
              <w:t>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30" w:type="dxa"/>
          </w:tcPr>
          <w:p>
            <w:pPr>
              <w:pStyle w:val="11"/>
              <w:spacing w:before="22"/>
              <w:ind w:left="106"/>
              <w:rPr>
                <w:sz w:val="21"/>
              </w:rPr>
            </w:pPr>
            <w:r>
              <w:rPr>
                <w:color w:val="000000"/>
                <w:spacing w:val="-3"/>
                <w:sz w:val="21"/>
                <w:shd w:val="clear" w:color="auto" w:fill="C0C0C0"/>
              </w:rPr>
              <w:t>单纯胰岛移植、部分胰腺组织或细胞的移植不在保障范围之内。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6" w:hRule="atLeast"/>
        </w:trPr>
        <w:tc>
          <w:tcPr>
            <w:tcW w:w="918" w:type="dxa"/>
          </w:tcPr>
          <w:p>
            <w:pPr>
              <w:pStyle w:val="11"/>
              <w:spacing w:before="173"/>
              <w:ind w:left="50"/>
              <w:rPr>
                <w:sz w:val="22"/>
              </w:rPr>
            </w:pPr>
            <w:r>
              <w:rPr>
                <w:spacing w:val="-2"/>
                <w:sz w:val="22"/>
              </w:rPr>
              <w:t>8.1.98</w:t>
            </w:r>
          </w:p>
        </w:tc>
        <w:tc>
          <w:tcPr>
            <w:tcW w:w="1687" w:type="dxa"/>
          </w:tcPr>
          <w:p>
            <w:pPr>
              <w:pStyle w:val="11"/>
              <w:spacing w:before="144" w:line="310" w:lineRule="atLeast"/>
              <w:ind w:left="233" w:right="105"/>
              <w:rPr>
                <w:sz w:val="22"/>
              </w:rPr>
            </w:pPr>
            <w:r>
              <w:rPr>
                <w:spacing w:val="10"/>
                <w:w w:val="95"/>
                <w:sz w:val="22"/>
              </w:rPr>
              <w:t>急性坏死性胰</w:t>
            </w:r>
            <w:r>
              <w:rPr>
                <w:spacing w:val="-2"/>
                <w:sz w:val="22"/>
              </w:rPr>
              <w:t>腺炎开腹手术</w:t>
            </w:r>
          </w:p>
        </w:tc>
        <w:tc>
          <w:tcPr>
            <w:tcW w:w="7030" w:type="dxa"/>
          </w:tcPr>
          <w:p>
            <w:pPr>
              <w:pStyle w:val="11"/>
              <w:spacing w:before="142" w:line="310" w:lineRule="atLeast"/>
              <w:ind w:left="106" w:right="51"/>
              <w:rPr>
                <w:sz w:val="21"/>
              </w:rPr>
            </w:pPr>
            <w:r>
              <w:rPr>
                <w:spacing w:val="-4"/>
                <w:sz w:val="21"/>
              </w:rPr>
              <w:t>指为治疗急性坏死性胰腺炎，实际实施了开腹进行的坏死组织清除术、病灶</w:t>
            </w:r>
            <w:r>
              <w:rPr>
                <w:spacing w:val="-2"/>
                <w:sz w:val="21"/>
              </w:rPr>
              <w:t>切除术或胰腺部分切除术。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030" w:type="dxa"/>
          </w:tcPr>
          <w:p>
            <w:pPr>
              <w:pStyle w:val="11"/>
              <w:spacing w:before="21"/>
              <w:ind w:left="106"/>
              <w:rPr>
                <w:sz w:val="21"/>
              </w:rPr>
            </w:pPr>
            <w:r>
              <w:rPr>
                <w:color w:val="000000"/>
                <w:spacing w:val="-3"/>
                <w:sz w:val="21"/>
                <w:shd w:val="clear" w:color="auto" w:fill="C0C0C0"/>
              </w:rPr>
              <w:t>因酒精作用所致的急性胰腺炎不在保障范围内。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9" w:hRule="atLeast"/>
        </w:trPr>
        <w:tc>
          <w:tcPr>
            <w:tcW w:w="918" w:type="dxa"/>
          </w:tcPr>
          <w:p>
            <w:pPr>
              <w:pStyle w:val="11"/>
              <w:spacing w:before="173"/>
              <w:ind w:left="50"/>
              <w:rPr>
                <w:sz w:val="22"/>
              </w:rPr>
            </w:pPr>
            <w:r>
              <w:rPr>
                <w:spacing w:val="-2"/>
                <w:sz w:val="22"/>
              </w:rPr>
              <w:t>8.1.99</w:t>
            </w:r>
          </w:p>
        </w:tc>
        <w:tc>
          <w:tcPr>
            <w:tcW w:w="1687" w:type="dxa"/>
          </w:tcPr>
          <w:p>
            <w:pPr>
              <w:pStyle w:val="11"/>
              <w:spacing w:before="173" w:line="266" w:lineRule="auto"/>
              <w:ind w:left="233" w:right="105"/>
              <w:jc w:val="both"/>
              <w:rPr>
                <w:sz w:val="22"/>
              </w:rPr>
            </w:pPr>
            <w:r>
              <w:rPr>
                <w:spacing w:val="10"/>
                <w:w w:val="95"/>
                <w:sz w:val="22"/>
              </w:rPr>
              <w:t>因职业关系导致的人类免疫</w:t>
            </w:r>
            <w:r>
              <w:rPr>
                <w:spacing w:val="16"/>
                <w:sz w:val="22"/>
              </w:rPr>
              <w:t>缺 陷 病 毒</w:t>
            </w:r>
          </w:p>
          <w:p>
            <w:pPr>
              <w:pStyle w:val="11"/>
              <w:spacing w:line="278" w:lineRule="exact"/>
              <w:ind w:left="233"/>
              <w:rPr>
                <w:sz w:val="22"/>
              </w:rPr>
            </w:pPr>
            <w:r>
              <w:rPr>
                <w:w w:val="95"/>
                <w:sz w:val="22"/>
              </w:rPr>
              <w:t>（HIV）感</w:t>
            </w:r>
            <w:r>
              <w:rPr>
                <w:spacing w:val="-10"/>
                <w:w w:val="95"/>
                <w:sz w:val="22"/>
              </w:rPr>
              <w:t>染</w:t>
            </w:r>
          </w:p>
        </w:tc>
        <w:tc>
          <w:tcPr>
            <w:tcW w:w="7030" w:type="dxa"/>
          </w:tcPr>
          <w:p>
            <w:pPr>
              <w:pStyle w:val="11"/>
              <w:spacing w:before="3"/>
              <w:rPr>
                <w:sz w:val="14"/>
              </w:rPr>
            </w:pPr>
          </w:p>
          <w:p>
            <w:pPr>
              <w:pStyle w:val="11"/>
              <w:spacing w:line="278" w:lineRule="auto"/>
              <w:ind w:left="106" w:right="51"/>
              <w:rPr>
                <w:sz w:val="21"/>
              </w:rPr>
            </w:pPr>
            <w:r>
              <w:rPr>
                <w:spacing w:val="-6"/>
                <w:sz w:val="21"/>
              </w:rPr>
              <w:t>被保险人在其常规职业工作过程中遭遇外伤，或者职业需要处理血液或者其</w:t>
            </w:r>
            <w:r>
              <w:rPr>
                <w:spacing w:val="-2"/>
                <w:sz w:val="21"/>
              </w:rPr>
              <w:t>他体液时感染上人类免疫缺陷病毒</w:t>
            </w:r>
            <w:r>
              <w:rPr>
                <w:spacing w:val="17"/>
                <w:sz w:val="21"/>
              </w:rPr>
              <w:t>（</w:t>
            </w:r>
            <w:r>
              <w:rPr>
                <w:spacing w:val="20"/>
                <w:sz w:val="21"/>
              </w:rPr>
              <w:t>HIV</w:t>
            </w:r>
            <w:r>
              <w:rPr>
                <w:spacing w:val="-88"/>
                <w:sz w:val="21"/>
              </w:rPr>
              <w:t>）</w:t>
            </w:r>
            <w:r>
              <w:rPr>
                <w:spacing w:val="-108"/>
                <w:sz w:val="21"/>
              </w:rPr>
              <w:t>。</w:t>
            </w:r>
          </w:p>
          <w:p>
            <w:pPr>
              <w:pStyle w:val="11"/>
              <w:spacing w:line="269" w:lineRule="exact"/>
              <w:ind w:left="106"/>
              <w:rPr>
                <w:sz w:val="21"/>
              </w:rPr>
            </w:pPr>
            <w:r>
              <w:rPr>
                <w:spacing w:val="-3"/>
                <w:sz w:val="21"/>
              </w:rPr>
              <w:t>必须满足下列全部条件：</w:t>
            </w:r>
          </w:p>
          <w:p>
            <w:pPr>
              <w:pStyle w:val="11"/>
              <w:spacing w:before="43"/>
              <w:ind w:left="106"/>
              <w:rPr>
                <w:sz w:val="21"/>
              </w:rPr>
            </w:pPr>
            <w:r>
              <w:rPr>
                <w:sz w:val="21"/>
              </w:rPr>
              <w:t>（1）</w:t>
            </w:r>
            <w:r>
              <w:rPr>
                <w:spacing w:val="-1"/>
                <w:sz w:val="21"/>
              </w:rPr>
              <w:t>感染必须是在被保险人正在从事其职业工作中发生，该职业必须属于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605" w:type="dxa"/>
            <w:gridSpan w:val="2"/>
            <w:vMerge w:val="restart"/>
          </w:tcPr>
          <w:p>
            <w:pPr>
              <w:pStyle w:val="11"/>
              <w:rPr>
                <w:rFonts w:ascii="Times New Roman"/>
                <w:sz w:val="20"/>
              </w:rPr>
            </w:pPr>
          </w:p>
        </w:tc>
        <w:tc>
          <w:tcPr>
            <w:tcW w:w="7030" w:type="dxa"/>
          </w:tcPr>
          <w:p>
            <w:pPr>
              <w:pStyle w:val="11"/>
              <w:spacing w:before="21"/>
              <w:ind w:left="106"/>
              <w:rPr>
                <w:sz w:val="21"/>
              </w:rPr>
            </w:pPr>
            <w:r>
              <w:rPr>
                <w:spacing w:val="-3"/>
                <w:sz w:val="21"/>
              </w:rPr>
              <w:t>以下列表内的职业；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spacing w:val="-2"/>
                <w:sz w:val="21"/>
              </w:rPr>
              <w:t>（2）</w:t>
            </w:r>
            <w:r>
              <w:rPr>
                <w:spacing w:val="-5"/>
                <w:sz w:val="21"/>
              </w:rPr>
              <w:t xml:space="preserve">血清转化必须出现在事故发生后的 </w:t>
            </w:r>
            <w:r>
              <w:rPr>
                <w:spacing w:val="-2"/>
                <w:sz w:val="21"/>
              </w:rPr>
              <w:t>6</w:t>
            </w:r>
            <w:r>
              <w:rPr>
                <w:spacing w:val="-12"/>
                <w:sz w:val="21"/>
              </w:rPr>
              <w:t xml:space="preserve"> 个月以内；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spacing w:val="-2"/>
                <w:sz w:val="21"/>
              </w:rPr>
              <w:t>（3）</w:t>
            </w:r>
            <w:r>
              <w:rPr>
                <w:spacing w:val="-4"/>
                <w:sz w:val="21"/>
              </w:rPr>
              <w:t xml:space="preserve">必须提供被保险人在所报事故发生后的 </w:t>
            </w:r>
            <w:r>
              <w:rPr>
                <w:spacing w:val="-2"/>
                <w:sz w:val="21"/>
              </w:rPr>
              <w:t>5</w:t>
            </w:r>
            <w:r>
              <w:rPr>
                <w:spacing w:val="-8"/>
                <w:sz w:val="21"/>
              </w:rPr>
              <w:t xml:space="preserve"> 天以内进行的检查报告，该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spacing w:val="-6"/>
                <w:sz w:val="21"/>
              </w:rPr>
              <w:t xml:space="preserve">报告必须显示被保险人血液 </w:t>
            </w:r>
            <w:r>
              <w:rPr>
                <w:spacing w:val="-2"/>
                <w:sz w:val="21"/>
              </w:rPr>
              <w:t>HIV</w:t>
            </w:r>
            <w:r>
              <w:rPr>
                <w:spacing w:val="-14"/>
                <w:sz w:val="21"/>
              </w:rPr>
              <w:t xml:space="preserve"> 病毒阴性和/或 </w:t>
            </w:r>
            <w:r>
              <w:rPr>
                <w:spacing w:val="-2"/>
                <w:sz w:val="21"/>
              </w:rPr>
              <w:t>HIV</w:t>
            </w:r>
            <w:r>
              <w:rPr>
                <w:spacing w:val="-12"/>
                <w:sz w:val="21"/>
              </w:rPr>
              <w:t xml:space="preserve"> 抗体阴性；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spacing w:val="-2"/>
                <w:sz w:val="21"/>
              </w:rPr>
              <w:t>（4）</w:t>
            </w:r>
            <w:r>
              <w:rPr>
                <w:spacing w:val="-3"/>
                <w:sz w:val="21"/>
              </w:rPr>
              <w:t xml:space="preserve">必须在事故发生后的 </w:t>
            </w:r>
            <w:r>
              <w:rPr>
                <w:spacing w:val="-2"/>
                <w:sz w:val="21"/>
              </w:rPr>
              <w:t>12</w:t>
            </w:r>
            <w:r>
              <w:rPr>
                <w:spacing w:val="-5"/>
                <w:sz w:val="21"/>
              </w:rPr>
              <w:t xml:space="preserve"> 个月内证实被保险人体内存在 </w:t>
            </w:r>
            <w:r>
              <w:rPr>
                <w:spacing w:val="-2"/>
                <w:sz w:val="21"/>
              </w:rPr>
              <w:t>HIV</w:t>
            </w:r>
            <w:r>
              <w:rPr>
                <w:spacing w:val="-6"/>
                <w:sz w:val="21"/>
              </w:rPr>
              <w:t xml:space="preserve"> 病毒或者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spacing w:val="-2"/>
                <w:sz w:val="21"/>
              </w:rPr>
              <w:t>HIV</w:t>
            </w:r>
            <w:r>
              <w:rPr>
                <w:spacing w:val="-16"/>
                <w:sz w:val="21"/>
              </w:rPr>
              <w:t xml:space="preserve"> 抗体。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color w:val="000000"/>
                <w:spacing w:val="-4"/>
                <w:sz w:val="21"/>
                <w:shd w:val="clear" w:color="auto" w:fill="C0C0C0"/>
              </w:rPr>
              <w:t>在任何治愈艾滋病（AIDS）</w:t>
            </w:r>
            <w:r>
              <w:rPr>
                <w:color w:val="000000"/>
                <w:spacing w:val="-13"/>
                <w:sz w:val="21"/>
                <w:shd w:val="clear" w:color="auto" w:fill="C0C0C0"/>
              </w:rPr>
              <w:t xml:space="preserve">或阻止 </w:t>
            </w:r>
            <w:r>
              <w:rPr>
                <w:color w:val="000000"/>
                <w:spacing w:val="-4"/>
                <w:sz w:val="21"/>
                <w:shd w:val="clear" w:color="auto" w:fill="C0C0C0"/>
              </w:rPr>
              <w:t>HIV</w:t>
            </w:r>
            <w:r>
              <w:rPr>
                <w:color w:val="000000"/>
                <w:spacing w:val="-10"/>
                <w:sz w:val="21"/>
                <w:shd w:val="clear" w:color="auto" w:fill="C0C0C0"/>
              </w:rPr>
              <w:t xml:space="preserve"> 病毒作用的疗法被发现以后，或能防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color w:val="000000"/>
                <w:spacing w:val="-24"/>
                <w:sz w:val="21"/>
                <w:shd w:val="clear" w:color="auto" w:fill="C0C0C0"/>
              </w:rPr>
              <w:t xml:space="preserve">止 </w:t>
            </w:r>
            <w:r>
              <w:rPr>
                <w:color w:val="000000"/>
                <w:spacing w:val="-2"/>
                <w:sz w:val="21"/>
                <w:shd w:val="clear" w:color="auto" w:fill="C0C0C0"/>
              </w:rPr>
              <w:t>AIDS</w:t>
            </w:r>
            <w:r>
              <w:rPr>
                <w:color w:val="000000"/>
                <w:spacing w:val="-10"/>
                <w:sz w:val="21"/>
                <w:shd w:val="clear" w:color="auto" w:fill="C0C0C0"/>
              </w:rPr>
              <w:t xml:space="preserve"> 发生的医疗方法被研究出来以后，本保障将不再予以赔付。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spacing w:val="-5"/>
                <w:sz w:val="21"/>
              </w:rPr>
              <w:t>我们承担本项疾病责任不受本合同“责任免除”中“被保险人感染艾滋病病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605" w:type="dxa"/>
            <w:gridSpan w:val="2"/>
            <w:vMerge w:val="continue"/>
            <w:tcBorders>
              <w:top w:val="nil"/>
            </w:tcBorders>
          </w:tcPr>
          <w:p>
            <w:pPr>
              <w:rPr>
                <w:sz w:val="2"/>
                <w:szCs w:val="2"/>
              </w:rPr>
            </w:pPr>
          </w:p>
        </w:tc>
        <w:tc>
          <w:tcPr>
            <w:tcW w:w="7030" w:type="dxa"/>
          </w:tcPr>
          <w:p>
            <w:pPr>
              <w:pStyle w:val="11"/>
              <w:spacing w:before="22"/>
              <w:ind w:left="106"/>
              <w:rPr>
                <w:sz w:val="21"/>
              </w:rPr>
            </w:pPr>
            <w:r>
              <w:rPr>
                <w:spacing w:val="-3"/>
                <w:sz w:val="21"/>
              </w:rPr>
              <w:t>毒或患艾滋病”的限制。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605" w:type="dxa"/>
            <w:gridSpan w:val="2"/>
            <w:vMerge w:val="continue"/>
            <w:tcBorders>
              <w:top w:val="nil"/>
            </w:tcBorders>
          </w:tcPr>
          <w:p>
            <w:pPr>
              <w:rPr>
                <w:sz w:val="2"/>
                <w:szCs w:val="2"/>
              </w:rPr>
            </w:pPr>
          </w:p>
        </w:tc>
        <w:tc>
          <w:tcPr>
            <w:tcW w:w="7030" w:type="dxa"/>
          </w:tcPr>
          <w:p>
            <w:pPr>
              <w:pStyle w:val="11"/>
              <w:spacing w:before="22" w:line="220" w:lineRule="exact"/>
              <w:ind w:left="106"/>
              <w:rPr>
                <w:sz w:val="21"/>
              </w:rPr>
            </w:pPr>
            <w:r>
              <w:rPr>
                <w:spacing w:val="-3"/>
                <w:sz w:val="21"/>
              </w:rPr>
              <w:t>职业限制如下所示:</w:t>
            </w:r>
          </w:p>
        </w:tc>
      </w:tr>
    </w:tbl>
    <w:p>
      <w:pPr>
        <w:pStyle w:val="6"/>
        <w:tabs>
          <w:tab w:val="left" w:pos="7130"/>
        </w:tabs>
        <w:spacing w:before="79"/>
        <w:ind w:left="3457"/>
      </w:pPr>
      <w:r>
        <w:rPr>
          <w:spacing w:val="-2"/>
        </w:rPr>
        <w:t>医生和牙科医</w:t>
      </w:r>
      <w:r>
        <w:rPr>
          <w:spacing w:val="-12"/>
        </w:rPr>
        <w:t>生</w:t>
      </w:r>
      <w:r>
        <w:tab/>
      </w:r>
      <w:r>
        <w:t>护</w:t>
      </w:r>
      <w:r>
        <w:rPr>
          <w:spacing w:val="-10"/>
        </w:rPr>
        <w:t>士</w:t>
      </w:r>
    </w:p>
    <w:p>
      <w:pPr>
        <w:pStyle w:val="6"/>
        <w:tabs>
          <w:tab w:val="left" w:pos="7130"/>
        </w:tabs>
        <w:spacing w:before="43"/>
        <w:ind w:left="3457"/>
      </w:pPr>
      <w:r>
        <w:rPr>
          <w:spacing w:val="-2"/>
        </w:rPr>
        <w:t>医院化验室工作人</w:t>
      </w:r>
      <w:r>
        <w:rPr>
          <w:spacing w:val="-10"/>
        </w:rPr>
        <w:t>员</w:t>
      </w:r>
      <w:r>
        <w:tab/>
      </w:r>
      <w:r>
        <w:rPr>
          <w:spacing w:val="-2"/>
        </w:rPr>
        <w:t>医院护</w:t>
      </w:r>
      <w:r>
        <w:rPr>
          <w:spacing w:val="-10"/>
        </w:rPr>
        <w:t>工</w:t>
      </w:r>
    </w:p>
    <w:p>
      <w:pPr>
        <w:pStyle w:val="6"/>
        <w:tabs>
          <w:tab w:val="left" w:pos="7130"/>
        </w:tabs>
        <w:spacing w:before="43"/>
        <w:ind w:left="3457"/>
      </w:pPr>
      <w:r>
        <w:rPr>
          <w:spacing w:val="-2"/>
        </w:rPr>
        <w:t>医生助理和牙医助</w:t>
      </w:r>
      <w:r>
        <w:rPr>
          <w:spacing w:val="-10"/>
        </w:rPr>
        <w:t>理</w:t>
      </w:r>
      <w:r>
        <w:tab/>
      </w:r>
      <w:r>
        <w:rPr>
          <w:spacing w:val="-2"/>
        </w:rPr>
        <w:t>救护车工作人</w:t>
      </w:r>
      <w:r>
        <w:rPr>
          <w:spacing w:val="-12"/>
        </w:rPr>
        <w:t>员</w:t>
      </w:r>
    </w:p>
    <w:p>
      <w:pPr>
        <w:pStyle w:val="6"/>
        <w:tabs>
          <w:tab w:val="left" w:pos="7130"/>
        </w:tabs>
        <w:spacing w:before="43"/>
        <w:ind w:left="3457"/>
      </w:pPr>
      <w:r>
        <w:t>助产</w:t>
      </w:r>
      <w:r>
        <w:rPr>
          <w:spacing w:val="-10"/>
        </w:rPr>
        <w:t>士</w:t>
      </w:r>
      <w:r>
        <w:tab/>
      </w:r>
      <w:r>
        <w:rPr>
          <w:spacing w:val="-2"/>
        </w:rPr>
        <w:t>消防队</w:t>
      </w:r>
      <w:r>
        <w:rPr>
          <w:spacing w:val="-10"/>
        </w:rPr>
        <w:t>员</w:t>
      </w:r>
    </w:p>
    <w:p>
      <w:pPr>
        <w:pStyle w:val="6"/>
        <w:tabs>
          <w:tab w:val="left" w:pos="7130"/>
        </w:tabs>
        <w:spacing w:before="43"/>
        <w:ind w:left="3457"/>
      </w:pPr>
      <w:r>
        <w:t>警</w:t>
      </w:r>
      <w:r>
        <w:rPr>
          <w:spacing w:val="-10"/>
        </w:rPr>
        <w:t>察</w:t>
      </w:r>
      <w:r>
        <w:tab/>
      </w:r>
      <w:r>
        <w:t>狱</w:t>
      </w:r>
      <w:r>
        <w:rPr>
          <w:spacing w:val="-10"/>
        </w:rPr>
        <w:t>警</w:t>
      </w:r>
    </w:p>
    <w:p>
      <w:pPr>
        <w:pStyle w:val="6"/>
        <w:spacing w:before="2"/>
        <w:rPr>
          <w:sz w:val="29"/>
        </w:r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70"/>
        <w:gridCol w:w="1636"/>
        <w:gridCol w:w="70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970" w:type="dxa"/>
          </w:tcPr>
          <w:p>
            <w:pPr>
              <w:pStyle w:val="11"/>
              <w:spacing w:line="248" w:lineRule="exact"/>
              <w:ind w:left="50"/>
              <w:rPr>
                <w:sz w:val="22"/>
              </w:rPr>
            </w:pPr>
            <w:r>
              <w:rPr>
                <w:spacing w:val="-2"/>
                <w:sz w:val="22"/>
              </w:rPr>
              <w:t>8.1.100</w:t>
            </w:r>
          </w:p>
        </w:tc>
        <w:tc>
          <w:tcPr>
            <w:tcW w:w="1636" w:type="dxa"/>
          </w:tcPr>
          <w:p>
            <w:pPr>
              <w:pStyle w:val="11"/>
              <w:spacing w:line="248" w:lineRule="exact"/>
              <w:ind w:left="181"/>
              <w:rPr>
                <w:sz w:val="22"/>
              </w:rPr>
            </w:pPr>
            <w:r>
              <w:rPr>
                <w:spacing w:val="10"/>
                <w:w w:val="95"/>
                <w:sz w:val="22"/>
              </w:rPr>
              <w:t>经输血导致的</w:t>
            </w:r>
          </w:p>
        </w:tc>
        <w:tc>
          <w:tcPr>
            <w:tcW w:w="7026" w:type="dxa"/>
          </w:tcPr>
          <w:p>
            <w:pPr>
              <w:pStyle w:val="11"/>
              <w:spacing w:line="248" w:lineRule="exact"/>
              <w:ind w:left="105"/>
              <w:rPr>
                <w:sz w:val="21"/>
              </w:rPr>
            </w:pPr>
            <w:r>
              <w:rPr>
                <w:spacing w:val="-2"/>
                <w:sz w:val="21"/>
              </w:rPr>
              <w:t>被保险人感染上人类免疫缺陷病毒（HIV）</w:t>
            </w:r>
            <w:r>
              <w:rPr>
                <w:spacing w:val="-3"/>
                <w:sz w:val="21"/>
              </w:rPr>
              <w:t>并且满足下列全部条件：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636" w:type="dxa"/>
          </w:tcPr>
          <w:p>
            <w:pPr>
              <w:pStyle w:val="11"/>
              <w:spacing w:before="16" w:line="276" w:lineRule="exact"/>
              <w:ind w:left="181"/>
              <w:rPr>
                <w:sz w:val="22"/>
              </w:rPr>
            </w:pPr>
            <w:r>
              <w:rPr>
                <w:spacing w:val="10"/>
                <w:w w:val="95"/>
                <w:sz w:val="22"/>
              </w:rPr>
              <w:t>人类免疫缺陷</w:t>
            </w:r>
          </w:p>
        </w:tc>
        <w:tc>
          <w:tcPr>
            <w:tcW w:w="7026" w:type="dxa"/>
          </w:tcPr>
          <w:p>
            <w:pPr>
              <w:pStyle w:val="11"/>
              <w:spacing w:before="26" w:line="266" w:lineRule="exact"/>
              <w:ind w:left="105"/>
              <w:rPr>
                <w:sz w:val="21"/>
              </w:rPr>
            </w:pPr>
            <w:r>
              <w:rPr>
                <w:spacing w:val="-2"/>
                <w:sz w:val="21"/>
              </w:rPr>
              <w:t>（1）</w:t>
            </w:r>
            <w:r>
              <w:rPr>
                <w:spacing w:val="-4"/>
                <w:sz w:val="21"/>
              </w:rPr>
              <w:t>在保障起始日或复效日之后，被保险人因输血而感染 HIV；</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636" w:type="dxa"/>
          </w:tcPr>
          <w:p>
            <w:pPr>
              <w:pStyle w:val="11"/>
              <w:spacing w:before="16" w:line="276" w:lineRule="exact"/>
              <w:ind w:left="181"/>
              <w:rPr>
                <w:sz w:val="22"/>
              </w:rPr>
            </w:pPr>
            <w:r>
              <w:rPr>
                <w:spacing w:val="-4"/>
                <w:w w:val="95"/>
                <w:sz w:val="22"/>
              </w:rPr>
              <w:t>病毒（HIV）</w:t>
            </w:r>
            <w:r>
              <w:rPr>
                <w:spacing w:val="-10"/>
                <w:w w:val="95"/>
                <w:sz w:val="22"/>
              </w:rPr>
              <w:t>感</w:t>
            </w:r>
          </w:p>
        </w:tc>
        <w:tc>
          <w:tcPr>
            <w:tcW w:w="7026" w:type="dxa"/>
          </w:tcPr>
          <w:p>
            <w:pPr>
              <w:pStyle w:val="11"/>
              <w:spacing w:before="26" w:line="266" w:lineRule="exact"/>
              <w:ind w:left="105"/>
              <w:rPr>
                <w:sz w:val="21"/>
              </w:rPr>
            </w:pPr>
            <w:r>
              <w:rPr>
                <w:sz w:val="21"/>
              </w:rPr>
              <w:t>（2）</w:t>
            </w:r>
            <w:r>
              <w:rPr>
                <w:spacing w:val="-1"/>
                <w:sz w:val="21"/>
              </w:rPr>
              <w:t>提供输血治疗的输血中心或医院出具该项输血感染属医疗责任事故的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70" w:type="dxa"/>
          </w:tcPr>
          <w:p>
            <w:pPr>
              <w:pStyle w:val="11"/>
              <w:rPr>
                <w:rFonts w:ascii="Times New Roman"/>
                <w:sz w:val="20"/>
              </w:rPr>
            </w:pPr>
          </w:p>
        </w:tc>
        <w:tc>
          <w:tcPr>
            <w:tcW w:w="1636" w:type="dxa"/>
          </w:tcPr>
          <w:p>
            <w:pPr>
              <w:pStyle w:val="11"/>
              <w:spacing w:before="16" w:line="281" w:lineRule="exact"/>
              <w:ind w:left="181"/>
              <w:rPr>
                <w:sz w:val="22"/>
              </w:rPr>
            </w:pPr>
            <w:r>
              <w:rPr>
                <w:w w:val="96"/>
                <w:sz w:val="22"/>
              </w:rPr>
              <w:t>染</w:t>
            </w:r>
          </w:p>
        </w:tc>
        <w:tc>
          <w:tcPr>
            <w:tcW w:w="7026" w:type="dxa"/>
          </w:tcPr>
          <w:p>
            <w:pPr>
              <w:pStyle w:val="11"/>
              <w:spacing w:before="26"/>
              <w:ind w:left="105"/>
              <w:rPr>
                <w:sz w:val="21"/>
              </w:rPr>
            </w:pPr>
            <w:r>
              <w:rPr>
                <w:spacing w:val="-3"/>
                <w:sz w:val="21"/>
              </w:rPr>
              <w:t>报告，或者法院终审裁定为医疗责任并且不准上诉；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970" w:type="dxa"/>
          </w:tcPr>
          <w:p>
            <w:pPr>
              <w:pStyle w:val="11"/>
              <w:rPr>
                <w:rFonts w:ascii="Times New Roman"/>
                <w:sz w:val="18"/>
              </w:rPr>
            </w:pPr>
          </w:p>
        </w:tc>
        <w:tc>
          <w:tcPr>
            <w:tcW w:w="1636" w:type="dxa"/>
          </w:tcPr>
          <w:p>
            <w:pPr>
              <w:pStyle w:val="11"/>
              <w:rPr>
                <w:rFonts w:ascii="Times New Roman"/>
                <w:sz w:val="18"/>
              </w:rPr>
            </w:pPr>
          </w:p>
        </w:tc>
        <w:tc>
          <w:tcPr>
            <w:tcW w:w="7026" w:type="dxa"/>
          </w:tcPr>
          <w:p>
            <w:pPr>
              <w:pStyle w:val="11"/>
              <w:spacing w:before="21" w:line="220" w:lineRule="exact"/>
              <w:ind w:left="105"/>
              <w:rPr>
                <w:sz w:val="21"/>
              </w:rPr>
            </w:pPr>
            <w:r>
              <w:rPr>
                <w:spacing w:val="-2"/>
                <w:sz w:val="21"/>
              </w:rPr>
              <w:t>（3）</w:t>
            </w:r>
            <w:r>
              <w:rPr>
                <w:spacing w:val="-3"/>
                <w:sz w:val="21"/>
              </w:rPr>
              <w:t>受感染的被保险人不是血友病患者。</w:t>
            </w:r>
          </w:p>
        </w:tc>
      </w:tr>
    </w:tbl>
    <w:p>
      <w:pPr>
        <w:pStyle w:val="6"/>
        <w:rPr>
          <w:sz w:val="4"/>
        </w:rPr>
      </w:pPr>
    </w:p>
    <w:p>
      <w:pPr>
        <w:pStyle w:val="6"/>
        <w:spacing w:before="4"/>
        <w:rPr>
          <w:sz w:val="2"/>
        </w:rPr>
      </w:pPr>
    </w:p>
    <w:tbl>
      <w:tblPr>
        <w:tblStyle w:val="7"/>
        <w:tblW w:w="0" w:type="auto"/>
        <w:tblInd w:w="3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198"/>
        <w:gridCol w:w="6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867" w:type="dxa"/>
            <w:gridSpan w:val="2"/>
            <w:tcBorders>
              <w:bottom w:val="single" w:color="FFFFFF" w:sz="8" w:space="0"/>
            </w:tcBorders>
            <w:shd w:val="clear" w:color="auto" w:fill="C0C0C0"/>
          </w:tcPr>
          <w:p>
            <w:pPr>
              <w:pStyle w:val="11"/>
              <w:spacing w:before="23" w:line="251" w:lineRule="exact"/>
              <w:ind w:right="-15"/>
              <w:rPr>
                <w:sz w:val="21"/>
              </w:rPr>
            </w:pPr>
            <w:r>
              <w:rPr>
                <w:spacing w:val="-4"/>
                <w:sz w:val="21"/>
              </w:rPr>
              <w:t>在任何治愈艾滋病（AIDS）</w:t>
            </w:r>
            <w:r>
              <w:rPr>
                <w:spacing w:val="-13"/>
                <w:sz w:val="21"/>
              </w:rPr>
              <w:t xml:space="preserve">或阻止 </w:t>
            </w:r>
            <w:r>
              <w:rPr>
                <w:spacing w:val="-4"/>
                <w:sz w:val="21"/>
              </w:rPr>
              <w:t>HIV</w:t>
            </w:r>
            <w:r>
              <w:rPr>
                <w:spacing w:val="-10"/>
                <w:sz w:val="21"/>
              </w:rPr>
              <w:t xml:space="preserve"> 病毒作用的疗法被发现以后，或能防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6198" w:type="dxa"/>
            <w:tcBorders>
              <w:top w:val="single" w:color="FFFFFF" w:sz="8" w:space="0"/>
              <w:bottom w:val="single" w:color="FFFFFF" w:sz="8" w:space="0"/>
            </w:tcBorders>
            <w:shd w:val="clear" w:color="auto" w:fill="C0C0C0"/>
          </w:tcPr>
          <w:p>
            <w:pPr>
              <w:pStyle w:val="11"/>
              <w:spacing w:before="21" w:line="251" w:lineRule="exact"/>
              <w:ind w:right="-15"/>
              <w:rPr>
                <w:sz w:val="21"/>
              </w:rPr>
            </w:pPr>
            <w:r>
              <w:rPr>
                <w:spacing w:val="-24"/>
                <w:sz w:val="21"/>
              </w:rPr>
              <w:t xml:space="preserve">止 </w:t>
            </w:r>
            <w:r>
              <w:rPr>
                <w:spacing w:val="-2"/>
                <w:sz w:val="21"/>
              </w:rPr>
              <w:t>AIDS</w:t>
            </w:r>
            <w:r>
              <w:rPr>
                <w:spacing w:val="-10"/>
                <w:sz w:val="21"/>
              </w:rPr>
              <w:t xml:space="preserve"> 发生的医疗方法被研究出来以后，本保障将不再予以赔付。</w:t>
            </w:r>
          </w:p>
        </w:tc>
        <w:tc>
          <w:tcPr>
            <w:tcW w:w="669" w:type="dxa"/>
            <w:tcBorders>
              <w:top w:val="single" w:color="FFFFFF" w:sz="8" w:space="0"/>
              <w:bottom w:val="single" w:color="FFFFFF" w:sz="8"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867" w:type="dxa"/>
            <w:gridSpan w:val="2"/>
            <w:tcBorders>
              <w:top w:val="single" w:color="FFFFFF" w:sz="8" w:space="0"/>
            </w:tcBorders>
            <w:shd w:val="clear" w:color="auto" w:fill="C0C0C0"/>
          </w:tcPr>
          <w:p>
            <w:pPr>
              <w:pStyle w:val="11"/>
              <w:spacing w:before="21" w:line="252" w:lineRule="exact"/>
              <w:ind w:right="-15"/>
              <w:rPr>
                <w:sz w:val="21"/>
              </w:rPr>
            </w:pPr>
            <w:r>
              <w:rPr>
                <w:spacing w:val="-4"/>
                <w:sz w:val="21"/>
              </w:rPr>
              <w:t>任何因其他传播方式（包括：性传播或静脉注射毒品）</w:t>
            </w:r>
            <w:r>
              <w:rPr>
                <w:spacing w:val="-14"/>
                <w:sz w:val="21"/>
              </w:rPr>
              <w:t xml:space="preserve">导致的 </w:t>
            </w:r>
            <w:r>
              <w:rPr>
                <w:spacing w:val="-4"/>
                <w:sz w:val="21"/>
              </w:rPr>
              <w:t>HIV</w:t>
            </w:r>
            <w:r>
              <w:rPr>
                <w:spacing w:val="-13"/>
                <w:sz w:val="21"/>
              </w:rPr>
              <w:t xml:space="preserve"> 感染不在</w:t>
            </w:r>
          </w:p>
        </w:tc>
      </w:tr>
    </w:tbl>
    <w:p>
      <w:pPr>
        <w:spacing w:after="0" w:line="252" w:lineRule="exact"/>
        <w:rPr>
          <w:sz w:val="21"/>
        </w:rPr>
        <w:sectPr>
          <w:type w:val="continuous"/>
          <w:pgSz w:w="11910" w:h="16840"/>
          <w:pgMar w:top="1520" w:right="660" w:bottom="1499"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70"/>
        <w:gridCol w:w="1743"/>
        <w:gridCol w:w="6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shd w:val="clear" w:color="auto" w:fill="C0C0C0"/>
          </w:tcPr>
          <w:p>
            <w:pPr>
              <w:pStyle w:val="11"/>
              <w:spacing w:line="284" w:lineRule="exact"/>
              <w:ind w:left="-2"/>
              <w:rPr>
                <w:rFonts w:ascii="微软雅黑" w:eastAsia="微软雅黑"/>
                <w:b/>
                <w:sz w:val="21"/>
              </w:rPr>
            </w:pPr>
            <w:r>
              <w:rPr>
                <w:spacing w:val="-12"/>
                <w:sz w:val="21"/>
              </w:rPr>
              <w:t>本保单保障范围内。</w:t>
            </w:r>
            <w:r>
              <w:rPr>
                <w:rFonts w:ascii="微软雅黑" w:eastAsia="微软雅黑"/>
                <w:b/>
                <w:spacing w:val="-3"/>
                <w:sz w:val="21"/>
              </w:rPr>
              <w:t>保险公司必须拥有获得使用被保险人的所有血液样本的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line="284" w:lineRule="exact"/>
              <w:ind w:left="-2"/>
              <w:rPr>
                <w:rFonts w:ascii="微软雅黑" w:eastAsia="微软雅黑"/>
                <w:b/>
                <w:sz w:val="21"/>
              </w:rPr>
            </w:pPr>
            <w:r>
              <w:rPr>
                <w:rFonts w:ascii="微软雅黑" w:eastAsia="微软雅黑"/>
                <w:b/>
                <w:spacing w:val="-3"/>
                <w:sz w:val="21"/>
              </w:rPr>
              <w:t>权利和能够对这些样本进行独立检验的权利。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9"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39"/>
              <w:ind w:left="-2"/>
              <w:rPr>
                <w:sz w:val="21"/>
              </w:rPr>
            </w:pPr>
            <w:r>
              <w:rPr>
                <w:spacing w:val="-5"/>
                <w:sz w:val="21"/>
              </w:rPr>
              <w:t>我们承担本项疾病责任不受本合同“责任免除”中“被保险人感染艾滋病病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3"/>
                <w:sz w:val="21"/>
              </w:rPr>
              <w:t>毒或患艾滋病”的限制。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70" w:type="dxa"/>
          </w:tcPr>
          <w:p>
            <w:pPr>
              <w:pStyle w:val="11"/>
              <w:spacing w:before="173" w:line="276" w:lineRule="exact"/>
              <w:ind w:left="50"/>
              <w:rPr>
                <w:sz w:val="22"/>
              </w:rPr>
            </w:pPr>
            <w:r>
              <w:rPr>
                <w:spacing w:val="-2"/>
                <w:sz w:val="22"/>
              </w:rPr>
              <w:t>8.1.101</w:t>
            </w:r>
          </w:p>
        </w:tc>
        <w:tc>
          <w:tcPr>
            <w:tcW w:w="1743" w:type="dxa"/>
          </w:tcPr>
          <w:p>
            <w:pPr>
              <w:pStyle w:val="11"/>
              <w:spacing w:before="173" w:line="276" w:lineRule="exact"/>
              <w:ind w:left="181"/>
              <w:rPr>
                <w:sz w:val="22"/>
              </w:rPr>
            </w:pPr>
            <w:r>
              <w:rPr>
                <w:spacing w:val="10"/>
                <w:w w:val="95"/>
                <w:sz w:val="22"/>
              </w:rPr>
              <w:t>埃博拉病毒感</w:t>
            </w:r>
          </w:p>
        </w:tc>
        <w:tc>
          <w:tcPr>
            <w:tcW w:w="6988" w:type="dxa"/>
          </w:tcPr>
          <w:p>
            <w:pPr>
              <w:pStyle w:val="11"/>
              <w:spacing w:before="3"/>
              <w:rPr>
                <w:sz w:val="14"/>
              </w:rPr>
            </w:pPr>
          </w:p>
          <w:p>
            <w:pPr>
              <w:pStyle w:val="11"/>
              <w:spacing w:line="266" w:lineRule="exact"/>
              <w:ind w:left="-2"/>
              <w:rPr>
                <w:sz w:val="21"/>
              </w:rPr>
            </w:pPr>
            <w:r>
              <w:rPr>
                <w:spacing w:val="-8"/>
                <w:sz w:val="21"/>
              </w:rPr>
              <w:t>受埃博拉病毒感染导致出血性发热。埃博拉病必须经国家机关认可的有合法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70" w:type="dxa"/>
          </w:tcPr>
          <w:p>
            <w:pPr>
              <w:pStyle w:val="11"/>
              <w:rPr>
                <w:rFonts w:ascii="Times New Roman"/>
                <w:sz w:val="20"/>
              </w:rPr>
            </w:pPr>
          </w:p>
        </w:tc>
        <w:tc>
          <w:tcPr>
            <w:tcW w:w="1743" w:type="dxa"/>
          </w:tcPr>
          <w:p>
            <w:pPr>
              <w:pStyle w:val="11"/>
              <w:spacing w:before="16" w:line="281" w:lineRule="exact"/>
              <w:ind w:left="181"/>
              <w:rPr>
                <w:sz w:val="22"/>
              </w:rPr>
            </w:pPr>
            <w:r>
              <w:rPr>
                <w:w w:val="96"/>
                <w:sz w:val="22"/>
              </w:rPr>
              <w:t>染</w:t>
            </w:r>
          </w:p>
        </w:tc>
        <w:tc>
          <w:tcPr>
            <w:tcW w:w="6988" w:type="dxa"/>
          </w:tcPr>
          <w:p>
            <w:pPr>
              <w:pStyle w:val="11"/>
              <w:spacing w:before="26"/>
              <w:ind w:left="-2"/>
              <w:rPr>
                <w:sz w:val="21"/>
              </w:rPr>
            </w:pPr>
            <w:r>
              <w:rPr>
                <w:spacing w:val="-3"/>
                <w:sz w:val="21"/>
              </w:rPr>
              <w:t>资质的传染病专家确诊，并且埃博拉病毒的存在必须经过实验室检查证实。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line="341" w:lineRule="exact"/>
              <w:ind w:left="-2"/>
              <w:rPr>
                <w:rFonts w:ascii="微软雅黑" w:eastAsia="微软雅黑"/>
                <w:b/>
                <w:sz w:val="21"/>
              </w:rPr>
            </w:pPr>
            <w:r>
              <w:rPr>
                <w:rFonts w:ascii="微软雅黑" w:eastAsia="微软雅黑"/>
                <w:b/>
                <w:spacing w:val="-3"/>
                <w:sz w:val="21"/>
              </w:rPr>
              <w:t>该病必须从症状开始后三十天后持续出现并发症。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70" w:type="dxa"/>
          </w:tcPr>
          <w:p>
            <w:pPr>
              <w:pStyle w:val="11"/>
              <w:spacing w:before="173" w:line="281" w:lineRule="exact"/>
              <w:ind w:left="50"/>
              <w:rPr>
                <w:sz w:val="22"/>
              </w:rPr>
            </w:pPr>
            <w:r>
              <w:rPr>
                <w:spacing w:val="-2"/>
                <w:sz w:val="22"/>
              </w:rPr>
              <w:t>8.1.102</w:t>
            </w:r>
          </w:p>
        </w:tc>
        <w:tc>
          <w:tcPr>
            <w:tcW w:w="1743" w:type="dxa"/>
          </w:tcPr>
          <w:p>
            <w:pPr>
              <w:pStyle w:val="11"/>
              <w:spacing w:before="173" w:line="281" w:lineRule="exact"/>
              <w:ind w:left="181"/>
              <w:rPr>
                <w:sz w:val="22"/>
              </w:rPr>
            </w:pPr>
            <w:r>
              <w:rPr>
                <w:w w:val="95"/>
                <w:sz w:val="22"/>
              </w:rPr>
              <w:t>出血</w:t>
            </w:r>
            <w:r>
              <w:rPr>
                <w:spacing w:val="-3"/>
                <w:w w:val="95"/>
                <w:sz w:val="22"/>
              </w:rPr>
              <w:t>性登革热</w:t>
            </w:r>
          </w:p>
        </w:tc>
        <w:tc>
          <w:tcPr>
            <w:tcW w:w="6988" w:type="dxa"/>
          </w:tcPr>
          <w:p>
            <w:pPr>
              <w:pStyle w:val="11"/>
              <w:spacing w:before="3"/>
              <w:rPr>
                <w:sz w:val="14"/>
              </w:rPr>
            </w:pPr>
          </w:p>
          <w:p>
            <w:pPr>
              <w:pStyle w:val="11"/>
              <w:ind w:left="-2"/>
              <w:rPr>
                <w:sz w:val="21"/>
              </w:rPr>
            </w:pPr>
            <w:r>
              <w:rPr>
                <w:spacing w:val="-5"/>
                <w:sz w:val="21"/>
              </w:rPr>
              <w:t>登革热是由登革热病毒引起的急性传染病，为一种自限性疾病，通常预后良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1"/>
              <w:ind w:left="-2"/>
              <w:rPr>
                <w:sz w:val="21"/>
              </w:rPr>
            </w:pPr>
            <w:r>
              <w:rPr>
                <w:spacing w:val="-5"/>
                <w:sz w:val="21"/>
              </w:rPr>
              <w:t>好。本保单仅对严重的登革热给予保障，被保险人的登革热必须符合下列所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4"/>
                <w:sz w:val="21"/>
              </w:rPr>
              <w:t>有条件：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2"/>
                <w:sz w:val="21"/>
              </w:rPr>
              <w:t>（1）根据《登革热诊疗指南（2014</w:t>
            </w:r>
            <w:r>
              <w:rPr>
                <w:spacing w:val="-20"/>
                <w:sz w:val="21"/>
              </w:rPr>
              <w:t xml:space="preserve"> 版</w:t>
            </w:r>
            <w:r>
              <w:rPr>
                <w:spacing w:val="-106"/>
                <w:sz w:val="21"/>
              </w:rPr>
              <w:t>）</w:t>
            </w:r>
            <w:r>
              <w:rPr>
                <w:spacing w:val="-3"/>
                <w:sz w:val="21"/>
              </w:rPr>
              <w:t>》诊断的确诊病例；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2"/>
                <w:sz w:val="21"/>
              </w:rPr>
              <w:t>（2）</w:t>
            </w:r>
            <w:r>
              <w:rPr>
                <w:spacing w:val="-3"/>
                <w:sz w:val="21"/>
              </w:rPr>
              <w:t>出现下列一种或多种严重登革热的临床表现：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2"/>
                <w:sz w:val="21"/>
              </w:rPr>
              <w:t>a.</w:t>
            </w:r>
            <w:r>
              <w:rPr>
                <w:spacing w:val="-3"/>
                <w:sz w:val="21"/>
              </w:rPr>
              <w:t>血浆渗漏致休克或胸腔积液伴呼吸困难；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2"/>
                <w:sz w:val="21"/>
              </w:rPr>
              <w:t>b.</w:t>
            </w:r>
            <w:r>
              <w:rPr>
                <w:spacing w:val="-21"/>
                <w:sz w:val="21"/>
              </w:rPr>
              <w:t>严重出血：消化道出血、阴道大出血、颅内出血、肉眼血尿或皮下血肿</w:t>
            </w:r>
            <w:r>
              <w:rPr>
                <w:spacing w:val="-2"/>
                <w:sz w:val="21"/>
              </w:rPr>
              <w:t>（</w:t>
            </w:r>
            <w:r>
              <w:rPr>
                <w:spacing w:val="-10"/>
                <w:sz w:val="21"/>
              </w:rPr>
              <w:t>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2"/>
                <w:sz w:val="21"/>
              </w:rPr>
              <w:t>包括皮下出血点</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4"/>
                <w:sz w:val="21"/>
              </w:rPr>
              <w:t>c.严重器官损害或衰竭：肝脏损伤(ALT</w:t>
            </w:r>
            <w:r>
              <w:rPr>
                <w:spacing w:val="-17"/>
                <w:sz w:val="21"/>
              </w:rPr>
              <w:t xml:space="preserve"> 或 </w:t>
            </w:r>
            <w:r>
              <w:rPr>
                <w:spacing w:val="-4"/>
                <w:sz w:val="21"/>
              </w:rPr>
              <w:t>AST&gt;1000IU/L)、ARDS（</w:t>
            </w:r>
            <w:r>
              <w:rPr>
                <w:spacing w:val="-6"/>
                <w:sz w:val="21"/>
              </w:rPr>
              <w:t>急性呼吸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3"/>
                <w:sz w:val="21"/>
              </w:rPr>
              <w:t>窘迫综合征)、急性心功能衰竭、急性肾功能衰竭、脑病。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70" w:type="dxa"/>
          </w:tcPr>
          <w:p>
            <w:pPr>
              <w:pStyle w:val="11"/>
              <w:spacing w:before="173" w:line="276" w:lineRule="exact"/>
              <w:ind w:left="50"/>
              <w:rPr>
                <w:sz w:val="22"/>
              </w:rPr>
            </w:pPr>
            <w:r>
              <w:rPr>
                <w:spacing w:val="-2"/>
                <w:sz w:val="22"/>
              </w:rPr>
              <w:t>8.1.103</w:t>
            </w:r>
          </w:p>
        </w:tc>
        <w:tc>
          <w:tcPr>
            <w:tcW w:w="1743" w:type="dxa"/>
          </w:tcPr>
          <w:p>
            <w:pPr>
              <w:pStyle w:val="11"/>
              <w:spacing w:before="173" w:line="276" w:lineRule="exact"/>
              <w:ind w:left="181"/>
              <w:rPr>
                <w:sz w:val="22"/>
              </w:rPr>
            </w:pPr>
            <w:r>
              <w:rPr>
                <w:spacing w:val="10"/>
                <w:w w:val="95"/>
                <w:sz w:val="22"/>
              </w:rPr>
              <w:t>丝虫病所致象</w:t>
            </w:r>
          </w:p>
        </w:tc>
        <w:tc>
          <w:tcPr>
            <w:tcW w:w="6988" w:type="dxa"/>
          </w:tcPr>
          <w:p>
            <w:pPr>
              <w:pStyle w:val="11"/>
              <w:spacing w:before="3"/>
              <w:rPr>
                <w:sz w:val="14"/>
              </w:rPr>
            </w:pPr>
          </w:p>
          <w:p>
            <w:pPr>
              <w:pStyle w:val="11"/>
              <w:spacing w:line="266" w:lineRule="exact"/>
              <w:ind w:left="-2"/>
              <w:rPr>
                <w:sz w:val="21"/>
              </w:rPr>
            </w:pPr>
            <w:r>
              <w:rPr>
                <w:spacing w:val="-6"/>
                <w:sz w:val="21"/>
              </w:rPr>
              <w:t>指因丝虫感染导致淋巴阻塞性出现严重淋巴水肿，达到国际淋巴学会淋巴肿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70" w:type="dxa"/>
          </w:tcPr>
          <w:p>
            <w:pPr>
              <w:pStyle w:val="11"/>
              <w:rPr>
                <w:rFonts w:ascii="Times New Roman"/>
                <w:sz w:val="20"/>
              </w:rPr>
            </w:pPr>
          </w:p>
        </w:tc>
        <w:tc>
          <w:tcPr>
            <w:tcW w:w="1743" w:type="dxa"/>
          </w:tcPr>
          <w:p>
            <w:pPr>
              <w:pStyle w:val="11"/>
              <w:spacing w:before="16" w:line="281" w:lineRule="exact"/>
              <w:ind w:left="181"/>
              <w:rPr>
                <w:sz w:val="22"/>
              </w:rPr>
            </w:pPr>
            <w:r>
              <w:rPr>
                <w:w w:val="95"/>
                <w:sz w:val="22"/>
              </w:rPr>
              <w:t>皮</w:t>
            </w:r>
            <w:r>
              <w:rPr>
                <w:spacing w:val="-10"/>
                <w:sz w:val="22"/>
              </w:rPr>
              <w:t>肿</w:t>
            </w:r>
          </w:p>
        </w:tc>
        <w:tc>
          <w:tcPr>
            <w:tcW w:w="6988" w:type="dxa"/>
          </w:tcPr>
          <w:p>
            <w:pPr>
              <w:pStyle w:val="11"/>
              <w:spacing w:before="26"/>
              <w:ind w:left="-2"/>
              <w:rPr>
                <w:sz w:val="21"/>
              </w:rPr>
            </w:pPr>
            <w:r>
              <w:rPr>
                <w:spacing w:val="-4"/>
                <w:sz w:val="21"/>
              </w:rPr>
              <w:t xml:space="preserve">分期第Ⅲ期，临床表现为肢体象皮肿，患肢较健肢增粗 </w:t>
            </w:r>
            <w:r>
              <w:rPr>
                <w:spacing w:val="-2"/>
                <w:sz w:val="21"/>
              </w:rPr>
              <w:t>30%</w:t>
            </w:r>
            <w:r>
              <w:rPr>
                <w:spacing w:val="-4"/>
                <w:sz w:val="21"/>
              </w:rPr>
              <w:t>以上，日常生活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line="341" w:lineRule="exact"/>
              <w:ind w:left="-2"/>
              <w:rPr>
                <w:rFonts w:ascii="微软雅黑" w:eastAsia="微软雅黑"/>
                <w:b/>
                <w:sz w:val="21"/>
              </w:rPr>
            </w:pPr>
            <w:r>
              <w:rPr>
                <w:spacing w:val="-2"/>
                <w:sz w:val="21"/>
              </w:rPr>
              <w:t>不能自理。</w:t>
            </w:r>
            <w:r>
              <w:rPr>
                <w:rFonts w:ascii="微软雅黑" w:eastAsia="微软雅黑"/>
                <w:b/>
                <w:spacing w:val="-3"/>
                <w:sz w:val="21"/>
              </w:rPr>
              <w:t>此病症须经专科医生根据临床表现和微丝蚴的化验结果确诊。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70" w:type="dxa"/>
          </w:tcPr>
          <w:p>
            <w:pPr>
              <w:pStyle w:val="11"/>
              <w:spacing w:before="173" w:line="281" w:lineRule="exact"/>
              <w:ind w:left="50"/>
              <w:rPr>
                <w:sz w:val="22"/>
              </w:rPr>
            </w:pPr>
            <w:r>
              <w:rPr>
                <w:spacing w:val="-2"/>
                <w:sz w:val="22"/>
              </w:rPr>
              <w:t>8.1.104</w:t>
            </w:r>
          </w:p>
        </w:tc>
        <w:tc>
          <w:tcPr>
            <w:tcW w:w="1743" w:type="dxa"/>
          </w:tcPr>
          <w:p>
            <w:pPr>
              <w:pStyle w:val="11"/>
              <w:spacing w:before="173" w:line="281" w:lineRule="exact"/>
              <w:ind w:left="181"/>
              <w:rPr>
                <w:sz w:val="22"/>
              </w:rPr>
            </w:pPr>
            <w:r>
              <w:rPr>
                <w:w w:val="95"/>
                <w:sz w:val="22"/>
              </w:rPr>
              <w:t>疯牛</w:t>
            </w:r>
            <w:r>
              <w:rPr>
                <w:spacing w:val="-10"/>
                <w:w w:val="95"/>
                <w:sz w:val="22"/>
              </w:rPr>
              <w:t>病</w:t>
            </w:r>
          </w:p>
        </w:tc>
        <w:tc>
          <w:tcPr>
            <w:tcW w:w="6988" w:type="dxa"/>
          </w:tcPr>
          <w:p>
            <w:pPr>
              <w:pStyle w:val="11"/>
              <w:spacing w:before="3"/>
              <w:rPr>
                <w:sz w:val="14"/>
              </w:rPr>
            </w:pPr>
          </w:p>
          <w:p>
            <w:pPr>
              <w:pStyle w:val="11"/>
              <w:ind w:left="-2"/>
              <w:rPr>
                <w:sz w:val="21"/>
              </w:rPr>
            </w:pPr>
            <w:r>
              <w:rPr>
                <w:spacing w:val="-5"/>
                <w:sz w:val="21"/>
              </w:rPr>
              <w:t>是一种传染性海绵状脑病，临床表现为快速进行性痴呆、肌阵挛和特征性脑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1"/>
              <w:ind w:left="-2"/>
              <w:rPr>
                <w:sz w:val="21"/>
              </w:rPr>
            </w:pPr>
            <w:r>
              <w:rPr>
                <w:spacing w:val="-6"/>
                <w:sz w:val="21"/>
              </w:rPr>
              <w:t xml:space="preserve">电图变化。本病须经三级医院的专科医生根据 </w:t>
            </w:r>
            <w:r>
              <w:rPr>
                <w:spacing w:val="-4"/>
                <w:sz w:val="21"/>
              </w:rPr>
              <w:t>WHO</w:t>
            </w:r>
            <w:r>
              <w:rPr>
                <w:spacing w:val="-11"/>
                <w:sz w:val="21"/>
              </w:rPr>
              <w:t xml:space="preserve"> 诊断标准明确诊断，并且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8"/>
                <w:sz w:val="21"/>
              </w:rPr>
              <w:t>被保险人自主生活能力完全丧失，无法独立完成六项基本日常生活活动中的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spacing w:val="-4"/>
                <w:sz w:val="21"/>
              </w:rPr>
              <w:t>三项或三项以上。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color w:val="000000"/>
                <w:spacing w:val="-3"/>
                <w:sz w:val="21"/>
                <w:shd w:val="clear" w:color="auto" w:fill="C0C0C0"/>
              </w:rPr>
              <w:t>疑似病例不在保障范围内。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970" w:type="dxa"/>
          </w:tcPr>
          <w:p>
            <w:pPr>
              <w:pStyle w:val="11"/>
              <w:spacing w:before="173" w:line="276" w:lineRule="exact"/>
              <w:ind w:left="50"/>
              <w:rPr>
                <w:sz w:val="22"/>
              </w:rPr>
            </w:pPr>
            <w:r>
              <w:rPr>
                <w:spacing w:val="-2"/>
                <w:sz w:val="22"/>
              </w:rPr>
              <w:t>8.1.105</w:t>
            </w:r>
          </w:p>
        </w:tc>
        <w:tc>
          <w:tcPr>
            <w:tcW w:w="1743" w:type="dxa"/>
          </w:tcPr>
          <w:p>
            <w:pPr>
              <w:pStyle w:val="11"/>
              <w:spacing w:before="173" w:line="276" w:lineRule="exact"/>
              <w:ind w:left="181"/>
              <w:rPr>
                <w:sz w:val="22"/>
              </w:rPr>
            </w:pPr>
            <w:r>
              <w:rPr>
                <w:spacing w:val="10"/>
                <w:w w:val="95"/>
                <w:sz w:val="22"/>
              </w:rPr>
              <w:t>因器官移植导</w:t>
            </w:r>
          </w:p>
        </w:tc>
        <w:tc>
          <w:tcPr>
            <w:tcW w:w="6988" w:type="dxa"/>
          </w:tcPr>
          <w:p>
            <w:pPr>
              <w:pStyle w:val="11"/>
              <w:spacing w:before="3"/>
              <w:rPr>
                <w:sz w:val="14"/>
              </w:rPr>
            </w:pPr>
          </w:p>
          <w:p>
            <w:pPr>
              <w:pStyle w:val="11"/>
              <w:spacing w:line="266" w:lineRule="exact"/>
              <w:ind w:left="34"/>
              <w:rPr>
                <w:sz w:val="21"/>
              </w:rPr>
            </w:pPr>
            <w:r>
              <w:rPr>
                <w:spacing w:val="-9"/>
                <w:sz w:val="21"/>
              </w:rPr>
              <w:t>指因进行器官移植而感染上人类免疫缺陷病毒</w:t>
            </w:r>
            <w:r>
              <w:rPr>
                <w:spacing w:val="20"/>
                <w:sz w:val="21"/>
              </w:rPr>
              <w:t>（HI</w:t>
            </w:r>
            <w:r>
              <w:rPr>
                <w:spacing w:val="17"/>
                <w:sz w:val="21"/>
              </w:rPr>
              <w:t>V</w:t>
            </w:r>
            <w:r>
              <w:rPr>
                <w:spacing w:val="-86"/>
                <w:sz w:val="21"/>
              </w:rPr>
              <w:t>）</w:t>
            </w:r>
            <w:r>
              <w:rPr>
                <w:spacing w:val="-11"/>
                <w:sz w:val="21"/>
              </w:rPr>
              <w:t>，且须满足下列全部条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70" w:type="dxa"/>
          </w:tcPr>
          <w:p>
            <w:pPr>
              <w:pStyle w:val="11"/>
              <w:rPr>
                <w:rFonts w:ascii="Times New Roman"/>
                <w:sz w:val="20"/>
              </w:rPr>
            </w:pPr>
          </w:p>
        </w:tc>
        <w:tc>
          <w:tcPr>
            <w:tcW w:w="1743" w:type="dxa"/>
          </w:tcPr>
          <w:p>
            <w:pPr>
              <w:pStyle w:val="11"/>
              <w:spacing w:before="16" w:line="276" w:lineRule="exact"/>
              <w:ind w:left="181"/>
              <w:rPr>
                <w:sz w:val="22"/>
              </w:rPr>
            </w:pPr>
            <w:r>
              <w:rPr>
                <w:spacing w:val="10"/>
                <w:w w:val="95"/>
                <w:sz w:val="22"/>
              </w:rPr>
              <w:t>致的人类免疫</w:t>
            </w:r>
          </w:p>
        </w:tc>
        <w:tc>
          <w:tcPr>
            <w:tcW w:w="6988" w:type="dxa"/>
          </w:tcPr>
          <w:p>
            <w:pPr>
              <w:pStyle w:val="11"/>
              <w:spacing w:before="26" w:line="266" w:lineRule="exact"/>
              <w:ind w:left="34"/>
              <w:rPr>
                <w:sz w:val="21"/>
              </w:rPr>
            </w:pPr>
            <w:r>
              <w:rPr>
                <w:spacing w:val="-5"/>
                <w:sz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spacing w:before="16" w:line="276" w:lineRule="exact"/>
              <w:ind w:left="181"/>
              <w:rPr>
                <w:sz w:val="22"/>
              </w:rPr>
            </w:pPr>
            <w:r>
              <w:rPr>
                <w:spacing w:val="17"/>
                <w:sz w:val="22"/>
              </w:rPr>
              <w:t>缺 陷 病 毒</w:t>
            </w:r>
          </w:p>
        </w:tc>
        <w:tc>
          <w:tcPr>
            <w:tcW w:w="6988" w:type="dxa"/>
          </w:tcPr>
          <w:p>
            <w:pPr>
              <w:pStyle w:val="11"/>
              <w:spacing w:before="26" w:line="266" w:lineRule="exact"/>
              <w:ind w:left="34"/>
              <w:rPr>
                <w:sz w:val="21"/>
              </w:rPr>
            </w:pPr>
            <w:r>
              <w:rPr>
                <w:spacing w:val="-2"/>
                <w:sz w:val="21"/>
              </w:rPr>
              <w:t>（1）</w:t>
            </w:r>
            <w:r>
              <w:rPr>
                <w:spacing w:val="-3"/>
                <w:sz w:val="21"/>
              </w:rPr>
              <w:t>在保障起始日或复效日之后，被保险人因治疗必需而实施器官移植，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970" w:type="dxa"/>
          </w:tcPr>
          <w:p>
            <w:pPr>
              <w:pStyle w:val="11"/>
              <w:rPr>
                <w:rFonts w:ascii="Times New Roman"/>
                <w:sz w:val="20"/>
              </w:rPr>
            </w:pPr>
          </w:p>
        </w:tc>
        <w:tc>
          <w:tcPr>
            <w:tcW w:w="1743" w:type="dxa"/>
          </w:tcPr>
          <w:p>
            <w:pPr>
              <w:pStyle w:val="11"/>
              <w:spacing w:before="16" w:line="281" w:lineRule="exact"/>
              <w:ind w:left="181"/>
              <w:rPr>
                <w:sz w:val="22"/>
              </w:rPr>
            </w:pPr>
            <w:r>
              <w:rPr>
                <w:w w:val="95"/>
                <w:sz w:val="22"/>
              </w:rPr>
              <w:t>（HIV）感</w:t>
            </w:r>
            <w:r>
              <w:rPr>
                <w:spacing w:val="-10"/>
                <w:w w:val="95"/>
                <w:sz w:val="22"/>
              </w:rPr>
              <w:t>染</w:t>
            </w:r>
          </w:p>
        </w:tc>
        <w:tc>
          <w:tcPr>
            <w:tcW w:w="6988" w:type="dxa"/>
          </w:tcPr>
          <w:p>
            <w:pPr>
              <w:pStyle w:val="11"/>
              <w:spacing w:before="26"/>
              <w:ind w:left="34"/>
              <w:rPr>
                <w:sz w:val="21"/>
              </w:rPr>
            </w:pPr>
            <w:r>
              <w:rPr>
                <w:spacing w:val="-3"/>
                <w:sz w:val="21"/>
              </w:rPr>
              <w:t>并且因器官移植而感染人类免疫缺陷病毒；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1"/>
              <w:ind w:left="34"/>
              <w:rPr>
                <w:sz w:val="21"/>
              </w:rPr>
            </w:pPr>
            <w:r>
              <w:rPr>
                <w:spacing w:val="-2"/>
                <w:sz w:val="21"/>
              </w:rPr>
              <w:t>（2）</w:t>
            </w:r>
            <w:r>
              <w:rPr>
                <w:spacing w:val="-3"/>
                <w:sz w:val="21"/>
              </w:rPr>
              <w:t>提供器官移植治疗的器官移植中心或医院出具的此次因器官移植感染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34"/>
              <w:rPr>
                <w:sz w:val="21"/>
              </w:rPr>
            </w:pPr>
            <w:r>
              <w:rPr>
                <w:spacing w:val="-11"/>
                <w:sz w:val="21"/>
              </w:rPr>
              <w:t>人类免疫缺陷病毒，属于医疗事故的报告，或者法院终审裁定为医疗事故并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34"/>
              <w:rPr>
                <w:sz w:val="21"/>
              </w:rPr>
            </w:pPr>
            <w:r>
              <w:rPr>
                <w:spacing w:val="-4"/>
                <w:sz w:val="21"/>
              </w:rPr>
              <w:t>且不准上诉；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34"/>
              <w:rPr>
                <w:sz w:val="21"/>
              </w:rPr>
            </w:pPr>
            <w:r>
              <w:rPr>
                <w:spacing w:val="-2"/>
                <w:sz w:val="21"/>
              </w:rPr>
              <w:t>（3）</w:t>
            </w:r>
            <w:r>
              <w:rPr>
                <w:spacing w:val="-3"/>
                <w:sz w:val="21"/>
              </w:rPr>
              <w:t>提供器官移植治疗的器官移植中心或医院必须拥有合法经营执照；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color w:val="000000"/>
                <w:spacing w:val="-4"/>
                <w:sz w:val="21"/>
                <w:shd w:val="clear" w:color="auto" w:fill="C0C0C0"/>
              </w:rPr>
              <w:t>在任何治愈艾滋病（AIDS）</w:t>
            </w:r>
            <w:r>
              <w:rPr>
                <w:color w:val="000000"/>
                <w:spacing w:val="-13"/>
                <w:sz w:val="21"/>
                <w:shd w:val="clear" w:color="auto" w:fill="C0C0C0"/>
              </w:rPr>
              <w:t xml:space="preserve">或阻止 </w:t>
            </w:r>
            <w:r>
              <w:rPr>
                <w:color w:val="000000"/>
                <w:spacing w:val="-4"/>
                <w:sz w:val="21"/>
                <w:shd w:val="clear" w:color="auto" w:fill="C0C0C0"/>
              </w:rPr>
              <w:t>HIV</w:t>
            </w:r>
            <w:r>
              <w:rPr>
                <w:color w:val="000000"/>
                <w:spacing w:val="-10"/>
                <w:sz w:val="21"/>
                <w:shd w:val="clear" w:color="auto" w:fill="C0C0C0"/>
              </w:rPr>
              <w:t xml:space="preserve"> 病毒作用的疗法被发现以后，或能防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color w:val="000000"/>
                <w:spacing w:val="-24"/>
                <w:sz w:val="21"/>
                <w:shd w:val="clear" w:color="auto" w:fill="C0C0C0"/>
              </w:rPr>
              <w:t xml:space="preserve">止 </w:t>
            </w:r>
            <w:r>
              <w:rPr>
                <w:color w:val="000000"/>
                <w:spacing w:val="-2"/>
                <w:sz w:val="21"/>
                <w:shd w:val="clear" w:color="auto" w:fill="C0C0C0"/>
              </w:rPr>
              <w:t>AIDS</w:t>
            </w:r>
            <w:r>
              <w:rPr>
                <w:color w:val="000000"/>
                <w:spacing w:val="-3"/>
                <w:sz w:val="21"/>
                <w:shd w:val="clear" w:color="auto" w:fill="C0C0C0"/>
              </w:rPr>
              <w:t xml:space="preserve"> 发生的医疗方法被研究出来以后，本保障将不再予以赔付。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color w:val="000000"/>
                <w:spacing w:val="-4"/>
                <w:sz w:val="21"/>
                <w:shd w:val="clear" w:color="auto" w:fill="C0C0C0"/>
              </w:rPr>
              <w:t>任何因其他传播方式（包括：性传播或静脉注射毒品）</w:t>
            </w:r>
            <w:r>
              <w:rPr>
                <w:color w:val="000000"/>
                <w:spacing w:val="-14"/>
                <w:sz w:val="21"/>
                <w:shd w:val="clear" w:color="auto" w:fill="C0C0C0"/>
              </w:rPr>
              <w:t xml:space="preserve">导致的 </w:t>
            </w:r>
            <w:r>
              <w:rPr>
                <w:color w:val="000000"/>
                <w:spacing w:val="-4"/>
                <w:sz w:val="21"/>
                <w:shd w:val="clear" w:color="auto" w:fill="C0C0C0"/>
              </w:rPr>
              <w:t>HIV</w:t>
            </w:r>
            <w:r>
              <w:rPr>
                <w:color w:val="000000"/>
                <w:spacing w:val="-13"/>
                <w:sz w:val="21"/>
                <w:shd w:val="clear" w:color="auto" w:fill="C0C0C0"/>
              </w:rPr>
              <w:t xml:space="preserve"> 感染不在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color w:val="000000"/>
                <w:spacing w:val="-10"/>
                <w:sz w:val="21"/>
                <w:shd w:val="clear" w:color="auto" w:fill="C0C0C0"/>
              </w:rPr>
              <w:t>本合同保障范围内。保险公司必须拥有获得使用被保险人的所有血液样本的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1" w:hRule="atLeast"/>
        </w:trPr>
        <w:tc>
          <w:tcPr>
            <w:tcW w:w="970" w:type="dxa"/>
          </w:tcPr>
          <w:p>
            <w:pPr>
              <w:pStyle w:val="11"/>
              <w:rPr>
                <w:rFonts w:ascii="Times New Roman"/>
                <w:sz w:val="20"/>
              </w:rPr>
            </w:pPr>
          </w:p>
        </w:tc>
        <w:tc>
          <w:tcPr>
            <w:tcW w:w="1743" w:type="dxa"/>
          </w:tcPr>
          <w:p>
            <w:pPr>
              <w:pStyle w:val="11"/>
              <w:rPr>
                <w:rFonts w:ascii="Times New Roman"/>
                <w:sz w:val="20"/>
              </w:rPr>
            </w:pPr>
          </w:p>
        </w:tc>
        <w:tc>
          <w:tcPr>
            <w:tcW w:w="6988" w:type="dxa"/>
          </w:tcPr>
          <w:p>
            <w:pPr>
              <w:pStyle w:val="11"/>
              <w:spacing w:before="22"/>
              <w:ind w:left="-2"/>
              <w:rPr>
                <w:sz w:val="21"/>
              </w:rPr>
            </w:pPr>
            <w:r>
              <w:rPr>
                <w:color w:val="000000"/>
                <w:spacing w:val="-3"/>
                <w:sz w:val="21"/>
                <w:shd w:val="clear" w:color="auto" w:fill="C0C0C0"/>
              </w:rPr>
              <w:t>权利和能够对这些样本进行独立检验的权利。</w:t>
            </w:r>
          </w:p>
          <w:p>
            <w:pPr>
              <w:pStyle w:val="11"/>
              <w:spacing w:before="21" w:line="220" w:lineRule="exact"/>
              <w:ind w:left="-2"/>
              <w:rPr>
                <w:sz w:val="21"/>
              </w:rPr>
            </w:pPr>
            <w:r>
              <w:rPr>
                <w:spacing w:val="-5"/>
                <w:sz w:val="21"/>
              </w:rPr>
              <w:t>我们承担本项疾病责任不受本合同“责任免除”中“被保险人感染艾滋病病</w:t>
            </w:r>
          </w:p>
        </w:tc>
      </w:tr>
    </w:tbl>
    <w:p>
      <w:pPr>
        <w:rPr>
          <w:sz w:val="2"/>
          <w:szCs w:val="2"/>
        </w:rPr>
      </w:pPr>
      <w:r>
        <w:drawing>
          <wp:anchor distT="0" distB="0" distL="0" distR="0" simplePos="0" relativeHeight="251721728" behindDoc="1" locked="0" layoutInCell="1" allowOverlap="1">
            <wp:simplePos x="0" y="0"/>
            <wp:positionH relativeFrom="page">
              <wp:posOffset>2517775</wp:posOffset>
            </wp:positionH>
            <wp:positionV relativeFrom="page">
              <wp:posOffset>951230</wp:posOffset>
            </wp:positionV>
            <wp:extent cx="4366260" cy="385445"/>
            <wp:effectExtent l="0" t="0" r="0" b="0"/>
            <wp:wrapNone/>
            <wp:docPr id="8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0.png"/>
                    <pic:cNvPicPr>
                      <a:picLocks noChangeAspect="1"/>
                    </pic:cNvPicPr>
                  </pic:nvPicPr>
                  <pic:blipFill>
                    <a:blip r:embed="rId36" cstate="print"/>
                    <a:stretch>
                      <a:fillRect/>
                    </a:stretch>
                  </pic:blipFill>
                  <pic:spPr>
                    <a:xfrm>
                      <a:off x="0" y="0"/>
                      <a:ext cx="4366083" cy="385762"/>
                    </a:xfrm>
                    <a:prstGeom prst="rect">
                      <a:avLst/>
                    </a:prstGeom>
                  </pic:spPr>
                </pic:pic>
              </a:graphicData>
            </a:graphic>
          </wp:anchor>
        </w:drawing>
      </w:r>
    </w:p>
    <w:p>
      <w:pPr>
        <w:spacing w:after="0"/>
        <w:rPr>
          <w:sz w:val="2"/>
          <w:szCs w:val="2"/>
        </w:rPr>
        <w:sectPr>
          <w:type w:val="continuous"/>
          <w:pgSz w:w="11910" w:h="16840"/>
          <w:pgMar w:top="1480" w:right="660" w:bottom="1260" w:left="580" w:header="0" w:footer="1060" w:gutter="0"/>
          <w:cols w:space="720" w:num="1"/>
        </w:sectPr>
      </w:pPr>
    </w:p>
    <w:p>
      <w:pPr>
        <w:pStyle w:val="6"/>
        <w:spacing w:before="60"/>
        <w:ind w:left="3385"/>
      </w:pPr>
      <w:r>
        <w:rPr>
          <w:spacing w:val="-3"/>
        </w:rPr>
        <w:t>毒或患艾滋病”的限制。</w:t>
      </w:r>
    </w:p>
    <w:p>
      <w:pPr>
        <w:pStyle w:val="6"/>
        <w:spacing w:before="6"/>
        <w:rPr>
          <w:sz w:val="25"/>
        </w:rPr>
      </w:pPr>
    </w:p>
    <w:p>
      <w:pPr>
        <w:pStyle w:val="10"/>
        <w:numPr>
          <w:ilvl w:val="2"/>
          <w:numId w:val="34"/>
        </w:numPr>
        <w:tabs>
          <w:tab w:val="left" w:pos="1826"/>
        </w:tabs>
        <w:spacing w:before="0" w:after="0" w:line="276" w:lineRule="auto"/>
        <w:ind w:left="3385" w:right="407" w:hanging="2662"/>
        <w:jc w:val="both"/>
        <w:rPr>
          <w:sz w:val="21"/>
        </w:rPr>
      </w:pPr>
      <w:r>
        <w:rPr>
          <w:sz w:val="22"/>
        </w:rPr>
        <w:t xml:space="preserve">席汉氏综合征 </w:t>
      </w:r>
      <w:r>
        <w:rPr>
          <w:sz w:val="21"/>
        </w:rPr>
        <w:t>指因产后大出血并发休克、全身循环衰竭、弥漫性血管内凝血导致脑垂体缺</w:t>
      </w:r>
      <w:r>
        <w:rPr>
          <w:spacing w:val="-2"/>
          <w:sz w:val="21"/>
        </w:rPr>
        <w:t>血坏死和垂体分泌激素不足，造成性腺、甲状腺、肾上腺皮质功能减退。必须满足下列所有条件：</w:t>
      </w:r>
    </w:p>
    <w:p>
      <w:pPr>
        <w:pStyle w:val="10"/>
        <w:numPr>
          <w:ilvl w:val="0"/>
          <w:numId w:val="35"/>
        </w:numPr>
        <w:tabs>
          <w:tab w:val="left" w:pos="3915"/>
        </w:tabs>
        <w:spacing w:before="3" w:after="0" w:line="240" w:lineRule="auto"/>
        <w:ind w:left="3914" w:right="0" w:hanging="530"/>
        <w:jc w:val="left"/>
        <w:rPr>
          <w:sz w:val="21"/>
        </w:rPr>
      </w:pPr>
      <w:r>
        <w:rPr>
          <w:spacing w:val="-3"/>
          <w:sz w:val="21"/>
        </w:rPr>
        <w:t>产后大出血休克病史；</w:t>
      </w:r>
    </w:p>
    <w:p>
      <w:pPr>
        <w:pStyle w:val="10"/>
        <w:numPr>
          <w:ilvl w:val="0"/>
          <w:numId w:val="35"/>
        </w:numPr>
        <w:tabs>
          <w:tab w:val="left" w:pos="3915"/>
        </w:tabs>
        <w:spacing w:before="43" w:after="0" w:line="240" w:lineRule="auto"/>
        <w:ind w:left="3914" w:right="0" w:hanging="530"/>
        <w:jc w:val="left"/>
        <w:rPr>
          <w:sz w:val="21"/>
        </w:rPr>
      </w:pPr>
      <w:r>
        <w:rPr>
          <w:spacing w:val="-2"/>
          <w:sz w:val="21"/>
        </w:rPr>
        <w:t>严重腺垂体功能破坏，破坏程度&gt;95%；</w:t>
      </w:r>
    </w:p>
    <w:p>
      <w:pPr>
        <w:pStyle w:val="10"/>
        <w:numPr>
          <w:ilvl w:val="0"/>
          <w:numId w:val="35"/>
        </w:numPr>
        <w:tabs>
          <w:tab w:val="left" w:pos="3915"/>
        </w:tabs>
        <w:spacing w:before="43" w:after="0" w:line="240" w:lineRule="auto"/>
        <w:ind w:left="3914" w:right="0" w:hanging="530"/>
        <w:jc w:val="left"/>
        <w:rPr>
          <w:sz w:val="21"/>
        </w:rPr>
      </w:pPr>
      <w:r>
        <w:rPr>
          <w:spacing w:val="-3"/>
          <w:sz w:val="21"/>
        </w:rPr>
        <w:t>影像学检查显示脑垂体严重萎缩或消失；</w:t>
      </w:r>
    </w:p>
    <w:p>
      <w:pPr>
        <w:pStyle w:val="10"/>
        <w:numPr>
          <w:ilvl w:val="0"/>
          <w:numId w:val="35"/>
        </w:numPr>
        <w:tabs>
          <w:tab w:val="left" w:pos="3915"/>
        </w:tabs>
        <w:spacing w:before="43" w:after="0" w:line="240" w:lineRule="auto"/>
        <w:ind w:left="3914" w:right="0" w:hanging="530"/>
        <w:jc w:val="left"/>
        <w:rPr>
          <w:sz w:val="21"/>
        </w:rPr>
      </w:pPr>
      <w:r>
        <w:rPr>
          <w:spacing w:val="-4"/>
          <w:sz w:val="21"/>
        </w:rPr>
        <w:t>实验室检查显示：</w:t>
      </w:r>
    </w:p>
    <w:p>
      <w:pPr>
        <w:pStyle w:val="6"/>
        <w:spacing w:before="43" w:line="278" w:lineRule="auto"/>
        <w:ind w:left="3385" w:right="303"/>
      </w:pPr>
      <w:r>
        <w:rPr>
          <w:spacing w:val="-8"/>
        </w:rPr>
        <w:t>①垂体前叶激素全面低下</w:t>
      </w:r>
      <w:r>
        <w:rPr>
          <w:spacing w:val="-2"/>
        </w:rPr>
        <w:t>（</w:t>
      </w:r>
      <w:r>
        <w:rPr>
          <w:spacing w:val="-13"/>
        </w:rPr>
        <w:t>包括生长激素、促甲状腺素、促肾上腺皮质激素、</w:t>
      </w:r>
      <w:r>
        <w:rPr>
          <w:spacing w:val="-2"/>
        </w:rPr>
        <w:t>卵泡刺激素和黄体生成素</w:t>
      </w:r>
      <w:r>
        <w:rPr>
          <w:spacing w:val="-108"/>
        </w:rPr>
        <w:t>）</w:t>
      </w:r>
      <w:r>
        <w:rPr>
          <w:spacing w:val="-1"/>
        </w:rPr>
        <w:t>；和</w:t>
      </w:r>
    </w:p>
    <w:p>
      <w:pPr>
        <w:pStyle w:val="6"/>
        <w:spacing w:line="269" w:lineRule="exact"/>
        <w:ind w:left="3385"/>
      </w:pPr>
      <w:r>
        <w:rPr>
          <w:spacing w:val="-3"/>
        </w:rPr>
        <w:t>②性激素、甲状腺素、肾上腺皮质激素全面低下；</w:t>
      </w:r>
    </w:p>
    <w:p>
      <w:pPr>
        <w:pStyle w:val="10"/>
        <w:numPr>
          <w:ilvl w:val="0"/>
          <w:numId w:val="35"/>
        </w:numPr>
        <w:tabs>
          <w:tab w:val="left" w:pos="3951"/>
        </w:tabs>
        <w:spacing w:before="43" w:after="0" w:line="278" w:lineRule="auto"/>
        <w:ind w:left="3421" w:right="408" w:firstLine="0"/>
        <w:jc w:val="left"/>
        <w:rPr>
          <w:sz w:val="21"/>
        </w:rPr>
      </w:pPr>
      <w:r>
        <w:rPr>
          <w:spacing w:val="-2"/>
          <w:sz w:val="21"/>
        </w:rPr>
        <w:t>需要终身激素替代治疗以维持身体功能，持续服用各种替代激素超过</w:t>
      </w:r>
      <w:r>
        <w:rPr>
          <w:spacing w:val="-4"/>
          <w:sz w:val="21"/>
        </w:rPr>
        <w:t>一年。</w:t>
      </w:r>
    </w:p>
    <w:p>
      <w:pPr>
        <w:pStyle w:val="6"/>
        <w:rPr>
          <w:sz w:val="18"/>
        </w:rPr>
      </w:pPr>
    </w:p>
    <w:p>
      <w:pPr>
        <w:spacing w:after="0"/>
        <w:rPr>
          <w:sz w:val="18"/>
        </w:rPr>
        <w:sectPr>
          <w:pgSz w:w="11910" w:h="16840"/>
          <w:pgMar w:top="1420" w:right="660" w:bottom="1260" w:left="580" w:header="0" w:footer="1060" w:gutter="0"/>
          <w:cols w:space="720" w:num="1"/>
        </w:sectPr>
      </w:pPr>
    </w:p>
    <w:p>
      <w:pPr>
        <w:pStyle w:val="4"/>
        <w:numPr>
          <w:ilvl w:val="2"/>
          <w:numId w:val="34"/>
        </w:numPr>
        <w:tabs>
          <w:tab w:val="left" w:pos="1825"/>
          <w:tab w:val="left" w:pos="1826"/>
        </w:tabs>
        <w:spacing w:before="71" w:after="0" w:line="240" w:lineRule="auto"/>
        <w:ind w:left="1825" w:right="0" w:hanging="1103"/>
        <w:jc w:val="left"/>
      </w:pPr>
      <w:r>
        <w:rPr>
          <w:spacing w:val="14"/>
          <w:w w:val="95"/>
        </w:rPr>
        <w:t>侵蚀性葡萄</w:t>
      </w:r>
      <w:r>
        <w:rPr>
          <w:spacing w:val="-10"/>
          <w:w w:val="95"/>
        </w:rPr>
        <w:t>胎</w:t>
      </w:r>
    </w:p>
    <w:p>
      <w:pPr>
        <w:spacing w:before="30" w:line="266" w:lineRule="auto"/>
        <w:ind w:left="1825" w:right="0" w:firstLine="0"/>
        <w:jc w:val="left"/>
        <w:rPr>
          <w:sz w:val="22"/>
        </w:rPr>
      </w:pPr>
      <w:r>
        <w:rPr>
          <w:spacing w:val="12"/>
          <w:w w:val="95"/>
          <w:sz w:val="22"/>
        </w:rPr>
        <w:t>（</w:t>
      </w:r>
      <w:r>
        <w:rPr>
          <w:spacing w:val="9"/>
          <w:w w:val="95"/>
          <w:sz w:val="22"/>
        </w:rPr>
        <w:t>或称恶性葡</w:t>
      </w:r>
      <w:r>
        <w:rPr>
          <w:spacing w:val="-4"/>
          <w:sz w:val="22"/>
        </w:rPr>
        <w:t>萄胎）</w:t>
      </w:r>
    </w:p>
    <w:p>
      <w:pPr>
        <w:pStyle w:val="6"/>
        <w:spacing w:before="81" w:line="278" w:lineRule="auto"/>
        <w:ind w:left="210" w:right="409"/>
      </w:pPr>
      <w:r>
        <w:br w:type="column"/>
      </w:r>
      <w:r>
        <w:rPr>
          <w:spacing w:val="-2"/>
        </w:rPr>
        <w:t>该类疾病是指异常增生的绒毛组织浸润性生长浸入子宫肌层或转移至其他器官或组织的葡萄胎，并已经进行化疗或手术治疗的。</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spacing w:before="9"/>
        <w:rPr>
          <w:sz w:val="18"/>
        </w:rPr>
      </w:pPr>
    </w:p>
    <w:p>
      <w:pPr>
        <w:pStyle w:val="10"/>
        <w:numPr>
          <w:ilvl w:val="2"/>
          <w:numId w:val="34"/>
        </w:numPr>
        <w:tabs>
          <w:tab w:val="left" w:pos="1825"/>
          <w:tab w:val="left" w:pos="1826"/>
          <w:tab w:val="left" w:pos="3385"/>
        </w:tabs>
        <w:spacing w:before="71" w:after="0" w:line="273" w:lineRule="auto"/>
        <w:ind w:left="3385" w:right="409" w:hanging="2662"/>
        <w:jc w:val="left"/>
        <w:rPr>
          <w:sz w:val="21"/>
        </w:rPr>
      </w:pPr>
      <w:r>
        <w:rPr>
          <w:spacing w:val="-4"/>
          <w:sz w:val="22"/>
        </w:rPr>
        <w:t>脑型疟疾</w:t>
      </w:r>
      <w:r>
        <w:rPr>
          <w:sz w:val="22"/>
        </w:rPr>
        <w:tab/>
      </w:r>
      <w:r>
        <w:rPr>
          <w:spacing w:val="-2"/>
          <w:sz w:val="21"/>
        </w:rPr>
        <w:t>恶性疟原虫严重感染导致的脑病或脑型疟疾，以昏迷为主要特征。脑型疟疾的诊断须由专科医生确认，且外周血涂片存在恶性疟原虫。</w:t>
      </w:r>
    </w:p>
    <w:p>
      <w:pPr>
        <w:pStyle w:val="6"/>
        <w:spacing w:before="6"/>
        <w:ind w:left="3421"/>
      </w:pPr>
      <w:r>
        <w:rPr>
          <w:color w:val="000000"/>
          <w:spacing w:val="-3"/>
          <w:shd w:val="clear" w:color="auto" w:fill="C0C0C0"/>
        </w:rPr>
        <w:t>其他明确病因导致的脑病不在保障范围内。</w:t>
      </w:r>
    </w:p>
    <w:p>
      <w:pPr>
        <w:pStyle w:val="6"/>
        <w:spacing w:before="12"/>
        <w:rPr>
          <w:sz w:val="26"/>
        </w:rPr>
      </w:pPr>
    </w:p>
    <w:p>
      <w:pPr>
        <w:pStyle w:val="10"/>
        <w:numPr>
          <w:ilvl w:val="2"/>
          <w:numId w:val="34"/>
        </w:numPr>
        <w:tabs>
          <w:tab w:val="left" w:pos="1826"/>
        </w:tabs>
        <w:spacing w:before="0" w:after="0" w:line="278" w:lineRule="auto"/>
        <w:ind w:left="3385" w:right="378" w:hanging="2662"/>
        <w:jc w:val="both"/>
        <w:rPr>
          <w:sz w:val="21"/>
        </w:rPr>
      </w:pPr>
      <w:r>
        <w:rPr>
          <w:sz w:val="22"/>
        </w:rPr>
        <w:t>额颞叶痴呆</w:t>
      </w:r>
      <w:r>
        <w:rPr>
          <w:spacing w:val="285"/>
          <w:sz w:val="22"/>
        </w:rPr>
        <w:t xml:space="preserve"> </w:t>
      </w:r>
      <w:r>
        <w:rPr>
          <w:sz w:val="21"/>
        </w:rPr>
        <w:t>指一组以额颞叶萎缩为特征的痴呆综合征，临床以明显的人格、行为改变和</w:t>
      </w:r>
      <w:r>
        <w:rPr>
          <w:spacing w:val="-2"/>
          <w:sz w:val="21"/>
        </w:rPr>
        <w:t>认知障碍为特征。被保险人自主生活能力完全丧失，无法独立完成六项基本日常生活活动中的三项或三项以上，日常生活必须持续受到他人监护。导致痴呆的疾病必须明确诊断，并且有完整的临床、实验室和影像学检查结果证</w:t>
      </w:r>
      <w:r>
        <w:rPr>
          <w:spacing w:val="-6"/>
          <w:sz w:val="21"/>
        </w:rPr>
        <w:t>实。</w:t>
      </w:r>
    </w:p>
    <w:p>
      <w:pPr>
        <w:pStyle w:val="6"/>
        <w:spacing w:line="264" w:lineRule="exact"/>
        <w:ind w:left="3385"/>
      </w:pPr>
      <w:r>
        <w:rPr>
          <w:color w:val="000000"/>
          <w:spacing w:val="-3"/>
          <w:shd w:val="clear" w:color="auto" w:fill="C0C0C0"/>
        </w:rPr>
        <w:t>神经官能症，精神疾病及酒精中毒所致脑损害不在保障范围内。</w:t>
      </w:r>
    </w:p>
    <w:p>
      <w:pPr>
        <w:pStyle w:val="6"/>
        <w:spacing w:before="4"/>
      </w:pPr>
    </w:p>
    <w:p>
      <w:pPr>
        <w:spacing w:after="0"/>
        <w:sectPr>
          <w:type w:val="continuous"/>
          <w:pgSz w:w="11910" w:h="16840"/>
          <w:pgMar w:top="280" w:right="660" w:bottom="280" w:left="580" w:header="0" w:footer="1060" w:gutter="0"/>
          <w:cols w:space="720" w:num="1"/>
        </w:sectPr>
      </w:pPr>
    </w:p>
    <w:p>
      <w:pPr>
        <w:pStyle w:val="4"/>
        <w:numPr>
          <w:ilvl w:val="2"/>
          <w:numId w:val="34"/>
        </w:numPr>
        <w:tabs>
          <w:tab w:val="left" w:pos="1825"/>
          <w:tab w:val="left" w:pos="1826"/>
        </w:tabs>
        <w:spacing w:before="72" w:after="0" w:line="240" w:lineRule="auto"/>
        <w:ind w:left="1825" w:right="0" w:hanging="1103"/>
        <w:jc w:val="left"/>
      </w:pPr>
      <w:r>
        <w:rPr>
          <w:spacing w:val="14"/>
          <w:w w:val="95"/>
        </w:rPr>
        <w:t>进行性风疹</w:t>
      </w:r>
      <w:r>
        <w:rPr>
          <w:spacing w:val="-10"/>
          <w:w w:val="95"/>
        </w:rPr>
        <w:t>性</w:t>
      </w:r>
    </w:p>
    <w:p>
      <w:pPr>
        <w:spacing w:before="30"/>
        <w:ind w:left="1825" w:right="0" w:firstLine="0"/>
        <w:jc w:val="left"/>
        <w:rPr>
          <w:sz w:val="22"/>
        </w:rPr>
      </w:pPr>
      <w:r>
        <w:rPr>
          <w:w w:val="95"/>
          <w:sz w:val="22"/>
        </w:rPr>
        <w:t>全脑</w:t>
      </w:r>
      <w:r>
        <w:rPr>
          <w:spacing w:val="-10"/>
          <w:w w:val="95"/>
          <w:sz w:val="22"/>
        </w:rPr>
        <w:t>炎</w:t>
      </w:r>
    </w:p>
    <w:p>
      <w:pPr>
        <w:pStyle w:val="6"/>
        <w:spacing w:before="82" w:line="278" w:lineRule="auto"/>
        <w:ind w:left="174" w:right="377"/>
      </w:pPr>
      <w:r>
        <w:br w:type="column"/>
      </w:r>
      <w:r>
        <w:rPr>
          <w:spacing w:val="-4"/>
        </w:rPr>
        <w:t xml:space="preserve">指由风疹病毒感染引起的儿童和青少年的慢性脑炎。疾病确诊 </w:t>
      </w:r>
      <w:r>
        <w:rPr>
          <w:spacing w:val="-2"/>
        </w:rPr>
        <w:t>180</w:t>
      </w:r>
      <w:r>
        <w:rPr>
          <w:spacing w:val="-7"/>
        </w:rPr>
        <w:t xml:space="preserve"> 天后，仍</w:t>
      </w:r>
      <w:r>
        <w:rPr>
          <w:spacing w:val="-2"/>
        </w:rPr>
        <w:t>遗留下列一种或一种以上障碍：</w:t>
      </w:r>
    </w:p>
    <w:p>
      <w:pPr>
        <w:pStyle w:val="10"/>
        <w:numPr>
          <w:ilvl w:val="0"/>
          <w:numId w:val="36"/>
        </w:numPr>
        <w:tabs>
          <w:tab w:val="left" w:pos="705"/>
        </w:tabs>
        <w:spacing w:before="0" w:after="0" w:line="269" w:lineRule="exact"/>
        <w:ind w:left="704" w:right="0" w:hanging="531"/>
        <w:jc w:val="left"/>
        <w:rPr>
          <w:sz w:val="21"/>
        </w:rPr>
      </w:pPr>
      <w:r>
        <w:rPr>
          <w:spacing w:val="-3"/>
          <w:sz w:val="21"/>
        </w:rPr>
        <w:t>一肢或一肢以上肢体机能完全丧失；</w:t>
      </w:r>
    </w:p>
    <w:p>
      <w:pPr>
        <w:pStyle w:val="10"/>
        <w:numPr>
          <w:ilvl w:val="0"/>
          <w:numId w:val="36"/>
        </w:numPr>
        <w:tabs>
          <w:tab w:val="left" w:pos="705"/>
        </w:tabs>
        <w:spacing w:before="43" w:after="0" w:line="240" w:lineRule="auto"/>
        <w:ind w:left="704" w:right="0" w:hanging="531"/>
        <w:jc w:val="left"/>
        <w:rPr>
          <w:sz w:val="21"/>
        </w:rPr>
      </w:pPr>
      <w:r>
        <w:rPr>
          <w:spacing w:val="-3"/>
          <w:sz w:val="21"/>
        </w:rPr>
        <w:t>语言能力完全丧失，或严重咀嚼吞咽功能障碍；</w:t>
      </w:r>
    </w:p>
    <w:p>
      <w:pPr>
        <w:pStyle w:val="10"/>
        <w:numPr>
          <w:ilvl w:val="0"/>
          <w:numId w:val="36"/>
        </w:numPr>
        <w:tabs>
          <w:tab w:val="left" w:pos="705"/>
        </w:tabs>
        <w:spacing w:before="43" w:after="0" w:line="278" w:lineRule="auto"/>
        <w:ind w:left="174" w:right="449" w:firstLine="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280" w:right="660" w:bottom="280" w:left="580" w:header="0" w:footer="1060" w:gutter="0"/>
          <w:cols w:equalWidth="0" w:num="2">
            <w:col w:w="3171" w:space="40"/>
            <w:col w:w="7459"/>
          </w:cols>
        </w:sectPr>
      </w:pPr>
    </w:p>
    <w:p>
      <w:pPr>
        <w:pStyle w:val="6"/>
        <w:spacing w:before="10"/>
        <w:rPr>
          <w:sz w:val="18"/>
        </w:rPr>
      </w:pPr>
    </w:p>
    <w:p>
      <w:pPr>
        <w:spacing w:after="0"/>
        <w:rPr>
          <w:sz w:val="18"/>
        </w:rPr>
        <w:sectPr>
          <w:type w:val="continuous"/>
          <w:pgSz w:w="11910" w:h="16840"/>
          <w:pgMar w:top="280" w:right="660" w:bottom="280" w:left="580" w:header="0" w:footer="1060" w:gutter="0"/>
          <w:cols w:space="720" w:num="1"/>
        </w:sectPr>
      </w:pPr>
    </w:p>
    <w:p>
      <w:pPr>
        <w:pStyle w:val="5"/>
        <w:numPr>
          <w:ilvl w:val="1"/>
          <w:numId w:val="37"/>
        </w:numPr>
        <w:tabs>
          <w:tab w:val="left" w:pos="1825"/>
          <w:tab w:val="left" w:pos="1826"/>
        </w:tabs>
        <w:spacing w:before="57" w:after="0" w:line="194" w:lineRule="auto"/>
        <w:ind w:left="1825" w:right="0" w:hanging="1102"/>
        <w:jc w:val="left"/>
      </w:pPr>
      <w:r>
        <w:rPr>
          <w:spacing w:val="10"/>
        </w:rPr>
        <w:t>中症疾病的定</w:t>
      </w:r>
      <w:r>
        <w:rPr>
          <w:spacing w:val="-10"/>
        </w:rPr>
        <w:t>义</w:t>
      </w:r>
    </w:p>
    <w:p>
      <w:pPr>
        <w:pStyle w:val="6"/>
        <w:spacing w:before="79" w:line="266" w:lineRule="auto"/>
        <w:ind w:left="174" w:right="409"/>
      </w:pPr>
      <w:r>
        <w:br w:type="column"/>
      </w:r>
      <w:r>
        <w:rPr>
          <w:spacing w:val="-3"/>
        </w:rPr>
        <w:t xml:space="preserve">本合同所定义的中症疾病共有 </w:t>
      </w:r>
      <w:r>
        <w:t>20</w:t>
      </w:r>
      <w:r>
        <w:rPr>
          <w:spacing w:val="-12"/>
        </w:rPr>
        <w:t xml:space="preserve"> 种。</w:t>
      </w:r>
      <w:r>
        <w:rPr>
          <w:color w:val="000000"/>
          <w:shd w:val="clear" w:color="auto" w:fill="C0C0C0"/>
        </w:rPr>
        <w:t>中症疾病为我们自行制定的疾病种类</w:t>
      </w:r>
      <w:r>
        <w:rPr>
          <w:color w:val="000000"/>
          <w:spacing w:val="-2"/>
          <w:shd w:val="clear" w:color="auto" w:fill="C0C0C0"/>
        </w:rPr>
        <w:t>及疾病定义。</w:t>
      </w:r>
    </w:p>
    <w:p>
      <w:pPr>
        <w:spacing w:after="0" w:line="266" w:lineRule="auto"/>
        <w:sectPr>
          <w:type w:val="continuous"/>
          <w:pgSz w:w="11910" w:h="16840"/>
          <w:pgMar w:top="280" w:right="660" w:bottom="280" w:left="580" w:header="0" w:footer="1060" w:gutter="0"/>
          <w:cols w:equalWidth="0" w:num="2">
            <w:col w:w="3171" w:space="40"/>
            <w:col w:w="7459"/>
          </w:cols>
        </w:sectPr>
      </w:pPr>
    </w:p>
    <w:p>
      <w:pPr>
        <w:pStyle w:val="6"/>
        <w:spacing w:before="11"/>
        <w:rPr>
          <w:sz w:val="18"/>
        </w:rPr>
      </w:pPr>
    </w:p>
    <w:p>
      <w:pPr>
        <w:pStyle w:val="10"/>
        <w:numPr>
          <w:ilvl w:val="2"/>
          <w:numId w:val="37"/>
        </w:numPr>
        <w:tabs>
          <w:tab w:val="left" w:pos="1825"/>
          <w:tab w:val="left" w:pos="1826"/>
          <w:tab w:val="left" w:pos="3385"/>
        </w:tabs>
        <w:spacing w:before="72" w:after="0" w:line="240" w:lineRule="auto"/>
        <w:ind w:left="1825" w:right="0" w:hanging="1103"/>
        <w:jc w:val="left"/>
        <w:rPr>
          <w:sz w:val="21"/>
        </w:rPr>
      </w:pPr>
      <w:r>
        <w:rPr>
          <w:w w:val="95"/>
          <w:sz w:val="22"/>
        </w:rPr>
        <w:t>重症头部外</w:t>
      </w:r>
      <w:r>
        <w:rPr>
          <w:spacing w:val="-10"/>
          <w:w w:val="95"/>
          <w:sz w:val="22"/>
        </w:rPr>
        <w:t>伤</w:t>
      </w:r>
      <w:r>
        <w:rPr>
          <w:sz w:val="22"/>
        </w:rPr>
        <w:tab/>
      </w:r>
      <w:r>
        <w:rPr>
          <w:spacing w:val="-4"/>
          <w:sz w:val="21"/>
        </w:rPr>
        <w:t>指因头部遭受机械性外力伤害，引起脑重要部位损伤，并且由头颅断层扫</w:t>
      </w:r>
      <w:r>
        <w:rPr>
          <w:spacing w:val="-10"/>
          <w:sz w:val="21"/>
        </w:rPr>
        <w:t>描</w:t>
      </w:r>
    </w:p>
    <w:p>
      <w:pPr>
        <w:pStyle w:val="6"/>
        <w:spacing w:before="40" w:line="278" w:lineRule="auto"/>
        <w:ind w:left="3385" w:right="303"/>
      </w:pPr>
      <w:r>
        <w:rPr>
          <w:spacing w:val="27"/>
        </w:rPr>
        <w:t>（</w:t>
      </w:r>
      <w:r>
        <w:rPr>
          <w:spacing w:val="21"/>
        </w:rPr>
        <w:t>C</w:t>
      </w:r>
      <w:r>
        <w:rPr>
          <w:spacing w:val="24"/>
        </w:rPr>
        <w:t>T</w:t>
      </w:r>
      <w:r>
        <w:rPr>
          <w:spacing w:val="-82"/>
        </w:rPr>
        <w:t>）</w:t>
      </w:r>
      <w:r>
        <w:rPr>
          <w:spacing w:val="-2"/>
        </w:rPr>
        <w:t>、核磁共振检查（MRI）或正电子发射断层扫描（PET）等影像学检查</w:t>
      </w:r>
      <w:r>
        <w:rPr>
          <w:spacing w:val="-15"/>
        </w:rPr>
        <w:t>证实。头部外伤导致神经系统功能障碍，虽然未达到重大疾病“严重脑损伤”</w:t>
      </w:r>
      <w:r>
        <w:rPr>
          <w:spacing w:val="-2"/>
        </w:rPr>
        <w:t>的给付标准，但是符合以下条件之一：</w:t>
      </w:r>
    </w:p>
    <w:p>
      <w:pPr>
        <w:spacing w:after="0" w:line="278" w:lineRule="auto"/>
        <w:sectPr>
          <w:type w:val="continuous"/>
          <w:pgSz w:w="11910" w:h="16840"/>
          <w:pgMar w:top="280" w:right="660" w:bottom="280" w:left="580" w:header="0" w:footer="1060" w:gutter="0"/>
          <w:cols w:space="720" w:num="1"/>
        </w:sectPr>
      </w:pPr>
    </w:p>
    <w:p>
      <w:pPr>
        <w:pStyle w:val="10"/>
        <w:numPr>
          <w:ilvl w:val="3"/>
          <w:numId w:val="37"/>
        </w:numPr>
        <w:tabs>
          <w:tab w:val="left" w:pos="3915"/>
        </w:tabs>
        <w:spacing w:before="42" w:after="0" w:line="240" w:lineRule="auto"/>
        <w:ind w:left="3914" w:right="0" w:hanging="530"/>
        <w:jc w:val="left"/>
        <w:rPr>
          <w:sz w:val="21"/>
        </w:rPr>
      </w:pPr>
      <w:r>
        <w:rPr>
          <w:spacing w:val="-2"/>
          <w:sz w:val="21"/>
        </w:rPr>
        <w:t>被保险人接受了全麻下颅骨切开颅内血肿清除术（颅骨钻孔术除外</w:t>
      </w:r>
      <w:r>
        <w:rPr>
          <w:spacing w:val="-111"/>
          <w:sz w:val="21"/>
        </w:rPr>
        <w:t>）</w:t>
      </w:r>
      <w:r>
        <w:rPr>
          <w:spacing w:val="-5"/>
          <w:sz w:val="21"/>
        </w:rPr>
        <w:t>；</w:t>
      </w:r>
    </w:p>
    <w:p>
      <w:pPr>
        <w:pStyle w:val="10"/>
        <w:numPr>
          <w:ilvl w:val="3"/>
          <w:numId w:val="37"/>
        </w:numPr>
        <w:tabs>
          <w:tab w:val="left" w:pos="3915"/>
        </w:tabs>
        <w:spacing w:before="50" w:after="0" w:line="266" w:lineRule="auto"/>
        <w:ind w:left="3385" w:right="408" w:firstLine="0"/>
        <w:jc w:val="left"/>
        <w:rPr>
          <w:sz w:val="21"/>
        </w:rPr>
      </w:pPr>
      <w:r>
        <w:rPr>
          <w:spacing w:val="-9"/>
          <w:sz w:val="21"/>
        </w:rPr>
        <w:t xml:space="preserve">在外伤 </w:t>
      </w:r>
      <w:r>
        <w:rPr>
          <w:sz w:val="21"/>
        </w:rPr>
        <w:t>180</w:t>
      </w:r>
      <w:r>
        <w:rPr>
          <w:spacing w:val="-6"/>
          <w:sz w:val="21"/>
        </w:rPr>
        <w:t xml:space="preserve"> 天后仍然遗留一肢或一肢以上肢体肌力Ⅲ级或Ⅲ级以下的</w:t>
      </w:r>
      <w:r>
        <w:rPr>
          <w:spacing w:val="-2"/>
          <w:sz w:val="21"/>
        </w:rPr>
        <w:t>运动功能障碍。</w:t>
      </w:r>
    </w:p>
    <w:p>
      <w:pPr>
        <w:pStyle w:val="6"/>
        <w:rPr>
          <w:sz w:val="23"/>
        </w:rPr>
      </w:pPr>
    </w:p>
    <w:p>
      <w:pPr>
        <w:pStyle w:val="10"/>
        <w:numPr>
          <w:ilvl w:val="2"/>
          <w:numId w:val="37"/>
        </w:numPr>
        <w:tabs>
          <w:tab w:val="left" w:pos="1825"/>
          <w:tab w:val="left" w:pos="1826"/>
          <w:tab w:val="left" w:pos="3385"/>
        </w:tabs>
        <w:spacing w:before="0" w:after="0" w:line="266" w:lineRule="auto"/>
        <w:ind w:left="3385" w:right="437" w:hanging="2662"/>
        <w:jc w:val="left"/>
        <w:rPr>
          <w:sz w:val="21"/>
        </w:rPr>
      </w:pPr>
      <w:r>
        <w:rPr>
          <w:spacing w:val="-2"/>
          <w:position w:val="1"/>
          <w:sz w:val="22"/>
        </w:rPr>
        <w:t>单个肢体缺失</w:t>
      </w:r>
      <w:r>
        <w:rPr>
          <w:position w:val="1"/>
          <w:sz w:val="22"/>
        </w:rPr>
        <w:tab/>
      </w:r>
      <w:r>
        <w:rPr>
          <w:spacing w:val="-4"/>
          <w:sz w:val="21"/>
        </w:rPr>
        <w:t>指因疾病或意外伤害导致一个肢体自腕关节或踝关节近端（靠近躯干端）以</w:t>
      </w:r>
      <w:r>
        <w:rPr>
          <w:spacing w:val="-2"/>
          <w:sz w:val="21"/>
        </w:rPr>
        <w:t>上完全性断离。</w:t>
      </w:r>
    </w:p>
    <w:p>
      <w:pPr>
        <w:pStyle w:val="6"/>
        <w:spacing w:before="1"/>
        <w:rPr>
          <w:sz w:val="23"/>
        </w:rPr>
      </w:pPr>
    </w:p>
    <w:p>
      <w:pPr>
        <w:pStyle w:val="10"/>
        <w:numPr>
          <w:ilvl w:val="2"/>
          <w:numId w:val="37"/>
        </w:numPr>
        <w:tabs>
          <w:tab w:val="left" w:pos="1825"/>
          <w:tab w:val="left" w:pos="1826"/>
          <w:tab w:val="left" w:pos="3385"/>
        </w:tabs>
        <w:spacing w:before="1" w:after="0" w:line="240" w:lineRule="auto"/>
        <w:ind w:left="1825" w:right="0" w:hanging="1103"/>
        <w:jc w:val="left"/>
        <w:rPr>
          <w:sz w:val="21"/>
        </w:rPr>
      </w:pPr>
      <w:r>
        <w:pict>
          <v:shape id="docshape70" o:spid="_x0000_s1094" o:spt="202" type="#_x0000_t202" style="position:absolute;left:0pt;margin-left:198.25pt;margin-top:15pt;height:14.8pt;width:199.65pt;mso-position-horizontal-relative:page;mso-wrap-distance-bottom:0pt;mso-wrap-distance-top:0pt;z-index:-251578368;mso-width-relative:page;mso-height-relative:page;"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3"/>
                    </w:rPr>
                    <w:t>以下的肺脏切除不在本合同保障范围之列：</w:t>
                  </w:r>
                </w:p>
              </w:txbxContent>
            </v:textbox>
            <w10:wrap type="topAndBottom"/>
          </v:shape>
        </w:pict>
      </w:r>
      <w:r>
        <w:rPr>
          <w:w w:val="95"/>
          <w:sz w:val="22"/>
        </w:rPr>
        <w:t>单侧肺脏切</w:t>
      </w:r>
      <w:r>
        <w:rPr>
          <w:spacing w:val="-10"/>
          <w:w w:val="95"/>
          <w:sz w:val="22"/>
        </w:rPr>
        <w:t>除</w:t>
      </w:r>
      <w:r>
        <w:rPr>
          <w:sz w:val="22"/>
        </w:rPr>
        <w:tab/>
      </w:r>
      <w:r>
        <w:rPr>
          <w:spacing w:val="-2"/>
          <w:sz w:val="21"/>
        </w:rPr>
        <w:t>因疾病或意外事故实际实施的肺脏左叶或右叶全部切除</w:t>
      </w:r>
      <w:r>
        <w:rPr>
          <w:spacing w:val="-10"/>
          <w:sz w:val="21"/>
        </w:rPr>
        <w:t>。</w:t>
      </w:r>
    </w:p>
    <w:p>
      <w:pPr>
        <w:pStyle w:val="6"/>
        <w:ind w:left="3385"/>
        <w:rPr>
          <w:sz w:val="20"/>
        </w:rPr>
      </w:pPr>
      <w:r>
        <w:rPr>
          <w:sz w:val="20"/>
        </w:rPr>
        <w:pict>
          <v:shape id="docshape71" o:spid="_x0000_s1095" o:spt="202" type="#_x0000_t202" style="height:14.8pt;width:152.35pt;"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4"/>
                    </w:rPr>
                    <w:t>（1）</w:t>
                  </w:r>
                  <w:r>
                    <w:rPr>
                      <w:color w:val="000000"/>
                      <w:spacing w:val="-5"/>
                    </w:rPr>
                    <w:t>肺脏左叶或右叶部分切除；</w:t>
                  </w:r>
                </w:p>
              </w:txbxContent>
            </v:textbox>
            <w10:wrap type="none"/>
            <w10:anchorlock/>
          </v:shape>
        </w:pict>
      </w:r>
    </w:p>
    <w:p>
      <w:pPr>
        <w:pStyle w:val="6"/>
        <w:ind w:left="3385"/>
        <w:rPr>
          <w:sz w:val="20"/>
        </w:rPr>
      </w:pPr>
      <w:r>
        <w:rPr>
          <w:sz w:val="20"/>
        </w:rPr>
        <w:pict>
          <v:shape id="docshape72" o:spid="_x0000_s1096" o:spt="202" type="#_x0000_t202" style="height:14.8pt;width:343.4pt;"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2"/>
                    </w:rPr>
                    <w:t>（2）</w:t>
                  </w:r>
                  <w:r>
                    <w:rPr>
                      <w:color w:val="000000"/>
                      <w:spacing w:val="-3"/>
                    </w:rPr>
                    <w:t>因患有符合本合同条款定义的恶性肿瘤——重度的原因所致单侧肺脏</w:t>
                  </w:r>
                </w:p>
              </w:txbxContent>
            </v:textbox>
            <w10:wrap type="none"/>
            <w10:anchorlock/>
          </v:shape>
        </w:pict>
      </w:r>
    </w:p>
    <w:p>
      <w:pPr>
        <w:pStyle w:val="6"/>
        <w:ind w:left="3385"/>
        <w:rPr>
          <w:sz w:val="20"/>
        </w:rPr>
      </w:pPr>
      <w:r>
        <w:rPr>
          <w:sz w:val="20"/>
        </w:rPr>
        <w:pict>
          <v:shape id="docshape73" o:spid="_x0000_s1097" o:spt="202" type="#_x0000_t202" style="height:14.8pt;width:31.6pt;"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7"/>
                    </w:rPr>
                    <w:t>切除；</w:t>
                  </w:r>
                </w:p>
              </w:txbxContent>
            </v:textbox>
            <w10:wrap type="none"/>
            <w10:anchorlock/>
          </v:shape>
        </w:pict>
      </w:r>
    </w:p>
    <w:p>
      <w:pPr>
        <w:pStyle w:val="6"/>
        <w:ind w:left="3385"/>
        <w:rPr>
          <w:sz w:val="20"/>
        </w:rPr>
      </w:pPr>
      <w:r>
        <w:rPr>
          <w:sz w:val="20"/>
        </w:rPr>
        <w:pict>
          <v:shape id="docshape74" o:spid="_x0000_s1098" o:spt="202" type="#_x0000_t202" style="height:14.8pt;width:236.35pt;"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4"/>
                    </w:rPr>
                    <w:t>（3）</w:t>
                  </w:r>
                  <w:r>
                    <w:rPr>
                      <w:color w:val="000000"/>
                      <w:spacing w:val="-5"/>
                    </w:rPr>
                    <w:t>因捐献肺脏引起的肺脏左叶或右叶全部切除。</w:t>
                  </w:r>
                </w:p>
              </w:txbxContent>
            </v:textbox>
            <w10:wrap type="none"/>
            <w10:anchorlock/>
          </v:shape>
        </w:pict>
      </w:r>
    </w:p>
    <w:p>
      <w:pPr>
        <w:pStyle w:val="6"/>
        <w:spacing w:before="2"/>
        <w:rPr>
          <w:sz w:val="20"/>
        </w:rPr>
      </w:pPr>
    </w:p>
    <w:p>
      <w:pPr>
        <w:spacing w:after="0"/>
        <w:rPr>
          <w:sz w:val="20"/>
        </w:rPr>
        <w:sectPr>
          <w:pgSz w:w="11910" w:h="16840"/>
          <w:pgMar w:top="1460" w:right="660" w:bottom="1260" w:left="580" w:header="0" w:footer="1060" w:gutter="0"/>
          <w:cols w:space="720" w:num="1"/>
        </w:sectPr>
      </w:pPr>
    </w:p>
    <w:p>
      <w:pPr>
        <w:pStyle w:val="4"/>
        <w:numPr>
          <w:ilvl w:val="2"/>
          <w:numId w:val="37"/>
        </w:numPr>
        <w:tabs>
          <w:tab w:val="left" w:pos="1825"/>
          <w:tab w:val="left" w:pos="1826"/>
        </w:tabs>
        <w:spacing w:before="72" w:after="0" w:line="266" w:lineRule="auto"/>
        <w:ind w:left="1825" w:right="0" w:hanging="1102"/>
        <w:jc w:val="left"/>
      </w:pPr>
      <w:r>
        <w:rPr>
          <w:spacing w:val="12"/>
          <w:w w:val="95"/>
        </w:rPr>
        <w:t>轻度脑炎或</w:t>
      </w:r>
      <w:r>
        <w:rPr>
          <w:w w:val="95"/>
        </w:rPr>
        <w:t>脑</w:t>
      </w:r>
      <w:r>
        <w:rPr>
          <w:spacing w:val="-2"/>
        </w:rPr>
        <w:t>膜炎后遗症</w:t>
      </w:r>
    </w:p>
    <w:p>
      <w:pPr>
        <w:pStyle w:val="6"/>
        <w:spacing w:before="82" w:line="278" w:lineRule="auto"/>
        <w:ind w:left="174" w:right="406"/>
        <w:jc w:val="both"/>
      </w:pPr>
      <w:r>
        <w:br w:type="column"/>
      </w:r>
      <w:r>
        <w:rPr>
          <w:spacing w:val="-5"/>
        </w:rPr>
        <w:t>指因患脑炎或脑膜炎导致的神经系统的永久功能障碍。神经系统永久性的功</w:t>
      </w:r>
      <w:r>
        <w:rPr>
          <w:w w:val="95"/>
        </w:rPr>
        <w:t>能障碍，指疾病确诊 180 天后，仍存在自主活动能力完全丧失，无法独立完</w:t>
      </w:r>
      <w:r>
        <w:rPr>
          <w:spacing w:val="-2"/>
        </w:rPr>
        <w:t>成六项基本日常生活活动中的两项。</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spacing w:before="12"/>
        <w:rPr>
          <w:sz w:val="17"/>
        </w:rPr>
      </w:pPr>
    </w:p>
    <w:p>
      <w:pPr>
        <w:spacing w:after="0"/>
        <w:rPr>
          <w:sz w:val="17"/>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1" w:after="0" w:line="266" w:lineRule="auto"/>
        <w:ind w:left="1825" w:right="0" w:hanging="1102"/>
        <w:jc w:val="left"/>
      </w:pPr>
      <w:r>
        <w:rPr>
          <w:spacing w:val="12"/>
          <w:w w:val="95"/>
        </w:rPr>
        <w:t>早期运动神</w:t>
      </w:r>
      <w:r>
        <w:rPr>
          <w:w w:val="95"/>
        </w:rPr>
        <w:t>经</w:t>
      </w:r>
      <w:r>
        <w:rPr>
          <w:spacing w:val="-4"/>
        </w:rPr>
        <w:t>性疾病</w:t>
      </w:r>
    </w:p>
    <w:p>
      <w:pPr>
        <w:pStyle w:val="6"/>
        <w:spacing w:before="81" w:line="278" w:lineRule="auto"/>
        <w:ind w:left="174" w:right="406"/>
        <w:jc w:val="both"/>
      </w:pPr>
      <w:r>
        <w:br w:type="column"/>
      </w:r>
      <w:r>
        <w:rPr>
          <w:spacing w:val="-2"/>
        </w:rPr>
        <w:t>是一组中枢神经系统运动神经元的进行性变性疾病，进行性脊肌萎缩症、进行性延髓麻痹症、原发性侧索硬化症、肌萎缩性侧索硬化症。须满足自主生活能力完全丧失，无法独立完成六项基本日常生活活动中的两项。</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2" w:after="0" w:line="266" w:lineRule="auto"/>
        <w:ind w:left="1825" w:right="0" w:hanging="1102"/>
        <w:jc w:val="left"/>
      </w:pPr>
      <w:r>
        <w:rPr>
          <w:spacing w:val="13"/>
          <w:w w:val="95"/>
        </w:rPr>
        <w:t>中度原发性</w:t>
      </w:r>
      <w:r>
        <w:rPr>
          <w:w w:val="95"/>
        </w:rPr>
        <w:t>帕</w:t>
      </w:r>
      <w:r>
        <w:rPr>
          <w:spacing w:val="-4"/>
        </w:rPr>
        <w:t>金森病</w:t>
      </w:r>
    </w:p>
    <w:p>
      <w:pPr>
        <w:pStyle w:val="6"/>
        <w:spacing w:before="82" w:line="278" w:lineRule="auto"/>
        <w:ind w:left="209" w:right="307"/>
      </w:pPr>
      <w:r>
        <w:br w:type="column"/>
      </w:r>
      <w:r>
        <w:rPr>
          <w:spacing w:val="-6"/>
        </w:rPr>
        <w:t>指经本公司认可医院的神经科专科医生明确诊断为原发性帕金森病。须同时</w:t>
      </w:r>
      <w:r>
        <w:rPr>
          <w:spacing w:val="-2"/>
        </w:rPr>
        <w:t>符合下列所有条件，但未达到本合同所指重大疾病“严重原发性帕金森病”</w:t>
      </w:r>
      <w:r>
        <w:rPr>
          <w:spacing w:val="-4"/>
        </w:rPr>
        <w:t>的标准：</w:t>
      </w:r>
    </w:p>
    <w:p>
      <w:pPr>
        <w:pStyle w:val="10"/>
        <w:numPr>
          <w:ilvl w:val="0"/>
          <w:numId w:val="38"/>
        </w:numPr>
        <w:tabs>
          <w:tab w:val="left" w:pos="740"/>
        </w:tabs>
        <w:spacing w:before="0" w:after="0" w:line="274" w:lineRule="exact"/>
        <w:ind w:left="739" w:right="0" w:hanging="531"/>
        <w:jc w:val="left"/>
        <w:rPr>
          <w:sz w:val="21"/>
        </w:rPr>
      </w:pPr>
      <w:r>
        <w:rPr>
          <w:spacing w:val="-2"/>
          <w:sz w:val="21"/>
        </w:rPr>
        <w:t>药物治疗无法控制病情</w:t>
      </w:r>
      <w:r>
        <w:rPr>
          <w:spacing w:val="-10"/>
          <w:position w:val="1"/>
          <w:sz w:val="21"/>
        </w:rPr>
        <w:t>；</w:t>
      </w:r>
    </w:p>
    <w:p>
      <w:pPr>
        <w:pStyle w:val="10"/>
        <w:numPr>
          <w:ilvl w:val="0"/>
          <w:numId w:val="38"/>
        </w:numPr>
        <w:tabs>
          <w:tab w:val="left" w:pos="740"/>
        </w:tabs>
        <w:spacing w:before="38" w:after="0" w:line="278" w:lineRule="auto"/>
        <w:ind w:left="209" w:right="408" w:firstLine="0"/>
        <w:jc w:val="left"/>
        <w:rPr>
          <w:sz w:val="21"/>
        </w:rPr>
      </w:pPr>
      <w:r>
        <w:rPr>
          <w:spacing w:val="-2"/>
          <w:sz w:val="21"/>
        </w:rPr>
        <w:t>自主生活能力完全丧失，无法独立完成六项基本日常生活活动中的两</w:t>
      </w:r>
      <w:r>
        <w:rPr>
          <w:spacing w:val="-6"/>
          <w:sz w:val="21"/>
        </w:rPr>
        <w:t>项。</w:t>
      </w:r>
    </w:p>
    <w:p>
      <w:pPr>
        <w:pStyle w:val="6"/>
        <w:spacing w:line="269" w:lineRule="exact"/>
        <w:ind w:left="173"/>
      </w:pPr>
      <w:r>
        <w:rPr>
          <w:color w:val="000000"/>
          <w:spacing w:val="-3"/>
          <w:shd w:val="clear" w:color="auto" w:fill="C0C0C0"/>
        </w:rPr>
        <w:t>继发性帕金森综合征不在保障范围内。</w:t>
      </w:r>
    </w:p>
    <w:p>
      <w:pPr>
        <w:spacing w:after="0" w:line="269" w:lineRule="exact"/>
        <w:sectPr>
          <w:type w:val="continuous"/>
          <w:pgSz w:w="11910" w:h="16840"/>
          <w:pgMar w:top="280" w:right="660" w:bottom="280" w:left="580" w:header="0" w:footer="1060" w:gutter="0"/>
          <w:cols w:equalWidth="0" w:num="2">
            <w:col w:w="3172" w:space="40"/>
            <w:col w:w="7458"/>
          </w:cols>
        </w:sectPr>
      </w:pPr>
    </w:p>
    <w:p>
      <w:pPr>
        <w:pStyle w:val="6"/>
        <w:spacing w:before="4"/>
      </w:pPr>
    </w:p>
    <w:p>
      <w:pPr>
        <w:spacing w:after="0"/>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2" w:after="0" w:line="266" w:lineRule="auto"/>
        <w:ind w:left="1825" w:right="0" w:hanging="1102"/>
        <w:jc w:val="left"/>
      </w:pPr>
      <w:r>
        <w:rPr>
          <w:spacing w:val="12"/>
          <w:w w:val="95"/>
        </w:rPr>
        <w:t>中度重症肌</w:t>
      </w:r>
      <w:r>
        <w:rPr>
          <w:w w:val="95"/>
        </w:rPr>
        <w:t>无</w:t>
      </w:r>
      <w:r>
        <w:rPr>
          <w:spacing w:val="-10"/>
        </w:rPr>
        <w:t>力</w:t>
      </w:r>
    </w:p>
    <w:p>
      <w:pPr>
        <w:pStyle w:val="6"/>
        <w:spacing w:before="82" w:line="278" w:lineRule="auto"/>
        <w:ind w:left="174" w:right="406"/>
        <w:jc w:val="both"/>
      </w:pPr>
      <w:r>
        <w:br w:type="column"/>
      </w:r>
      <w:r>
        <w:rPr>
          <w:spacing w:val="-5"/>
        </w:rPr>
        <w:t>中度重症肌无力是一种神经肌肉接头传递障碍所致的疾病，表现为局部或全</w:t>
      </w:r>
      <w:r>
        <w:rPr>
          <w:spacing w:val="-2"/>
        </w:rPr>
        <w:t>身骨骼肌（特别是眼外肌）极易疲劳。疾病可以累及呼吸肌、上肢或下肢的近端肌群或全身肌肉，必须满足下列全部条件：</w:t>
      </w:r>
    </w:p>
    <w:p>
      <w:pPr>
        <w:pStyle w:val="10"/>
        <w:numPr>
          <w:ilvl w:val="0"/>
          <w:numId w:val="39"/>
        </w:numPr>
        <w:tabs>
          <w:tab w:val="left" w:pos="705"/>
        </w:tabs>
        <w:spacing w:before="0" w:after="0" w:line="269" w:lineRule="exact"/>
        <w:ind w:left="704" w:right="0" w:hanging="531"/>
        <w:jc w:val="left"/>
        <w:rPr>
          <w:sz w:val="21"/>
        </w:rPr>
      </w:pPr>
      <w:r>
        <w:rPr>
          <w:spacing w:val="-3"/>
          <w:sz w:val="21"/>
        </w:rPr>
        <w:t>经药物治疗和胸腺切除治疗一年以上仍无法控制病情；</w:t>
      </w:r>
    </w:p>
    <w:p>
      <w:pPr>
        <w:pStyle w:val="10"/>
        <w:numPr>
          <w:ilvl w:val="0"/>
          <w:numId w:val="39"/>
        </w:numPr>
        <w:tabs>
          <w:tab w:val="left" w:pos="741"/>
        </w:tabs>
        <w:spacing w:before="42" w:after="0" w:line="278" w:lineRule="auto"/>
        <w:ind w:left="210" w:right="408" w:firstLine="0"/>
        <w:jc w:val="left"/>
        <w:rPr>
          <w:sz w:val="21"/>
        </w:rPr>
      </w:pPr>
      <w:r>
        <w:rPr>
          <w:spacing w:val="-2"/>
          <w:sz w:val="21"/>
        </w:rPr>
        <w:t>自主生活能力完全丧失，无法独立完成六项基本日常生活活动中的两项，但未达到本合同所指重大疾病“严重全身性重症肌无力”的标准。</w:t>
      </w:r>
    </w:p>
    <w:p>
      <w:pPr>
        <w:spacing w:after="0" w:line="278" w:lineRule="auto"/>
        <w:jc w:val="left"/>
        <w:rPr>
          <w:sz w:val="21"/>
        </w:rPr>
        <w:sectPr>
          <w:type w:val="continuous"/>
          <w:pgSz w:w="11910" w:h="16840"/>
          <w:pgMar w:top="280" w:right="660" w:bottom="280" w:left="580" w:header="0" w:footer="1060" w:gutter="0"/>
          <w:cols w:equalWidth="0" w:num="2">
            <w:col w:w="3171" w:space="40"/>
            <w:col w:w="7459"/>
          </w:cols>
        </w:sectPr>
      </w:pPr>
    </w:p>
    <w:p>
      <w:pPr>
        <w:pStyle w:val="6"/>
        <w:spacing w:before="1"/>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1" w:after="0" w:line="266" w:lineRule="auto"/>
        <w:ind w:left="1825" w:right="0" w:hanging="1102"/>
        <w:jc w:val="left"/>
      </w:pPr>
      <w:r>
        <w:rPr>
          <w:spacing w:val="12"/>
          <w:w w:val="95"/>
        </w:rPr>
        <w:t>中度类风湿</w:t>
      </w:r>
      <w:r>
        <w:rPr>
          <w:w w:val="95"/>
        </w:rPr>
        <w:t>性</w:t>
      </w:r>
      <w:r>
        <w:rPr>
          <w:spacing w:val="-4"/>
        </w:rPr>
        <w:t>关节炎</w:t>
      </w:r>
    </w:p>
    <w:p>
      <w:pPr>
        <w:pStyle w:val="6"/>
        <w:spacing w:before="72" w:line="249" w:lineRule="auto"/>
        <w:ind w:left="174" w:right="342"/>
      </w:pPr>
      <w:r>
        <w:br w:type="column"/>
      </w:r>
      <w:r>
        <w:rPr>
          <w:spacing w:val="-2"/>
        </w:rPr>
        <w:t>风湿性关节炎为广泛分布的慢性进行性多关节病变，表现为关节严重变形，侵犯两个主要关节或关节组(如：双手（多手指）关节、双足（多足趾）关</w:t>
      </w:r>
      <w:r>
        <w:rPr>
          <w:spacing w:val="-1"/>
        </w:rPr>
        <w:t xml:space="preserve">节、双腕关节、双膝关节和双髋关节)。且被保险人满足至少 </w:t>
      </w:r>
      <w:r>
        <w:t>180</w:t>
      </w:r>
      <w:r>
        <w:rPr>
          <w:spacing w:val="-4"/>
        </w:rPr>
        <w:t xml:space="preserve"> 天无法独</w:t>
      </w:r>
      <w:r>
        <w:rPr>
          <w:spacing w:val="-2"/>
        </w:rPr>
        <w:t>立完成六项基本日常生活活动中的两项。</w:t>
      </w:r>
    </w:p>
    <w:p>
      <w:pPr>
        <w:spacing w:after="0" w:line="249" w:lineRule="auto"/>
        <w:sectPr>
          <w:type w:val="continuous"/>
          <w:pgSz w:w="11910" w:h="16840"/>
          <w:pgMar w:top="280" w:right="660" w:bottom="280" w:left="580" w:header="0" w:footer="1060" w:gutter="0"/>
          <w:cols w:equalWidth="0" w:num="2">
            <w:col w:w="3171" w:space="40"/>
            <w:col w:w="7459"/>
          </w:cols>
        </w:sectPr>
      </w:pPr>
    </w:p>
    <w:p>
      <w:pPr>
        <w:pStyle w:val="6"/>
        <w:spacing w:before="8"/>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2" w:after="0" w:line="266" w:lineRule="auto"/>
        <w:ind w:left="1825" w:right="0" w:hanging="1102"/>
        <w:jc w:val="left"/>
      </w:pPr>
      <w:r>
        <w:rPr>
          <w:spacing w:val="12"/>
          <w:w w:val="95"/>
        </w:rPr>
        <w:t>中度进行性</w:t>
      </w:r>
      <w:r>
        <w:rPr>
          <w:w w:val="95"/>
        </w:rPr>
        <w:t>核</w:t>
      </w:r>
      <w:r>
        <w:rPr>
          <w:spacing w:val="-2"/>
        </w:rPr>
        <w:t>上神经麻痹症</w:t>
      </w:r>
    </w:p>
    <w:p>
      <w:pPr>
        <w:pStyle w:val="6"/>
        <w:spacing w:before="82" w:line="278" w:lineRule="auto"/>
        <w:ind w:left="174" w:right="406"/>
        <w:jc w:val="both"/>
      </w:pPr>
      <w:r>
        <w:br w:type="column"/>
      </w:r>
      <w:r>
        <w:rPr>
          <w:spacing w:val="-2"/>
        </w:rPr>
        <w:t>指一种少见的神经系统变性疾病，以假球麻痹、垂直性核上性眼肌麻痹、锥体外系肌僵直、步态共济失调和轻度痴呆为主要临床特征。须满足自主生活能力严重丧失，无法独立完成六项基本日常生活活动中的两项。</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spacing w:before="12"/>
        <w:rPr>
          <w:sz w:val="11"/>
        </w:rPr>
      </w:pPr>
    </w:p>
    <w:p>
      <w:pPr>
        <w:spacing w:after="0"/>
        <w:rPr>
          <w:sz w:val="11"/>
        </w:rPr>
        <w:sectPr>
          <w:pgSz w:w="11910" w:h="16840"/>
          <w:pgMar w:top="1580" w:right="660" w:bottom="1260" w:left="580" w:header="0" w:footer="1060" w:gutter="0"/>
          <w:cols w:space="720" w:num="1"/>
        </w:sectPr>
      </w:pPr>
    </w:p>
    <w:p>
      <w:pPr>
        <w:pStyle w:val="4"/>
        <w:numPr>
          <w:ilvl w:val="2"/>
          <w:numId w:val="37"/>
        </w:numPr>
        <w:tabs>
          <w:tab w:val="left" w:pos="1825"/>
          <w:tab w:val="left" w:pos="1826"/>
        </w:tabs>
        <w:spacing w:before="71" w:after="0" w:line="266" w:lineRule="auto"/>
        <w:ind w:left="1825" w:right="0" w:hanging="1102"/>
        <w:jc w:val="left"/>
      </w:pPr>
      <w:r>
        <w:rPr>
          <w:spacing w:val="12"/>
          <w:w w:val="95"/>
        </w:rPr>
        <w:t>中度结核性</w:t>
      </w:r>
      <w:r>
        <w:rPr>
          <w:w w:val="95"/>
        </w:rPr>
        <w:t>脊</w:t>
      </w:r>
      <w:r>
        <w:rPr>
          <w:spacing w:val="-6"/>
        </w:rPr>
        <w:t>髓炎</w:t>
      </w:r>
    </w:p>
    <w:p>
      <w:pPr>
        <w:pStyle w:val="6"/>
        <w:spacing w:before="81" w:line="278" w:lineRule="auto"/>
        <w:ind w:left="210" w:right="406"/>
      </w:pPr>
      <w:r>
        <w:br w:type="column"/>
      </w:r>
      <w:r>
        <w:rPr>
          <w:spacing w:val="-4"/>
        </w:rPr>
        <w:t>因结核杆菌引起的脊髓炎，导致永久性神经系统功能中度障碍，即：疾病首</w:t>
      </w:r>
      <w:r>
        <w:rPr>
          <w:spacing w:val="-5"/>
        </w:rPr>
        <w:t xml:space="preserve">次确诊 </w:t>
      </w:r>
      <w:r>
        <w:t>180</w:t>
      </w:r>
      <w:r>
        <w:rPr>
          <w:spacing w:val="-5"/>
        </w:rPr>
        <w:t xml:space="preserve"> 天后，仍遗留下列一种或一种以上障碍：</w:t>
      </w:r>
    </w:p>
    <w:p>
      <w:pPr>
        <w:pStyle w:val="10"/>
        <w:numPr>
          <w:ilvl w:val="0"/>
          <w:numId w:val="40"/>
        </w:numPr>
        <w:tabs>
          <w:tab w:val="left" w:pos="741"/>
        </w:tabs>
        <w:spacing w:before="0" w:after="0" w:line="269" w:lineRule="exact"/>
        <w:ind w:left="740" w:right="0" w:hanging="531"/>
        <w:jc w:val="left"/>
        <w:rPr>
          <w:sz w:val="21"/>
        </w:rPr>
      </w:pPr>
      <w:r>
        <w:rPr>
          <w:spacing w:val="-3"/>
          <w:sz w:val="21"/>
        </w:rPr>
        <w:t>一肢或一肢以上肢体肌力Ⅲ级或Ⅲ级以下的运动功能障碍；</w:t>
      </w:r>
    </w:p>
    <w:p>
      <w:pPr>
        <w:pStyle w:val="10"/>
        <w:numPr>
          <w:ilvl w:val="0"/>
          <w:numId w:val="40"/>
        </w:numPr>
        <w:tabs>
          <w:tab w:val="left" w:pos="741"/>
        </w:tabs>
        <w:spacing w:before="43" w:after="0" w:line="278" w:lineRule="auto"/>
        <w:ind w:left="210" w:right="408" w:firstLine="0"/>
        <w:jc w:val="left"/>
        <w:rPr>
          <w:sz w:val="21"/>
        </w:rPr>
      </w:pPr>
      <w:r>
        <w:rPr>
          <w:spacing w:val="-2"/>
          <w:sz w:val="21"/>
        </w:rPr>
        <w:t>自主生活能力部分丧失，无法独立完成六项基本日常生活活动中的二项或二项以上。</w:t>
      </w:r>
    </w:p>
    <w:p>
      <w:pPr>
        <w:pStyle w:val="6"/>
        <w:spacing w:line="278" w:lineRule="auto"/>
        <w:ind w:left="174" w:right="409"/>
      </w:pPr>
      <w:r>
        <w:rPr>
          <w:spacing w:val="-5"/>
        </w:rPr>
        <w:t>该诊断必须由本公司认可医院的神经专科医生证实，并必须由适当的检查证</w:t>
      </w:r>
      <w:r>
        <w:rPr>
          <w:spacing w:val="-2"/>
        </w:rPr>
        <w:t>明为结核性脊髓炎。</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1" w:after="0" w:line="266" w:lineRule="auto"/>
        <w:ind w:left="1825" w:right="0" w:hanging="1102"/>
        <w:jc w:val="left"/>
      </w:pPr>
      <w:r>
        <w:rPr>
          <w:spacing w:val="12"/>
          <w:w w:val="95"/>
        </w:rPr>
        <w:t>中度严重克</w:t>
      </w:r>
      <w:r>
        <w:rPr>
          <w:w w:val="95"/>
        </w:rPr>
        <w:t>雅</w:t>
      </w:r>
      <w:r>
        <w:rPr>
          <w:spacing w:val="-6"/>
        </w:rPr>
        <w:t>氏病</w:t>
      </w:r>
    </w:p>
    <w:p>
      <w:pPr>
        <w:pStyle w:val="6"/>
        <w:spacing w:before="81" w:line="278" w:lineRule="auto"/>
        <w:ind w:left="210" w:right="406"/>
        <w:jc w:val="both"/>
      </w:pPr>
      <w:r>
        <w:br w:type="column"/>
      </w:r>
      <w:r>
        <w:rPr>
          <w:spacing w:val="-7"/>
        </w:rPr>
        <w:t>指一种罕见的主要发生在老年人之间的可传播的脑病。受感染的人可以有睡</w:t>
      </w:r>
      <w:r>
        <w:rPr>
          <w:spacing w:val="-4"/>
        </w:rPr>
        <w:t>眠紊乱，个性改变，共济失调，失语症，视觉丧失，无力，肌肉萎缩，肌阵</w:t>
      </w:r>
      <w:r>
        <w:rPr>
          <w:spacing w:val="-2"/>
        </w:rPr>
        <w:t>挛，进行性痴呆等症状。</w:t>
      </w:r>
    </w:p>
    <w:p>
      <w:pPr>
        <w:pStyle w:val="6"/>
        <w:spacing w:line="278" w:lineRule="auto"/>
        <w:ind w:left="210" w:right="406"/>
      </w:pPr>
      <w:r>
        <w:rPr>
          <w:spacing w:val="-9"/>
        </w:rPr>
        <w:t>须满足自主生活能力严重丧失，无法独立完成六项基本日常生活活动中的两</w:t>
      </w:r>
      <w:r>
        <w:rPr>
          <w:spacing w:val="-6"/>
        </w:rPr>
        <w:t>项。</w:t>
      </w:r>
    </w:p>
    <w:p>
      <w:pPr>
        <w:pStyle w:val="6"/>
        <w:ind w:left="210"/>
      </w:pPr>
      <w:r>
        <w:rPr>
          <w:color w:val="000000"/>
          <w:spacing w:val="-3"/>
          <w:shd w:val="clear" w:color="auto" w:fill="C0C0C0"/>
        </w:rPr>
        <w:t>因人类生长激素治疗所致疾病不在保障范围内。</w:t>
      </w:r>
    </w:p>
    <w:p>
      <w:pPr>
        <w:spacing w:after="0"/>
        <w:sectPr>
          <w:type w:val="continuous"/>
          <w:pgSz w:w="11910" w:h="16840"/>
          <w:pgMar w:top="280" w:right="660" w:bottom="280" w:left="580" w:header="0" w:footer="1060" w:gutter="0"/>
          <w:cols w:equalWidth="0" w:num="2">
            <w:col w:w="3171" w:space="40"/>
            <w:col w:w="7459"/>
          </w:cols>
        </w:sectPr>
      </w:pPr>
    </w:p>
    <w:p>
      <w:pPr>
        <w:pStyle w:val="6"/>
        <w:spacing w:before="4"/>
      </w:pPr>
    </w:p>
    <w:p>
      <w:pPr>
        <w:pStyle w:val="10"/>
        <w:numPr>
          <w:ilvl w:val="2"/>
          <w:numId w:val="37"/>
        </w:numPr>
        <w:tabs>
          <w:tab w:val="left" w:pos="1825"/>
          <w:tab w:val="left" w:pos="1826"/>
          <w:tab w:val="left" w:pos="3421"/>
        </w:tabs>
        <w:spacing w:before="72" w:after="0" w:line="273" w:lineRule="auto"/>
        <w:ind w:left="3421" w:right="406" w:hanging="2698"/>
        <w:jc w:val="left"/>
        <w:rPr>
          <w:sz w:val="21"/>
        </w:rPr>
      </w:pPr>
      <w:r>
        <w:rPr>
          <w:spacing w:val="-2"/>
          <w:sz w:val="22"/>
        </w:rPr>
        <w:t>中度面部烧伤</w:t>
      </w:r>
      <w:r>
        <w:rPr>
          <w:sz w:val="22"/>
        </w:rPr>
        <w:tab/>
      </w:r>
      <w:r>
        <w:rPr>
          <w:sz w:val="21"/>
        </w:rPr>
        <w:t>指面部烧伤程度为Ⅲ度</w:t>
      </w:r>
      <w:r>
        <w:rPr>
          <w:spacing w:val="-99"/>
          <w:sz w:val="21"/>
        </w:rPr>
        <w:t>，</w:t>
      </w:r>
      <w:r>
        <w:rPr>
          <w:sz w:val="21"/>
        </w:rPr>
        <w:t>且Ⅲ度烧伤的面积达到面部表面积的</w:t>
      </w:r>
      <w:r>
        <w:rPr>
          <w:spacing w:val="-52"/>
          <w:sz w:val="21"/>
        </w:rPr>
        <w:t xml:space="preserve"> </w:t>
      </w:r>
      <w:r>
        <w:rPr>
          <w:sz w:val="21"/>
        </w:rPr>
        <w:t>60％或者</w:t>
      </w:r>
      <w:r>
        <w:rPr>
          <w:spacing w:val="-53"/>
          <w:sz w:val="21"/>
        </w:rPr>
        <w:t xml:space="preserve"> </w:t>
      </w:r>
      <w:r>
        <w:rPr>
          <w:sz w:val="21"/>
        </w:rPr>
        <w:t>60%以上，但未达到面部表面积的</w:t>
      </w:r>
      <w:r>
        <w:rPr>
          <w:spacing w:val="-40"/>
          <w:sz w:val="21"/>
        </w:rPr>
        <w:t xml:space="preserve"> </w:t>
      </w:r>
      <w:r>
        <w:rPr>
          <w:sz w:val="21"/>
        </w:rPr>
        <w:t>80%。</w:t>
      </w:r>
    </w:p>
    <w:p>
      <w:pPr>
        <w:pStyle w:val="6"/>
        <w:spacing w:before="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1" w:after="0" w:line="240" w:lineRule="auto"/>
        <w:ind w:left="1825" w:right="0" w:hanging="1103"/>
        <w:jc w:val="left"/>
      </w:pPr>
      <w:r>
        <w:rPr>
          <w:spacing w:val="14"/>
          <w:w w:val="95"/>
        </w:rPr>
        <w:t>中度脊髓灰</w:t>
      </w:r>
      <w:r>
        <w:rPr>
          <w:spacing w:val="-10"/>
          <w:w w:val="95"/>
        </w:rPr>
        <w:t>质</w:t>
      </w:r>
    </w:p>
    <w:p>
      <w:pPr>
        <w:spacing w:before="30"/>
        <w:ind w:left="1825" w:right="0" w:firstLine="0"/>
        <w:jc w:val="left"/>
        <w:rPr>
          <w:sz w:val="22"/>
        </w:rPr>
      </w:pPr>
      <w:r>
        <w:rPr>
          <w:w w:val="95"/>
          <w:sz w:val="22"/>
        </w:rPr>
        <w:t>炎后</w:t>
      </w:r>
      <w:r>
        <w:rPr>
          <w:spacing w:val="-5"/>
          <w:w w:val="95"/>
          <w:sz w:val="22"/>
        </w:rPr>
        <w:t>遗症</w:t>
      </w:r>
    </w:p>
    <w:p>
      <w:pPr>
        <w:pStyle w:val="6"/>
        <w:spacing w:before="81" w:line="278" w:lineRule="auto"/>
        <w:ind w:left="210" w:right="406"/>
        <w:jc w:val="both"/>
      </w:pPr>
      <w:r>
        <w:br w:type="column"/>
      </w:r>
      <w:r>
        <w:rPr>
          <w:spacing w:val="-6"/>
        </w:rPr>
        <w:t>脊髓灰质炎是由于脊髓灰质炎病毒感染所致的瘫痪性疾病，临床表现为运动</w:t>
      </w:r>
      <w:r>
        <w:rPr>
          <w:spacing w:val="-10"/>
        </w:rPr>
        <w:t>功能损害或呼吸无力。脊髓灰质炎必须明确诊断。本保险合同仅对脊髓灰质</w:t>
      </w:r>
      <w:r>
        <w:rPr>
          <w:spacing w:val="-2"/>
        </w:rPr>
        <w:t>炎造成的神经系统功能损害导致被保险人一肢或一肢以上肢体机能存在永</w:t>
      </w:r>
      <w:r>
        <w:rPr>
          <w:spacing w:val="-8"/>
        </w:rPr>
        <w:t>久性的功能障碍的情况予以理赔。肢体机能存在永久性的功能障碍，指疾病</w:t>
      </w:r>
      <w:r>
        <w:rPr>
          <w:spacing w:val="-10"/>
        </w:rPr>
        <w:t xml:space="preserve">确诊 </w:t>
      </w:r>
      <w:r>
        <w:rPr>
          <w:spacing w:val="-2"/>
        </w:rPr>
        <w:t>180</w:t>
      </w:r>
      <w:r>
        <w:rPr>
          <w:spacing w:val="-13"/>
        </w:rPr>
        <w:t xml:space="preserve"> 天后，每肢三大关节中的至少一个大关节仍然完全僵硬，或不能随</w:t>
      </w:r>
      <w:r>
        <w:rPr>
          <w:spacing w:val="-2"/>
        </w:rPr>
        <w:t>意识活动。</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1" w:after="0" w:line="240" w:lineRule="auto"/>
        <w:ind w:left="1825" w:right="0" w:hanging="1103"/>
        <w:jc w:val="left"/>
      </w:pPr>
      <w:r>
        <w:rPr>
          <w:spacing w:val="14"/>
          <w:w w:val="95"/>
        </w:rPr>
        <w:t>中度肠道疾</w:t>
      </w:r>
      <w:r>
        <w:rPr>
          <w:spacing w:val="-10"/>
          <w:w w:val="95"/>
        </w:rPr>
        <w:t>病</w:t>
      </w:r>
    </w:p>
    <w:p>
      <w:pPr>
        <w:spacing w:before="30"/>
        <w:ind w:left="1825" w:right="0" w:firstLine="0"/>
        <w:jc w:val="left"/>
        <w:rPr>
          <w:sz w:val="22"/>
        </w:rPr>
      </w:pPr>
      <w:r>
        <w:rPr>
          <w:w w:val="95"/>
          <w:sz w:val="22"/>
        </w:rPr>
        <w:t>并发</w:t>
      </w:r>
      <w:r>
        <w:rPr>
          <w:spacing w:val="-10"/>
          <w:w w:val="95"/>
          <w:sz w:val="22"/>
        </w:rPr>
        <w:t>症</w:t>
      </w:r>
    </w:p>
    <w:p>
      <w:pPr>
        <w:pStyle w:val="6"/>
        <w:spacing w:before="81" w:line="278" w:lineRule="auto"/>
        <w:ind w:left="174" w:right="409"/>
      </w:pPr>
      <w:r>
        <w:br w:type="column"/>
      </w:r>
      <w:r>
        <w:rPr>
          <w:spacing w:val="-6"/>
        </w:rPr>
        <w:t>严重肠道疾病或外伤导致小肠损害并发症，本疾病须满足以下所有条件且未</w:t>
      </w:r>
      <w:r>
        <w:rPr>
          <w:spacing w:val="-2"/>
        </w:rPr>
        <w:t>达到重大疾病“严重肠道疾病并发症”给付条件：</w:t>
      </w:r>
    </w:p>
    <w:p>
      <w:pPr>
        <w:pStyle w:val="10"/>
        <w:numPr>
          <w:ilvl w:val="0"/>
          <w:numId w:val="41"/>
        </w:numPr>
        <w:tabs>
          <w:tab w:val="left" w:pos="705"/>
        </w:tabs>
        <w:spacing w:before="0" w:after="0" w:line="269" w:lineRule="exact"/>
        <w:ind w:left="704" w:right="0" w:hanging="531"/>
        <w:jc w:val="left"/>
        <w:rPr>
          <w:sz w:val="21"/>
        </w:rPr>
      </w:pPr>
      <w:r>
        <w:rPr>
          <w:spacing w:val="-3"/>
          <w:sz w:val="21"/>
        </w:rPr>
        <w:t>至少切除了二分之一小肠；</w:t>
      </w:r>
    </w:p>
    <w:p>
      <w:pPr>
        <w:pStyle w:val="10"/>
        <w:numPr>
          <w:ilvl w:val="0"/>
          <w:numId w:val="41"/>
        </w:numPr>
        <w:tabs>
          <w:tab w:val="left" w:pos="705"/>
        </w:tabs>
        <w:spacing w:before="43" w:after="0" w:line="240" w:lineRule="auto"/>
        <w:ind w:left="704" w:right="0" w:hanging="531"/>
        <w:jc w:val="left"/>
        <w:rPr>
          <w:sz w:val="21"/>
        </w:rPr>
      </w:pPr>
      <w:r>
        <w:rPr>
          <w:spacing w:val="-3"/>
          <w:sz w:val="21"/>
        </w:rPr>
        <w:t>完全肠外营养支持二个月以上。</w:t>
      </w:r>
    </w:p>
    <w:p>
      <w:pPr>
        <w:pStyle w:val="6"/>
        <w:spacing w:before="43"/>
        <w:ind w:left="174"/>
      </w:pPr>
      <w:r>
        <w:rPr>
          <w:color w:val="000000"/>
          <w:spacing w:val="-3"/>
          <w:shd w:val="clear" w:color="auto" w:fill="C0C0C0"/>
        </w:rPr>
        <w:t>因克罗恩病所致“中度肠道疾病并发症”不在本保障范围内。</w:t>
      </w:r>
    </w:p>
    <w:p>
      <w:pPr>
        <w:spacing w:after="0"/>
        <w:sectPr>
          <w:type w:val="continuous"/>
          <w:pgSz w:w="11910" w:h="16840"/>
          <w:pgMar w:top="280" w:right="660" w:bottom="280" w:left="580" w:header="0" w:footer="1060" w:gutter="0"/>
          <w:cols w:equalWidth="0" w:num="2">
            <w:col w:w="3171" w:space="40"/>
            <w:col w:w="7459"/>
          </w:cols>
        </w:sectPr>
      </w:pPr>
    </w:p>
    <w:p>
      <w:pPr>
        <w:pStyle w:val="6"/>
        <w:spacing w:before="5"/>
      </w:pPr>
    </w:p>
    <w:p>
      <w:pPr>
        <w:spacing w:after="0"/>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1" w:after="0" w:line="266" w:lineRule="auto"/>
        <w:ind w:left="1825" w:right="0" w:hanging="1102"/>
        <w:jc w:val="left"/>
      </w:pPr>
      <w:r>
        <w:rPr>
          <w:spacing w:val="12"/>
          <w:w w:val="95"/>
        </w:rPr>
        <w:t>中度肌营养</w:t>
      </w:r>
      <w:r>
        <w:rPr>
          <w:w w:val="95"/>
        </w:rPr>
        <w:t>不</w:t>
      </w:r>
      <w:r>
        <w:rPr>
          <w:spacing w:val="-6"/>
        </w:rPr>
        <w:t>良症</w:t>
      </w:r>
    </w:p>
    <w:p>
      <w:pPr>
        <w:pStyle w:val="6"/>
        <w:spacing w:before="81" w:line="278" w:lineRule="auto"/>
        <w:ind w:left="174" w:right="409"/>
      </w:pPr>
      <w:r>
        <w:br w:type="column"/>
      </w:r>
      <w:r>
        <w:rPr>
          <w:spacing w:val="-7"/>
        </w:rPr>
        <w:t>指一组遗传性肌肉变性病变，临床特征为与神经系统无关的骨骼肌肉对称地</w:t>
      </w:r>
      <w:r>
        <w:rPr>
          <w:spacing w:val="-2"/>
        </w:rPr>
        <w:t>进行性无力和萎缩。需满足下列全部条件：</w:t>
      </w:r>
    </w:p>
    <w:p>
      <w:pPr>
        <w:pStyle w:val="10"/>
        <w:numPr>
          <w:ilvl w:val="0"/>
          <w:numId w:val="42"/>
        </w:numPr>
        <w:tabs>
          <w:tab w:val="left" w:pos="705"/>
        </w:tabs>
        <w:spacing w:before="0" w:after="0" w:line="278" w:lineRule="auto"/>
        <w:ind w:left="174" w:right="410" w:firstLine="0"/>
        <w:jc w:val="left"/>
        <w:rPr>
          <w:sz w:val="21"/>
        </w:rPr>
      </w:pPr>
      <w:r>
        <w:rPr>
          <w:spacing w:val="-2"/>
          <w:sz w:val="21"/>
        </w:rPr>
        <w:t>肌肉组织活检结果满足肌营养不良症的肌肉细胞变性、坏死等阳性改</w:t>
      </w:r>
      <w:r>
        <w:rPr>
          <w:spacing w:val="-6"/>
          <w:sz w:val="21"/>
        </w:rPr>
        <w:t>变；</w:t>
      </w:r>
    </w:p>
    <w:p>
      <w:pPr>
        <w:pStyle w:val="10"/>
        <w:numPr>
          <w:ilvl w:val="0"/>
          <w:numId w:val="42"/>
        </w:numPr>
        <w:tabs>
          <w:tab w:val="left" w:pos="705"/>
        </w:tabs>
        <w:spacing w:before="0" w:after="0" w:line="278" w:lineRule="auto"/>
        <w:ind w:left="174" w:right="410" w:firstLine="0"/>
        <w:jc w:val="left"/>
        <w:rPr>
          <w:sz w:val="21"/>
        </w:rPr>
      </w:pPr>
      <w:r>
        <w:rPr>
          <w:spacing w:val="-2"/>
          <w:sz w:val="21"/>
        </w:rPr>
        <w:t>自主生活能力严重丧失，无法独立完成六项基本日常生活活动中的两项或两项以上。</w:t>
      </w:r>
    </w:p>
    <w:p>
      <w:pPr>
        <w:spacing w:after="0" w:line="278" w:lineRule="auto"/>
        <w:jc w:val="left"/>
        <w:rPr>
          <w:sz w:val="21"/>
        </w:rPr>
        <w:sectPr>
          <w:type w:val="continuous"/>
          <w:pgSz w:w="11910" w:h="16840"/>
          <w:pgMar w:top="280" w:right="660" w:bottom="280" w:left="580" w:header="0" w:footer="1060" w:gutter="0"/>
          <w:cols w:equalWidth="0" w:num="2">
            <w:col w:w="3171" w:space="40"/>
            <w:col w:w="7459"/>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1" w:after="0" w:line="240" w:lineRule="auto"/>
        <w:ind w:left="1825" w:right="0" w:hanging="1103"/>
        <w:jc w:val="left"/>
      </w:pPr>
      <w:r>
        <w:rPr>
          <w:spacing w:val="7"/>
        </w:rPr>
        <w:t xml:space="preserve">中度面积 </w:t>
      </w:r>
      <w:r>
        <w:rPr>
          <w:spacing w:val="-9"/>
        </w:rPr>
        <w:t>III</w:t>
      </w:r>
    </w:p>
    <w:p>
      <w:pPr>
        <w:spacing w:before="31"/>
        <w:ind w:left="1825" w:right="0" w:firstLine="0"/>
        <w:jc w:val="left"/>
        <w:rPr>
          <w:sz w:val="22"/>
        </w:rPr>
      </w:pPr>
      <w:r>
        <w:rPr>
          <w:w w:val="95"/>
          <w:sz w:val="22"/>
        </w:rPr>
        <w:t>度烧</w:t>
      </w:r>
      <w:r>
        <w:rPr>
          <w:spacing w:val="-10"/>
          <w:w w:val="95"/>
          <w:sz w:val="22"/>
        </w:rPr>
        <w:t>伤</w:t>
      </w:r>
    </w:p>
    <w:p>
      <w:pPr>
        <w:pStyle w:val="6"/>
        <w:spacing w:before="81" w:line="278" w:lineRule="auto"/>
        <w:ind w:left="173" w:right="408"/>
        <w:jc w:val="both"/>
      </w:pPr>
      <w:r>
        <w:br w:type="column"/>
      </w:r>
      <w:r>
        <w:rPr>
          <w:spacing w:val="-2"/>
        </w:rPr>
        <w:t>指烧伤程度为Ⅲ度，即全层皮肤烧伤，包括表皮、真皮和皮下组织，且Ⅲ度</w:t>
      </w:r>
      <w:r>
        <w:rPr>
          <w:spacing w:val="-3"/>
        </w:rPr>
        <w:t xml:space="preserve">烧伤的面积达到全身体表面积的 </w:t>
      </w:r>
      <w:r>
        <w:rPr>
          <w:spacing w:val="-2"/>
        </w:rPr>
        <w:t>15</w:t>
      </w:r>
      <w:r>
        <w:rPr>
          <w:spacing w:val="-6"/>
        </w:rPr>
        <w:t xml:space="preserve">%或 </w:t>
      </w:r>
      <w:r>
        <w:rPr>
          <w:spacing w:val="-2"/>
        </w:rPr>
        <w:t>15%以上，且未达到重大疾病“严重 Ⅲ度烧伤”的给付标准。</w:t>
      </w:r>
    </w:p>
    <w:p>
      <w:pPr>
        <w:spacing w:after="0" w:line="278" w:lineRule="auto"/>
        <w:jc w:val="both"/>
        <w:sectPr>
          <w:type w:val="continuous"/>
          <w:pgSz w:w="11910" w:h="16840"/>
          <w:pgMar w:top="280" w:right="660" w:bottom="280" w:left="580" w:header="0" w:footer="1060" w:gutter="0"/>
          <w:cols w:equalWidth="0" w:num="2">
            <w:col w:w="3172" w:space="40"/>
            <w:col w:w="7458"/>
          </w:cols>
        </w:sectPr>
      </w:pPr>
    </w:p>
    <w:p>
      <w:pPr>
        <w:pStyle w:val="6"/>
        <w:rPr>
          <w:sz w:val="18"/>
        </w:rPr>
      </w:pPr>
    </w:p>
    <w:p>
      <w:pPr>
        <w:pStyle w:val="10"/>
        <w:numPr>
          <w:ilvl w:val="2"/>
          <w:numId w:val="37"/>
        </w:numPr>
        <w:tabs>
          <w:tab w:val="left" w:pos="1825"/>
          <w:tab w:val="left" w:pos="1826"/>
        </w:tabs>
        <w:spacing w:before="71" w:after="0" w:line="240" w:lineRule="auto"/>
        <w:ind w:left="1825" w:right="0" w:hanging="1103"/>
        <w:jc w:val="left"/>
        <w:rPr>
          <w:sz w:val="21"/>
        </w:rPr>
      </w:pPr>
      <w:r>
        <w:rPr>
          <w:spacing w:val="12"/>
          <w:sz w:val="22"/>
        </w:rPr>
        <w:t xml:space="preserve">腔静脉过滤器  </w:t>
      </w:r>
      <w:r>
        <w:rPr>
          <w:spacing w:val="-1"/>
          <w:sz w:val="21"/>
        </w:rPr>
        <w:t>指经本公司认可医院的专科医生证明有反复肺栓塞发作及抗凝治疗无效而</w:t>
      </w:r>
    </w:p>
    <w:p>
      <w:pPr>
        <w:spacing w:after="0" w:line="240" w:lineRule="auto"/>
        <w:jc w:val="left"/>
        <w:rPr>
          <w:sz w:val="21"/>
        </w:rPr>
        <w:sectPr>
          <w:type w:val="continuous"/>
          <w:pgSz w:w="11910" w:h="16840"/>
          <w:pgMar w:top="280" w:right="660" w:bottom="280" w:left="580" w:header="0" w:footer="1060" w:gutter="0"/>
          <w:cols w:space="720" w:num="1"/>
        </w:sectPr>
      </w:pPr>
    </w:p>
    <w:p>
      <w:pPr>
        <w:pStyle w:val="6"/>
        <w:tabs>
          <w:tab w:val="left" w:pos="3385"/>
        </w:tabs>
        <w:spacing w:before="52" w:line="273" w:lineRule="auto"/>
        <w:ind w:left="3385" w:right="409" w:hanging="1560"/>
      </w:pPr>
      <w:r>
        <w:rPr>
          <w:spacing w:val="-4"/>
          <w:sz w:val="22"/>
        </w:rPr>
        <w:t>植入术</w:t>
      </w:r>
      <w:r>
        <w:rPr>
          <w:sz w:val="22"/>
        </w:rPr>
        <w:tab/>
      </w:r>
      <w:r>
        <w:rPr>
          <w:spacing w:val="-2"/>
        </w:rPr>
        <w:t>必须接受手术植入腔静脉过滤器</w:t>
      </w:r>
      <w:r>
        <w:rPr>
          <w:spacing w:val="-65"/>
        </w:rPr>
        <w:t>。</w:t>
      </w:r>
      <w:r>
        <w:rPr>
          <w:spacing w:val="-2"/>
        </w:rPr>
        <w:t>理赔时需提供完整病历及手术记录以证明植入腔静脉过滤器有必要性及已确实施行了手术。</w:t>
      </w:r>
    </w:p>
    <w:p>
      <w:pPr>
        <w:pStyle w:val="6"/>
        <w:spacing w:before="6"/>
        <w:rPr>
          <w:sz w:val="18"/>
        </w:rPr>
      </w:pPr>
    </w:p>
    <w:p>
      <w:pPr>
        <w:spacing w:after="0"/>
        <w:rPr>
          <w:sz w:val="18"/>
        </w:rPr>
        <w:sectPr>
          <w:pgSz w:w="11910" w:h="16840"/>
          <w:pgMar w:top="1440" w:right="660" w:bottom="1260" w:left="580" w:header="0" w:footer="1060" w:gutter="0"/>
          <w:cols w:space="720" w:num="1"/>
        </w:sectPr>
      </w:pPr>
    </w:p>
    <w:p>
      <w:pPr>
        <w:pStyle w:val="4"/>
        <w:numPr>
          <w:ilvl w:val="2"/>
          <w:numId w:val="37"/>
        </w:numPr>
        <w:tabs>
          <w:tab w:val="left" w:pos="1825"/>
          <w:tab w:val="left" w:pos="1826"/>
        </w:tabs>
        <w:spacing w:before="71" w:after="0" w:line="266" w:lineRule="auto"/>
        <w:ind w:left="1825" w:right="0" w:hanging="1102"/>
        <w:jc w:val="left"/>
      </w:pPr>
      <w:r>
        <w:rPr>
          <w:spacing w:val="12"/>
          <w:w w:val="95"/>
        </w:rPr>
        <w:t>中度多发性</w:t>
      </w:r>
      <w:r>
        <w:rPr>
          <w:w w:val="95"/>
        </w:rPr>
        <w:t>硬</w:t>
      </w:r>
      <w:r>
        <w:rPr>
          <w:spacing w:val="-10"/>
        </w:rPr>
        <w:t>化</w:t>
      </w:r>
    </w:p>
    <w:p>
      <w:pPr>
        <w:pStyle w:val="6"/>
        <w:spacing w:before="81" w:line="278" w:lineRule="auto"/>
        <w:ind w:left="174" w:right="406"/>
        <w:jc w:val="both"/>
      </w:pPr>
      <w:r>
        <w:br w:type="column"/>
      </w:r>
      <w:r>
        <w:rPr>
          <w:spacing w:val="-2"/>
        </w:rPr>
        <w:t>指被保险人因脑及脊髓内的脱髓鞘病变而出现神经系统多灶性（多发性）多</w:t>
      </w:r>
      <w:r>
        <w:rPr>
          <w:spacing w:val="-4"/>
        </w:rPr>
        <w:t>时相（</w:t>
      </w:r>
      <w:r>
        <w:rPr>
          <w:spacing w:val="-11"/>
        </w:rPr>
        <w:t xml:space="preserve">至少 </w:t>
      </w:r>
      <w:r>
        <w:rPr>
          <w:spacing w:val="-4"/>
        </w:rPr>
        <w:t>6</w:t>
      </w:r>
      <w:r>
        <w:rPr>
          <w:spacing w:val="-8"/>
        </w:rPr>
        <w:t xml:space="preserve"> 个月以内有一次以上</w:t>
      </w:r>
      <w:r>
        <w:rPr>
          <w:spacing w:val="-4"/>
        </w:rPr>
        <w:t>（不包含一次）的发作）的病变，须由计</w:t>
      </w:r>
      <w:r>
        <w:rPr>
          <w:spacing w:val="-2"/>
        </w:rPr>
        <w:t>算机断层扫描</w:t>
      </w:r>
      <w:r>
        <w:rPr>
          <w:spacing w:val="27"/>
        </w:rPr>
        <w:t>（</w:t>
      </w:r>
      <w:r>
        <w:rPr>
          <w:spacing w:val="21"/>
        </w:rPr>
        <w:t>C</w:t>
      </w:r>
      <w:r>
        <w:rPr>
          <w:spacing w:val="26"/>
        </w:rPr>
        <w:t>T</w:t>
      </w:r>
      <w:r>
        <w:rPr>
          <w:spacing w:val="-82"/>
        </w:rPr>
        <w:t>）</w:t>
      </w:r>
      <w:r>
        <w:rPr>
          <w:spacing w:val="-2"/>
        </w:rPr>
        <w:t xml:space="preserve">、核磁共振检查（MRI）或正电子发射断层扫描（PET）等影像学检查证实，且已经造成自主生活能力完全丧失，无法独立完成六项基本日常生活活动中的两项，持续至少 </w:t>
      </w:r>
      <w:r>
        <w:t>180</w:t>
      </w:r>
      <w:r>
        <w:rPr>
          <w:spacing w:val="-8"/>
        </w:rPr>
        <w:t xml:space="preserve"> 天。</w:t>
      </w:r>
    </w:p>
    <w:p>
      <w:pPr>
        <w:spacing w:after="0" w:line="278" w:lineRule="auto"/>
        <w:jc w:val="both"/>
        <w:sectPr>
          <w:type w:val="continuous"/>
          <w:pgSz w:w="11910" w:h="16840"/>
          <w:pgMar w:top="280" w:right="660" w:bottom="280" w:left="580" w:header="0" w:footer="1060" w:gutter="0"/>
          <w:cols w:equalWidth="0" w:num="2">
            <w:col w:w="3171" w:space="40"/>
            <w:col w:w="7459"/>
          </w:cols>
        </w:sectPr>
      </w:pPr>
    </w:p>
    <w:p>
      <w:pPr>
        <w:pStyle w:val="6"/>
        <w:rPr>
          <w:sz w:val="18"/>
        </w:rPr>
      </w:pPr>
    </w:p>
    <w:p>
      <w:pPr>
        <w:pStyle w:val="10"/>
        <w:numPr>
          <w:ilvl w:val="2"/>
          <w:numId w:val="37"/>
        </w:numPr>
        <w:tabs>
          <w:tab w:val="left" w:pos="1826"/>
        </w:tabs>
        <w:spacing w:before="71" w:after="0" w:line="276" w:lineRule="auto"/>
        <w:ind w:left="3385" w:right="408" w:hanging="2662"/>
        <w:jc w:val="both"/>
        <w:rPr>
          <w:sz w:val="21"/>
        </w:rPr>
      </w:pPr>
      <w:r>
        <w:rPr>
          <w:sz w:val="22"/>
        </w:rPr>
        <w:t xml:space="preserve">中度克罗恩病 </w:t>
      </w:r>
      <w:r>
        <w:rPr>
          <w:sz w:val="21"/>
        </w:rPr>
        <w:t>是一种慢性肉芽肿性肠炎，具有特征性的克隆病病理组织学变化。诊断必须</w:t>
      </w:r>
      <w:r>
        <w:rPr>
          <w:spacing w:val="-7"/>
          <w:sz w:val="21"/>
        </w:rPr>
        <w:t>由专科医生经过病理检查结果证实，被保险人所患的克罗恩症须经肠胃科专</w:t>
      </w:r>
      <w:r>
        <w:rPr>
          <w:spacing w:val="-4"/>
          <w:sz w:val="21"/>
        </w:rPr>
        <w:t xml:space="preserve">科医生以类固醇或免疫抑制剂连续治疗 </w:t>
      </w:r>
      <w:r>
        <w:rPr>
          <w:spacing w:val="-2"/>
          <w:sz w:val="21"/>
        </w:rPr>
        <w:t>180</w:t>
      </w:r>
      <w:r>
        <w:rPr>
          <w:spacing w:val="-12"/>
          <w:sz w:val="21"/>
        </w:rPr>
        <w:t xml:space="preserve"> 天以上，且未达到本合同所指重</w:t>
      </w:r>
      <w:r>
        <w:rPr>
          <w:spacing w:val="-2"/>
          <w:sz w:val="21"/>
        </w:rPr>
        <w:t>大疾病“严重克罗恩病”的标准。</w:t>
      </w:r>
    </w:p>
    <w:p>
      <w:pPr>
        <w:pStyle w:val="6"/>
        <w:spacing w:before="11"/>
        <w:rPr>
          <w:sz w:val="23"/>
        </w:rPr>
      </w:pPr>
    </w:p>
    <w:p>
      <w:pPr>
        <w:pStyle w:val="10"/>
        <w:numPr>
          <w:ilvl w:val="2"/>
          <w:numId w:val="37"/>
        </w:numPr>
        <w:tabs>
          <w:tab w:val="left" w:pos="1826"/>
        </w:tabs>
        <w:spacing w:before="0" w:after="0" w:line="266" w:lineRule="auto"/>
        <w:ind w:left="3385" w:right="406" w:hanging="2662"/>
        <w:jc w:val="both"/>
        <w:rPr>
          <w:sz w:val="21"/>
        </w:rPr>
      </w:pPr>
      <w:r>
        <w:rPr>
          <w:position w:val="1"/>
          <w:sz w:val="22"/>
        </w:rPr>
        <w:t>昏迷</w:t>
      </w:r>
      <w:r>
        <w:rPr>
          <w:spacing w:val="-28"/>
          <w:position w:val="1"/>
          <w:sz w:val="22"/>
        </w:rPr>
        <w:t xml:space="preserve"> </w:t>
      </w:r>
      <w:r>
        <w:rPr>
          <w:position w:val="1"/>
          <w:sz w:val="22"/>
        </w:rPr>
        <w:t>72</w:t>
      </w:r>
      <w:r>
        <w:rPr>
          <w:spacing w:val="15"/>
          <w:position w:val="1"/>
          <w:sz w:val="22"/>
        </w:rPr>
        <w:t xml:space="preserve"> 小时 </w:t>
      </w:r>
      <w:r>
        <w:rPr>
          <w:sz w:val="21"/>
        </w:rPr>
        <w:t>指因疾病或意外伤害导致意识丧失，对外界刺激和体内需求均无反应，昏迷程度按照格拉斯哥昏迷分级（GCS，Glasgow</w:t>
      </w:r>
      <w:r>
        <w:rPr>
          <w:spacing w:val="-8"/>
          <w:sz w:val="21"/>
        </w:rPr>
        <w:t xml:space="preserve"> </w:t>
      </w:r>
      <w:r>
        <w:rPr>
          <w:sz w:val="21"/>
        </w:rPr>
        <w:t>Coma</w:t>
      </w:r>
      <w:r>
        <w:rPr>
          <w:spacing w:val="-8"/>
          <w:sz w:val="21"/>
        </w:rPr>
        <w:t xml:space="preserve"> </w:t>
      </w:r>
      <w:r>
        <w:rPr>
          <w:sz w:val="21"/>
        </w:rPr>
        <w:t>Scale）</w:t>
      </w:r>
      <w:r>
        <w:rPr>
          <w:spacing w:val="-7"/>
          <w:sz w:val="21"/>
        </w:rPr>
        <w:t xml:space="preserve">结果为 </w:t>
      </w:r>
      <w:r>
        <w:rPr>
          <w:sz w:val="21"/>
        </w:rPr>
        <w:t>5</w:t>
      </w:r>
      <w:r>
        <w:rPr>
          <w:spacing w:val="-14"/>
          <w:sz w:val="21"/>
        </w:rPr>
        <w:t xml:space="preserve"> 分或 </w:t>
      </w:r>
      <w:r>
        <w:rPr>
          <w:sz w:val="21"/>
        </w:rPr>
        <w:t>5</w:t>
      </w:r>
      <w:r>
        <w:rPr>
          <w:spacing w:val="-3"/>
          <w:sz w:val="21"/>
        </w:rPr>
        <w:t xml:space="preserve">分以下，且已经持续使用呼吸机及其它生命维持系统 </w:t>
      </w:r>
      <w:r>
        <w:rPr>
          <w:spacing w:val="-2"/>
          <w:sz w:val="21"/>
        </w:rPr>
        <w:t>72</w:t>
      </w:r>
      <w:r>
        <w:rPr>
          <w:spacing w:val="-5"/>
          <w:sz w:val="21"/>
        </w:rPr>
        <w:t xml:space="preserve"> 小时以上，但未达</w:t>
      </w:r>
      <w:r>
        <w:rPr>
          <w:spacing w:val="-2"/>
          <w:sz w:val="21"/>
        </w:rPr>
        <w:t>到本合同所指重大疾病“深度昏迷”的标准。</w:t>
      </w:r>
    </w:p>
    <w:p>
      <w:pPr>
        <w:pStyle w:val="6"/>
        <w:spacing w:before="4"/>
        <w:ind w:left="3385"/>
      </w:pPr>
      <w:r>
        <w:rPr>
          <w:color w:val="000000"/>
          <w:spacing w:val="-3"/>
          <w:shd w:val="clear" w:color="auto" w:fill="C0C0C0"/>
        </w:rPr>
        <w:t>因酗酒或药物滥用导致的昏迷不在保障范围内。</w:t>
      </w:r>
    </w:p>
    <w:p>
      <w:pPr>
        <w:pStyle w:val="6"/>
        <w:spacing w:before="8"/>
        <w:rPr>
          <w:sz w:val="20"/>
        </w:rPr>
      </w:pPr>
    </w:p>
    <w:p>
      <w:pPr>
        <w:spacing w:after="0"/>
        <w:rPr>
          <w:sz w:val="20"/>
        </w:rPr>
        <w:sectPr>
          <w:type w:val="continuous"/>
          <w:pgSz w:w="11910" w:h="16840"/>
          <w:pgMar w:top="280" w:right="660" w:bottom="280" w:left="580" w:header="0" w:footer="1060" w:gutter="0"/>
          <w:cols w:space="720" w:num="1"/>
        </w:sectPr>
      </w:pPr>
    </w:p>
    <w:p>
      <w:pPr>
        <w:pStyle w:val="5"/>
        <w:numPr>
          <w:ilvl w:val="1"/>
          <w:numId w:val="37"/>
        </w:numPr>
        <w:tabs>
          <w:tab w:val="left" w:pos="1825"/>
          <w:tab w:val="left" w:pos="1826"/>
        </w:tabs>
        <w:spacing w:before="57" w:after="0" w:line="194" w:lineRule="auto"/>
        <w:ind w:left="1825" w:right="0" w:hanging="1102"/>
        <w:jc w:val="left"/>
      </w:pPr>
      <w:r>
        <w:rPr>
          <w:spacing w:val="-2"/>
        </w:rPr>
        <w:t>轻症疾病的定</w:t>
      </w:r>
      <w:r>
        <w:rPr>
          <w:spacing w:val="-10"/>
        </w:rPr>
        <w:t>义</w:t>
      </w:r>
    </w:p>
    <w:p>
      <w:pPr>
        <w:pStyle w:val="6"/>
        <w:spacing w:before="71" w:line="278" w:lineRule="auto"/>
        <w:ind w:left="252" w:right="408"/>
        <w:jc w:val="both"/>
      </w:pPr>
      <w:r>
        <w:br w:type="column"/>
      </w:r>
      <w:r>
        <w:rPr>
          <w:spacing w:val="-3"/>
          <w:w w:val="100"/>
        </w:rPr>
        <w:t>本合同所定义的轻症疾病共有</w:t>
      </w:r>
      <w:r>
        <w:rPr>
          <w:spacing w:val="-47"/>
        </w:rPr>
        <w:t xml:space="preserve"> </w:t>
      </w:r>
      <w:r>
        <w:rPr>
          <w:w w:val="100"/>
        </w:rPr>
        <w:t>41</w:t>
      </w:r>
      <w:r>
        <w:rPr>
          <w:spacing w:val="-48"/>
        </w:rPr>
        <w:t xml:space="preserve"> </w:t>
      </w:r>
      <w:r>
        <w:rPr>
          <w:spacing w:val="-3"/>
          <w:w w:val="100"/>
        </w:rPr>
        <w:t>种，其中第</w:t>
      </w:r>
      <w:r>
        <w:rPr>
          <w:spacing w:val="-46"/>
        </w:rPr>
        <w:t xml:space="preserve"> </w:t>
      </w:r>
      <w:r>
        <w:rPr>
          <w:w w:val="100"/>
        </w:rPr>
        <w:t>1</w:t>
      </w:r>
      <w:r>
        <w:rPr>
          <w:spacing w:val="-48"/>
        </w:rPr>
        <w:t xml:space="preserve"> </w:t>
      </w:r>
      <w:r>
        <w:rPr>
          <w:w w:val="100"/>
        </w:rPr>
        <w:t>至</w:t>
      </w:r>
      <w:r>
        <w:rPr>
          <w:spacing w:val="-48"/>
        </w:rPr>
        <w:t xml:space="preserve"> </w:t>
      </w:r>
      <w:r>
        <w:rPr>
          <w:w w:val="100"/>
        </w:rPr>
        <w:t>3</w:t>
      </w:r>
      <w:r>
        <w:rPr>
          <w:spacing w:val="-48"/>
        </w:rPr>
        <w:t xml:space="preserve"> </w:t>
      </w:r>
      <w:r>
        <w:rPr>
          <w:spacing w:val="-3"/>
          <w:w w:val="100"/>
        </w:rPr>
        <w:t>种轻症疾病定义完全采</w:t>
      </w:r>
      <w:r>
        <w:rPr>
          <w:spacing w:val="2"/>
          <w:w w:val="100"/>
        </w:rPr>
        <w:t>用了中国保险行业协会发布的《重大疾病保险的疾病定义使用规范</w:t>
      </w:r>
      <w:r>
        <w:rPr>
          <w:spacing w:val="8"/>
          <w:w w:val="100"/>
        </w:rPr>
        <w:t>（</w:t>
      </w:r>
      <w:r>
        <w:rPr>
          <w:w w:val="100"/>
        </w:rPr>
        <w:t>20</w:t>
      </w:r>
      <w:r>
        <w:rPr>
          <w:spacing w:val="-3"/>
          <w:w w:val="100"/>
        </w:rPr>
        <w:t>2</w:t>
      </w:r>
      <w:r>
        <w:rPr>
          <w:w w:val="100"/>
        </w:rPr>
        <w:t>0</w:t>
      </w:r>
      <w:r>
        <w:rPr>
          <w:spacing w:val="-1"/>
          <w:w w:val="100"/>
        </w:rPr>
        <w:t>年修订版</w:t>
      </w:r>
      <w:r>
        <w:rPr>
          <w:spacing w:val="-108"/>
          <w:w w:val="100"/>
        </w:rPr>
        <w:t>）</w:t>
      </w:r>
      <w:r>
        <w:rPr>
          <w:spacing w:val="-3"/>
          <w:w w:val="100"/>
        </w:rPr>
        <w:t>》中的轻度疾病定义。</w:t>
      </w:r>
      <w:r>
        <w:rPr>
          <w:color w:val="000000"/>
          <w:w w:val="100"/>
          <w:shd w:val="clear" w:color="auto" w:fill="C0C0C0"/>
        </w:rPr>
        <w:t>第</w:t>
      </w:r>
      <w:r>
        <w:rPr>
          <w:color w:val="000000"/>
          <w:shd w:val="clear" w:color="auto" w:fill="C0C0C0"/>
        </w:rPr>
        <w:t xml:space="preserve"> </w:t>
      </w:r>
      <w:r>
        <w:rPr>
          <w:color w:val="000000"/>
          <w:w w:val="100"/>
          <w:shd w:val="clear" w:color="auto" w:fill="C0C0C0"/>
        </w:rPr>
        <w:t>4</w:t>
      </w:r>
      <w:r>
        <w:rPr>
          <w:color w:val="000000"/>
          <w:spacing w:val="-36"/>
          <w:shd w:val="clear" w:color="auto" w:fill="C0C0C0"/>
        </w:rPr>
        <w:t xml:space="preserve"> </w:t>
      </w:r>
      <w:r>
        <w:rPr>
          <w:color w:val="000000"/>
          <w:w w:val="100"/>
          <w:shd w:val="clear" w:color="auto" w:fill="C0C0C0"/>
        </w:rPr>
        <w:t>至第</w:t>
      </w:r>
      <w:r>
        <w:rPr>
          <w:color w:val="000000"/>
          <w:spacing w:val="-2"/>
          <w:shd w:val="clear" w:color="auto" w:fill="C0C0C0"/>
        </w:rPr>
        <w:t xml:space="preserve"> </w:t>
      </w:r>
      <w:r>
        <w:rPr>
          <w:color w:val="000000"/>
          <w:w w:val="100"/>
          <w:shd w:val="clear" w:color="auto" w:fill="C0C0C0"/>
        </w:rPr>
        <w:t>41</w:t>
      </w:r>
      <w:r>
        <w:rPr>
          <w:color w:val="000000"/>
          <w:spacing w:val="-33"/>
          <w:shd w:val="clear" w:color="auto" w:fill="C0C0C0"/>
        </w:rPr>
        <w:t xml:space="preserve"> </w:t>
      </w:r>
      <w:r>
        <w:rPr>
          <w:color w:val="000000"/>
          <w:spacing w:val="-3"/>
          <w:w w:val="100"/>
          <w:shd w:val="clear" w:color="auto" w:fill="C0C0C0"/>
        </w:rPr>
        <w:t>种轻症疾病为我们增加的疾                                                                                                                                病种类并自行制定的疾病定义。</w:t>
      </w:r>
    </w:p>
    <w:p>
      <w:pPr>
        <w:spacing w:after="0" w:line="278" w:lineRule="auto"/>
        <w:jc w:val="both"/>
        <w:sectPr>
          <w:type w:val="continuous"/>
          <w:pgSz w:w="11910" w:h="16840"/>
          <w:pgMar w:top="280" w:right="660" w:bottom="280" w:left="580" w:header="0" w:footer="1060" w:gutter="0"/>
          <w:cols w:equalWidth="0" w:num="2">
            <w:col w:w="3093" w:space="40"/>
            <w:col w:w="7537"/>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37"/>
        </w:numPr>
        <w:tabs>
          <w:tab w:val="left" w:pos="1825"/>
          <w:tab w:val="left" w:pos="1826"/>
        </w:tabs>
        <w:spacing w:before="72" w:after="0" w:line="266" w:lineRule="auto"/>
        <w:ind w:left="1825" w:right="0" w:hanging="1102"/>
        <w:jc w:val="left"/>
      </w:pPr>
      <w:r>
        <w:rPr>
          <w:spacing w:val="12"/>
          <w:w w:val="95"/>
        </w:rPr>
        <w:t>恶性肿瘤</w:t>
      </w:r>
      <w:r>
        <w:rPr>
          <w:w w:val="95"/>
        </w:rPr>
        <w:t>——</w:t>
      </w:r>
      <w:r>
        <w:rPr>
          <w:spacing w:val="-6"/>
        </w:rPr>
        <w:t>轻度</w:t>
      </w:r>
    </w:p>
    <w:p>
      <w:pPr>
        <w:pStyle w:val="6"/>
        <w:spacing w:before="89" w:line="266" w:lineRule="auto"/>
        <w:ind w:left="168" w:right="303"/>
      </w:pPr>
      <w:r>
        <w:br w:type="column"/>
      </w:r>
      <w:r>
        <w:rPr>
          <w:spacing w:val="-7"/>
          <w:w w:val="100"/>
        </w:rPr>
        <w:t>指恶性细胞不受控制的进行性增长和扩散，浸润和破坏周围正常组织，可以</w:t>
      </w:r>
      <w:r>
        <w:rPr>
          <w:spacing w:val="-19"/>
          <w:w w:val="100"/>
        </w:rPr>
        <w:t>经血管、淋巴管和体腔扩散转移到身体其他部位，病灶经组织病理学检查</w:t>
      </w:r>
      <w:r>
        <w:rPr>
          <w:spacing w:val="-3"/>
          <w:w w:val="100"/>
        </w:rPr>
        <w:t>（</w:t>
      </w:r>
      <w:r>
        <w:rPr>
          <w:w w:val="100"/>
        </w:rPr>
        <w:t>涵</w:t>
      </w:r>
      <w:r>
        <w:rPr>
          <w:spacing w:val="-3"/>
          <w:w w:val="100"/>
        </w:rPr>
        <w:t>盖骨髓病理学检查</w:t>
      </w:r>
      <w:r>
        <w:rPr>
          <w:spacing w:val="-101"/>
          <w:w w:val="100"/>
        </w:rPr>
        <w:t>）</w:t>
      </w:r>
      <w:r>
        <w:rPr>
          <w:spacing w:val="-17"/>
          <w:w w:val="100"/>
        </w:rPr>
        <w:t>结果明确诊断，临床诊断属于世界卫生组织</w:t>
      </w:r>
      <w:r>
        <w:rPr>
          <w:w w:val="100"/>
        </w:rPr>
        <w:t>（</w:t>
      </w:r>
      <w:r>
        <w:rPr>
          <w:spacing w:val="-3"/>
          <w:w w:val="100"/>
        </w:rPr>
        <w:t>W</w:t>
      </w:r>
      <w:r>
        <w:rPr>
          <w:w w:val="100"/>
        </w:rPr>
        <w:t>H</w:t>
      </w:r>
      <w:r>
        <w:rPr>
          <w:spacing w:val="-1"/>
          <w:w w:val="100"/>
        </w:rPr>
        <w:t>O</w:t>
      </w:r>
      <w:r>
        <w:rPr>
          <w:spacing w:val="4"/>
          <w:w w:val="100"/>
        </w:rPr>
        <w:t>，</w:t>
      </w:r>
      <w:r>
        <w:rPr>
          <w:w w:val="100"/>
        </w:rPr>
        <w:t>Wor</w:t>
      </w:r>
      <w:r>
        <w:rPr>
          <w:spacing w:val="-3"/>
          <w:w w:val="100"/>
        </w:rPr>
        <w:t>l</w:t>
      </w:r>
      <w:r>
        <w:rPr>
          <w:w w:val="100"/>
        </w:rPr>
        <w:t>d Health</w:t>
      </w:r>
      <w:r>
        <w:rPr>
          <w:spacing w:val="-54"/>
        </w:rPr>
        <w:t xml:space="preserve"> </w:t>
      </w:r>
      <w:r>
        <w:rPr>
          <w:w w:val="100"/>
        </w:rPr>
        <w:t>Or</w:t>
      </w:r>
      <w:r>
        <w:rPr>
          <w:spacing w:val="-3"/>
          <w:w w:val="100"/>
        </w:rPr>
        <w:t>g</w:t>
      </w:r>
      <w:r>
        <w:rPr>
          <w:w w:val="100"/>
        </w:rPr>
        <w:t>ani</w:t>
      </w:r>
      <w:r>
        <w:rPr>
          <w:spacing w:val="-3"/>
          <w:w w:val="100"/>
        </w:rPr>
        <w:t>z</w:t>
      </w:r>
      <w:r>
        <w:rPr>
          <w:w w:val="100"/>
        </w:rPr>
        <w:t>ati</w:t>
      </w:r>
      <w:r>
        <w:rPr>
          <w:spacing w:val="-3"/>
          <w:w w:val="100"/>
        </w:rPr>
        <w:t>o</w:t>
      </w:r>
      <w:r>
        <w:rPr>
          <w:spacing w:val="-1"/>
          <w:w w:val="100"/>
        </w:rPr>
        <w:t>n</w:t>
      </w:r>
      <w:r>
        <w:rPr>
          <w:spacing w:val="-118"/>
          <w:w w:val="100"/>
        </w:rPr>
        <w:t>）</w:t>
      </w:r>
      <w:r>
        <w:rPr>
          <w:spacing w:val="-4"/>
          <w:w w:val="100"/>
        </w:rPr>
        <w:t xml:space="preserve">《疾病和有关健康问题的国际统计分类》第十次修订 </w:t>
      </w:r>
      <w:r>
        <w:rPr>
          <w:spacing w:val="-99"/>
          <w:w w:val="100"/>
        </w:rPr>
        <w:t>版</w:t>
      </w:r>
      <w:r>
        <w:rPr>
          <w:spacing w:val="-2"/>
          <w:w w:val="100"/>
        </w:rPr>
        <w:t>（</w:t>
      </w:r>
      <w:r>
        <w:rPr>
          <w:w w:val="100"/>
        </w:rPr>
        <w:t>ICD</w:t>
      </w:r>
      <w:r>
        <w:rPr>
          <w:spacing w:val="-3"/>
          <w:w w:val="100"/>
        </w:rPr>
        <w:t>-</w:t>
      </w:r>
      <w:r>
        <w:rPr>
          <w:w w:val="100"/>
        </w:rPr>
        <w:t>1</w:t>
      </w:r>
      <w:r>
        <w:rPr>
          <w:spacing w:val="-3"/>
          <w:w w:val="100"/>
        </w:rPr>
        <w:t>0</w:t>
      </w:r>
      <w:r>
        <w:rPr>
          <w:spacing w:val="-99"/>
          <w:w w:val="100"/>
        </w:rPr>
        <w:t>）</w:t>
      </w:r>
      <w:r>
        <w:rPr>
          <w:spacing w:val="-21"/>
          <w:w w:val="100"/>
        </w:rPr>
        <w:t>的恶性肿瘤类别及《国际疾病分类肿瘤学专辑》第三版</w:t>
      </w:r>
      <w:r>
        <w:rPr>
          <w:w w:val="100"/>
        </w:rPr>
        <w:t>（</w:t>
      </w:r>
      <w:r>
        <w:rPr>
          <w:spacing w:val="-3"/>
          <w:w w:val="100"/>
        </w:rPr>
        <w:t>I</w:t>
      </w:r>
      <w:r>
        <w:rPr>
          <w:w w:val="100"/>
        </w:rPr>
        <w:t>C</w:t>
      </w:r>
      <w:r>
        <w:rPr>
          <w:spacing w:val="-1"/>
          <w:w w:val="100"/>
        </w:rPr>
        <w:t>D</w:t>
      </w:r>
      <w:r>
        <w:rPr>
          <w:w w:val="100"/>
        </w:rPr>
        <w:t>-</w:t>
      </w:r>
      <w:r>
        <w:rPr>
          <w:spacing w:val="-3"/>
          <w:w w:val="100"/>
        </w:rPr>
        <w:t>O</w:t>
      </w:r>
      <w:r>
        <w:rPr>
          <w:w w:val="100"/>
        </w:rPr>
        <w:t>-3）的肿瘤形态学编码属于3</w:t>
      </w:r>
      <w:r>
        <w:rPr>
          <w:spacing w:val="-3"/>
          <w:w w:val="100"/>
        </w:rPr>
        <w:t>、</w:t>
      </w:r>
      <w:r>
        <w:rPr>
          <w:w w:val="100"/>
        </w:rPr>
        <w:t>6、9（恶性肿瘤）</w:t>
      </w:r>
      <w:r>
        <w:rPr>
          <w:spacing w:val="-3"/>
          <w:w w:val="100"/>
        </w:rPr>
        <w:t>范畴，但不在“恶性肿瘤——重度”保障范围的疾病。且特指下列六项之一：</w:t>
      </w:r>
    </w:p>
    <w:p>
      <w:pPr>
        <w:pStyle w:val="10"/>
        <w:numPr>
          <w:ilvl w:val="0"/>
          <w:numId w:val="43"/>
        </w:numPr>
        <w:tabs>
          <w:tab w:val="left" w:pos="699"/>
        </w:tabs>
        <w:spacing w:before="9" w:after="0" w:line="240" w:lineRule="auto"/>
        <w:ind w:left="698" w:right="0" w:hanging="531"/>
        <w:jc w:val="left"/>
        <w:rPr>
          <w:sz w:val="21"/>
        </w:rPr>
      </w:pPr>
      <w:r>
        <w:rPr>
          <w:spacing w:val="-2"/>
          <w:sz w:val="21"/>
        </w:rPr>
        <w:t>TNM</w:t>
      </w:r>
      <w:r>
        <w:rPr>
          <w:spacing w:val="-3"/>
          <w:sz w:val="21"/>
        </w:rPr>
        <w:t>分期为Ⅰ期的甲状腺癌；</w:t>
      </w:r>
    </w:p>
    <w:p>
      <w:pPr>
        <w:pStyle w:val="10"/>
        <w:numPr>
          <w:ilvl w:val="0"/>
          <w:numId w:val="43"/>
        </w:numPr>
        <w:tabs>
          <w:tab w:val="left" w:pos="699"/>
        </w:tabs>
        <w:spacing w:before="31" w:after="0" w:line="240" w:lineRule="auto"/>
        <w:ind w:left="698" w:right="0" w:hanging="531"/>
        <w:jc w:val="left"/>
        <w:rPr>
          <w:sz w:val="21"/>
        </w:rPr>
      </w:pPr>
      <w:r>
        <w:rPr>
          <w:spacing w:val="-2"/>
          <w:position w:val="1"/>
          <w:sz w:val="21"/>
        </w:rPr>
        <w:t>TNM分期为T</w:t>
      </w:r>
      <w:r>
        <w:rPr>
          <w:spacing w:val="-2"/>
          <w:sz w:val="11"/>
        </w:rPr>
        <w:t>1</w:t>
      </w:r>
      <w:r>
        <w:rPr>
          <w:spacing w:val="-2"/>
          <w:position w:val="1"/>
          <w:sz w:val="21"/>
        </w:rPr>
        <w:t>N</w:t>
      </w:r>
      <w:r>
        <w:rPr>
          <w:spacing w:val="-2"/>
          <w:sz w:val="11"/>
        </w:rPr>
        <w:t>0</w:t>
      </w:r>
      <w:r>
        <w:rPr>
          <w:spacing w:val="-2"/>
          <w:position w:val="1"/>
          <w:sz w:val="21"/>
        </w:rPr>
        <w:t>M</w:t>
      </w:r>
      <w:r>
        <w:rPr>
          <w:spacing w:val="-2"/>
          <w:sz w:val="11"/>
        </w:rPr>
        <w:t>0</w:t>
      </w:r>
      <w:r>
        <w:rPr>
          <w:spacing w:val="-4"/>
          <w:position w:val="1"/>
          <w:sz w:val="21"/>
        </w:rPr>
        <w:t>期的前列腺癌；</w:t>
      </w:r>
    </w:p>
    <w:p>
      <w:pPr>
        <w:pStyle w:val="10"/>
        <w:numPr>
          <w:ilvl w:val="0"/>
          <w:numId w:val="43"/>
        </w:numPr>
        <w:tabs>
          <w:tab w:val="left" w:pos="699"/>
        </w:tabs>
        <w:spacing w:before="31" w:after="0" w:line="240" w:lineRule="auto"/>
        <w:ind w:left="698" w:right="0" w:hanging="531"/>
        <w:jc w:val="left"/>
        <w:rPr>
          <w:sz w:val="21"/>
        </w:rPr>
      </w:pPr>
      <w:r>
        <w:rPr>
          <w:spacing w:val="-3"/>
          <w:sz w:val="21"/>
        </w:rPr>
        <w:t>黑色素瘤以外的未发生淋巴结和远处转移的皮肤恶性肿瘤；</w:t>
      </w:r>
    </w:p>
    <w:p>
      <w:pPr>
        <w:pStyle w:val="10"/>
        <w:numPr>
          <w:ilvl w:val="0"/>
          <w:numId w:val="43"/>
        </w:numPr>
        <w:tabs>
          <w:tab w:val="left" w:pos="699"/>
        </w:tabs>
        <w:spacing w:before="31" w:after="0" w:line="240" w:lineRule="auto"/>
        <w:ind w:left="698" w:right="0" w:hanging="531"/>
        <w:jc w:val="left"/>
        <w:rPr>
          <w:sz w:val="21"/>
        </w:rPr>
      </w:pPr>
      <w:r>
        <w:rPr>
          <w:spacing w:val="-2"/>
          <w:sz w:val="21"/>
        </w:rPr>
        <w:t>相当于Binet分期方案A</w:t>
      </w:r>
      <w:r>
        <w:rPr>
          <w:spacing w:val="-3"/>
          <w:sz w:val="21"/>
        </w:rPr>
        <w:t>期程度的慢性淋巴细胞白血病；</w:t>
      </w:r>
    </w:p>
    <w:p>
      <w:pPr>
        <w:pStyle w:val="10"/>
        <w:numPr>
          <w:ilvl w:val="0"/>
          <w:numId w:val="43"/>
        </w:numPr>
        <w:tabs>
          <w:tab w:val="left" w:pos="699"/>
        </w:tabs>
        <w:spacing w:before="31" w:after="0" w:line="240" w:lineRule="auto"/>
        <w:ind w:left="698" w:right="0" w:hanging="531"/>
        <w:jc w:val="left"/>
        <w:rPr>
          <w:sz w:val="21"/>
        </w:rPr>
      </w:pPr>
      <w:r>
        <w:rPr>
          <w:spacing w:val="-2"/>
          <w:sz w:val="21"/>
        </w:rPr>
        <w:t>相当于Ann</w:t>
      </w:r>
      <w:r>
        <w:rPr>
          <w:spacing w:val="20"/>
          <w:sz w:val="21"/>
        </w:rPr>
        <w:t xml:space="preserve"> </w:t>
      </w:r>
      <w:r>
        <w:rPr>
          <w:spacing w:val="-2"/>
          <w:sz w:val="21"/>
        </w:rPr>
        <w:t>Arbor</w:t>
      </w:r>
      <w:r>
        <w:rPr>
          <w:spacing w:val="-3"/>
          <w:sz w:val="21"/>
        </w:rPr>
        <w:t>分期方案Ⅰ期程度的何杰金氏病；</w:t>
      </w:r>
    </w:p>
    <w:p>
      <w:pPr>
        <w:pStyle w:val="10"/>
        <w:numPr>
          <w:ilvl w:val="0"/>
          <w:numId w:val="43"/>
        </w:numPr>
        <w:tabs>
          <w:tab w:val="left" w:pos="710"/>
        </w:tabs>
        <w:spacing w:before="31" w:after="0" w:line="268" w:lineRule="auto"/>
        <w:ind w:left="168" w:right="406" w:firstLine="0"/>
        <w:jc w:val="left"/>
        <w:rPr>
          <w:sz w:val="21"/>
        </w:rPr>
      </w:pPr>
      <w:r>
        <w:rPr>
          <w:sz w:val="21"/>
        </w:rPr>
        <w:t>未发生淋巴结和远处转移且WHO分级为G1级别（核分裂像&lt;10/50 HPF</w:t>
      </w:r>
      <w:r>
        <w:rPr>
          <w:spacing w:val="-2"/>
          <w:sz w:val="21"/>
        </w:rPr>
        <w:t>和ki-67≤2%）的神经内分泌肿瘤。</w:t>
      </w:r>
    </w:p>
    <w:p>
      <w:pPr>
        <w:pStyle w:val="6"/>
        <w:spacing w:line="270" w:lineRule="exact"/>
        <w:ind w:left="168"/>
      </w:pPr>
      <w:r>
        <w:rPr>
          <w:color w:val="000000"/>
          <w:w w:val="95"/>
          <w:shd w:val="clear" w:color="auto" w:fill="C0C0C0"/>
        </w:rPr>
        <w:t>下列疾病不属于“恶性肿瘤</w:t>
      </w:r>
      <w:r>
        <w:rPr>
          <w:color w:val="000000"/>
          <w:w w:val="95"/>
          <w:sz w:val="22"/>
          <w:shd w:val="clear" w:color="auto" w:fill="C0C0C0"/>
        </w:rPr>
        <w:t>——</w:t>
      </w:r>
      <w:r>
        <w:rPr>
          <w:color w:val="000000"/>
          <w:spacing w:val="-18"/>
          <w:w w:val="95"/>
          <w:shd w:val="clear" w:color="auto" w:fill="C0C0C0"/>
        </w:rPr>
        <w:t>轻度”，不在保</w:t>
      </w:r>
      <w:r>
        <w:rPr>
          <w:color w:val="000000"/>
          <w:w w:val="95"/>
          <w:shd w:val="clear" w:color="auto" w:fill="C0C0C0"/>
        </w:rPr>
        <w:t>障范围内</w:t>
      </w:r>
      <w:r>
        <w:rPr>
          <w:color w:val="000000"/>
          <w:spacing w:val="-10"/>
          <w:w w:val="95"/>
          <w:shd w:val="clear" w:color="auto" w:fill="C0C0C0"/>
        </w:rPr>
        <w:t>：</w:t>
      </w:r>
    </w:p>
    <w:p>
      <w:pPr>
        <w:pStyle w:val="6"/>
        <w:spacing w:before="28" w:line="266" w:lineRule="auto"/>
        <w:ind w:left="168" w:right="411"/>
      </w:pPr>
      <w:r>
        <w:rPr>
          <w:color w:val="000000"/>
          <w:spacing w:val="-2"/>
          <w:shd w:val="clear" w:color="auto" w:fill="C0C0C0"/>
        </w:rPr>
        <w:t>ICD-O-3肿瘤形态学编码属于0（良性肿瘤</w:t>
      </w:r>
      <w:r>
        <w:rPr>
          <w:color w:val="000000"/>
          <w:spacing w:val="-108"/>
          <w:shd w:val="clear" w:color="auto" w:fill="C0C0C0"/>
        </w:rPr>
        <w:t>）</w:t>
      </w:r>
      <w:r>
        <w:rPr>
          <w:color w:val="000000"/>
          <w:spacing w:val="-2"/>
          <w:shd w:val="clear" w:color="auto" w:fill="C0C0C0"/>
        </w:rPr>
        <w:t>、1（动态未定性肿瘤</w:t>
      </w:r>
      <w:r>
        <w:rPr>
          <w:color w:val="000000"/>
          <w:spacing w:val="-108"/>
          <w:shd w:val="clear" w:color="auto" w:fill="C0C0C0"/>
        </w:rPr>
        <w:t>）</w:t>
      </w:r>
      <w:r>
        <w:rPr>
          <w:color w:val="000000"/>
          <w:spacing w:val="-2"/>
          <w:shd w:val="clear" w:color="auto" w:fill="C0C0C0"/>
        </w:rPr>
        <w:t>、2（原位</w:t>
      </w:r>
      <w:r>
        <w:rPr>
          <w:color w:val="000000"/>
          <w:spacing w:val="80"/>
          <w:w w:val="150"/>
          <w:shd w:val="clear" w:color="auto" w:fill="C0C0C0"/>
        </w:rPr>
        <w:t xml:space="preserve">                                     </w:t>
      </w:r>
      <w:r>
        <w:rPr>
          <w:color w:val="000000"/>
          <w:spacing w:val="-2"/>
          <w:shd w:val="clear" w:color="auto" w:fill="C0C0C0"/>
        </w:rPr>
        <w:t>癌和非侵袭性癌）范畴的疾病，如：</w:t>
      </w:r>
    </w:p>
    <w:p>
      <w:pPr>
        <w:pStyle w:val="10"/>
        <w:numPr>
          <w:ilvl w:val="0"/>
          <w:numId w:val="44"/>
        </w:numPr>
        <w:tabs>
          <w:tab w:val="left" w:pos="381"/>
        </w:tabs>
        <w:spacing w:before="3" w:after="0" w:line="266" w:lineRule="auto"/>
        <w:ind w:left="168" w:right="329" w:firstLine="0"/>
        <w:jc w:val="left"/>
        <w:rPr>
          <w:sz w:val="21"/>
        </w:rPr>
      </w:pPr>
      <w:r>
        <w:rPr>
          <w:color w:val="000000"/>
          <w:spacing w:val="-2"/>
          <w:sz w:val="21"/>
          <w:shd w:val="clear" w:color="auto" w:fill="C0C0C0"/>
        </w:rPr>
        <w:t>原位癌，癌前病变，非浸润性癌，非侵袭性癌，肿瘤细胞未侵犯基底层，上皮内瘤变，细胞不典型性增生等；</w:t>
      </w:r>
    </w:p>
    <w:p>
      <w:pPr>
        <w:pStyle w:val="10"/>
        <w:numPr>
          <w:ilvl w:val="0"/>
          <w:numId w:val="44"/>
        </w:numPr>
        <w:tabs>
          <w:tab w:val="left" w:pos="369"/>
        </w:tabs>
        <w:spacing w:before="0" w:after="0" w:line="264" w:lineRule="exact"/>
        <w:ind w:left="369" w:right="0" w:hanging="213"/>
        <w:jc w:val="left"/>
        <w:rPr>
          <w:sz w:val="21"/>
        </w:rPr>
      </w:pPr>
      <w:r>
        <w:rPr>
          <w:color w:val="000000"/>
          <w:spacing w:val="-3"/>
          <w:sz w:val="21"/>
          <w:shd w:val="clear" w:color="auto" w:fill="C0C0C0"/>
        </w:rPr>
        <w:t>交界性肿瘤，交界恶性肿瘤，肿瘤低度恶性潜能，潜在低度恶性肿瘤等。</w:t>
      </w:r>
    </w:p>
    <w:p>
      <w:pPr>
        <w:spacing w:after="0" w:line="264" w:lineRule="exact"/>
        <w:jc w:val="left"/>
        <w:rPr>
          <w:sz w:val="21"/>
        </w:rPr>
        <w:sectPr>
          <w:type w:val="continuous"/>
          <w:pgSz w:w="11910" w:h="16840"/>
          <w:pgMar w:top="280" w:right="660" w:bottom="280" w:left="580" w:header="0" w:footer="1060" w:gutter="0"/>
          <w:cols w:equalWidth="0" w:num="2">
            <w:col w:w="3189" w:space="40"/>
            <w:col w:w="7441"/>
          </w:cols>
        </w:sectPr>
      </w:pPr>
    </w:p>
    <w:p>
      <w:pPr>
        <w:pStyle w:val="6"/>
        <w:spacing w:before="12"/>
        <w:rPr>
          <w:sz w:val="11"/>
        </w:rPr>
      </w:pPr>
    </w:p>
    <w:p>
      <w:pPr>
        <w:spacing w:after="0"/>
        <w:rPr>
          <w:sz w:val="11"/>
        </w:rPr>
        <w:sectPr>
          <w:pgSz w:w="11910" w:h="16840"/>
          <w:pgMar w:top="1580" w:right="660" w:bottom="1552" w:left="580" w:header="0" w:footer="1060" w:gutter="0"/>
          <w:cols w:space="720" w:num="1"/>
        </w:sectPr>
      </w:pPr>
    </w:p>
    <w:p>
      <w:pPr>
        <w:pStyle w:val="4"/>
        <w:numPr>
          <w:ilvl w:val="2"/>
          <w:numId w:val="37"/>
        </w:numPr>
        <w:tabs>
          <w:tab w:val="left" w:pos="1825"/>
          <w:tab w:val="left" w:pos="1826"/>
        </w:tabs>
        <w:spacing w:before="71" w:after="0" w:line="266" w:lineRule="auto"/>
        <w:ind w:left="1825" w:right="0" w:hanging="1102"/>
        <w:jc w:val="left"/>
      </w:pPr>
      <w:r>
        <w:rPr>
          <w:spacing w:val="12"/>
          <w:w w:val="95"/>
        </w:rPr>
        <w:t>较轻急性心</w:t>
      </w:r>
      <w:r>
        <w:rPr>
          <w:w w:val="95"/>
        </w:rPr>
        <w:t>肌</w:t>
      </w:r>
      <w:r>
        <w:rPr>
          <w:spacing w:val="-6"/>
        </w:rPr>
        <w:t>梗死</w:t>
      </w:r>
    </w:p>
    <w:p>
      <w:pPr>
        <w:pStyle w:val="6"/>
        <w:spacing w:before="81" w:line="278" w:lineRule="auto"/>
        <w:ind w:left="174" w:right="409"/>
      </w:pPr>
      <w:r>
        <w:br w:type="column"/>
      </w:r>
      <w:r>
        <w:rPr>
          <w:spacing w:val="1"/>
          <w:w w:val="100"/>
        </w:rPr>
        <w:t>急性心肌梗死指由于冠状动脉闭塞或梗阻引起部分心肌严重的持久性缺血</w:t>
      </w:r>
      <w:r>
        <w:rPr>
          <w:spacing w:val="-8"/>
          <w:w w:val="100"/>
        </w:rPr>
        <w:t>造成急性心肌坏死。急性心肌梗死的诊断必须依据国际国内诊断标准，符合</w:t>
      </w:r>
    </w:p>
    <w:p>
      <w:pPr>
        <w:pStyle w:val="10"/>
        <w:numPr>
          <w:ilvl w:val="0"/>
          <w:numId w:val="45"/>
        </w:numPr>
        <w:tabs>
          <w:tab w:val="left" w:pos="702"/>
        </w:tabs>
        <w:spacing w:before="0" w:after="0" w:line="278" w:lineRule="auto"/>
        <w:ind w:left="174" w:right="406" w:firstLine="0"/>
        <w:jc w:val="both"/>
        <w:rPr>
          <w:sz w:val="21"/>
        </w:rPr>
      </w:pPr>
      <w:r>
        <w:rPr>
          <w:spacing w:val="-2"/>
          <w:sz w:val="21"/>
        </w:rPr>
        <w:t>检测到肌酸激酶同工酶（CK-MB）或肌钙蛋白（cTn）升高和/或降低的</w:t>
      </w:r>
      <w:r>
        <w:rPr>
          <w:spacing w:val="-10"/>
          <w:sz w:val="21"/>
        </w:rPr>
        <w:t>动态变化，至少一次达到或超过心肌梗死的临床诊断标准；</w:t>
      </w:r>
      <w:r>
        <w:rPr>
          <w:spacing w:val="32"/>
          <w:sz w:val="21"/>
        </w:rPr>
        <w:t>（</w:t>
      </w:r>
      <w:r>
        <w:rPr>
          <w:spacing w:val="29"/>
          <w:sz w:val="21"/>
        </w:rPr>
        <w:t>2</w:t>
      </w:r>
      <w:r>
        <w:rPr>
          <w:spacing w:val="10"/>
          <w:sz w:val="21"/>
        </w:rPr>
        <w:t>）</w:t>
      </w:r>
      <w:r>
        <w:rPr>
          <w:spacing w:val="-6"/>
          <w:sz w:val="21"/>
        </w:rPr>
        <w:t>同时存在下</w:t>
      </w:r>
      <w:r>
        <w:rPr>
          <w:spacing w:val="-2"/>
          <w:sz w:val="21"/>
        </w:rPr>
        <w:t>列之一的证据，包括：缺血性胸痛症状、新发生的缺血性心电图改变、新生</w:t>
      </w:r>
      <w:r>
        <w:rPr>
          <w:spacing w:val="-6"/>
          <w:sz w:val="21"/>
        </w:rPr>
        <w:t xml:space="preserve">成的病理性 </w:t>
      </w:r>
      <w:r>
        <w:rPr>
          <w:spacing w:val="-2"/>
          <w:sz w:val="21"/>
        </w:rPr>
        <w:t>Q</w:t>
      </w:r>
      <w:r>
        <w:rPr>
          <w:spacing w:val="-12"/>
          <w:sz w:val="21"/>
        </w:rPr>
        <w:t xml:space="preserve"> 波、影像学证据显示有新出现的心肌活性丧失或新出现局部室</w:t>
      </w:r>
      <w:r>
        <w:rPr>
          <w:spacing w:val="-2"/>
          <w:sz w:val="21"/>
        </w:rPr>
        <w:t>壁运动异常、冠脉造影证实存在冠状动脉血栓。</w:t>
      </w:r>
    </w:p>
    <w:p>
      <w:pPr>
        <w:pStyle w:val="6"/>
        <w:spacing w:line="278" w:lineRule="auto"/>
        <w:ind w:left="174" w:right="417"/>
      </w:pPr>
      <w:r>
        <w:rPr>
          <w:spacing w:val="-2"/>
        </w:rPr>
        <w:t>较轻急性心肌梗死指依照上述标准被明确诊断为急性心肌梗死，但未达到 “较重急性心肌梗死”的给付标准。</w:t>
      </w:r>
    </w:p>
    <w:p>
      <w:pPr>
        <w:spacing w:after="0" w:line="278" w:lineRule="auto"/>
        <w:sectPr>
          <w:type w:val="continuous"/>
          <w:pgSz w:w="11910" w:h="16840"/>
          <w:pgMar w:top="280" w:right="660" w:bottom="280" w:left="580" w:header="0" w:footer="1060" w:gutter="0"/>
          <w:cols w:equalWidth="0" w:num="2">
            <w:col w:w="3171" w:space="40"/>
            <w:col w:w="7459"/>
          </w:cols>
        </w:sectPr>
      </w:pPr>
    </w:p>
    <w:tbl>
      <w:tblPr>
        <w:tblStyle w:val="7"/>
        <w:tblW w:w="0" w:type="auto"/>
        <w:tblInd w:w="3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32"/>
        <w:gridCol w:w="41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867" w:type="dxa"/>
            <w:gridSpan w:val="2"/>
            <w:tcBorders>
              <w:bottom w:val="single" w:color="FFFFFF" w:sz="8" w:space="0"/>
            </w:tcBorders>
            <w:shd w:val="clear" w:color="auto" w:fill="C0C0C0"/>
          </w:tcPr>
          <w:p>
            <w:pPr>
              <w:pStyle w:val="11"/>
              <w:spacing w:line="269" w:lineRule="exact"/>
              <w:rPr>
                <w:sz w:val="21"/>
              </w:rPr>
            </w:pPr>
            <w:r>
              <w:rPr>
                <w:spacing w:val="-2"/>
                <w:sz w:val="21"/>
              </w:rPr>
              <w:t>其他非冠状动脉阻塞性疾病引起的肌钙蛋白（cTn）</w:t>
            </w:r>
            <w:r>
              <w:rPr>
                <w:spacing w:val="-3"/>
                <w:sz w:val="21"/>
              </w:rPr>
              <w:t>升高不在保障范围内。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6867" w:type="dxa"/>
            <w:gridSpan w:val="2"/>
            <w:tcBorders>
              <w:top w:val="single" w:color="FFFFFF" w:sz="8" w:space="0"/>
              <w:bottom w:val="single" w:color="FFFFFF" w:sz="8" w:space="0"/>
            </w:tcBorders>
            <w:shd w:val="clear" w:color="auto" w:fill="C0C0C0"/>
          </w:tcPr>
          <w:p>
            <w:pPr>
              <w:pStyle w:val="11"/>
              <w:spacing w:line="267" w:lineRule="exact"/>
              <w:ind w:right="-15"/>
              <w:rPr>
                <w:sz w:val="21"/>
              </w:rPr>
            </w:pPr>
            <w:r>
              <w:rPr>
                <w:spacing w:val="-12"/>
                <w:sz w:val="21"/>
              </w:rPr>
              <w:t>本公司对“冠状动脉介入手术”</w:t>
            </w:r>
            <w:r>
              <w:rPr>
                <w:spacing w:val="-16"/>
                <w:sz w:val="21"/>
              </w:rPr>
              <w:t>、“较轻急性心肌梗死”和“激光心肌血运重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867" w:type="dxa"/>
            <w:gridSpan w:val="2"/>
            <w:tcBorders>
              <w:top w:val="single" w:color="FFFFFF" w:sz="8" w:space="0"/>
              <w:bottom w:val="single" w:color="FFFFFF" w:sz="8" w:space="0"/>
            </w:tcBorders>
            <w:shd w:val="clear" w:color="auto" w:fill="C0C0C0"/>
          </w:tcPr>
          <w:p>
            <w:pPr>
              <w:pStyle w:val="11"/>
              <w:spacing w:line="267" w:lineRule="exact"/>
              <w:ind w:right="-15"/>
              <w:rPr>
                <w:sz w:val="21"/>
              </w:rPr>
            </w:pPr>
            <w:r>
              <w:rPr>
                <w:spacing w:val="-5"/>
                <w:sz w:val="21"/>
              </w:rPr>
              <w:t>建术”三项中的其中一项承担保险责任，给付其中一项保险金后，对其他项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4" w:hRule="atLeast"/>
        </w:trPr>
        <w:tc>
          <w:tcPr>
            <w:tcW w:w="2732" w:type="dxa"/>
            <w:tcBorders>
              <w:top w:val="single" w:color="FFFFFF" w:sz="8" w:space="0"/>
            </w:tcBorders>
            <w:shd w:val="clear" w:color="auto" w:fill="C0C0C0"/>
          </w:tcPr>
          <w:p>
            <w:pPr>
              <w:pStyle w:val="11"/>
              <w:spacing w:line="267" w:lineRule="exact"/>
              <w:ind w:right="-15"/>
              <w:rPr>
                <w:sz w:val="21"/>
              </w:rPr>
            </w:pPr>
            <w:r>
              <w:rPr>
                <w:spacing w:val="-3"/>
                <w:sz w:val="21"/>
              </w:rPr>
              <w:t>轻症疾病保险责任同时终止。</w:t>
            </w:r>
          </w:p>
        </w:tc>
        <w:tc>
          <w:tcPr>
            <w:tcW w:w="4135" w:type="dxa"/>
            <w:tcBorders>
              <w:top w:val="single" w:color="FFFFFF" w:sz="8" w:space="0"/>
            </w:tcBorders>
          </w:tcPr>
          <w:p>
            <w:pPr>
              <w:pStyle w:val="11"/>
              <w:rPr>
                <w:rFonts w:ascii="Times New Roman"/>
                <w:sz w:val="20"/>
              </w:rPr>
            </w:pPr>
          </w:p>
        </w:tc>
      </w:tr>
    </w:tbl>
    <w:p>
      <w:pPr>
        <w:pStyle w:val="6"/>
        <w:spacing w:before="2"/>
        <w:rPr>
          <w:sz w:val="27"/>
        </w:rPr>
      </w:pPr>
      <w:r>
        <w:drawing>
          <wp:anchor distT="0" distB="0" distL="0" distR="0" simplePos="0" relativeHeight="251722752" behindDoc="1" locked="0" layoutInCell="1" allowOverlap="1">
            <wp:simplePos x="0" y="0"/>
            <wp:positionH relativeFrom="page">
              <wp:posOffset>2517775</wp:posOffset>
            </wp:positionH>
            <wp:positionV relativeFrom="page">
              <wp:posOffset>6498590</wp:posOffset>
            </wp:positionV>
            <wp:extent cx="1718945" cy="185420"/>
            <wp:effectExtent l="0" t="0" r="0" b="0"/>
            <wp:wrapNone/>
            <wp:docPr id="9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1.png"/>
                    <pic:cNvPicPr>
                      <a:picLocks noChangeAspect="1"/>
                    </pic:cNvPicPr>
                  </pic:nvPicPr>
                  <pic:blipFill>
                    <a:blip r:embed="rId37" cstate="print"/>
                    <a:stretch>
                      <a:fillRect/>
                    </a:stretch>
                  </pic:blipFill>
                  <pic:spPr>
                    <a:xfrm>
                      <a:off x="0" y="0"/>
                      <a:ext cx="1719078" cy="185737"/>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2517775</wp:posOffset>
            </wp:positionH>
            <wp:positionV relativeFrom="page">
              <wp:posOffset>8876665</wp:posOffset>
            </wp:positionV>
            <wp:extent cx="1454150" cy="185420"/>
            <wp:effectExtent l="0" t="0" r="0" b="0"/>
            <wp:wrapNone/>
            <wp:docPr id="9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32.png"/>
                    <pic:cNvPicPr>
                      <a:picLocks noChangeAspect="1"/>
                    </pic:cNvPicPr>
                  </pic:nvPicPr>
                  <pic:blipFill>
                    <a:blip r:embed="rId38" cstate="print"/>
                    <a:stretch>
                      <a:fillRect/>
                    </a:stretch>
                  </pic:blipFill>
                  <pic:spPr>
                    <a:xfrm>
                      <a:off x="0" y="0"/>
                      <a:ext cx="1454440" cy="185737"/>
                    </a:xfrm>
                    <a:prstGeom prst="rect">
                      <a:avLst/>
                    </a:prstGeom>
                  </pic:spPr>
                </pic:pic>
              </a:graphicData>
            </a:graphic>
          </wp:anchor>
        </w:drawing>
      </w: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65"/>
        <w:gridCol w:w="1847"/>
        <w:gridCol w:w="68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trPr>
        <w:tc>
          <w:tcPr>
            <w:tcW w:w="865" w:type="dxa"/>
          </w:tcPr>
          <w:p>
            <w:pPr>
              <w:pStyle w:val="11"/>
              <w:spacing w:line="253" w:lineRule="exact"/>
              <w:ind w:left="50"/>
              <w:rPr>
                <w:sz w:val="22"/>
              </w:rPr>
            </w:pPr>
            <w:r>
              <w:rPr>
                <w:spacing w:val="-2"/>
                <w:sz w:val="22"/>
              </w:rPr>
              <w:t>8.3.3</w:t>
            </w:r>
          </w:p>
        </w:tc>
        <w:tc>
          <w:tcPr>
            <w:tcW w:w="1847" w:type="dxa"/>
          </w:tcPr>
          <w:p>
            <w:pPr>
              <w:pStyle w:val="11"/>
              <w:spacing w:line="253" w:lineRule="exact"/>
              <w:ind w:left="286"/>
              <w:rPr>
                <w:sz w:val="22"/>
              </w:rPr>
            </w:pPr>
            <w:r>
              <w:rPr>
                <w:spacing w:val="10"/>
                <w:w w:val="95"/>
                <w:sz w:val="22"/>
              </w:rPr>
              <w:t>轻度脑中风后</w:t>
            </w:r>
          </w:p>
          <w:p>
            <w:pPr>
              <w:pStyle w:val="11"/>
              <w:spacing w:before="30" w:line="281" w:lineRule="exact"/>
              <w:ind w:left="286"/>
              <w:rPr>
                <w:sz w:val="22"/>
              </w:rPr>
            </w:pPr>
            <w:r>
              <w:rPr>
                <w:w w:val="95"/>
                <w:sz w:val="22"/>
              </w:rPr>
              <w:t>遗</w:t>
            </w:r>
            <w:r>
              <w:rPr>
                <w:spacing w:val="-10"/>
                <w:sz w:val="22"/>
              </w:rPr>
              <w:t>症</w:t>
            </w:r>
          </w:p>
        </w:tc>
        <w:tc>
          <w:tcPr>
            <w:tcW w:w="6868" w:type="dxa"/>
          </w:tcPr>
          <w:p>
            <w:pPr>
              <w:pStyle w:val="11"/>
              <w:spacing w:line="250" w:lineRule="exact"/>
              <w:ind w:left="-1"/>
              <w:rPr>
                <w:sz w:val="21"/>
              </w:rPr>
            </w:pPr>
            <w:r>
              <w:rPr>
                <w:spacing w:val="-1"/>
                <w:sz w:val="21"/>
              </w:rPr>
              <w:t>指因脑血管的突发病变引起脑血管出血、栓塞或梗塞，须由头颅断层扫描</w:t>
            </w:r>
          </w:p>
          <w:p>
            <w:pPr>
              <w:pStyle w:val="11"/>
              <w:spacing w:before="43"/>
              <w:ind w:left="-1" w:right="-15"/>
              <w:rPr>
                <w:sz w:val="21"/>
              </w:rPr>
            </w:pPr>
            <w:r>
              <w:rPr>
                <w:spacing w:val="18"/>
                <w:sz w:val="21"/>
              </w:rPr>
              <w:t>（CT</w:t>
            </w:r>
            <w:r>
              <w:rPr>
                <w:spacing w:val="-88"/>
                <w:sz w:val="21"/>
              </w:rPr>
              <w:t>）</w:t>
            </w:r>
            <w:r>
              <w:rPr>
                <w:spacing w:val="-8"/>
                <w:sz w:val="21"/>
              </w:rPr>
              <w:t>、核磁共振检查（MRI）</w:t>
            </w:r>
            <w:r>
              <w:rPr>
                <w:spacing w:val="-9"/>
                <w:sz w:val="21"/>
              </w:rPr>
              <w:t>等影像学检查证实，并导致神经系统永久性的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1"/>
              <w:ind w:left="-1" w:right="-15"/>
              <w:rPr>
                <w:sz w:val="21"/>
              </w:rPr>
            </w:pPr>
            <w:r>
              <w:rPr>
                <w:spacing w:val="-6"/>
                <w:sz w:val="21"/>
              </w:rPr>
              <w:t xml:space="preserve">功能障碍，但未达到“严重脑中风后遗症”的给付标准，在疾病确诊 </w:t>
            </w:r>
            <w:r>
              <w:rPr>
                <w:spacing w:val="-4"/>
                <w:sz w:val="21"/>
              </w:rPr>
              <w:t>180</w:t>
            </w:r>
            <w:r>
              <w:rPr>
                <w:spacing w:val="-26"/>
                <w:sz w:val="21"/>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2"/>
              <w:ind w:left="-1"/>
              <w:rPr>
                <w:sz w:val="21"/>
              </w:rPr>
            </w:pPr>
            <w:r>
              <w:rPr>
                <w:spacing w:val="-3"/>
                <w:sz w:val="21"/>
              </w:rPr>
              <w:t>后，仍遗留下列至少一种障碍：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2"/>
              <w:ind w:left="-1"/>
              <w:rPr>
                <w:sz w:val="21"/>
              </w:rPr>
            </w:pPr>
            <w:r>
              <w:rPr>
                <w:spacing w:val="-2"/>
                <w:sz w:val="21"/>
              </w:rPr>
              <w:t>（1）一肢（含）</w:t>
            </w:r>
            <w:r>
              <w:rPr>
                <w:spacing w:val="-8"/>
                <w:sz w:val="21"/>
              </w:rPr>
              <w:t xml:space="preserve">以上肢体肌力为 </w:t>
            </w:r>
            <w:r>
              <w:rPr>
                <w:spacing w:val="-2"/>
                <w:sz w:val="21"/>
              </w:rPr>
              <w:t>3</w:t>
            </w:r>
            <w:r>
              <w:rPr>
                <w:spacing w:val="-20"/>
                <w:sz w:val="21"/>
              </w:rPr>
              <w:t xml:space="preserve"> 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2"/>
              <w:ind w:left="-1" w:right="-15"/>
              <w:rPr>
                <w:sz w:val="21"/>
              </w:rPr>
            </w:pPr>
            <w:r>
              <w:rPr>
                <w:sz w:val="21"/>
              </w:rPr>
              <w:t>（2）</w:t>
            </w:r>
            <w:r>
              <w:rPr>
                <w:spacing w:val="-1"/>
                <w:sz w:val="21"/>
              </w:rPr>
              <w:t>自主生活能力部分丧失，无法独立完成六项基本日常生活活动中的两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2"/>
              <w:ind w:left="-1"/>
              <w:rPr>
                <w:sz w:val="21"/>
              </w:rPr>
            </w:pPr>
            <w:r>
              <w:rPr>
                <w:spacing w:val="-5"/>
                <w:sz w:val="21"/>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865" w:type="dxa"/>
          </w:tcPr>
          <w:p>
            <w:pPr>
              <w:pStyle w:val="11"/>
              <w:spacing w:before="173"/>
              <w:ind w:left="50"/>
              <w:rPr>
                <w:sz w:val="22"/>
              </w:rPr>
            </w:pPr>
            <w:r>
              <w:rPr>
                <w:spacing w:val="-2"/>
                <w:sz w:val="22"/>
              </w:rPr>
              <w:t>8.3.4</w:t>
            </w:r>
          </w:p>
        </w:tc>
        <w:tc>
          <w:tcPr>
            <w:tcW w:w="1847" w:type="dxa"/>
          </w:tcPr>
          <w:p>
            <w:pPr>
              <w:pStyle w:val="11"/>
              <w:spacing w:before="144" w:line="310" w:lineRule="atLeast"/>
              <w:ind w:left="286" w:right="212"/>
              <w:rPr>
                <w:sz w:val="22"/>
              </w:rPr>
            </w:pPr>
            <w:r>
              <w:rPr>
                <w:spacing w:val="10"/>
                <w:w w:val="95"/>
                <w:sz w:val="22"/>
              </w:rPr>
              <w:t>冠状动脉介入</w:t>
            </w:r>
            <w:r>
              <w:rPr>
                <w:spacing w:val="-6"/>
                <w:sz w:val="22"/>
              </w:rPr>
              <w:t>手术</w:t>
            </w:r>
          </w:p>
        </w:tc>
        <w:tc>
          <w:tcPr>
            <w:tcW w:w="6868" w:type="dxa"/>
          </w:tcPr>
          <w:p>
            <w:pPr>
              <w:pStyle w:val="11"/>
              <w:spacing w:before="142" w:line="310" w:lineRule="atLeast"/>
              <w:ind w:left="-1" w:right="-15"/>
              <w:rPr>
                <w:sz w:val="21"/>
              </w:rPr>
            </w:pPr>
            <w:r>
              <w:rPr>
                <w:spacing w:val="-5"/>
                <w:sz w:val="21"/>
              </w:rPr>
              <w:t>指被保险人为了治疗明显的冠状动脉狭窄性疾病，首次实际实施了冠状动脉球囊扩张成形术、冠状动脉支架植入术、冠状动脉粥肿斑块切除术或激光冠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0"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1"/>
              <w:ind w:left="-1"/>
              <w:rPr>
                <w:sz w:val="21"/>
              </w:rPr>
            </w:pPr>
            <w:r>
              <w:rPr>
                <w:spacing w:val="-4"/>
                <w:sz w:val="21"/>
              </w:rPr>
              <w:t>状动脉成形术。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Borders>
              <w:bottom w:val="single" w:color="FFFFFF" w:sz="8" w:space="0"/>
            </w:tcBorders>
            <w:shd w:val="clear" w:color="auto" w:fill="C0C0C0"/>
          </w:tcPr>
          <w:p>
            <w:pPr>
              <w:pStyle w:val="11"/>
              <w:spacing w:before="22" w:line="251" w:lineRule="exact"/>
              <w:ind w:left="-1" w:right="-15"/>
              <w:rPr>
                <w:sz w:val="21"/>
              </w:rPr>
            </w:pPr>
            <w:r>
              <w:rPr>
                <w:spacing w:val="-12"/>
                <w:sz w:val="21"/>
              </w:rPr>
              <w:t>本公司对“冠状动脉介入手术”</w:t>
            </w:r>
            <w:r>
              <w:rPr>
                <w:spacing w:val="-16"/>
                <w:sz w:val="21"/>
              </w:rPr>
              <w:t>、“较轻急性心肌梗死”和“激光心肌血运重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Borders>
              <w:top w:val="single" w:color="FFFFFF" w:sz="8" w:space="0"/>
            </w:tcBorders>
            <w:shd w:val="clear" w:color="auto" w:fill="C0C0C0"/>
          </w:tcPr>
          <w:p>
            <w:pPr>
              <w:pStyle w:val="11"/>
              <w:spacing w:before="21" w:line="261" w:lineRule="exact"/>
              <w:ind w:left="-1" w:right="-15"/>
              <w:rPr>
                <w:sz w:val="21"/>
              </w:rPr>
            </w:pPr>
            <w:r>
              <w:rPr>
                <w:spacing w:val="-5"/>
                <w:sz w:val="21"/>
              </w:rPr>
              <w:t>建术”三项中的其中一项承担保险责任，给付其中一项保险金后，对其他项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31" w:line="252" w:lineRule="exact"/>
              <w:ind w:left="-1"/>
              <w:rPr>
                <w:sz w:val="21"/>
              </w:rPr>
            </w:pPr>
            <w:r>
              <w:rPr>
                <w:spacing w:val="-3"/>
                <w:sz w:val="21"/>
              </w:rPr>
              <w:t>轻症疾病保险责任同时终止。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17" w:hRule="atLeast"/>
        </w:trPr>
        <w:tc>
          <w:tcPr>
            <w:tcW w:w="865" w:type="dxa"/>
          </w:tcPr>
          <w:p>
            <w:pPr>
              <w:pStyle w:val="11"/>
              <w:spacing w:before="8"/>
              <w:rPr>
                <w:sz w:val="26"/>
              </w:rPr>
            </w:pPr>
          </w:p>
          <w:p>
            <w:pPr>
              <w:pStyle w:val="11"/>
              <w:ind w:left="50"/>
              <w:rPr>
                <w:sz w:val="22"/>
              </w:rPr>
            </w:pPr>
            <w:r>
              <w:rPr>
                <w:spacing w:val="-2"/>
                <w:sz w:val="22"/>
              </w:rPr>
              <w:t>8.3.5</w:t>
            </w:r>
          </w:p>
        </w:tc>
        <w:tc>
          <w:tcPr>
            <w:tcW w:w="1847" w:type="dxa"/>
          </w:tcPr>
          <w:p>
            <w:pPr>
              <w:pStyle w:val="11"/>
              <w:spacing w:before="8"/>
              <w:rPr>
                <w:sz w:val="26"/>
              </w:rPr>
            </w:pPr>
          </w:p>
          <w:p>
            <w:pPr>
              <w:pStyle w:val="11"/>
              <w:ind w:left="286"/>
              <w:rPr>
                <w:sz w:val="22"/>
              </w:rPr>
            </w:pPr>
            <w:r>
              <w:rPr>
                <w:spacing w:val="10"/>
                <w:w w:val="95"/>
                <w:sz w:val="22"/>
              </w:rPr>
              <w:t>心脏瓣膜手术</w:t>
            </w:r>
          </w:p>
          <w:p>
            <w:pPr>
              <w:pStyle w:val="11"/>
              <w:spacing w:before="30" w:line="266" w:lineRule="auto"/>
              <w:ind w:left="286" w:right="212"/>
              <w:rPr>
                <w:sz w:val="22"/>
              </w:rPr>
            </w:pPr>
            <w:r>
              <w:rPr>
                <w:spacing w:val="12"/>
                <w:w w:val="95"/>
                <w:sz w:val="22"/>
              </w:rPr>
              <w:t>（</w:t>
            </w:r>
            <w:r>
              <w:rPr>
                <w:spacing w:val="9"/>
                <w:w w:val="95"/>
                <w:sz w:val="22"/>
              </w:rPr>
              <w:t>非切开心脏</w:t>
            </w:r>
            <w:r>
              <w:rPr>
                <w:spacing w:val="-4"/>
                <w:sz w:val="22"/>
              </w:rPr>
              <w:t>手术）</w:t>
            </w:r>
          </w:p>
        </w:tc>
        <w:tc>
          <w:tcPr>
            <w:tcW w:w="6868" w:type="dxa"/>
          </w:tcPr>
          <w:p>
            <w:pPr>
              <w:pStyle w:val="11"/>
              <w:spacing w:before="5"/>
              <w:rPr>
                <w:sz w:val="27"/>
              </w:rPr>
            </w:pPr>
          </w:p>
          <w:p>
            <w:pPr>
              <w:pStyle w:val="11"/>
              <w:spacing w:line="278" w:lineRule="auto"/>
              <w:ind w:left="-1" w:right="-15"/>
              <w:rPr>
                <w:sz w:val="21"/>
              </w:rPr>
            </w:pPr>
            <w:r>
              <w:rPr>
                <w:spacing w:val="-8"/>
                <w:sz w:val="21"/>
              </w:rPr>
              <w:t>指为了治疗心脏瓣膜疾病，被保险人实际接受了非切开心脏的心脏瓣膜置换</w:t>
            </w:r>
            <w:r>
              <w:rPr>
                <w:spacing w:val="-2"/>
                <w:sz w:val="21"/>
              </w:rPr>
              <w:t>或修复手术。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7" w:hRule="atLeast"/>
        </w:trPr>
        <w:tc>
          <w:tcPr>
            <w:tcW w:w="865" w:type="dxa"/>
          </w:tcPr>
          <w:p>
            <w:pPr>
              <w:pStyle w:val="11"/>
              <w:spacing w:before="172"/>
              <w:ind w:left="50"/>
              <w:rPr>
                <w:sz w:val="22"/>
              </w:rPr>
            </w:pPr>
            <w:r>
              <w:rPr>
                <w:spacing w:val="-2"/>
                <w:sz w:val="22"/>
              </w:rPr>
              <w:t>8.3.6</w:t>
            </w:r>
          </w:p>
        </w:tc>
        <w:tc>
          <w:tcPr>
            <w:tcW w:w="1847" w:type="dxa"/>
          </w:tcPr>
          <w:p>
            <w:pPr>
              <w:pStyle w:val="11"/>
              <w:spacing w:before="144" w:line="310" w:lineRule="atLeast"/>
              <w:ind w:left="286" w:right="212"/>
              <w:jc w:val="both"/>
              <w:rPr>
                <w:sz w:val="22"/>
              </w:rPr>
            </w:pPr>
            <w:r>
              <w:rPr>
                <w:spacing w:val="10"/>
                <w:w w:val="95"/>
                <w:sz w:val="22"/>
              </w:rPr>
              <w:t>脑垂体瘤、脑囊肿、脑动脉</w:t>
            </w:r>
            <w:r>
              <w:rPr>
                <w:spacing w:val="-2"/>
                <w:sz w:val="22"/>
              </w:rPr>
              <w:t>瘤及脑血管瘤</w:t>
            </w:r>
          </w:p>
        </w:tc>
        <w:tc>
          <w:tcPr>
            <w:tcW w:w="6868" w:type="dxa"/>
          </w:tcPr>
          <w:p>
            <w:pPr>
              <w:pStyle w:val="11"/>
              <w:spacing w:before="2"/>
              <w:rPr>
                <w:sz w:val="14"/>
              </w:rPr>
            </w:pPr>
          </w:p>
          <w:p>
            <w:pPr>
              <w:pStyle w:val="11"/>
              <w:spacing w:line="278" w:lineRule="auto"/>
              <w:ind w:left="-1" w:right="-15"/>
              <w:rPr>
                <w:sz w:val="21"/>
              </w:rPr>
            </w:pPr>
            <w:r>
              <w:rPr>
                <w:spacing w:val="-6"/>
                <w:sz w:val="21"/>
              </w:rPr>
              <w:t>指被保险人经头颅断层扫描</w:t>
            </w:r>
            <w:r>
              <w:rPr>
                <w:spacing w:val="21"/>
                <w:sz w:val="21"/>
              </w:rPr>
              <w:t>（CT</w:t>
            </w:r>
            <w:r>
              <w:rPr>
                <w:spacing w:val="-87"/>
                <w:sz w:val="21"/>
              </w:rPr>
              <w:t>）</w:t>
            </w:r>
            <w:r>
              <w:rPr>
                <w:spacing w:val="-6"/>
                <w:sz w:val="21"/>
              </w:rPr>
              <w:t>、核磁共振（MRI）或其他影像学检查被确</w:t>
            </w:r>
            <w:r>
              <w:rPr>
                <w:spacing w:val="-2"/>
                <w:sz w:val="21"/>
              </w:rPr>
              <w:t>诊为下列病变，并针对下列病变实际接受了手术或放射治疗。</w:t>
            </w:r>
          </w:p>
          <w:p>
            <w:pPr>
              <w:pStyle w:val="11"/>
              <w:spacing w:line="269" w:lineRule="exact"/>
              <w:ind w:left="-1"/>
              <w:rPr>
                <w:sz w:val="21"/>
              </w:rPr>
            </w:pPr>
            <w:r>
              <w:rPr>
                <w:spacing w:val="-2"/>
                <w:sz w:val="21"/>
              </w:rPr>
              <w:t>（1）</w:t>
            </w:r>
            <w:r>
              <w:rPr>
                <w:spacing w:val="-4"/>
                <w:sz w:val="21"/>
              </w:rPr>
              <w:t>脑垂体瘤；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1"/>
              <w:ind w:left="-1"/>
              <w:rPr>
                <w:sz w:val="21"/>
              </w:rPr>
            </w:pPr>
            <w:r>
              <w:rPr>
                <w:spacing w:val="-2"/>
                <w:sz w:val="21"/>
              </w:rPr>
              <w:t>（2）</w:t>
            </w:r>
            <w:r>
              <w:rPr>
                <w:spacing w:val="-5"/>
                <w:sz w:val="21"/>
              </w:rPr>
              <w:t>脑囊肿；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22"/>
              <w:ind w:left="-1"/>
              <w:rPr>
                <w:sz w:val="21"/>
              </w:rPr>
            </w:pPr>
            <w:r>
              <w:rPr>
                <w:spacing w:val="-2"/>
                <w:sz w:val="21"/>
              </w:rPr>
              <w:t>（3）</w:t>
            </w:r>
            <w:r>
              <w:rPr>
                <w:spacing w:val="-3"/>
                <w:sz w:val="21"/>
              </w:rPr>
              <w:t>脑动脉瘤、脑血管瘤。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shd w:val="clear" w:color="auto" w:fill="C0C0C0"/>
          </w:tcPr>
          <w:p>
            <w:pPr>
              <w:pStyle w:val="11"/>
              <w:spacing w:before="23" w:line="261" w:lineRule="exact"/>
              <w:ind w:left="-1" w:right="-15"/>
              <w:rPr>
                <w:sz w:val="21"/>
              </w:rPr>
            </w:pPr>
            <w:r>
              <w:rPr>
                <w:spacing w:val="-5"/>
                <w:sz w:val="21"/>
              </w:rPr>
              <w:t>若被保险人因同一原因导致其满足脑垂体瘤、脑囊肿、脑动脉瘤及脑血管瘤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3" w:hRule="atLeast"/>
        </w:trPr>
        <w:tc>
          <w:tcPr>
            <w:tcW w:w="865" w:type="dxa"/>
          </w:tcPr>
          <w:p>
            <w:pPr>
              <w:pStyle w:val="11"/>
              <w:rPr>
                <w:rFonts w:ascii="Times New Roman"/>
                <w:sz w:val="20"/>
              </w:rPr>
            </w:pPr>
          </w:p>
        </w:tc>
        <w:tc>
          <w:tcPr>
            <w:tcW w:w="1847" w:type="dxa"/>
          </w:tcPr>
          <w:p>
            <w:pPr>
              <w:pStyle w:val="11"/>
              <w:rPr>
                <w:rFonts w:ascii="Times New Roman"/>
                <w:sz w:val="20"/>
              </w:rPr>
            </w:pPr>
          </w:p>
        </w:tc>
        <w:tc>
          <w:tcPr>
            <w:tcW w:w="6868" w:type="dxa"/>
          </w:tcPr>
          <w:p>
            <w:pPr>
              <w:pStyle w:val="11"/>
              <w:spacing w:before="31" w:line="252" w:lineRule="exact"/>
              <w:ind w:left="-1"/>
              <w:rPr>
                <w:sz w:val="21"/>
              </w:rPr>
            </w:pPr>
            <w:r>
              <w:rPr>
                <w:spacing w:val="-3"/>
                <w:sz w:val="21"/>
              </w:rPr>
              <w:t>的，仅按其中一项给付。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4" w:hRule="atLeast"/>
        </w:trPr>
        <w:tc>
          <w:tcPr>
            <w:tcW w:w="865" w:type="dxa"/>
          </w:tcPr>
          <w:p>
            <w:pPr>
              <w:pStyle w:val="11"/>
              <w:spacing w:before="8"/>
              <w:rPr>
                <w:sz w:val="26"/>
              </w:rPr>
            </w:pPr>
          </w:p>
          <w:p>
            <w:pPr>
              <w:pStyle w:val="11"/>
              <w:ind w:left="50"/>
              <w:rPr>
                <w:sz w:val="22"/>
              </w:rPr>
            </w:pPr>
            <w:r>
              <w:rPr>
                <w:spacing w:val="-2"/>
                <w:sz w:val="22"/>
              </w:rPr>
              <w:t>8.3.7</w:t>
            </w:r>
          </w:p>
        </w:tc>
        <w:tc>
          <w:tcPr>
            <w:tcW w:w="1847" w:type="dxa"/>
          </w:tcPr>
          <w:p>
            <w:pPr>
              <w:pStyle w:val="11"/>
              <w:spacing w:before="8"/>
              <w:rPr>
                <w:sz w:val="26"/>
              </w:rPr>
            </w:pPr>
          </w:p>
          <w:p>
            <w:pPr>
              <w:pStyle w:val="11"/>
              <w:spacing w:line="262" w:lineRule="exact"/>
              <w:ind w:left="286"/>
              <w:rPr>
                <w:sz w:val="22"/>
              </w:rPr>
            </w:pPr>
            <w:r>
              <w:rPr>
                <w:spacing w:val="10"/>
                <w:w w:val="95"/>
                <w:sz w:val="22"/>
              </w:rPr>
              <w:t>视力严重受损</w:t>
            </w:r>
          </w:p>
          <w:p>
            <w:pPr>
              <w:pStyle w:val="11"/>
              <w:spacing w:line="282" w:lineRule="exact"/>
              <w:ind w:left="286"/>
              <w:rPr>
                <w:rFonts w:ascii="微软雅黑" w:eastAsia="微软雅黑"/>
                <w:b/>
                <w:sz w:val="22"/>
              </w:rPr>
            </w:pPr>
            <w:r>
              <w:rPr>
                <w:rFonts w:ascii="微软雅黑" w:eastAsia="微软雅黑"/>
                <w:b/>
                <w:spacing w:val="16"/>
                <w:w w:val="95"/>
                <w:sz w:val="22"/>
              </w:rPr>
              <w:t>（</w:t>
            </w:r>
            <w:r>
              <w:rPr>
                <w:rFonts w:ascii="微软雅黑" w:eastAsia="微软雅黑"/>
                <w:b/>
                <w:spacing w:val="14"/>
                <w:w w:val="95"/>
                <w:sz w:val="22"/>
              </w:rPr>
              <w:t>三周</w:t>
            </w:r>
            <w:r>
              <w:rPr>
                <w:rFonts w:ascii="微软雅黑" w:eastAsia="微软雅黑"/>
                <w:b/>
                <w:spacing w:val="16"/>
                <w:w w:val="95"/>
                <w:sz w:val="22"/>
              </w:rPr>
              <w:t>岁以</w:t>
            </w:r>
            <w:r>
              <w:rPr>
                <w:rFonts w:ascii="微软雅黑" w:eastAsia="微软雅黑"/>
                <w:b/>
                <w:spacing w:val="-10"/>
                <w:w w:val="95"/>
                <w:sz w:val="22"/>
              </w:rPr>
              <w:t>上</w:t>
            </w:r>
          </w:p>
        </w:tc>
        <w:tc>
          <w:tcPr>
            <w:tcW w:w="6868" w:type="dxa"/>
          </w:tcPr>
          <w:p>
            <w:pPr>
              <w:pStyle w:val="11"/>
              <w:spacing w:before="8"/>
              <w:rPr>
                <w:sz w:val="22"/>
              </w:rPr>
            </w:pPr>
          </w:p>
          <w:p>
            <w:pPr>
              <w:pStyle w:val="11"/>
              <w:spacing w:line="310" w:lineRule="atLeast"/>
              <w:ind w:left="-1" w:right="-15"/>
              <w:rPr>
                <w:sz w:val="21"/>
              </w:rPr>
            </w:pPr>
            <w:r>
              <w:rPr>
                <w:spacing w:val="-5"/>
                <w:sz w:val="21"/>
              </w:rPr>
              <w:t>指被保险人因疾病或意外伤害导致双目视力永久不可逆性丧失，虽然未达到</w:t>
            </w:r>
            <w:r>
              <w:rPr>
                <w:spacing w:val="-2"/>
                <w:sz w:val="21"/>
              </w:rPr>
              <w:t>重大疾病“双目失明”的给付标准，但满足下列条件之一：</w:t>
            </w:r>
          </w:p>
        </w:tc>
      </w:tr>
    </w:tbl>
    <w:p>
      <w:pPr>
        <w:spacing w:after="0" w:line="310" w:lineRule="atLeast"/>
        <w:rPr>
          <w:sz w:val="21"/>
        </w:rPr>
        <w:sectPr>
          <w:type w:val="continuous"/>
          <w:pgSz w:w="11910" w:h="16840"/>
          <w:pgMar w:top="280" w:right="660" w:bottom="280" w:left="580" w:header="0" w:footer="1060" w:gutter="0"/>
          <w:cols w:space="720" w:num="1"/>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18"/>
        <w:gridCol w:w="1687"/>
        <w:gridCol w:w="7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trPr>
        <w:tc>
          <w:tcPr>
            <w:tcW w:w="918" w:type="dxa"/>
          </w:tcPr>
          <w:p>
            <w:pPr>
              <w:pStyle w:val="11"/>
              <w:rPr>
                <w:rFonts w:ascii="Times New Roman"/>
                <w:sz w:val="20"/>
              </w:rPr>
            </w:pPr>
          </w:p>
        </w:tc>
        <w:tc>
          <w:tcPr>
            <w:tcW w:w="1687" w:type="dxa"/>
          </w:tcPr>
          <w:p>
            <w:pPr>
              <w:pStyle w:val="11"/>
              <w:spacing w:line="252" w:lineRule="exact"/>
              <w:ind w:left="233"/>
              <w:rPr>
                <w:rFonts w:ascii="微软雅黑" w:eastAsia="微软雅黑"/>
                <w:b/>
                <w:sz w:val="22"/>
              </w:rPr>
            </w:pPr>
            <w:r>
              <w:rPr>
                <w:rFonts w:ascii="微软雅黑" w:eastAsia="微软雅黑"/>
                <w:b/>
                <w:w w:val="95"/>
                <w:sz w:val="22"/>
              </w:rPr>
              <w:t>理赔</w:t>
            </w:r>
            <w:r>
              <w:rPr>
                <w:rFonts w:ascii="微软雅黑" w:eastAsia="微软雅黑"/>
                <w:b/>
                <w:spacing w:val="-10"/>
                <w:w w:val="95"/>
                <w:sz w:val="22"/>
              </w:rPr>
              <w:t>）</w:t>
            </w:r>
          </w:p>
        </w:tc>
        <w:tc>
          <w:tcPr>
            <w:tcW w:w="7133" w:type="dxa"/>
          </w:tcPr>
          <w:p>
            <w:pPr>
              <w:pStyle w:val="11"/>
              <w:spacing w:line="250" w:lineRule="exact"/>
              <w:ind w:left="106"/>
              <w:rPr>
                <w:sz w:val="21"/>
              </w:rPr>
            </w:pPr>
            <w:r>
              <w:rPr>
                <w:sz w:val="21"/>
              </w:rPr>
              <w:t>（1）双眼中较好眼矫正视力低于 0.1（</w:t>
            </w:r>
            <w:r>
              <w:rPr>
                <w:spacing w:val="-1"/>
                <w:sz w:val="21"/>
              </w:rPr>
              <w:t>采用国际标准视力表，如果使用其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2"/>
                <w:sz w:val="21"/>
              </w:rPr>
              <w:t>他视力表应进行换算</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2"/>
                <w:sz w:val="21"/>
              </w:rPr>
              <w:t>（2）</w:t>
            </w:r>
            <w:r>
              <w:rPr>
                <w:spacing w:val="-6"/>
                <w:sz w:val="21"/>
              </w:rPr>
              <w:t xml:space="preserve">双眼中较好眼视野半径小于 </w:t>
            </w:r>
            <w:r>
              <w:rPr>
                <w:spacing w:val="-2"/>
                <w:sz w:val="21"/>
              </w:rPr>
              <w:t>20</w:t>
            </w:r>
            <w:r>
              <w:rPr>
                <w:spacing w:val="-20"/>
                <w:sz w:val="21"/>
              </w:rPr>
              <w:t xml:space="preserve"> 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2"/>
                <w:sz w:val="21"/>
                <w:shd w:val="clear" w:color="auto" w:fill="C0C0C0"/>
              </w:rPr>
              <w:t>被保险人申请理赔时年龄必须在三周岁以上</w:t>
            </w:r>
            <w:r>
              <w:rPr>
                <w:color w:val="000000"/>
                <w:spacing w:val="-11"/>
                <w:sz w:val="21"/>
              </w:rPr>
              <w:t>，并且提供理赔当时的视力丧失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4"/>
                <w:sz w:val="21"/>
              </w:rPr>
              <w:t>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4"/>
                <w:sz w:val="21"/>
                <w:shd w:val="clear" w:color="auto" w:fill="C0C0C0"/>
              </w:rPr>
              <w:t>本公司对“视力严重受损（三周岁以上理赔</w:t>
            </w:r>
            <w:r>
              <w:rPr>
                <w:color w:val="000000"/>
                <w:spacing w:val="-106"/>
                <w:sz w:val="21"/>
                <w:shd w:val="clear" w:color="auto" w:fill="C0C0C0"/>
              </w:rPr>
              <w:t>）”</w:t>
            </w:r>
            <w:r>
              <w:rPr>
                <w:color w:val="000000"/>
                <w:spacing w:val="-16"/>
                <w:sz w:val="21"/>
                <w:shd w:val="clear" w:color="auto" w:fill="C0C0C0"/>
              </w:rPr>
              <w:t>、“单眼失明”和“角膜移植”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5"/>
                <w:sz w:val="21"/>
                <w:shd w:val="clear" w:color="auto" w:fill="C0C0C0"/>
              </w:rPr>
              <w:t>三项中的其中一项承担保险责任，给付其中一项保险金后，对其它两项轻症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3"/>
                <w:sz w:val="21"/>
                <w:shd w:val="clear" w:color="auto" w:fill="C0C0C0"/>
              </w:rPr>
              <w:t>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6" w:hRule="atLeast"/>
        </w:trPr>
        <w:tc>
          <w:tcPr>
            <w:tcW w:w="918" w:type="dxa"/>
          </w:tcPr>
          <w:p>
            <w:pPr>
              <w:pStyle w:val="11"/>
              <w:spacing w:before="173"/>
              <w:ind w:left="50"/>
              <w:rPr>
                <w:sz w:val="22"/>
              </w:rPr>
            </w:pPr>
            <w:r>
              <w:rPr>
                <w:spacing w:val="-2"/>
                <w:sz w:val="22"/>
              </w:rPr>
              <w:t>8.3.8</w:t>
            </w:r>
          </w:p>
        </w:tc>
        <w:tc>
          <w:tcPr>
            <w:tcW w:w="1687" w:type="dxa"/>
          </w:tcPr>
          <w:p>
            <w:pPr>
              <w:pStyle w:val="11"/>
              <w:spacing w:before="173" w:line="266" w:lineRule="auto"/>
              <w:ind w:left="233" w:right="105"/>
              <w:rPr>
                <w:sz w:val="22"/>
              </w:rPr>
            </w:pPr>
            <w:r>
              <w:rPr>
                <w:spacing w:val="10"/>
                <w:w w:val="95"/>
                <w:sz w:val="22"/>
              </w:rPr>
              <w:t>主动脉内介入</w:t>
            </w:r>
            <w:r>
              <w:rPr>
                <w:spacing w:val="-6"/>
                <w:sz w:val="22"/>
              </w:rPr>
              <w:t>手术</w:t>
            </w:r>
          </w:p>
        </w:tc>
        <w:tc>
          <w:tcPr>
            <w:tcW w:w="7133" w:type="dxa"/>
          </w:tcPr>
          <w:p>
            <w:pPr>
              <w:pStyle w:val="11"/>
              <w:spacing w:before="3"/>
              <w:rPr>
                <w:sz w:val="14"/>
              </w:rPr>
            </w:pPr>
          </w:p>
          <w:p>
            <w:pPr>
              <w:pStyle w:val="11"/>
              <w:spacing w:line="278" w:lineRule="auto"/>
              <w:ind w:left="106" w:right="86"/>
              <w:rPr>
                <w:sz w:val="21"/>
              </w:rPr>
            </w:pPr>
            <w:r>
              <w:rPr>
                <w:spacing w:val="-2"/>
                <w:sz w:val="21"/>
              </w:rPr>
              <w:t>指被保险人为了治疗主动脉疾病实际实施了经皮经导管进行的动脉内手术。主动脉指胸主动脉和腹主动脉，</w:t>
            </w:r>
            <w:r>
              <w:rPr>
                <w:color w:val="000000"/>
                <w:spacing w:val="-2"/>
                <w:sz w:val="21"/>
                <w:shd w:val="clear" w:color="auto" w:fill="C0C0C0"/>
              </w:rPr>
              <w:t>不包括胸主动脉和腹主动脉的分支血管。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7" w:hRule="atLeast"/>
        </w:trPr>
        <w:tc>
          <w:tcPr>
            <w:tcW w:w="918" w:type="dxa"/>
          </w:tcPr>
          <w:p>
            <w:pPr>
              <w:pStyle w:val="11"/>
              <w:spacing w:before="172"/>
              <w:ind w:left="50"/>
              <w:rPr>
                <w:sz w:val="22"/>
              </w:rPr>
            </w:pPr>
            <w:r>
              <w:rPr>
                <w:spacing w:val="-2"/>
                <w:sz w:val="22"/>
              </w:rPr>
              <w:t>8.3.9</w:t>
            </w:r>
          </w:p>
        </w:tc>
        <w:tc>
          <w:tcPr>
            <w:tcW w:w="1687" w:type="dxa"/>
          </w:tcPr>
          <w:p>
            <w:pPr>
              <w:pStyle w:val="11"/>
              <w:spacing w:before="172"/>
              <w:ind w:left="233"/>
              <w:rPr>
                <w:sz w:val="22"/>
              </w:rPr>
            </w:pPr>
            <w:r>
              <w:rPr>
                <w:spacing w:val="10"/>
                <w:w w:val="95"/>
                <w:sz w:val="22"/>
              </w:rPr>
              <w:t>慢性肾功能损</w:t>
            </w:r>
          </w:p>
          <w:p>
            <w:pPr>
              <w:pStyle w:val="11"/>
              <w:spacing w:before="2" w:line="310" w:lineRule="atLeast"/>
              <w:ind w:left="233" w:right="105"/>
              <w:rPr>
                <w:sz w:val="22"/>
              </w:rPr>
            </w:pPr>
            <w:r>
              <w:rPr>
                <w:spacing w:val="-11"/>
                <w:w w:val="95"/>
                <w:sz w:val="22"/>
              </w:rPr>
              <w:t xml:space="preserve">害- </w:t>
            </w:r>
            <w:r>
              <w:rPr>
                <w:spacing w:val="35"/>
                <w:w w:val="95"/>
                <w:sz w:val="22"/>
              </w:rPr>
              <w:t>肾功</w:t>
            </w:r>
            <w:r>
              <w:rPr>
                <w:spacing w:val="19"/>
                <w:w w:val="95"/>
                <w:sz w:val="22"/>
              </w:rPr>
              <w:t>能衰</w:t>
            </w:r>
            <w:r>
              <w:rPr>
                <w:spacing w:val="-6"/>
                <w:sz w:val="22"/>
              </w:rPr>
              <w:t>竭期</w:t>
            </w:r>
          </w:p>
        </w:tc>
        <w:tc>
          <w:tcPr>
            <w:tcW w:w="7133" w:type="dxa"/>
          </w:tcPr>
          <w:p>
            <w:pPr>
              <w:pStyle w:val="11"/>
              <w:spacing w:before="2"/>
              <w:rPr>
                <w:sz w:val="14"/>
              </w:rPr>
            </w:pPr>
          </w:p>
          <w:p>
            <w:pPr>
              <w:pStyle w:val="11"/>
              <w:spacing w:line="278" w:lineRule="auto"/>
              <w:ind w:left="106" w:right="151"/>
              <w:rPr>
                <w:sz w:val="21"/>
              </w:rPr>
            </w:pPr>
            <w:r>
              <w:rPr>
                <w:spacing w:val="-5"/>
                <w:sz w:val="21"/>
              </w:rPr>
              <w:t>指被保险人因双肾功能慢性不可逆性损害达到肾功能衰竭期，诊断必须满足</w:t>
            </w:r>
            <w:r>
              <w:rPr>
                <w:spacing w:val="-2"/>
                <w:sz w:val="21"/>
              </w:rPr>
              <w:t>所有以下标准。</w:t>
            </w:r>
          </w:p>
          <w:p>
            <w:pPr>
              <w:pStyle w:val="11"/>
              <w:spacing w:before="1"/>
              <w:ind w:left="106"/>
              <w:rPr>
                <w:sz w:val="21"/>
              </w:rPr>
            </w:pPr>
            <w:r>
              <w:rPr>
                <w:sz w:val="21"/>
              </w:rPr>
              <w:t>（1）GFR</w:t>
            </w:r>
            <w:r>
              <w:rPr>
                <w:spacing w:val="-2"/>
                <w:sz w:val="21"/>
              </w:rPr>
              <w:t xml:space="preserve"> </w:t>
            </w:r>
            <w:r>
              <w:rPr>
                <w:sz w:val="21"/>
              </w:rPr>
              <w:t>&lt;</w:t>
            </w:r>
            <w:r>
              <w:rPr>
                <w:spacing w:val="-3"/>
                <w:sz w:val="21"/>
              </w:rPr>
              <w:t xml:space="preserve"> </w:t>
            </w:r>
            <w:r>
              <w:rPr>
                <w:spacing w:val="-5"/>
                <w:sz w:val="21"/>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z w:val="21"/>
              </w:rPr>
              <w:t>（2）Scr</w:t>
            </w:r>
            <w:r>
              <w:rPr>
                <w:spacing w:val="-4"/>
                <w:sz w:val="21"/>
              </w:rPr>
              <w:t xml:space="preserve"> &gt; </w:t>
            </w:r>
            <w:r>
              <w:rPr>
                <w:sz w:val="21"/>
              </w:rPr>
              <w:t>5mg/dl</w:t>
            </w:r>
            <w:r>
              <w:rPr>
                <w:spacing w:val="-19"/>
                <w:sz w:val="21"/>
              </w:rPr>
              <w:t xml:space="preserve"> 或&gt;</w:t>
            </w:r>
            <w:r>
              <w:rPr>
                <w:sz w:val="21"/>
              </w:rPr>
              <w:t>442μmol</w:t>
            </w:r>
            <w:r>
              <w:rPr>
                <w:spacing w:val="-5"/>
                <w:sz w:val="21"/>
              </w:rPr>
              <w:t xml:space="preserve"> /L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2"/>
                <w:sz w:val="21"/>
              </w:rPr>
              <w:t>（3）</w:t>
            </w:r>
            <w:r>
              <w:rPr>
                <w:spacing w:val="-18"/>
                <w:sz w:val="21"/>
              </w:rPr>
              <w:t xml:space="preserve">持续 </w:t>
            </w:r>
            <w:r>
              <w:rPr>
                <w:spacing w:val="-2"/>
                <w:sz w:val="21"/>
              </w:rPr>
              <w:t>180</w:t>
            </w:r>
            <w:r>
              <w:rPr>
                <w:spacing w:val="-29"/>
                <w:sz w:val="21"/>
              </w:rPr>
              <w:t xml:space="preserve"> 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8.3.10</w:t>
            </w:r>
          </w:p>
        </w:tc>
        <w:tc>
          <w:tcPr>
            <w:tcW w:w="1687" w:type="dxa"/>
          </w:tcPr>
          <w:p>
            <w:pPr>
              <w:pStyle w:val="11"/>
              <w:spacing w:before="173" w:line="281" w:lineRule="exact"/>
              <w:ind w:left="233"/>
              <w:rPr>
                <w:sz w:val="22"/>
              </w:rPr>
            </w:pPr>
            <w:r>
              <w:rPr>
                <w:w w:val="95"/>
                <w:sz w:val="22"/>
              </w:rPr>
              <w:t>肝脏</w:t>
            </w:r>
            <w:r>
              <w:rPr>
                <w:spacing w:val="-3"/>
                <w:w w:val="95"/>
                <w:sz w:val="22"/>
              </w:rPr>
              <w:t>整叶切除</w:t>
            </w:r>
          </w:p>
        </w:tc>
        <w:tc>
          <w:tcPr>
            <w:tcW w:w="7133" w:type="dxa"/>
          </w:tcPr>
          <w:p>
            <w:pPr>
              <w:pStyle w:val="11"/>
              <w:spacing w:before="3"/>
              <w:rPr>
                <w:sz w:val="14"/>
              </w:rPr>
            </w:pPr>
          </w:p>
          <w:p>
            <w:pPr>
              <w:pStyle w:val="11"/>
              <w:ind w:left="106"/>
              <w:rPr>
                <w:sz w:val="21"/>
              </w:rPr>
            </w:pPr>
            <w:r>
              <w:rPr>
                <w:spacing w:val="-6"/>
                <w:sz w:val="21"/>
              </w:rPr>
              <w:t>指因疾病或意外事故实际实施的肝脏部分切除术，手术切除最少一整叶左肝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3"/>
                <w:sz w:val="21"/>
              </w:rPr>
              <w:t>脏或一整叶右肝脏。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3"/>
                <w:sz w:val="21"/>
                <w:shd w:val="clear" w:color="auto" w:fill="C0C0C0"/>
              </w:rPr>
              <w:t>以下的肝脏切除不在本合同保障范围之列：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2"/>
                <w:sz w:val="21"/>
                <w:shd w:val="clear" w:color="auto" w:fill="C0C0C0"/>
              </w:rPr>
              <w:t>（1）</w:t>
            </w:r>
            <w:r>
              <w:rPr>
                <w:color w:val="000000"/>
                <w:spacing w:val="-3"/>
                <w:sz w:val="21"/>
                <w:shd w:val="clear" w:color="auto" w:fill="C0C0C0"/>
              </w:rPr>
              <w:t>因治疗酒精或滥用药物导致的疾病或肝脏紊乱所致的肝脏整叶切除；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z w:val="21"/>
                <w:shd w:val="clear" w:color="auto" w:fill="C0C0C0"/>
              </w:rPr>
              <w:t>（2）</w:t>
            </w:r>
            <w:r>
              <w:rPr>
                <w:color w:val="000000"/>
                <w:spacing w:val="-1"/>
                <w:sz w:val="21"/>
                <w:shd w:val="clear" w:color="auto" w:fill="C0C0C0"/>
              </w:rPr>
              <w:t>因患有符合本合同条款定义的恶性肿瘤——重度的原因所致的肝脏整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4"/>
                <w:sz w:val="21"/>
                <w:shd w:val="clear" w:color="auto" w:fill="C0C0C0"/>
              </w:rPr>
              <w:t>叶切除；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2"/>
                <w:sz w:val="21"/>
                <w:shd w:val="clear" w:color="auto" w:fill="C0C0C0"/>
              </w:rPr>
              <w:t>（3）</w:t>
            </w:r>
            <w:r>
              <w:rPr>
                <w:color w:val="000000"/>
                <w:spacing w:val="-3"/>
                <w:sz w:val="21"/>
                <w:shd w:val="clear" w:color="auto" w:fill="C0C0C0"/>
              </w:rPr>
              <w:t>因捐赠肝脏而所需的肝脏手术不在保障范围内。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918" w:type="dxa"/>
          </w:tcPr>
          <w:p>
            <w:pPr>
              <w:pStyle w:val="11"/>
              <w:spacing w:before="173"/>
              <w:ind w:left="50"/>
              <w:rPr>
                <w:sz w:val="22"/>
              </w:rPr>
            </w:pPr>
            <w:r>
              <w:rPr>
                <w:spacing w:val="-2"/>
                <w:sz w:val="22"/>
              </w:rPr>
              <w:t>8.3.11</w:t>
            </w:r>
          </w:p>
        </w:tc>
        <w:tc>
          <w:tcPr>
            <w:tcW w:w="1687" w:type="dxa"/>
          </w:tcPr>
          <w:p>
            <w:pPr>
              <w:pStyle w:val="11"/>
              <w:spacing w:before="145" w:line="310" w:lineRule="atLeast"/>
              <w:ind w:left="233" w:right="105"/>
              <w:rPr>
                <w:sz w:val="22"/>
              </w:rPr>
            </w:pPr>
            <w:r>
              <w:rPr>
                <w:spacing w:val="10"/>
                <w:w w:val="95"/>
                <w:sz w:val="22"/>
              </w:rPr>
              <w:t>肺泡蛋白质沉</w:t>
            </w:r>
            <w:r>
              <w:rPr>
                <w:spacing w:val="-6"/>
                <w:sz w:val="22"/>
              </w:rPr>
              <w:t>积症</w:t>
            </w:r>
          </w:p>
        </w:tc>
        <w:tc>
          <w:tcPr>
            <w:tcW w:w="7133" w:type="dxa"/>
          </w:tcPr>
          <w:p>
            <w:pPr>
              <w:pStyle w:val="11"/>
              <w:spacing w:before="142" w:line="310" w:lineRule="atLeast"/>
              <w:ind w:left="106" w:right="151"/>
              <w:rPr>
                <w:sz w:val="21"/>
              </w:rPr>
            </w:pPr>
            <w:r>
              <w:rPr>
                <w:spacing w:val="-5"/>
                <w:sz w:val="21"/>
              </w:rPr>
              <w:t xml:space="preserve">指肺泡和细支气管腔内充满不可溶性富磷脂蛋白的疾病，胸部 </w:t>
            </w:r>
            <w:r>
              <w:rPr>
                <w:sz w:val="21"/>
              </w:rPr>
              <w:t>X</w:t>
            </w:r>
            <w:r>
              <w:rPr>
                <w:spacing w:val="-10"/>
                <w:sz w:val="21"/>
              </w:rPr>
              <w:t xml:space="preserve"> 线呈双肺弥</w:t>
            </w:r>
            <w:r>
              <w:rPr>
                <w:sz w:val="21"/>
              </w:rPr>
              <w:t>漫性肺部磨玻璃影，病理学检查肺泡内充满有过碘酸雪夫（PAS）</w:t>
            </w:r>
            <w:r>
              <w:rPr>
                <w:spacing w:val="-3"/>
                <w:sz w:val="21"/>
              </w:rPr>
              <w:t>染色阳性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spacing w:val="-3"/>
                <w:sz w:val="21"/>
              </w:rPr>
              <w:t>的蛋白样物质，并且接受了肺灌洗治疗。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7" w:hRule="atLeast"/>
        </w:trPr>
        <w:tc>
          <w:tcPr>
            <w:tcW w:w="918" w:type="dxa"/>
          </w:tcPr>
          <w:p>
            <w:pPr>
              <w:pStyle w:val="11"/>
              <w:spacing w:before="173"/>
              <w:ind w:left="50"/>
              <w:rPr>
                <w:sz w:val="22"/>
              </w:rPr>
            </w:pPr>
            <w:r>
              <w:rPr>
                <w:spacing w:val="-2"/>
                <w:sz w:val="22"/>
              </w:rPr>
              <w:t>8.3.12</w:t>
            </w:r>
          </w:p>
        </w:tc>
        <w:tc>
          <w:tcPr>
            <w:tcW w:w="1687" w:type="dxa"/>
          </w:tcPr>
          <w:p>
            <w:pPr>
              <w:pStyle w:val="11"/>
              <w:spacing w:before="173" w:line="262" w:lineRule="exact"/>
              <w:ind w:left="233"/>
              <w:rPr>
                <w:sz w:val="22"/>
              </w:rPr>
            </w:pPr>
            <w:r>
              <w:rPr>
                <w:spacing w:val="10"/>
                <w:w w:val="95"/>
                <w:sz w:val="22"/>
              </w:rPr>
              <w:t>中度听力受损</w:t>
            </w:r>
          </w:p>
          <w:p>
            <w:pPr>
              <w:pStyle w:val="11"/>
              <w:spacing w:line="339" w:lineRule="exact"/>
              <w:ind w:left="233"/>
              <w:rPr>
                <w:rFonts w:ascii="微软雅黑" w:eastAsia="微软雅黑"/>
                <w:b/>
                <w:sz w:val="22"/>
              </w:rPr>
            </w:pPr>
            <w:r>
              <w:rPr>
                <w:rFonts w:ascii="微软雅黑" w:eastAsia="微软雅黑"/>
                <w:b/>
                <w:spacing w:val="16"/>
                <w:w w:val="95"/>
                <w:sz w:val="22"/>
              </w:rPr>
              <w:t>（</w:t>
            </w:r>
            <w:r>
              <w:rPr>
                <w:rFonts w:ascii="微软雅黑" w:eastAsia="微软雅黑"/>
                <w:b/>
                <w:spacing w:val="14"/>
                <w:w w:val="95"/>
                <w:sz w:val="22"/>
              </w:rPr>
              <w:t>三周</w:t>
            </w:r>
            <w:r>
              <w:rPr>
                <w:rFonts w:ascii="微软雅黑" w:eastAsia="微软雅黑"/>
                <w:b/>
                <w:spacing w:val="16"/>
                <w:w w:val="95"/>
                <w:sz w:val="22"/>
              </w:rPr>
              <w:t>岁以</w:t>
            </w:r>
            <w:r>
              <w:rPr>
                <w:rFonts w:ascii="微软雅黑" w:eastAsia="微软雅黑"/>
                <w:b/>
                <w:spacing w:val="-10"/>
                <w:w w:val="95"/>
                <w:sz w:val="22"/>
              </w:rPr>
              <w:t>上</w:t>
            </w:r>
          </w:p>
          <w:p>
            <w:pPr>
              <w:pStyle w:val="11"/>
              <w:spacing w:line="305" w:lineRule="exact"/>
              <w:ind w:left="233"/>
              <w:rPr>
                <w:rFonts w:ascii="微软雅黑" w:eastAsia="微软雅黑"/>
                <w:b/>
                <w:sz w:val="22"/>
              </w:rPr>
            </w:pPr>
            <w:r>
              <w:rPr>
                <w:rFonts w:ascii="微软雅黑" w:eastAsia="微软雅黑"/>
                <w:b/>
                <w:w w:val="95"/>
                <w:sz w:val="22"/>
              </w:rPr>
              <w:t>理赔</w:t>
            </w:r>
            <w:r>
              <w:rPr>
                <w:rFonts w:ascii="微软雅黑" w:eastAsia="微软雅黑"/>
                <w:b/>
                <w:spacing w:val="-10"/>
                <w:w w:val="95"/>
                <w:sz w:val="22"/>
              </w:rPr>
              <w:t>）</w:t>
            </w:r>
          </w:p>
        </w:tc>
        <w:tc>
          <w:tcPr>
            <w:tcW w:w="7133" w:type="dxa"/>
          </w:tcPr>
          <w:p>
            <w:pPr>
              <w:pStyle w:val="11"/>
              <w:spacing w:before="3"/>
              <w:rPr>
                <w:sz w:val="14"/>
              </w:rPr>
            </w:pPr>
          </w:p>
          <w:p>
            <w:pPr>
              <w:pStyle w:val="11"/>
              <w:ind w:left="106"/>
              <w:rPr>
                <w:sz w:val="21"/>
              </w:rPr>
            </w:pPr>
            <w:r>
              <w:rPr>
                <w:sz w:val="21"/>
              </w:rPr>
              <w:t>指因疾病或意外伤害导致双耳听力永久不可逆性丧失，在 500</w:t>
            </w:r>
            <w:r>
              <w:rPr>
                <w:spacing w:val="-1"/>
                <w:sz w:val="21"/>
              </w:rPr>
              <w:t xml:space="preserve"> 赫兹，</w:t>
            </w:r>
            <w:r>
              <w:rPr>
                <w:spacing w:val="-2"/>
                <w:sz w:val="21"/>
              </w:rPr>
              <w:t>1000</w:t>
            </w:r>
          </w:p>
          <w:p>
            <w:pPr>
              <w:pStyle w:val="11"/>
              <w:spacing w:before="2" w:line="310" w:lineRule="atLeast"/>
              <w:ind w:left="106" w:right="91"/>
              <w:rPr>
                <w:sz w:val="21"/>
              </w:rPr>
            </w:pPr>
            <w:r>
              <w:rPr>
                <w:spacing w:val="-13"/>
                <w:sz w:val="21"/>
              </w:rPr>
              <w:t xml:space="preserve">赫兹和 </w:t>
            </w:r>
            <w:r>
              <w:rPr>
                <w:spacing w:val="-2"/>
                <w:sz w:val="21"/>
              </w:rPr>
              <w:t>2000</w:t>
            </w:r>
            <w:r>
              <w:rPr>
                <w:spacing w:val="-12"/>
                <w:sz w:val="21"/>
              </w:rPr>
              <w:t xml:space="preserve"> 赫兹语音频率下，平均听阈大于 </w:t>
            </w:r>
            <w:r>
              <w:rPr>
                <w:spacing w:val="-2"/>
                <w:sz w:val="21"/>
              </w:rPr>
              <w:t>80</w:t>
            </w:r>
            <w:r>
              <w:rPr>
                <w:spacing w:val="-9"/>
                <w:sz w:val="21"/>
              </w:rPr>
              <w:t xml:space="preserve"> 分贝。需有纯音听力测试、</w:t>
            </w:r>
            <w:r>
              <w:rPr>
                <w:spacing w:val="-2"/>
                <w:sz w:val="21"/>
              </w:rPr>
              <w:t>声阻抗检测或听觉诱发电位检测等证实。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color w:val="000000"/>
                <w:spacing w:val="-2"/>
                <w:sz w:val="21"/>
                <w:shd w:val="clear" w:color="auto" w:fill="C0C0C0"/>
              </w:rPr>
              <w:t>被保险人申请理赔时年龄必须在三周岁以上</w:t>
            </w:r>
            <w:r>
              <w:rPr>
                <w:color w:val="000000"/>
                <w:spacing w:val="-11"/>
                <w:sz w:val="21"/>
              </w:rPr>
              <w:t>，并且提供理赔当时的听力丧失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spacing w:val="-4"/>
                <w:sz w:val="21"/>
              </w:rPr>
              <w:t>诊断及检查证据。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15"/>
                <w:sz w:val="21"/>
                <w:shd w:val="clear" w:color="auto" w:fill="C0C0C0"/>
              </w:rPr>
              <w:t>本公司对“单耳失聪”、“中度听力受损</w:t>
            </w:r>
            <w:r>
              <w:rPr>
                <w:color w:val="000000"/>
                <w:sz w:val="21"/>
                <w:shd w:val="clear" w:color="auto" w:fill="C0C0C0"/>
              </w:rPr>
              <w:t>（三周岁以上理赔</w:t>
            </w:r>
            <w:r>
              <w:rPr>
                <w:color w:val="000000"/>
                <w:spacing w:val="-106"/>
                <w:sz w:val="21"/>
                <w:shd w:val="clear" w:color="auto" w:fill="C0C0C0"/>
              </w:rPr>
              <w:t>）</w:t>
            </w:r>
            <w:r>
              <w:rPr>
                <w:color w:val="000000"/>
                <w:spacing w:val="-2"/>
                <w:sz w:val="21"/>
                <w:shd w:val="clear" w:color="auto" w:fill="C0C0C0"/>
              </w:rPr>
              <w:t>”和“人工耳蜗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5"/>
                <w:sz w:val="21"/>
                <w:shd w:val="clear" w:color="auto" w:fill="C0C0C0"/>
              </w:rPr>
              <w:t>植入术”三项中的其中一项承担保险责任，给付其中一项保险金后，对其它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3"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2"/>
              <w:ind w:left="106"/>
              <w:rPr>
                <w:sz w:val="21"/>
              </w:rPr>
            </w:pPr>
            <w:r>
              <w:rPr>
                <w:color w:val="000000"/>
                <w:spacing w:val="-3"/>
                <w:sz w:val="21"/>
                <w:shd w:val="clear" w:color="auto" w:fill="C0C0C0"/>
              </w:rPr>
              <w:t>两项轻症疾病保险责任同时终止。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918" w:type="dxa"/>
          </w:tcPr>
          <w:p>
            <w:pPr>
              <w:pStyle w:val="11"/>
              <w:spacing w:before="173" w:line="281" w:lineRule="exact"/>
              <w:ind w:left="50"/>
              <w:rPr>
                <w:sz w:val="22"/>
              </w:rPr>
            </w:pPr>
            <w:r>
              <w:rPr>
                <w:spacing w:val="-2"/>
                <w:sz w:val="22"/>
              </w:rPr>
              <w:t>8.3.13</w:t>
            </w:r>
          </w:p>
        </w:tc>
        <w:tc>
          <w:tcPr>
            <w:tcW w:w="1687" w:type="dxa"/>
          </w:tcPr>
          <w:p>
            <w:pPr>
              <w:pStyle w:val="11"/>
              <w:spacing w:before="173" w:line="281" w:lineRule="exact"/>
              <w:ind w:left="233"/>
              <w:rPr>
                <w:sz w:val="22"/>
              </w:rPr>
            </w:pPr>
            <w:r>
              <w:rPr>
                <w:w w:val="95"/>
                <w:sz w:val="22"/>
              </w:rPr>
              <w:t>肾脏</w:t>
            </w:r>
            <w:r>
              <w:rPr>
                <w:spacing w:val="-5"/>
                <w:w w:val="95"/>
                <w:sz w:val="22"/>
              </w:rPr>
              <w:t>切除</w:t>
            </w:r>
          </w:p>
        </w:tc>
        <w:tc>
          <w:tcPr>
            <w:tcW w:w="7133" w:type="dxa"/>
          </w:tcPr>
          <w:p>
            <w:pPr>
              <w:pStyle w:val="11"/>
              <w:spacing w:before="3"/>
              <w:rPr>
                <w:sz w:val="14"/>
              </w:rPr>
            </w:pPr>
          </w:p>
          <w:p>
            <w:pPr>
              <w:pStyle w:val="11"/>
              <w:ind w:left="106"/>
              <w:rPr>
                <w:sz w:val="21"/>
              </w:rPr>
            </w:pPr>
            <w:r>
              <w:rPr>
                <w:spacing w:val="-5"/>
                <w:sz w:val="21"/>
              </w:rPr>
              <w:t>因疾病或者意外伤害进行手术治疗导致至少单侧肾脏全部切除，</w:t>
            </w:r>
            <w:r>
              <w:rPr>
                <w:color w:val="000000"/>
                <w:spacing w:val="-4"/>
                <w:sz w:val="21"/>
                <w:shd w:val="clear" w:color="auto" w:fill="C0C0C0"/>
              </w:rPr>
              <w:t>部分肾脏切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918" w:type="dxa"/>
          </w:tcPr>
          <w:p>
            <w:pPr>
              <w:pStyle w:val="11"/>
              <w:rPr>
                <w:rFonts w:ascii="Times New Roman"/>
                <w:sz w:val="20"/>
              </w:rPr>
            </w:pPr>
          </w:p>
        </w:tc>
        <w:tc>
          <w:tcPr>
            <w:tcW w:w="1687" w:type="dxa"/>
          </w:tcPr>
          <w:p>
            <w:pPr>
              <w:pStyle w:val="11"/>
              <w:rPr>
                <w:rFonts w:ascii="Times New Roman"/>
                <w:sz w:val="20"/>
              </w:rPr>
            </w:pPr>
          </w:p>
        </w:tc>
        <w:tc>
          <w:tcPr>
            <w:tcW w:w="7133" w:type="dxa"/>
          </w:tcPr>
          <w:p>
            <w:pPr>
              <w:pStyle w:val="11"/>
              <w:spacing w:before="21"/>
              <w:ind w:left="106"/>
              <w:rPr>
                <w:sz w:val="21"/>
              </w:rPr>
            </w:pPr>
            <w:r>
              <w:rPr>
                <w:color w:val="000000"/>
                <w:spacing w:val="-3"/>
                <w:sz w:val="21"/>
                <w:shd w:val="clear" w:color="auto" w:fill="C0C0C0"/>
              </w:rPr>
              <w:t>除不在保障范围内。因捐赠肾脏而所需的肾脏切除不在保障范围内。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trPr>
        <w:tc>
          <w:tcPr>
            <w:tcW w:w="918" w:type="dxa"/>
          </w:tcPr>
          <w:p>
            <w:pPr>
              <w:pStyle w:val="11"/>
              <w:spacing w:before="173"/>
              <w:ind w:left="50"/>
              <w:rPr>
                <w:sz w:val="22"/>
              </w:rPr>
            </w:pPr>
            <w:r>
              <w:rPr>
                <w:spacing w:val="-2"/>
                <w:sz w:val="22"/>
              </w:rPr>
              <w:t>8.3.14</w:t>
            </w:r>
          </w:p>
        </w:tc>
        <w:tc>
          <w:tcPr>
            <w:tcW w:w="1687" w:type="dxa"/>
          </w:tcPr>
          <w:p>
            <w:pPr>
              <w:pStyle w:val="11"/>
              <w:spacing w:before="124" w:line="310" w:lineRule="atLeast"/>
              <w:ind w:left="233" w:right="105"/>
              <w:rPr>
                <w:sz w:val="22"/>
              </w:rPr>
            </w:pPr>
            <w:r>
              <w:rPr>
                <w:spacing w:val="10"/>
                <w:w w:val="95"/>
                <w:sz w:val="22"/>
              </w:rPr>
              <w:t>可逆性再生障</w:t>
            </w:r>
            <w:r>
              <w:rPr>
                <w:spacing w:val="-4"/>
                <w:sz w:val="22"/>
              </w:rPr>
              <w:t>碍性贫血</w:t>
            </w:r>
          </w:p>
        </w:tc>
        <w:tc>
          <w:tcPr>
            <w:tcW w:w="7133" w:type="dxa"/>
          </w:tcPr>
          <w:p>
            <w:pPr>
              <w:pStyle w:val="11"/>
              <w:spacing w:before="122" w:line="310" w:lineRule="atLeast"/>
              <w:ind w:left="106" w:right="89"/>
              <w:rPr>
                <w:sz w:val="21"/>
              </w:rPr>
            </w:pPr>
            <w:r>
              <w:rPr>
                <w:spacing w:val="-5"/>
                <w:sz w:val="21"/>
              </w:rPr>
              <w:t>指因急性可逆性的骨髓造血功能衰竭而导致贫血、中性粒细胞减少和血小板</w:t>
            </w:r>
            <w:r>
              <w:rPr>
                <w:spacing w:val="-2"/>
                <w:sz w:val="21"/>
              </w:rPr>
              <w:t>减少，必须由血液科医生的诊断，且病历资料显示接受了下列任一项治疗：</w:t>
            </w:r>
          </w:p>
        </w:tc>
      </w:tr>
    </w:tbl>
    <w:p>
      <w:pPr>
        <w:spacing w:after="0" w:line="310" w:lineRule="atLeast"/>
        <w:rPr>
          <w:sz w:val="21"/>
        </w:rPr>
        <w:sectPr>
          <w:type w:val="continuous"/>
          <w:pgSz w:w="11910" w:h="16840"/>
          <w:pgMar w:top="1520" w:right="660" w:bottom="1260" w:left="580" w:header="0" w:footer="1060" w:gutter="0"/>
          <w:cols w:space="720" w:num="1"/>
        </w:sectPr>
      </w:pPr>
    </w:p>
    <w:p>
      <w:pPr>
        <w:pStyle w:val="10"/>
        <w:numPr>
          <w:ilvl w:val="1"/>
          <w:numId w:val="45"/>
        </w:numPr>
        <w:tabs>
          <w:tab w:val="left" w:pos="3915"/>
        </w:tabs>
        <w:spacing w:before="42" w:after="0" w:line="240" w:lineRule="auto"/>
        <w:ind w:left="3914" w:right="0" w:hanging="530"/>
        <w:jc w:val="left"/>
        <w:rPr>
          <w:sz w:val="21"/>
        </w:rPr>
      </w:pPr>
      <w:r>
        <w:rPr>
          <w:spacing w:val="-3"/>
          <w:sz w:val="21"/>
        </w:rPr>
        <w:t>骨髓刺激疗法至少一个月；</w:t>
      </w:r>
    </w:p>
    <w:p>
      <w:pPr>
        <w:pStyle w:val="10"/>
        <w:numPr>
          <w:ilvl w:val="1"/>
          <w:numId w:val="45"/>
        </w:numPr>
        <w:tabs>
          <w:tab w:val="left" w:pos="3915"/>
        </w:tabs>
        <w:spacing w:before="43" w:after="0" w:line="240" w:lineRule="auto"/>
        <w:ind w:left="3914" w:right="0" w:hanging="530"/>
        <w:jc w:val="left"/>
        <w:rPr>
          <w:sz w:val="21"/>
        </w:rPr>
      </w:pPr>
      <w:r>
        <w:rPr>
          <w:spacing w:val="-3"/>
          <w:sz w:val="21"/>
        </w:rPr>
        <w:t>免疫抑制剂治疗至少一个月；</w:t>
      </w:r>
    </w:p>
    <w:p>
      <w:pPr>
        <w:pStyle w:val="10"/>
        <w:numPr>
          <w:ilvl w:val="1"/>
          <w:numId w:val="45"/>
        </w:numPr>
        <w:tabs>
          <w:tab w:val="left" w:pos="3915"/>
        </w:tabs>
        <w:spacing w:before="43" w:after="0" w:line="240" w:lineRule="auto"/>
        <w:ind w:left="3914" w:right="0" w:hanging="530"/>
        <w:jc w:val="left"/>
        <w:rPr>
          <w:sz w:val="21"/>
        </w:rPr>
      </w:pPr>
      <w:r>
        <w:rPr>
          <w:spacing w:val="-4"/>
          <w:sz w:val="21"/>
        </w:rPr>
        <w:t>接受了骨髓移植。</w:t>
      </w:r>
    </w:p>
    <w:p>
      <w:pPr>
        <w:pStyle w:val="6"/>
        <w:spacing w:before="4"/>
      </w:pPr>
    </w:p>
    <w:p>
      <w:pPr>
        <w:spacing w:after="0"/>
        <w:sectPr>
          <w:pgSz w:w="11910" w:h="16840"/>
          <w:pgMar w:top="1460" w:right="660" w:bottom="1260" w:left="580" w:header="0" w:footer="1060" w:gutter="0"/>
          <w:cols w:space="720" w:num="1"/>
        </w:sectPr>
      </w:pPr>
    </w:p>
    <w:p>
      <w:pPr>
        <w:pStyle w:val="4"/>
        <w:numPr>
          <w:ilvl w:val="2"/>
          <w:numId w:val="46"/>
        </w:numPr>
        <w:tabs>
          <w:tab w:val="left" w:pos="1825"/>
          <w:tab w:val="left" w:pos="1826"/>
        </w:tabs>
        <w:spacing w:before="72" w:after="0" w:line="240" w:lineRule="auto"/>
        <w:ind w:left="1825" w:right="0" w:hanging="1103"/>
        <w:jc w:val="left"/>
      </w:pPr>
      <w:r>
        <w:rPr>
          <w:spacing w:val="14"/>
          <w:w w:val="95"/>
        </w:rPr>
        <w:t>因肾上腺良</w:t>
      </w:r>
      <w:r>
        <w:rPr>
          <w:spacing w:val="-10"/>
          <w:w w:val="95"/>
        </w:rPr>
        <w:t>性</w:t>
      </w:r>
    </w:p>
    <w:p>
      <w:pPr>
        <w:spacing w:before="30" w:line="266" w:lineRule="auto"/>
        <w:ind w:left="1825" w:right="0" w:firstLine="0"/>
        <w:jc w:val="left"/>
        <w:rPr>
          <w:sz w:val="22"/>
        </w:rPr>
      </w:pPr>
      <w:r>
        <w:rPr>
          <w:spacing w:val="10"/>
          <w:w w:val="95"/>
          <w:sz w:val="22"/>
        </w:rPr>
        <w:t>肿瘤所致的肾</w:t>
      </w:r>
      <w:r>
        <w:rPr>
          <w:spacing w:val="-2"/>
          <w:sz w:val="22"/>
        </w:rPr>
        <w:t>上腺切除术</w:t>
      </w:r>
    </w:p>
    <w:p>
      <w:pPr>
        <w:pStyle w:val="6"/>
        <w:spacing w:before="82" w:line="278" w:lineRule="auto"/>
        <w:ind w:left="174" w:right="409"/>
      </w:pPr>
      <w:r>
        <w:br w:type="column"/>
      </w:r>
      <w:r>
        <w:rPr>
          <w:spacing w:val="-3"/>
          <w:w w:val="100"/>
        </w:rPr>
        <w:t>因肾上腺良性肿瘤所导致醛固酮分泌过多而产生的继发性的无法由药物控</w:t>
      </w:r>
      <w:r>
        <w:rPr>
          <w:spacing w:val="-9"/>
          <w:w w:val="100"/>
        </w:rPr>
        <w:t>制的恶性高血压，经专科医生确诊，为处理控制不佳的高血压接受肾上腺腺</w:t>
      </w:r>
      <w:r>
        <w:rPr>
          <w:spacing w:val="-5"/>
          <w:w w:val="100"/>
        </w:rPr>
        <w:t>瘤摘除术，并且实施了单侧或双侧肾上腺部分切除。</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spacing w:before="12"/>
        <w:rPr>
          <w:sz w:val="17"/>
        </w:rPr>
      </w:pPr>
    </w:p>
    <w:p>
      <w:pPr>
        <w:spacing w:after="0"/>
        <w:rPr>
          <w:sz w:val="17"/>
        </w:rPr>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72" w:after="0" w:line="266" w:lineRule="auto"/>
        <w:ind w:left="1825" w:right="0" w:hanging="1102"/>
        <w:jc w:val="left"/>
      </w:pPr>
      <w:r>
        <w:drawing>
          <wp:anchor distT="0" distB="0" distL="0" distR="0" simplePos="0" relativeHeight="251724800" behindDoc="1" locked="0" layoutInCell="1" allowOverlap="1">
            <wp:simplePos x="0" y="0"/>
            <wp:positionH relativeFrom="page">
              <wp:posOffset>2517775</wp:posOffset>
            </wp:positionH>
            <wp:positionV relativeFrom="paragraph">
              <wp:posOffset>647065</wp:posOffset>
            </wp:positionV>
            <wp:extent cx="4361180" cy="812800"/>
            <wp:effectExtent l="0" t="0" r="0" b="0"/>
            <wp:wrapNone/>
            <wp:docPr id="9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3.png"/>
                    <pic:cNvPicPr>
                      <a:picLocks noChangeAspect="1"/>
                    </pic:cNvPicPr>
                  </pic:nvPicPr>
                  <pic:blipFill>
                    <a:blip r:embed="rId39" cstate="print"/>
                    <a:stretch>
                      <a:fillRect/>
                    </a:stretch>
                  </pic:blipFill>
                  <pic:spPr>
                    <a:xfrm>
                      <a:off x="0" y="0"/>
                      <a:ext cx="4361053" cy="812673"/>
                    </a:xfrm>
                    <a:prstGeom prst="rect">
                      <a:avLst/>
                    </a:prstGeom>
                  </pic:spPr>
                </pic:pic>
              </a:graphicData>
            </a:graphic>
          </wp:anchor>
        </w:drawing>
      </w:r>
      <w:r>
        <w:pict>
          <v:shape id="docshape75" o:spid="_x0000_s1099" o:spt="202" type="#_x0000_t202" style="position:absolute;left:0pt;margin-left:198.25pt;margin-top:50.95pt;height:64pt;width:348.8pt;mso-position-horizontal-relative:page;z-index:-251591680;mso-width-relative:page;mso-height-relative:page;" filled="f" stroked="f" coordsize="21600,21600">
            <v:path/>
            <v:fill on="f" focussize="0,0"/>
            <v:stroke on="f" joinstyle="miter"/>
            <v:imagedata o:title=""/>
            <o:lock v:ext="edit"/>
            <v:textbox inset="0mm,0mm,0mm,0mm">
              <w:txbxContent>
                <w:p>
                  <w:pPr>
                    <w:pStyle w:val="6"/>
                    <w:spacing w:before="46"/>
                  </w:pPr>
                  <w:r>
                    <w:t>若被保险人植入心脏起搏器导致其符合本合同条款重大疾病 1</w:t>
                  </w:r>
                  <w:r>
                    <w:rPr>
                      <w:spacing w:val="-2"/>
                    </w:rPr>
                    <w:t xml:space="preserve"> 型糖尿病定</w:t>
                  </w:r>
                </w:p>
                <w:p>
                  <w:pPr>
                    <w:pStyle w:val="6"/>
                    <w:spacing w:before="51" w:line="285" w:lineRule="auto"/>
                  </w:pPr>
                  <w:r>
                    <w:rPr>
                      <w:spacing w:val="-14"/>
                    </w:rPr>
                    <w:t xml:space="preserve">义的，我们仅按重大疾病 </w:t>
                  </w:r>
                  <w:r>
                    <w:rPr>
                      <w:spacing w:val="-2"/>
                    </w:rPr>
                    <w:t>1</w:t>
                  </w:r>
                  <w:r>
                    <w:rPr>
                      <w:spacing w:val="-14"/>
                    </w:rPr>
                    <w:t xml:space="preserve"> 型糖尿病一项给付，本项轻症疾病保险责任终止。</w:t>
                  </w:r>
                  <w:r>
                    <w:rPr>
                      <w:spacing w:val="-2"/>
                    </w:rPr>
                    <w:t>若被保险人植入心脏起搏器导致其符合本合同条款重大疾病严重的Ⅲ度房</w:t>
                  </w:r>
                </w:p>
                <w:p>
                  <w:pPr>
                    <w:pStyle w:val="6"/>
                    <w:spacing w:before="1"/>
                  </w:pPr>
                  <w:r>
                    <w:rPr>
                      <w:spacing w:val="-3"/>
                    </w:rPr>
                    <w:t>室传导阻滞定义的，我们仅按重大疾病严重的Ⅲ度房室传导阻滞一项给付，</w:t>
                  </w:r>
                </w:p>
              </w:txbxContent>
            </v:textbox>
          </v:shape>
        </w:pict>
      </w:r>
      <w:r>
        <w:pict>
          <v:shape id="docshape76" o:spid="_x0000_s1100" o:spt="202" type="#_x0000_t202" style="position:absolute;left:0pt;margin-left:198.25pt;margin-top:114.95pt;height:16pt;width:136.65pt;mso-position-horizontal-relative:page;z-index:251693056;mso-width-relative:page;mso-height-relative:page;" fillcolor="#C0C0C0" filled="t" stroked="f" coordsize="21600,21600">
            <v:path/>
            <v:fill on="t" focussize="0,0"/>
            <v:stroke on="f" joinstyle="miter"/>
            <v:imagedata o:title=""/>
            <o:lock v:ext="edit"/>
            <v:textbox inset="0mm,0mm,0mm,0mm">
              <w:txbxContent>
                <w:p>
                  <w:pPr>
                    <w:pStyle w:val="6"/>
                    <w:spacing w:before="46"/>
                    <w:ind w:right="-15"/>
                    <w:rPr>
                      <w:color w:val="000000"/>
                    </w:rPr>
                  </w:pPr>
                  <w:r>
                    <w:rPr>
                      <w:color w:val="000000"/>
                      <w:spacing w:val="-3"/>
                    </w:rPr>
                    <w:t>本项轻症疾病保险责任终止。</w:t>
                  </w:r>
                </w:p>
              </w:txbxContent>
            </v:textbox>
          </v:shape>
        </w:pict>
      </w:r>
      <w:r>
        <w:rPr>
          <w:spacing w:val="12"/>
          <w:w w:val="95"/>
        </w:rPr>
        <w:t>心脏起搏器</w:t>
      </w:r>
      <w:r>
        <w:rPr>
          <w:w w:val="95"/>
        </w:rPr>
        <w:t>植</w:t>
      </w:r>
      <w:r>
        <w:rPr>
          <w:spacing w:val="-10"/>
        </w:rPr>
        <w:t>入</w:t>
      </w:r>
    </w:p>
    <w:p>
      <w:pPr>
        <w:pStyle w:val="6"/>
        <w:spacing w:before="106" w:line="285" w:lineRule="auto"/>
        <w:ind w:left="174" w:right="406"/>
        <w:jc w:val="both"/>
      </w:pPr>
      <w:r>
        <w:br w:type="column"/>
      </w:r>
      <w:r>
        <w:rPr>
          <w:spacing w:val="-5"/>
        </w:rPr>
        <w:t>因严重心律失常而于心腔内进行植入永久性心脏起搏器的手术，此严重心律</w:t>
      </w:r>
      <w:r>
        <w:rPr>
          <w:spacing w:val="-7"/>
        </w:rPr>
        <w:t>失常并不能以其他方法治疗。必须由相关专科医生确认植入心脏起搏器为医</w:t>
      </w:r>
      <w:r>
        <w:rPr>
          <w:spacing w:val="-4"/>
        </w:rPr>
        <w:t>疗所须。</w:t>
      </w:r>
    </w:p>
    <w:p>
      <w:pPr>
        <w:spacing w:after="0" w:line="285" w:lineRule="auto"/>
        <w:jc w:val="both"/>
        <w:sectPr>
          <w:type w:val="continuous"/>
          <w:pgSz w:w="11910" w:h="16840"/>
          <w:pgMar w:top="280" w:right="660" w:bottom="280" w:left="580" w:header="0" w:footer="1060" w:gutter="0"/>
          <w:cols w:equalWidth="0" w:num="2">
            <w:col w:w="3171" w:space="40"/>
            <w:col w:w="7459"/>
          </w:cols>
        </w:sect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1"/>
      </w:pPr>
    </w:p>
    <w:p>
      <w:pPr>
        <w:pStyle w:val="6"/>
        <w:ind w:left="3385"/>
        <w:rPr>
          <w:sz w:val="20"/>
        </w:rPr>
      </w:pPr>
      <w:r>
        <w:rPr>
          <w:sz w:val="20"/>
        </w:rPr>
        <w:pict>
          <v:shape id="docshape77" o:spid="_x0000_s1101" o:spt="202" type="#_x0000_t202" style="height:14.8pt;width:343.4pt;" fillcolor="#C0C0C0" filled="t" stroked="f" coordsize="21600,21600">
            <v:path/>
            <v:fill on="t" focussize="0,0"/>
            <v:stroke on="f" joinstyle="miter"/>
            <v:imagedata o:title=""/>
            <o:lock v:ext="edit"/>
            <v:textbox inset="0mm,0mm,0mm,0mm">
              <w:txbxContent>
                <w:p>
                  <w:pPr>
                    <w:pStyle w:val="6"/>
                    <w:spacing w:before="22"/>
                    <w:ind w:right="-15"/>
                    <w:rPr>
                      <w:color w:val="000000"/>
                    </w:rPr>
                  </w:pPr>
                  <w:r>
                    <w:rPr>
                      <w:color w:val="000000"/>
                      <w:spacing w:val="-3"/>
                    </w:rPr>
                    <w:t>若被保险人植入心脏起搏器导致其符合本合同条款重大疾病严重心脏衰竭</w:t>
                  </w:r>
                </w:p>
              </w:txbxContent>
            </v:textbox>
            <w10:wrap type="none"/>
            <w10:anchorlock/>
          </v:shape>
        </w:pict>
      </w:r>
    </w:p>
    <w:p>
      <w:pPr>
        <w:pStyle w:val="6"/>
        <w:ind w:left="3385"/>
        <w:rPr>
          <w:sz w:val="20"/>
        </w:rPr>
      </w:pPr>
      <w:r>
        <w:rPr>
          <w:sz w:val="20"/>
        </w:rPr>
        <w:pict>
          <v:shape id="docshape78" o:spid="_x0000_s1102" o:spt="202" type="#_x0000_t202" style="height:14.8pt;width:343.4pt;"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2"/>
                    </w:rPr>
                    <w:t>心脏再同步治疗（CRT）</w:t>
                  </w:r>
                  <w:r>
                    <w:rPr>
                      <w:color w:val="000000"/>
                      <w:spacing w:val="-3"/>
                    </w:rPr>
                    <w:t>定义的，我们仅按重大疾病严重心脏衰竭心脏再同</w:t>
                  </w:r>
                </w:p>
              </w:txbxContent>
            </v:textbox>
            <w10:wrap type="none"/>
            <w10:anchorlock/>
          </v:shape>
        </w:pict>
      </w:r>
    </w:p>
    <w:p>
      <w:pPr>
        <w:pStyle w:val="6"/>
        <w:ind w:left="3385"/>
        <w:rPr>
          <w:sz w:val="20"/>
        </w:rPr>
      </w:pPr>
      <w:r>
        <w:rPr>
          <w:sz w:val="20"/>
        </w:rPr>
        <w:pict>
          <v:shape id="docshape79" o:spid="_x0000_s1103" o:spt="202" type="#_x0000_t202" style="height:14.8pt;width:257.35pt;" fillcolor="#C0C0C0" filled="t" stroked="f" coordsize="21600,21600">
            <v:path/>
            <v:fill on="t" focussize="0,0"/>
            <v:stroke on="f" joinstyle="miter"/>
            <v:imagedata o:title=""/>
            <o:lock v:ext="edit"/>
            <v:textbox inset="0mm,0mm,0mm,0mm">
              <w:txbxContent>
                <w:p>
                  <w:pPr>
                    <w:pStyle w:val="6"/>
                    <w:spacing w:before="23"/>
                    <w:ind w:right="-15"/>
                    <w:rPr>
                      <w:color w:val="000000"/>
                    </w:rPr>
                  </w:pPr>
                  <w:r>
                    <w:rPr>
                      <w:color w:val="000000"/>
                      <w:spacing w:val="-4"/>
                    </w:rPr>
                    <w:t>步治疗（CRT）</w:t>
                  </w:r>
                  <w:r>
                    <w:rPr>
                      <w:color w:val="000000"/>
                      <w:spacing w:val="-5"/>
                    </w:rPr>
                    <w:t>一项给付，本项轻症疾病保险责任终止。</w:t>
                  </w:r>
                </w:p>
              </w:txbxContent>
            </v:textbox>
            <w10:wrap type="none"/>
            <w10:anchorlock/>
          </v:shape>
        </w:pict>
      </w:r>
    </w:p>
    <w:p>
      <w:pPr>
        <w:pStyle w:val="6"/>
        <w:spacing w:before="1"/>
        <w:rPr>
          <w:sz w:val="19"/>
        </w:rPr>
      </w:pPr>
    </w:p>
    <w:p>
      <w:pPr>
        <w:pStyle w:val="10"/>
        <w:numPr>
          <w:ilvl w:val="2"/>
          <w:numId w:val="46"/>
        </w:numPr>
        <w:tabs>
          <w:tab w:val="left" w:pos="1825"/>
          <w:tab w:val="left" w:pos="1826"/>
          <w:tab w:val="left" w:pos="3385"/>
        </w:tabs>
        <w:spacing w:before="71" w:after="0" w:line="273" w:lineRule="auto"/>
        <w:ind w:left="3385" w:right="342" w:hanging="2662"/>
        <w:jc w:val="left"/>
        <w:rPr>
          <w:sz w:val="21"/>
        </w:rPr>
      </w:pPr>
      <w:r>
        <w:rPr>
          <w:spacing w:val="-2"/>
          <w:sz w:val="22"/>
        </w:rPr>
        <w:t>除颤器植入</w:t>
      </w:r>
      <w:r>
        <w:rPr>
          <w:sz w:val="22"/>
        </w:rPr>
        <w:tab/>
      </w:r>
      <w:r>
        <w:rPr>
          <w:spacing w:val="-2"/>
          <w:sz w:val="21"/>
        </w:rPr>
        <w:t>因严重心律失常而于心腔内进行植入永久性除颤器的手术</w:t>
      </w:r>
      <w:r>
        <w:rPr>
          <w:spacing w:val="-65"/>
          <w:sz w:val="21"/>
        </w:rPr>
        <w:t>，</w:t>
      </w:r>
      <w:r>
        <w:rPr>
          <w:spacing w:val="-2"/>
          <w:sz w:val="21"/>
        </w:rPr>
        <w:t>此严重心律失常并不能以其他方法治疗。必须由相关专科医生确认植入除颤器为医疗所须。</w:t>
      </w:r>
    </w:p>
    <w:tbl>
      <w:tblPr>
        <w:tblStyle w:val="7"/>
        <w:tblW w:w="0" w:type="auto"/>
        <w:tblInd w:w="33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312"/>
        <w:gridCol w:w="2415"/>
        <w:gridCol w:w="1892"/>
        <w:gridCol w:w="2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6869" w:type="dxa"/>
            <w:gridSpan w:val="4"/>
            <w:tcBorders>
              <w:bottom w:val="single" w:color="FFFFFF" w:sz="8" w:space="0"/>
            </w:tcBorders>
            <w:shd w:val="clear" w:color="auto" w:fill="C0C0C0"/>
          </w:tcPr>
          <w:p>
            <w:pPr>
              <w:pStyle w:val="11"/>
              <w:spacing w:before="6" w:line="267" w:lineRule="exact"/>
              <w:ind w:right="-72"/>
              <w:rPr>
                <w:sz w:val="21"/>
              </w:rPr>
            </w:pPr>
            <w:r>
              <w:rPr>
                <w:spacing w:val="-4"/>
                <w:sz w:val="21"/>
              </w:rPr>
              <w:t xml:space="preserve">若被保险人植入除颤器导致其符合本合同条款重大疾病 </w:t>
            </w:r>
            <w:r>
              <w:rPr>
                <w:spacing w:val="-2"/>
                <w:sz w:val="21"/>
              </w:rPr>
              <w:t>1</w:t>
            </w:r>
            <w:r>
              <w:rPr>
                <w:spacing w:val="-10"/>
                <w:sz w:val="21"/>
              </w:rPr>
              <w:t xml:space="preserve"> 型糖尿病定义的，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619" w:type="dxa"/>
            <w:gridSpan w:val="3"/>
            <w:tcBorders>
              <w:top w:val="single" w:color="FFFFFF" w:sz="8" w:space="0"/>
              <w:bottom w:val="single" w:color="FFFFFF" w:sz="8" w:space="0"/>
            </w:tcBorders>
            <w:shd w:val="clear" w:color="auto" w:fill="C0C0C0"/>
          </w:tcPr>
          <w:p>
            <w:pPr>
              <w:pStyle w:val="11"/>
              <w:spacing w:before="4" w:line="267" w:lineRule="exact"/>
              <w:rPr>
                <w:sz w:val="21"/>
              </w:rPr>
            </w:pPr>
            <w:r>
              <w:rPr>
                <w:spacing w:val="-7"/>
                <w:sz w:val="21"/>
              </w:rPr>
              <w:t xml:space="preserve">我们仅按重大疾病 </w:t>
            </w:r>
            <w:r>
              <w:rPr>
                <w:spacing w:val="-2"/>
                <w:sz w:val="21"/>
              </w:rPr>
              <w:t>1</w:t>
            </w:r>
            <w:r>
              <w:rPr>
                <w:spacing w:val="-10"/>
                <w:sz w:val="21"/>
              </w:rPr>
              <w:t xml:space="preserve"> 型糖尿病一项给付，本项轻症疾病保险责任终止。</w:t>
            </w:r>
          </w:p>
        </w:tc>
        <w:tc>
          <w:tcPr>
            <w:tcW w:w="250" w:type="dxa"/>
            <w:tcBorders>
              <w:top w:val="single" w:color="FFFFFF" w:sz="8" w:space="0"/>
              <w:bottom w:val="single" w:color="FFFFFF" w:sz="8"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6869" w:type="dxa"/>
            <w:gridSpan w:val="4"/>
            <w:tcBorders>
              <w:top w:val="single" w:color="FFFFFF" w:sz="8" w:space="0"/>
              <w:bottom w:val="single" w:color="FFFFFF" w:sz="8" w:space="0"/>
            </w:tcBorders>
            <w:shd w:val="clear" w:color="auto" w:fill="C0C0C0"/>
          </w:tcPr>
          <w:p>
            <w:pPr>
              <w:pStyle w:val="11"/>
              <w:spacing w:before="4" w:line="267" w:lineRule="exact"/>
              <w:rPr>
                <w:sz w:val="21"/>
              </w:rPr>
            </w:pPr>
            <w:r>
              <w:rPr>
                <w:spacing w:val="-1"/>
                <w:sz w:val="21"/>
              </w:rPr>
              <w:t>若被保险人植入除颤器导致其符合本合同条款重大疾病严重的Ⅲ度房室传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869" w:type="dxa"/>
            <w:gridSpan w:val="4"/>
            <w:tcBorders>
              <w:top w:val="single" w:color="FFFFFF" w:sz="8" w:space="0"/>
              <w:bottom w:val="single" w:color="FFFFFF" w:sz="8" w:space="0"/>
            </w:tcBorders>
            <w:shd w:val="clear" w:color="auto" w:fill="C0C0C0"/>
          </w:tcPr>
          <w:p>
            <w:pPr>
              <w:pStyle w:val="11"/>
              <w:spacing w:before="5" w:line="267" w:lineRule="exact"/>
              <w:ind w:right="-15"/>
              <w:rPr>
                <w:sz w:val="21"/>
              </w:rPr>
            </w:pPr>
            <w:r>
              <w:rPr>
                <w:spacing w:val="-5"/>
                <w:sz w:val="21"/>
              </w:rPr>
              <w:t>导阻滞定义的，我们仅按重大疾病严重的Ⅲ度房室传导阻滞一项给付，本项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2312" w:type="dxa"/>
            <w:tcBorders>
              <w:top w:val="single" w:color="FFFFFF" w:sz="8" w:space="0"/>
              <w:bottom w:val="single" w:color="FFFFFF" w:sz="8" w:space="0"/>
            </w:tcBorders>
            <w:shd w:val="clear" w:color="auto" w:fill="C0C0C0"/>
          </w:tcPr>
          <w:p>
            <w:pPr>
              <w:pStyle w:val="11"/>
              <w:spacing w:before="4" w:line="267" w:lineRule="exact"/>
              <w:ind w:right="-15"/>
              <w:rPr>
                <w:sz w:val="21"/>
              </w:rPr>
            </w:pPr>
            <w:r>
              <w:rPr>
                <w:spacing w:val="-3"/>
                <w:sz w:val="21"/>
              </w:rPr>
              <w:t>轻症疾病保险责任终止。</w:t>
            </w:r>
          </w:p>
        </w:tc>
        <w:tc>
          <w:tcPr>
            <w:tcW w:w="4557" w:type="dxa"/>
            <w:gridSpan w:val="3"/>
            <w:tcBorders>
              <w:top w:val="single" w:color="FFFFFF" w:sz="8" w:space="0"/>
              <w:bottom w:val="single" w:color="FFFFFF" w:sz="8"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1" w:hRule="atLeast"/>
        </w:trPr>
        <w:tc>
          <w:tcPr>
            <w:tcW w:w="6869" w:type="dxa"/>
            <w:gridSpan w:val="4"/>
            <w:tcBorders>
              <w:top w:val="single" w:color="FFFFFF" w:sz="8" w:space="0"/>
              <w:bottom w:val="single" w:color="FFFFFF" w:sz="8" w:space="0"/>
            </w:tcBorders>
            <w:shd w:val="clear" w:color="auto" w:fill="C0C0C0"/>
          </w:tcPr>
          <w:p>
            <w:pPr>
              <w:pStyle w:val="11"/>
              <w:spacing w:before="4" w:line="267" w:lineRule="exact"/>
              <w:rPr>
                <w:sz w:val="21"/>
              </w:rPr>
            </w:pPr>
            <w:r>
              <w:rPr>
                <w:spacing w:val="-1"/>
                <w:sz w:val="21"/>
              </w:rPr>
              <w:t>若被保险人植入除颤器导致其符合本合同条款重大疾病严重心脏衰竭心脏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2" w:hRule="atLeast"/>
        </w:trPr>
        <w:tc>
          <w:tcPr>
            <w:tcW w:w="6869" w:type="dxa"/>
            <w:gridSpan w:val="4"/>
            <w:tcBorders>
              <w:top w:val="single" w:color="FFFFFF" w:sz="8" w:space="0"/>
              <w:bottom w:val="single" w:color="FFFFFF" w:sz="8" w:space="0"/>
            </w:tcBorders>
            <w:shd w:val="clear" w:color="auto" w:fill="C0C0C0"/>
          </w:tcPr>
          <w:p>
            <w:pPr>
              <w:pStyle w:val="11"/>
              <w:spacing w:before="4" w:line="267" w:lineRule="exact"/>
              <w:ind w:right="-15"/>
              <w:rPr>
                <w:sz w:val="21"/>
              </w:rPr>
            </w:pPr>
            <w:r>
              <w:rPr>
                <w:sz w:val="21"/>
              </w:rPr>
              <w:t>再同步治疗（CRT）</w:t>
            </w:r>
            <w:r>
              <w:rPr>
                <w:spacing w:val="-1"/>
                <w:sz w:val="21"/>
              </w:rPr>
              <w:t>定义的，我们仅按重大疾病严重心脏衰竭心脏再同步治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3" w:hRule="atLeast"/>
        </w:trPr>
        <w:tc>
          <w:tcPr>
            <w:tcW w:w="4727" w:type="dxa"/>
            <w:gridSpan w:val="2"/>
            <w:tcBorders>
              <w:top w:val="single" w:color="FFFFFF" w:sz="8" w:space="0"/>
            </w:tcBorders>
            <w:shd w:val="clear" w:color="auto" w:fill="C0C0C0"/>
          </w:tcPr>
          <w:p>
            <w:pPr>
              <w:pStyle w:val="11"/>
              <w:spacing w:before="4"/>
              <w:ind w:right="-15"/>
              <w:rPr>
                <w:sz w:val="21"/>
              </w:rPr>
            </w:pPr>
            <w:r>
              <w:rPr>
                <w:spacing w:val="-2"/>
                <w:sz w:val="21"/>
              </w:rPr>
              <w:t>疗（CRT）</w:t>
            </w:r>
            <w:r>
              <w:rPr>
                <w:spacing w:val="-3"/>
                <w:sz w:val="21"/>
              </w:rPr>
              <w:t>一项给付，本项轻症疾病保险责任终止。</w:t>
            </w:r>
          </w:p>
        </w:tc>
        <w:tc>
          <w:tcPr>
            <w:tcW w:w="2142" w:type="dxa"/>
            <w:gridSpan w:val="2"/>
            <w:tcBorders>
              <w:top w:val="single" w:color="FFFFFF" w:sz="8" w:space="0"/>
            </w:tcBorders>
          </w:tcPr>
          <w:p>
            <w:pPr>
              <w:pStyle w:val="11"/>
              <w:rPr>
                <w:rFonts w:ascii="Times New Roman"/>
                <w:sz w:val="20"/>
              </w:rPr>
            </w:pPr>
          </w:p>
        </w:tc>
      </w:tr>
    </w:tbl>
    <w:p>
      <w:pPr>
        <w:pStyle w:val="6"/>
        <w:spacing w:before="9"/>
        <w:rPr>
          <w:sz w:val="25"/>
        </w:rPr>
      </w:pPr>
    </w:p>
    <w:p>
      <w:pPr>
        <w:pStyle w:val="10"/>
        <w:numPr>
          <w:ilvl w:val="2"/>
          <w:numId w:val="46"/>
        </w:numPr>
        <w:tabs>
          <w:tab w:val="left" w:pos="1825"/>
          <w:tab w:val="left" w:pos="1826"/>
          <w:tab w:val="left" w:pos="3385"/>
        </w:tabs>
        <w:spacing w:before="0" w:after="0" w:line="273" w:lineRule="auto"/>
        <w:ind w:left="3385" w:right="406" w:hanging="2662"/>
        <w:jc w:val="left"/>
        <w:rPr>
          <w:sz w:val="21"/>
        </w:rPr>
      </w:pPr>
      <w:r>
        <w:rPr>
          <w:spacing w:val="-2"/>
          <w:sz w:val="22"/>
        </w:rPr>
        <w:t>早期象皮病</w:t>
      </w:r>
      <w:r>
        <w:rPr>
          <w:sz w:val="22"/>
        </w:rPr>
        <w:tab/>
      </w:r>
      <w:r>
        <w:rPr>
          <w:spacing w:val="-2"/>
          <w:sz w:val="21"/>
        </w:rPr>
        <w:t>指因丝虫感染导致淋巴管阻塞而造成身体组织出现严重淋巴水肿</w:t>
      </w:r>
      <w:r>
        <w:rPr>
          <w:spacing w:val="-68"/>
          <w:sz w:val="21"/>
        </w:rPr>
        <w:t>。</w:t>
      </w:r>
      <w:r>
        <w:rPr>
          <w:spacing w:val="-2"/>
          <w:sz w:val="21"/>
        </w:rPr>
        <w:t>此病症须经本公司认可医院的专科医生根据临床表现和微丝蚴的化验结果确诊。</w:t>
      </w:r>
    </w:p>
    <w:p>
      <w:pPr>
        <w:pStyle w:val="6"/>
        <w:spacing w:before="6"/>
        <w:ind w:left="3385"/>
      </w:pPr>
      <w:r>
        <w:rPr>
          <w:color w:val="000000"/>
          <w:spacing w:val="-3"/>
          <w:shd w:val="clear" w:color="auto" w:fill="C0C0C0"/>
        </w:rPr>
        <w:t>急性淋巴管炎或其它原因引起的淋巴水肿并不在保障范围内。</w:t>
      </w:r>
    </w:p>
    <w:p>
      <w:pPr>
        <w:pStyle w:val="6"/>
        <w:spacing w:before="4"/>
      </w:pPr>
    </w:p>
    <w:p>
      <w:pPr>
        <w:spacing w:after="0"/>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72" w:after="0" w:line="266" w:lineRule="auto"/>
        <w:ind w:left="1825" w:right="0" w:hanging="1102"/>
        <w:jc w:val="left"/>
      </w:pPr>
      <w:r>
        <w:rPr>
          <w:spacing w:val="12"/>
          <w:w w:val="95"/>
        </w:rPr>
        <w:t>胆道系统重</w:t>
      </w:r>
      <w:r>
        <w:rPr>
          <w:w w:val="95"/>
        </w:rPr>
        <w:t>建</w:t>
      </w:r>
      <w:r>
        <w:rPr>
          <w:spacing w:val="-6"/>
        </w:rPr>
        <w:t>手术</w:t>
      </w:r>
    </w:p>
    <w:p>
      <w:pPr>
        <w:pStyle w:val="6"/>
        <w:spacing w:before="106" w:line="288" w:lineRule="auto"/>
        <w:ind w:left="174" w:right="406"/>
      </w:pPr>
      <w:r>
        <w:br w:type="column"/>
      </w:r>
      <w:r>
        <w:rPr>
          <w:spacing w:val="-5"/>
        </w:rPr>
        <w:t>因疾病或胆道创伤导致包含胆道肠道人工造管术的胆道重建手术。手术必须</w:t>
      </w:r>
      <w:r>
        <w:rPr>
          <w:spacing w:val="-2"/>
        </w:rPr>
        <w:t>由专科医生确认为医学上所必须的情况下进行。</w:t>
      </w:r>
    </w:p>
    <w:p>
      <w:pPr>
        <w:spacing w:after="0" w:line="288" w:lineRule="auto"/>
        <w:sectPr>
          <w:type w:val="continuous"/>
          <w:pgSz w:w="11910" w:h="16840"/>
          <w:pgMar w:top="280" w:right="660" w:bottom="280" w:left="580" w:header="0" w:footer="1060" w:gutter="0"/>
          <w:cols w:equalWidth="0" w:num="2">
            <w:col w:w="3171" w:space="40"/>
            <w:col w:w="7459"/>
          </w:cols>
        </w:sect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2"/>
        <w:rPr>
          <w:sz w:val="17"/>
        </w:rPr>
      </w:pPr>
    </w:p>
    <w:p>
      <w:pPr>
        <w:pStyle w:val="6"/>
        <w:spacing w:before="71"/>
        <w:ind w:left="3385"/>
      </w:pPr>
      <w:r>
        <w:pict>
          <v:shape id="docshape80" o:spid="_x0000_s1104" o:spt="202" type="#_x0000_t202" style="position:absolute;left:0pt;margin-left:198.25pt;margin-top:-13.65pt;height:16.1pt;width:63.05pt;mso-position-horizontal-relative:page;z-index:251693056;mso-width-relative:page;mso-height-relative:page;" fillcolor="#C0C0C0" filled="t" stroked="f" coordsize="21600,21600">
            <v:path/>
            <v:fill on="t" focussize="0,0"/>
            <v:stroke on="f" joinstyle="miter"/>
            <v:imagedata o:title=""/>
            <o:lock v:ext="edit"/>
            <v:textbox inset="0mm,0mm,0mm,0mm">
              <w:txbxContent>
                <w:p>
                  <w:pPr>
                    <w:pStyle w:val="6"/>
                    <w:spacing w:before="46"/>
                    <w:ind w:right="-15"/>
                    <w:rPr>
                      <w:color w:val="000000"/>
                    </w:rPr>
                  </w:pPr>
                  <w:r>
                    <w:rPr>
                      <w:color w:val="000000"/>
                      <w:spacing w:val="-4"/>
                    </w:rPr>
                    <w:t>统重建手术；</w:t>
                  </w:r>
                </w:p>
              </w:txbxContent>
            </v:textbox>
          </v:shape>
        </w:pict>
      </w:r>
      <w:r>
        <w:pict>
          <v:shape id="docshape81" o:spid="_x0000_s1105" o:spt="202" type="#_x0000_t202" style="position:absolute;left:0pt;margin-left:198.25pt;margin-top:-29.6pt;height:16pt;width:343.4pt;mso-position-horizontal-relative:page;z-index:251694080;mso-width-relative:page;mso-height-relative:page;" fillcolor="#C0C0C0" filled="t" stroked="f" coordsize="21600,21600">
            <v:path/>
            <v:fill on="t" focussize="0,0"/>
            <v:stroke on="f" joinstyle="miter"/>
            <v:imagedata o:title=""/>
            <o:lock v:ext="edit"/>
            <v:textbox inset="0mm,0mm,0mm,0mm">
              <w:txbxContent>
                <w:p>
                  <w:pPr>
                    <w:pStyle w:val="6"/>
                    <w:spacing w:before="46"/>
                    <w:ind w:right="-15"/>
                    <w:rPr>
                      <w:color w:val="000000"/>
                    </w:rPr>
                  </w:pPr>
                  <w:r>
                    <w:rPr>
                      <w:color w:val="000000"/>
                    </w:rPr>
                    <w:t>（2）</w:t>
                  </w:r>
                  <w:r>
                    <w:rPr>
                      <w:color w:val="000000"/>
                      <w:spacing w:val="-1"/>
                    </w:rPr>
                    <w:t>因患有符合本合同条款定义的恶性肿瘤——重度的原因所致的胆道系</w:t>
                  </w:r>
                </w:p>
              </w:txbxContent>
            </v:textbox>
          </v:shape>
        </w:pict>
      </w:r>
      <w:r>
        <w:pict>
          <v:shape id="docshape82" o:spid="_x0000_s1106" o:spt="202" type="#_x0000_t202" style="position:absolute;left:0pt;margin-left:198.25pt;margin-top:-45.55pt;height:16pt;width:63.05pt;mso-position-horizontal-relative:page;z-index:251694080;mso-width-relative:page;mso-height-relative:page;"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spacing w:val="-4"/>
                    </w:rPr>
                    <w:t>统重建手术；</w:t>
                  </w:r>
                </w:p>
              </w:txbxContent>
            </v:textbox>
          </v:shape>
        </w:pict>
      </w:r>
      <w:r>
        <w:pict>
          <v:shape id="docshape83" o:spid="_x0000_s1107" o:spt="202" type="#_x0000_t202" style="position:absolute;left:0pt;margin-left:198.25pt;margin-top:-61.65pt;height:16.1pt;width:343.4pt;mso-position-horizontal-relative:page;z-index:251695104;mso-width-relative:page;mso-height-relative:page;" fillcolor="#C0C0C0" filled="t" stroked="f" coordsize="21600,21600">
            <v:path/>
            <v:fill on="t" focussize="0,0"/>
            <v:stroke on="f" joinstyle="miter"/>
            <v:imagedata o:title=""/>
            <o:lock v:ext="edit"/>
            <v:textbox inset="0mm,0mm,0mm,0mm">
              <w:txbxContent>
                <w:p>
                  <w:pPr>
                    <w:pStyle w:val="6"/>
                    <w:spacing w:before="47"/>
                    <w:ind w:right="-15"/>
                    <w:rPr>
                      <w:color w:val="000000"/>
                    </w:rPr>
                  </w:pPr>
                  <w:r>
                    <w:rPr>
                      <w:color w:val="000000"/>
                    </w:rPr>
                    <w:t>（1）</w:t>
                  </w:r>
                  <w:r>
                    <w:rPr>
                      <w:color w:val="000000"/>
                      <w:spacing w:val="-1"/>
                    </w:rPr>
                    <w:t>因患有符合本合同条款定义的恶性肿瘤——轻度的原因所致的胆道系</w:t>
                  </w:r>
                </w:p>
              </w:txbxContent>
            </v:textbox>
          </v:shape>
        </w:pict>
      </w:r>
      <w:r>
        <w:pict>
          <v:shape id="docshape84" o:spid="_x0000_s1108" o:spt="202" type="#_x0000_t202" style="position:absolute;left:0pt;margin-left:198.25pt;margin-top:-77.65pt;height:16pt;width:241.75pt;mso-position-horizontal-relative:page;z-index:-251590656;mso-width-relative:page;mso-height-relative:page;" fillcolor="#C0C0C0" filled="t" stroked="f" coordsize="21600,21600">
            <v:path/>
            <v:fill on="t" focussize="0,0"/>
            <v:stroke on="f" joinstyle="miter"/>
            <v:imagedata o:title=""/>
            <o:lock v:ext="edit"/>
            <v:textbox inset="0mm,0mm,0mm,0mm">
              <w:txbxContent>
                <w:p>
                  <w:pPr>
                    <w:pStyle w:val="6"/>
                    <w:spacing w:before="47"/>
                    <w:rPr>
                      <w:color w:val="000000"/>
                    </w:rPr>
                  </w:pPr>
                  <w:r>
                    <w:rPr>
                      <w:color w:val="000000"/>
                      <w:spacing w:val="-3"/>
                    </w:rPr>
                    <w:t>以下的胆道系统重建手术不在本合同保障范围之列：</w:t>
                  </w:r>
                </w:p>
              </w:txbxContent>
            </v:textbox>
          </v:shape>
        </w:pict>
      </w:r>
      <w:r>
        <w:rPr>
          <w:color w:val="000000"/>
          <w:spacing w:val="-2"/>
          <w:shd w:val="clear" w:color="auto" w:fill="C0C0C0"/>
        </w:rPr>
        <w:t>（3）</w:t>
      </w:r>
      <w:r>
        <w:rPr>
          <w:color w:val="000000"/>
          <w:spacing w:val="-3"/>
          <w:shd w:val="clear" w:color="auto" w:fill="C0C0C0"/>
        </w:rPr>
        <w:t>因胆道闭锁的原因所致的胆道系统重建手术。</w:t>
      </w:r>
    </w:p>
    <w:p>
      <w:pPr>
        <w:spacing w:after="0"/>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52" w:after="0" w:line="240" w:lineRule="auto"/>
        <w:ind w:left="1825" w:right="0" w:hanging="1103"/>
        <w:jc w:val="left"/>
      </w:pPr>
      <w:r>
        <w:rPr>
          <w:spacing w:val="14"/>
          <w:w w:val="95"/>
        </w:rPr>
        <w:t>颈动脉狭窄</w:t>
      </w:r>
      <w:r>
        <w:rPr>
          <w:spacing w:val="-10"/>
          <w:w w:val="95"/>
        </w:rPr>
        <w:t>介</w:t>
      </w:r>
    </w:p>
    <w:p>
      <w:pPr>
        <w:spacing w:before="30"/>
        <w:ind w:left="1825" w:right="0" w:firstLine="0"/>
        <w:jc w:val="left"/>
        <w:rPr>
          <w:sz w:val="22"/>
        </w:rPr>
      </w:pPr>
      <w:r>
        <w:rPr>
          <w:w w:val="95"/>
          <w:sz w:val="22"/>
        </w:rPr>
        <w:t>入治</w:t>
      </w:r>
      <w:r>
        <w:rPr>
          <w:spacing w:val="-10"/>
          <w:w w:val="95"/>
          <w:sz w:val="22"/>
        </w:rPr>
        <w:t>疗</w:t>
      </w:r>
    </w:p>
    <w:p>
      <w:pPr>
        <w:pStyle w:val="6"/>
        <w:spacing w:before="88" w:line="268" w:lineRule="auto"/>
        <w:ind w:left="174" w:right="388"/>
        <w:jc w:val="both"/>
      </w:pPr>
      <w:r>
        <w:br w:type="column"/>
      </w:r>
      <w:r>
        <w:rPr>
          <w:spacing w:val="-2"/>
        </w:rPr>
        <w:t>颈动脉血管介入治疗术是对一条或以上的颈动脉狭窄的治疗，疾病的诊断及治疗均须在本公司认可的医院内由专科医师认为是医疗必须的情况下进行。理赔时必须同时符合下列所有条件：</w:t>
      </w:r>
    </w:p>
    <w:p>
      <w:pPr>
        <w:pStyle w:val="6"/>
        <w:spacing w:line="246" w:lineRule="exact"/>
        <w:ind w:left="174"/>
        <w:jc w:val="both"/>
      </w:pPr>
      <w:r>
        <w:rPr>
          <w:spacing w:val="-4"/>
        </w:rPr>
        <w:t>Ⅰ 经由血管造影术证明一条或以上的颈动脉存在50%</w:t>
      </w:r>
      <w:r>
        <w:rPr>
          <w:spacing w:val="-5"/>
        </w:rPr>
        <w:t>或以上狭窄；</w:t>
      </w:r>
    </w:p>
    <w:p>
      <w:pPr>
        <w:pStyle w:val="6"/>
        <w:spacing w:before="31" w:line="266" w:lineRule="auto"/>
        <w:ind w:left="210" w:right="387"/>
        <w:jc w:val="both"/>
      </w:pPr>
      <w:r>
        <w:rPr>
          <w:spacing w:val="-2"/>
        </w:rPr>
        <w:t>Ⅱ 确实已针对以上狭窄血管进行介入治疗以减轻症状，介入治疗包括血管成形术及/或进行植入支架或颈动脉粥样斑块清除手术。</w:t>
      </w:r>
    </w:p>
    <w:p>
      <w:pPr>
        <w:spacing w:after="0" w:line="266" w:lineRule="auto"/>
        <w:jc w:val="both"/>
        <w:sectPr>
          <w:pgSz w:w="11910" w:h="16840"/>
          <w:pgMar w:top="1440" w:right="660" w:bottom="1260" w:left="580" w:header="0" w:footer="1060" w:gutter="0"/>
          <w:cols w:equalWidth="0" w:num="2">
            <w:col w:w="3171" w:space="40"/>
            <w:col w:w="7459"/>
          </w:cols>
        </w:sectPr>
      </w:pPr>
    </w:p>
    <w:p>
      <w:pPr>
        <w:pStyle w:val="6"/>
        <w:spacing w:before="8"/>
        <w:rPr>
          <w:sz w:val="17"/>
        </w:rPr>
      </w:pPr>
    </w:p>
    <w:p>
      <w:pPr>
        <w:spacing w:after="0"/>
        <w:rPr>
          <w:sz w:val="17"/>
        </w:rPr>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72" w:after="0" w:line="266" w:lineRule="auto"/>
        <w:ind w:left="1825" w:right="0" w:hanging="1102"/>
        <w:jc w:val="left"/>
      </w:pPr>
      <w:r>
        <w:rPr>
          <w:spacing w:val="12"/>
          <w:w w:val="95"/>
        </w:rPr>
        <w:t>人工耳蜗植</w:t>
      </w:r>
      <w:r>
        <w:rPr>
          <w:w w:val="95"/>
        </w:rPr>
        <w:t>入</w:t>
      </w:r>
      <w:r>
        <w:rPr>
          <w:spacing w:val="-10"/>
        </w:rPr>
        <w:t>术</w:t>
      </w:r>
    </w:p>
    <w:p>
      <w:pPr>
        <w:pStyle w:val="6"/>
        <w:spacing w:before="82" w:line="278" w:lineRule="auto"/>
        <w:ind w:left="174" w:right="406"/>
      </w:pPr>
      <w:r>
        <w:br w:type="column"/>
      </w:r>
      <w:r>
        <w:rPr>
          <w:spacing w:val="-5"/>
        </w:rPr>
        <w:t>指由于耳蜗的永久损害而实际实施了人工耳蜗植入手术。需经专科医师确认</w:t>
      </w:r>
      <w:r>
        <w:rPr>
          <w:spacing w:val="-2"/>
        </w:rPr>
        <w:t>手术在医学上是必要的，且在植入手术之前已经符合下列全部条件：</w:t>
      </w:r>
    </w:p>
    <w:p>
      <w:pPr>
        <w:pStyle w:val="10"/>
        <w:numPr>
          <w:ilvl w:val="0"/>
          <w:numId w:val="47"/>
        </w:numPr>
        <w:tabs>
          <w:tab w:val="left" w:pos="705"/>
        </w:tabs>
        <w:spacing w:before="0" w:after="0" w:line="269" w:lineRule="exact"/>
        <w:ind w:left="704" w:right="0" w:hanging="531"/>
        <w:jc w:val="left"/>
        <w:rPr>
          <w:sz w:val="21"/>
        </w:rPr>
      </w:pPr>
      <w:r>
        <w:rPr>
          <w:spacing w:val="-2"/>
          <w:sz w:val="21"/>
        </w:rPr>
        <w:t>双耳持续12</w:t>
      </w:r>
      <w:r>
        <w:rPr>
          <w:spacing w:val="-3"/>
          <w:sz w:val="21"/>
        </w:rPr>
        <w:t>个月以上重度感音神经性耳聋；</w:t>
      </w:r>
    </w:p>
    <w:p>
      <w:pPr>
        <w:pStyle w:val="10"/>
        <w:numPr>
          <w:ilvl w:val="0"/>
          <w:numId w:val="47"/>
        </w:numPr>
        <w:tabs>
          <w:tab w:val="left" w:pos="705"/>
        </w:tabs>
        <w:spacing w:before="43" w:after="0" w:line="240" w:lineRule="auto"/>
        <w:ind w:left="704" w:right="0" w:hanging="531"/>
        <w:jc w:val="left"/>
        <w:rPr>
          <w:sz w:val="21"/>
        </w:rPr>
      </w:pPr>
      <w:r>
        <w:pict>
          <v:shape id="docshape85" o:spid="_x0000_s1109" o:spt="202" type="#_x0000_t202" style="position:absolute;left:0pt;margin-left:198.25pt;margin-top:46.6pt;height:15.05pt;width:63.05pt;mso-position-horizontal-relative:page;z-index:-251589632;mso-width-relative:page;mso-height-relative:page;" fillcolor="#C0C0C0" filled="t" stroked="f" coordsize="21600,21600">
            <v:path/>
            <v:fill on="t" focussize="0,0"/>
            <v:stroke on="f" joinstyle="miter"/>
            <v:imagedata o:title=""/>
            <o:lock v:ext="edit"/>
            <v:textbox inset="0mm,0mm,0mm,0mm">
              <w:txbxContent>
                <w:p>
                  <w:pPr>
                    <w:pStyle w:val="6"/>
                    <w:spacing w:before="30"/>
                    <w:ind w:right="-15"/>
                    <w:rPr>
                      <w:color w:val="000000"/>
                    </w:rPr>
                  </w:pPr>
                  <w:r>
                    <w:rPr>
                      <w:color w:val="000000"/>
                      <w:spacing w:val="-4"/>
                    </w:rPr>
                    <w:t>任同时终止。</w:t>
                  </w:r>
                </w:p>
              </w:txbxContent>
            </v:textbox>
          </v:shape>
        </w:pict>
      </w:r>
      <w:r>
        <w:pict>
          <v:shape id="docshape86" o:spid="_x0000_s1110" o:spt="202" type="#_x0000_t202" style="position:absolute;left:0pt;margin-left:198.25pt;margin-top:16.6pt;height:30.05pt;width:344.35pt;mso-position-horizontal-relative:page;z-index:-251589632;mso-width-relative:page;mso-height-relative:page;" fillcolor="#C0C0C0" filled="t" stroked="f" coordsize="21600,21600">
            <v:path/>
            <v:fill on="t" focussize="0,0"/>
            <v:stroke on="f" joinstyle="miter"/>
            <v:imagedata o:title=""/>
            <o:lock v:ext="edit"/>
            <v:textbox inset="0mm,0mm,0mm,0mm">
              <w:txbxContent>
                <w:p>
                  <w:pPr>
                    <w:pStyle w:val="6"/>
                    <w:spacing w:before="25" w:line="266" w:lineRule="auto"/>
                    <w:ind w:right="-15"/>
                    <w:rPr>
                      <w:color w:val="000000"/>
                    </w:rPr>
                  </w:pPr>
                  <w:r>
                    <w:rPr>
                      <w:color w:val="000000"/>
                      <w:spacing w:val="-18"/>
                    </w:rPr>
                    <w:t>本公司对“单耳失聪”、“中度听力受损”和“人工耳蜗植入术”三项中的其</w:t>
                  </w:r>
                  <w:r>
                    <w:rPr>
                      <w:color w:val="000000"/>
                      <w:spacing w:val="-5"/>
                    </w:rPr>
                    <w:t>中一项承担保险责任，给付其中一项保险金后，对其它两项轻症疾病保险责</w:t>
                  </w:r>
                </w:p>
              </w:txbxContent>
            </v:textbox>
          </v:shape>
        </w:pict>
      </w:r>
      <w:r>
        <w:rPr>
          <w:spacing w:val="-3"/>
          <w:sz w:val="21"/>
        </w:rPr>
        <w:t>使用相应的听力辅助设备效果不佳。</w:t>
      </w:r>
    </w:p>
    <w:p>
      <w:pPr>
        <w:spacing w:after="0" w:line="240" w:lineRule="auto"/>
        <w:jc w:val="left"/>
        <w:rPr>
          <w:sz w:val="21"/>
        </w:rPr>
        <w:sectPr>
          <w:type w:val="continuous"/>
          <w:pgSz w:w="11910" w:h="16840"/>
          <w:pgMar w:top="280" w:right="660" w:bottom="280" w:left="580" w:header="0" w:footer="1060" w:gutter="0"/>
          <w:cols w:equalWidth="0" w:num="2">
            <w:col w:w="3171" w:space="40"/>
            <w:col w:w="7459"/>
          </w:cols>
        </w:sectPr>
      </w:pPr>
    </w:p>
    <w:p>
      <w:pPr>
        <w:pStyle w:val="6"/>
        <w:spacing w:before="4"/>
      </w:pPr>
    </w:p>
    <w:p>
      <w:pPr>
        <w:spacing w:after="0"/>
        <w:sectPr>
          <w:type w:val="continuous"/>
          <w:pgSz w:w="11910" w:h="16840"/>
          <w:pgMar w:top="280" w:right="660" w:bottom="280" w:left="580" w:header="0" w:footer="1060" w:gutter="0"/>
          <w:cols w:space="720" w:num="1"/>
        </w:sectPr>
      </w:pPr>
    </w:p>
    <w:p>
      <w:pPr>
        <w:pStyle w:val="10"/>
        <w:numPr>
          <w:ilvl w:val="2"/>
          <w:numId w:val="46"/>
        </w:numPr>
        <w:tabs>
          <w:tab w:val="left" w:pos="1825"/>
          <w:tab w:val="left" w:pos="1826"/>
        </w:tabs>
        <w:spacing w:before="1" w:after="0" w:line="359" w:lineRule="exact"/>
        <w:ind w:left="1825" w:right="0" w:hanging="1103"/>
        <w:jc w:val="left"/>
        <w:rPr>
          <w:rFonts w:ascii="微软雅黑" w:eastAsia="微软雅黑"/>
          <w:b/>
          <w:sz w:val="22"/>
        </w:rPr>
      </w:pPr>
      <w:r>
        <w:rPr>
          <w:w w:val="95"/>
          <w:sz w:val="22"/>
        </w:rPr>
        <w:t>单耳</w:t>
      </w:r>
      <w:r>
        <w:rPr>
          <w:spacing w:val="-7"/>
          <w:w w:val="95"/>
          <w:sz w:val="22"/>
        </w:rPr>
        <w:t xml:space="preserve">失聪 </w:t>
      </w:r>
      <w:r>
        <w:rPr>
          <w:rFonts w:ascii="微软雅黑" w:eastAsia="微软雅黑"/>
          <w:b/>
          <w:w w:val="95"/>
          <w:sz w:val="22"/>
        </w:rPr>
        <w:t>（</w:t>
      </w:r>
      <w:r>
        <w:rPr>
          <w:rFonts w:ascii="微软雅黑" w:eastAsia="微软雅黑"/>
          <w:b/>
          <w:spacing w:val="-10"/>
          <w:w w:val="95"/>
          <w:sz w:val="22"/>
        </w:rPr>
        <w:t>三</w:t>
      </w:r>
    </w:p>
    <w:p>
      <w:pPr>
        <w:pStyle w:val="3"/>
        <w:spacing w:line="184" w:lineRule="auto"/>
      </w:pPr>
      <w:r>
        <w:t xml:space="preserve">周 岁 以 上 理 </w:t>
      </w:r>
      <w:r>
        <w:rPr>
          <w:spacing w:val="-6"/>
        </w:rPr>
        <w:t>赔）</w:t>
      </w:r>
    </w:p>
    <w:p>
      <w:pPr>
        <w:pStyle w:val="6"/>
        <w:spacing w:before="81"/>
        <w:ind w:left="139"/>
      </w:pPr>
      <w:r>
        <w:br w:type="column"/>
      </w:r>
      <w:r>
        <w:rPr>
          <w:spacing w:val="-8"/>
        </w:rPr>
        <w:t xml:space="preserve">指因疾病或者意外伤害导致单耳听力永久不可逆性丧失，在 </w:t>
      </w:r>
      <w:r>
        <w:rPr>
          <w:spacing w:val="-2"/>
        </w:rPr>
        <w:t>500</w:t>
      </w:r>
      <w:r>
        <w:rPr>
          <w:spacing w:val="-17"/>
        </w:rPr>
        <w:t xml:space="preserve"> 赫兹、</w:t>
      </w:r>
      <w:r>
        <w:rPr>
          <w:spacing w:val="-4"/>
        </w:rPr>
        <w:t>1000</w:t>
      </w:r>
    </w:p>
    <w:p>
      <w:pPr>
        <w:pStyle w:val="6"/>
        <w:spacing w:before="43" w:line="278" w:lineRule="auto"/>
        <w:ind w:left="139" w:right="301"/>
      </w:pPr>
      <w:r>
        <w:rPr>
          <w:spacing w:val="-13"/>
        </w:rPr>
        <w:t xml:space="preserve">赫兹和 </w:t>
      </w:r>
      <w:r>
        <w:t>2000</w:t>
      </w:r>
      <w:r>
        <w:rPr>
          <w:spacing w:val="-12"/>
        </w:rPr>
        <w:t xml:space="preserve"> 赫兹语音频率下，平均听阈大于 </w:t>
      </w:r>
      <w:r>
        <w:t>91</w:t>
      </w:r>
      <w:r>
        <w:rPr>
          <w:spacing w:val="-8"/>
        </w:rPr>
        <w:t xml:space="preserve"> 分贝，且经纯音听力测试、</w:t>
      </w:r>
      <w:r>
        <w:rPr>
          <w:spacing w:val="-2"/>
        </w:rPr>
        <w:t>声导抗检测或者听觉诱发电位检测等证实。</w:t>
      </w:r>
    </w:p>
    <w:p>
      <w:pPr>
        <w:pStyle w:val="6"/>
        <w:spacing w:line="269" w:lineRule="exact"/>
        <w:ind w:left="139"/>
      </w:pPr>
      <w:r>
        <w:rPr>
          <w:spacing w:val="-3"/>
        </w:rPr>
        <w:t>该诊断必须由本公司认可医院的专科医生确认。</w:t>
      </w:r>
    </w:p>
    <w:p>
      <w:pPr>
        <w:pStyle w:val="6"/>
        <w:spacing w:before="43" w:line="278" w:lineRule="auto"/>
        <w:ind w:left="139" w:right="406"/>
      </w:pPr>
      <w:r>
        <w:rPr>
          <w:color w:val="000000"/>
          <w:spacing w:val="-2"/>
          <w:shd w:val="clear" w:color="auto" w:fill="C0C0C0"/>
        </w:rPr>
        <w:t>被保险人申请理赔时年龄必须在三周岁以上</w:t>
      </w:r>
      <w:r>
        <w:rPr>
          <w:color w:val="000000"/>
          <w:spacing w:val="-13"/>
        </w:rPr>
        <w:t>，并且提供理赔当时的听力丧失</w:t>
      </w:r>
      <w:r>
        <w:rPr>
          <w:color w:val="000000"/>
          <w:spacing w:val="-2"/>
        </w:rPr>
        <w:t>诊断及检查证据。</w:t>
      </w:r>
    </w:p>
    <w:p>
      <w:pPr>
        <w:pStyle w:val="6"/>
        <w:spacing w:line="278" w:lineRule="auto"/>
        <w:ind w:left="137" w:right="409"/>
        <w:jc w:val="both"/>
      </w:pPr>
      <w:r>
        <w:rPr>
          <w:color w:val="000000"/>
          <w:spacing w:val="-20"/>
          <w:shd w:val="clear" w:color="auto" w:fill="C0C0C0"/>
        </w:rPr>
        <w:t>本公司对“单耳失聪”、“中度听力受损”和“人工耳蜗植入术”三项中的其</w:t>
      </w:r>
      <w:r>
        <w:rPr>
          <w:color w:val="000000"/>
          <w:spacing w:val="40"/>
          <w:shd w:val="clear" w:color="auto" w:fill="C0C0C0"/>
        </w:rPr>
        <w:t xml:space="preserve"> </w:t>
      </w:r>
      <w:r>
        <w:rPr>
          <w:color w:val="000000"/>
          <w:spacing w:val="-10"/>
          <w:shd w:val="clear" w:color="auto" w:fill="C0C0C0"/>
        </w:rPr>
        <w:t>中一项承担保险责任，给付其中一项保险金后，对其它两项轻症疾病保险责</w:t>
      </w:r>
      <w:r>
        <w:rPr>
          <w:color w:val="000000"/>
          <w:spacing w:val="-2"/>
          <w:shd w:val="clear" w:color="auto" w:fill="C0C0C0"/>
        </w:rPr>
        <w:t>任同时终止。</w:t>
      </w:r>
    </w:p>
    <w:p>
      <w:pPr>
        <w:spacing w:after="0" w:line="278" w:lineRule="auto"/>
        <w:jc w:val="both"/>
        <w:sectPr>
          <w:type w:val="continuous"/>
          <w:pgSz w:w="11910" w:h="16840"/>
          <w:pgMar w:top="280" w:right="660" w:bottom="280" w:left="580" w:header="0" w:footer="1060" w:gutter="0"/>
          <w:cols w:equalWidth="0" w:num="2">
            <w:col w:w="3242" w:space="40"/>
            <w:col w:w="7388"/>
          </w:cols>
        </w:sectPr>
      </w:pPr>
    </w:p>
    <w:p>
      <w:pPr>
        <w:pStyle w:val="6"/>
        <w:spacing w:before="12"/>
        <w:rPr>
          <w:sz w:val="17"/>
        </w:rPr>
      </w:pPr>
    </w:p>
    <w:p>
      <w:pPr>
        <w:spacing w:after="0"/>
        <w:rPr>
          <w:sz w:val="17"/>
        </w:rPr>
        <w:sectPr>
          <w:type w:val="continuous"/>
          <w:pgSz w:w="11910" w:h="16840"/>
          <w:pgMar w:top="280" w:right="660" w:bottom="280" w:left="580" w:header="0" w:footer="1060" w:gutter="0"/>
          <w:cols w:space="720" w:num="1"/>
        </w:sectPr>
      </w:pPr>
    </w:p>
    <w:p>
      <w:pPr>
        <w:pStyle w:val="10"/>
        <w:numPr>
          <w:ilvl w:val="2"/>
          <w:numId w:val="46"/>
        </w:numPr>
        <w:tabs>
          <w:tab w:val="left" w:pos="1825"/>
          <w:tab w:val="left" w:pos="1826"/>
        </w:tabs>
        <w:spacing w:before="1" w:after="0" w:line="359" w:lineRule="exact"/>
        <w:ind w:left="1825" w:right="0" w:hanging="1103"/>
        <w:jc w:val="left"/>
        <w:rPr>
          <w:rFonts w:ascii="微软雅黑" w:eastAsia="微软雅黑"/>
          <w:b/>
          <w:sz w:val="22"/>
        </w:rPr>
      </w:pPr>
      <w:r>
        <w:rPr>
          <w:spacing w:val="14"/>
          <w:w w:val="95"/>
          <w:sz w:val="22"/>
        </w:rPr>
        <w:t>单眼失明</w:t>
      </w:r>
      <w:r>
        <w:rPr>
          <w:rFonts w:ascii="微软雅黑" w:eastAsia="微软雅黑"/>
          <w:b/>
          <w:spacing w:val="16"/>
          <w:w w:val="95"/>
          <w:sz w:val="22"/>
        </w:rPr>
        <w:t>（</w:t>
      </w:r>
      <w:r>
        <w:rPr>
          <w:rFonts w:ascii="微软雅黑" w:eastAsia="微软雅黑"/>
          <w:b/>
          <w:spacing w:val="6"/>
          <w:w w:val="95"/>
          <w:sz w:val="22"/>
        </w:rPr>
        <w:t>三</w:t>
      </w:r>
    </w:p>
    <w:p>
      <w:pPr>
        <w:pStyle w:val="3"/>
        <w:spacing w:line="184" w:lineRule="auto"/>
      </w:pPr>
      <w:r>
        <w:t xml:space="preserve">周 岁 以 上 理 </w:t>
      </w:r>
      <w:r>
        <w:rPr>
          <w:spacing w:val="-6"/>
        </w:rPr>
        <w:t>赔）</w:t>
      </w:r>
    </w:p>
    <w:p>
      <w:pPr>
        <w:pStyle w:val="6"/>
        <w:spacing w:before="82" w:line="278" w:lineRule="auto"/>
        <w:ind w:left="103" w:right="406"/>
      </w:pPr>
      <w:r>
        <w:br w:type="column"/>
      </w:r>
      <w:r>
        <w:rPr>
          <w:spacing w:val="-5"/>
        </w:rPr>
        <w:t>指因疾病或意外伤害导致单眼视力永久不可逆性丧失，患眼须满足下列至少</w:t>
      </w:r>
      <w:r>
        <w:rPr>
          <w:spacing w:val="-2"/>
        </w:rPr>
        <w:t>一项条件：</w:t>
      </w:r>
    </w:p>
    <w:p>
      <w:pPr>
        <w:pStyle w:val="10"/>
        <w:numPr>
          <w:ilvl w:val="0"/>
          <w:numId w:val="48"/>
        </w:numPr>
        <w:tabs>
          <w:tab w:val="left" w:pos="634"/>
        </w:tabs>
        <w:spacing w:before="0" w:after="0" w:line="240" w:lineRule="auto"/>
        <w:ind w:left="633" w:right="0" w:hanging="531"/>
        <w:jc w:val="left"/>
        <w:rPr>
          <w:sz w:val="21"/>
        </w:rPr>
      </w:pPr>
      <w:r>
        <w:rPr>
          <w:spacing w:val="-4"/>
          <w:sz w:val="21"/>
        </w:rPr>
        <w:t>眼球缺失或摘除；</w:t>
      </w:r>
    </w:p>
    <w:p>
      <w:pPr>
        <w:pStyle w:val="10"/>
        <w:numPr>
          <w:ilvl w:val="0"/>
          <w:numId w:val="48"/>
        </w:numPr>
        <w:tabs>
          <w:tab w:val="left" w:pos="634"/>
        </w:tabs>
        <w:spacing w:before="43" w:after="0" w:line="278" w:lineRule="auto"/>
        <w:ind w:left="103" w:right="409" w:firstLine="0"/>
        <w:jc w:val="left"/>
        <w:rPr>
          <w:sz w:val="21"/>
        </w:rPr>
      </w:pPr>
      <w:r>
        <w:rPr>
          <w:spacing w:val="-8"/>
          <w:sz w:val="21"/>
        </w:rPr>
        <w:t xml:space="preserve">矫正视力低于 </w:t>
      </w:r>
      <w:r>
        <w:rPr>
          <w:spacing w:val="-2"/>
          <w:sz w:val="21"/>
        </w:rPr>
        <w:t>0.02（采用国际标准视力表，如果使用其它视力表应进</w:t>
      </w:r>
      <w:r>
        <w:rPr>
          <w:spacing w:val="-4"/>
          <w:sz w:val="21"/>
        </w:rPr>
        <w:t>行换算</w:t>
      </w:r>
      <w:r>
        <w:rPr>
          <w:spacing w:val="-106"/>
          <w:sz w:val="21"/>
        </w:rPr>
        <w:t>）</w:t>
      </w:r>
      <w:r>
        <w:rPr>
          <w:sz w:val="21"/>
        </w:rPr>
        <w:t>；</w:t>
      </w:r>
    </w:p>
    <w:p>
      <w:pPr>
        <w:pStyle w:val="10"/>
        <w:numPr>
          <w:ilvl w:val="0"/>
          <w:numId w:val="48"/>
        </w:numPr>
        <w:tabs>
          <w:tab w:val="left" w:pos="634"/>
        </w:tabs>
        <w:spacing w:before="0" w:after="0" w:line="269" w:lineRule="exact"/>
        <w:ind w:left="633" w:right="0" w:hanging="531"/>
        <w:jc w:val="left"/>
        <w:rPr>
          <w:sz w:val="21"/>
        </w:rPr>
      </w:pPr>
      <w:r>
        <w:rPr>
          <w:spacing w:val="-10"/>
          <w:sz w:val="21"/>
        </w:rPr>
        <w:t xml:space="preserve">视野半径小于 </w:t>
      </w:r>
      <w:r>
        <w:rPr>
          <w:spacing w:val="-2"/>
          <w:sz w:val="21"/>
        </w:rPr>
        <w:t>5</w:t>
      </w:r>
      <w:r>
        <w:rPr>
          <w:spacing w:val="-21"/>
          <w:sz w:val="21"/>
        </w:rPr>
        <w:t xml:space="preserve"> 度。</w:t>
      </w:r>
    </w:p>
    <w:p>
      <w:pPr>
        <w:pStyle w:val="6"/>
        <w:spacing w:before="43" w:line="278" w:lineRule="auto"/>
        <w:ind w:left="103" w:right="409"/>
      </w:pPr>
      <w:r>
        <w:rPr>
          <w:spacing w:val="-5"/>
        </w:rPr>
        <w:t>诊断须在本公司认可的医院内由眼科专科医生确认，并且提供理赔当时的视</w:t>
      </w:r>
      <w:r>
        <w:rPr>
          <w:spacing w:val="-2"/>
        </w:rPr>
        <w:t>力丧失诊断及检查证据。</w:t>
      </w:r>
    </w:p>
    <w:p>
      <w:pPr>
        <w:pStyle w:val="6"/>
        <w:spacing w:line="269" w:lineRule="exact"/>
        <w:ind w:left="106"/>
      </w:pPr>
      <w:r>
        <w:rPr>
          <w:color w:val="000000"/>
          <w:spacing w:val="-3"/>
          <w:shd w:val="clear" w:color="auto" w:fill="C0C0C0"/>
        </w:rPr>
        <w:t>被保险人申请理赔时年龄必须在三周岁以上。</w:t>
      </w:r>
    </w:p>
    <w:p>
      <w:pPr>
        <w:pStyle w:val="6"/>
        <w:spacing w:before="43" w:line="278" w:lineRule="auto"/>
        <w:ind w:left="106" w:right="406"/>
        <w:jc w:val="both"/>
      </w:pPr>
      <w:r>
        <w:rPr>
          <w:color w:val="000000"/>
          <w:spacing w:val="-17"/>
          <w:shd w:val="clear" w:color="auto" w:fill="C0C0C0"/>
        </w:rPr>
        <w:t>本公司对“视力严重受损”、“单眼失明”和“角膜移植”三项中的其中一项</w:t>
      </w:r>
      <w:r>
        <w:rPr>
          <w:color w:val="000000"/>
          <w:spacing w:val="40"/>
          <w:shd w:val="clear" w:color="auto" w:fill="C0C0C0"/>
        </w:rPr>
        <w:t xml:space="preserve"> </w:t>
      </w:r>
      <w:r>
        <w:rPr>
          <w:color w:val="000000"/>
          <w:spacing w:val="-2"/>
          <w:shd w:val="clear" w:color="auto" w:fill="C0C0C0"/>
        </w:rPr>
        <w:t>承担保险责任，给付其中一项保险金后，对其它两项轻症疾病保险责任同时</w:t>
      </w:r>
      <w:r>
        <w:rPr>
          <w:color w:val="000000"/>
          <w:spacing w:val="-4"/>
          <w:shd w:val="clear" w:color="auto" w:fill="C0C0C0"/>
        </w:rPr>
        <w:t>终止。</w:t>
      </w:r>
    </w:p>
    <w:p>
      <w:pPr>
        <w:spacing w:after="0" w:line="278" w:lineRule="auto"/>
        <w:jc w:val="both"/>
        <w:sectPr>
          <w:type w:val="continuous"/>
          <w:pgSz w:w="11910" w:h="16840"/>
          <w:pgMar w:top="280" w:right="660" w:bottom="280" w:left="580" w:header="0" w:footer="1060" w:gutter="0"/>
          <w:cols w:equalWidth="0" w:num="2">
            <w:col w:w="3242" w:space="40"/>
            <w:col w:w="7388"/>
          </w:cols>
        </w:sectPr>
      </w:pPr>
    </w:p>
    <w:p>
      <w:pPr>
        <w:pStyle w:val="6"/>
        <w:rPr>
          <w:sz w:val="18"/>
        </w:rPr>
      </w:pPr>
    </w:p>
    <w:p>
      <w:pPr>
        <w:pStyle w:val="10"/>
        <w:numPr>
          <w:ilvl w:val="2"/>
          <w:numId w:val="46"/>
        </w:numPr>
        <w:tabs>
          <w:tab w:val="left" w:pos="1825"/>
          <w:tab w:val="left" w:pos="1826"/>
          <w:tab w:val="left" w:pos="3421"/>
        </w:tabs>
        <w:spacing w:before="71" w:after="0" w:line="240" w:lineRule="auto"/>
        <w:ind w:left="1825" w:right="0" w:hanging="1103"/>
        <w:jc w:val="left"/>
        <w:rPr>
          <w:sz w:val="21"/>
        </w:rPr>
      </w:pPr>
      <w:r>
        <w:rPr>
          <w:w w:val="95"/>
          <w:sz w:val="22"/>
        </w:rPr>
        <w:t>角膜移</w:t>
      </w:r>
      <w:r>
        <w:rPr>
          <w:spacing w:val="-10"/>
          <w:w w:val="95"/>
          <w:sz w:val="22"/>
        </w:rPr>
        <w:t>植</w:t>
      </w:r>
      <w:r>
        <w:rPr>
          <w:sz w:val="22"/>
        </w:rPr>
        <w:tab/>
      </w:r>
      <w:r>
        <w:rPr>
          <w:spacing w:val="-2"/>
          <w:sz w:val="21"/>
        </w:rPr>
        <w:t>指为增进视力或治疗某些角膜疾患，已经实施了异体的角膜移植手术</w:t>
      </w:r>
      <w:r>
        <w:rPr>
          <w:spacing w:val="-10"/>
          <w:sz w:val="21"/>
        </w:rPr>
        <w:t>。</w:t>
      </w:r>
    </w:p>
    <w:p>
      <w:pPr>
        <w:pStyle w:val="6"/>
        <w:spacing w:before="40" w:line="278" w:lineRule="auto"/>
        <w:ind w:left="3421" w:right="308"/>
      </w:pPr>
      <w:r>
        <w:rPr>
          <w:spacing w:val="-2"/>
        </w:rPr>
        <w:t>此手术必须在本公司认可医院内由专科医生认为是医疗必须的情况下进行。</w:t>
      </w:r>
      <w:r>
        <w:rPr>
          <w:color w:val="000000"/>
          <w:spacing w:val="-11"/>
          <w:shd w:val="clear" w:color="auto" w:fill="C0C0C0"/>
        </w:rPr>
        <w:t>本公司对“视力严重受损”</w:t>
      </w:r>
      <w:r>
        <w:rPr>
          <w:color w:val="000000"/>
          <w:spacing w:val="-14"/>
          <w:shd w:val="clear" w:color="auto" w:fill="C0C0C0"/>
        </w:rPr>
        <w:t>、“单眼失明”和“角膜移植”三项中的其中一项</w:t>
      </w:r>
      <w:r>
        <w:rPr>
          <w:color w:val="000000"/>
          <w:spacing w:val="80"/>
          <w:w w:val="150"/>
          <w:shd w:val="clear" w:color="auto" w:fill="C0C0C0"/>
        </w:rPr>
        <w:t xml:space="preserve">                                     </w:t>
      </w:r>
      <w:r>
        <w:rPr>
          <w:color w:val="000000"/>
          <w:spacing w:val="-12"/>
          <w:shd w:val="clear" w:color="auto" w:fill="C0C0C0"/>
        </w:rPr>
        <w:t>承担保险责任，给付其中一项保险金后，对其它两项轻症疾病保险责任同时</w:t>
      </w:r>
      <w:r>
        <w:rPr>
          <w:color w:val="000000"/>
          <w:spacing w:val="-4"/>
          <w:shd w:val="clear" w:color="auto" w:fill="C0C0C0"/>
        </w:rPr>
        <w:t>终止。</w:t>
      </w:r>
    </w:p>
    <w:p>
      <w:pPr>
        <w:spacing w:after="0" w:line="278" w:lineRule="auto"/>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52" w:after="0" w:line="266" w:lineRule="auto"/>
        <w:ind w:left="1825" w:right="0" w:hanging="1102"/>
        <w:jc w:val="left"/>
      </w:pPr>
      <w:r>
        <w:rPr>
          <w:spacing w:val="12"/>
          <w:w w:val="95"/>
        </w:rPr>
        <w:t>中度溃疡性</w:t>
      </w:r>
      <w:r>
        <w:rPr>
          <w:w w:val="95"/>
        </w:rPr>
        <w:t>结</w:t>
      </w:r>
      <w:r>
        <w:rPr>
          <w:spacing w:val="-6"/>
        </w:rPr>
        <w:t>肠炎</w:t>
      </w:r>
    </w:p>
    <w:p>
      <w:pPr>
        <w:pStyle w:val="6"/>
        <w:spacing w:before="62" w:line="278" w:lineRule="auto"/>
        <w:ind w:left="210" w:right="406"/>
        <w:jc w:val="both"/>
      </w:pPr>
      <w:r>
        <w:br w:type="column"/>
      </w:r>
      <w:r>
        <w:rPr>
          <w:spacing w:val="-2"/>
        </w:rPr>
        <w:t>本保单所保障的溃疡性结肠炎是指伴有致命性电解质紊乱的急性暴发性溃</w:t>
      </w:r>
      <w:r>
        <w:rPr>
          <w:spacing w:val="-13"/>
        </w:rPr>
        <w:t>疡性结肠炎，病变累及全结肠，表现为严重的血便和系统性症状体征和肠破裂的风险，本疾病的确诊必须经由内窥镜检查证实该疾病侵犯全部结肠及直</w:t>
      </w:r>
      <w:r>
        <w:rPr>
          <w:spacing w:val="-8"/>
        </w:rPr>
        <w:t>肠及活体切片检查证实为溃疡性结肠炎。且须经肠胃专科医生连续以系统性</w:t>
      </w:r>
      <w:r>
        <w:rPr>
          <w:spacing w:val="-4"/>
        </w:rPr>
        <w:t xml:space="preserve">免疫抑制剂或免疫调节剂持续治疗最少 </w:t>
      </w:r>
      <w:r>
        <w:rPr>
          <w:spacing w:val="-2"/>
        </w:rPr>
        <w:t>90</w:t>
      </w:r>
      <w:r>
        <w:rPr>
          <w:spacing w:val="-7"/>
        </w:rPr>
        <w:t xml:space="preserve"> 天，但未达到本合同所指重大疾</w:t>
      </w:r>
      <w:r>
        <w:rPr>
          <w:spacing w:val="-2"/>
        </w:rPr>
        <w:t>病“严重溃疡性结肠炎”的标准，才符合本保障范围。</w:t>
      </w:r>
    </w:p>
    <w:p>
      <w:pPr>
        <w:spacing w:after="0" w:line="278" w:lineRule="auto"/>
        <w:jc w:val="both"/>
        <w:sectPr>
          <w:pgSz w:w="11910" w:h="16840"/>
          <w:pgMar w:top="1440" w:right="660" w:bottom="1260" w:left="580" w:header="0" w:footer="1060" w:gutter="0"/>
          <w:cols w:equalWidth="0" w:num="2">
            <w:col w:w="3171" w:space="40"/>
            <w:col w:w="7459"/>
          </w:cols>
        </w:sectPr>
      </w:pPr>
    </w:p>
    <w:p>
      <w:pPr>
        <w:pStyle w:val="6"/>
        <w:rPr>
          <w:sz w:val="20"/>
        </w:rPr>
      </w:pPr>
    </w:p>
    <w:p>
      <w:pPr>
        <w:pStyle w:val="6"/>
        <w:rPr>
          <w:sz w:val="20"/>
        </w:rPr>
      </w:pPr>
    </w:p>
    <w:p>
      <w:pPr>
        <w:pStyle w:val="6"/>
        <w:spacing w:before="8"/>
      </w:pPr>
    </w:p>
    <w:p>
      <w:pPr>
        <w:pStyle w:val="10"/>
        <w:numPr>
          <w:ilvl w:val="2"/>
          <w:numId w:val="46"/>
        </w:numPr>
        <w:tabs>
          <w:tab w:val="left" w:pos="1826"/>
        </w:tabs>
        <w:spacing w:before="71" w:after="0" w:line="276" w:lineRule="auto"/>
        <w:ind w:left="3421" w:right="406" w:hanging="2698"/>
        <w:jc w:val="both"/>
        <w:rPr>
          <w:sz w:val="21"/>
        </w:rPr>
      </w:pPr>
      <w:r>
        <w:pict>
          <v:shape id="docshape87" o:spid="_x0000_s1111" o:spt="202" type="#_x0000_t202" style="position:absolute;left:0pt;margin-left:199.9pt;margin-top:-26.7pt;height:14.05pt;width:21.05pt;mso-position-horizontal-relative:page;z-index:251696128;mso-width-relative:page;mso-height-relative:page;" fillcolor="#C0C0C0" filled="t" stroked="f" coordsize="21600,21600">
            <v:path/>
            <v:fill on="t" focussize="0,0"/>
            <v:stroke on="f" joinstyle="miter"/>
            <v:imagedata o:title=""/>
            <o:lock v:ext="edit"/>
            <v:textbox inset="0mm,0mm,0mm,0mm">
              <w:txbxContent>
                <w:p>
                  <w:pPr>
                    <w:pStyle w:val="6"/>
                    <w:spacing w:before="13" w:line="268" w:lineRule="exact"/>
                    <w:ind w:right="-15"/>
                    <w:rPr>
                      <w:color w:val="000000"/>
                    </w:rPr>
                  </w:pPr>
                  <w:r>
                    <w:rPr>
                      <w:color w:val="000000"/>
                      <w:spacing w:val="-5"/>
                    </w:rPr>
                    <w:t>内。</w:t>
                  </w:r>
                </w:p>
              </w:txbxContent>
            </v:textbox>
          </v:shape>
        </w:pict>
      </w:r>
      <w:r>
        <w:pict>
          <v:shape id="docshape88" o:spid="_x0000_s1112" o:spt="202" type="#_x0000_t202" style="position:absolute;left:0pt;margin-left:199.9pt;margin-top:-40.65pt;height:13.95pt;width:341.75pt;mso-position-horizontal-relative:page;z-index:251696128;mso-width-relative:page;mso-height-relative:page;" fillcolor="#C0C0C0" filled="t" stroked="f" coordsize="21600,21600">
            <v:path/>
            <v:fill on="t" focussize="0,0"/>
            <v:stroke on="f" joinstyle="miter"/>
            <v:imagedata o:title=""/>
            <o:lock v:ext="edit"/>
            <v:textbox inset="0mm,0mm,0mm,0mm">
              <w:txbxContent>
                <w:p>
                  <w:pPr>
                    <w:pStyle w:val="6"/>
                    <w:spacing w:before="13" w:line="265" w:lineRule="exact"/>
                    <w:rPr>
                      <w:color w:val="000000"/>
                    </w:rPr>
                  </w:pPr>
                  <w:r>
                    <w:rPr>
                      <w:color w:val="000000"/>
                      <w:spacing w:val="-1"/>
                    </w:rPr>
                    <w:t>其他种类的发炎性结肠炎,只发生在直肠的溃疡性结肠炎均不在保障范围</w:t>
                  </w:r>
                </w:p>
              </w:txbxContent>
            </v:textbox>
          </v:shape>
        </w:pict>
      </w:r>
      <w:r>
        <w:rPr>
          <w:sz w:val="22"/>
        </w:rPr>
        <w:t xml:space="preserve">心包膜切除术 </w:t>
      </w:r>
      <w:r>
        <w:rPr>
          <w:spacing w:val="-9"/>
          <w:sz w:val="21"/>
        </w:rPr>
        <w:t>指为治疗心包膜疾病，已经实施了心包膜切除术，但未达到本合同所指重大</w:t>
      </w:r>
      <w:r>
        <w:rPr>
          <w:spacing w:val="-4"/>
          <w:sz w:val="21"/>
        </w:rPr>
        <w:t>疾病“严重慢性缩窄型心包炎”的标准。手术必须在心脏科医生认为是医学</w:t>
      </w:r>
      <w:r>
        <w:rPr>
          <w:spacing w:val="-2"/>
          <w:sz w:val="21"/>
        </w:rPr>
        <w:t>上必需的情况下进行。</w:t>
      </w:r>
    </w:p>
    <w:p>
      <w:pPr>
        <w:pStyle w:val="6"/>
        <w:spacing w:before="4"/>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71" w:after="0" w:line="240" w:lineRule="auto"/>
        <w:ind w:left="1825" w:right="0" w:hanging="1103"/>
        <w:jc w:val="left"/>
      </w:pPr>
      <w:r>
        <w:rPr>
          <w:spacing w:val="14"/>
          <w:w w:val="95"/>
        </w:rPr>
        <w:t>特定周围动</w:t>
      </w:r>
      <w:r>
        <w:rPr>
          <w:spacing w:val="-10"/>
          <w:w w:val="95"/>
        </w:rPr>
        <w:t>脉</w:t>
      </w:r>
    </w:p>
    <w:p>
      <w:pPr>
        <w:spacing w:before="30" w:line="266" w:lineRule="auto"/>
        <w:ind w:left="1825" w:right="0" w:firstLine="0"/>
        <w:jc w:val="left"/>
        <w:rPr>
          <w:sz w:val="22"/>
        </w:rPr>
      </w:pPr>
      <w:r>
        <w:rPr>
          <w:spacing w:val="10"/>
          <w:w w:val="95"/>
          <w:sz w:val="22"/>
        </w:rPr>
        <w:t>疾病的血管介</w:t>
      </w:r>
      <w:r>
        <w:rPr>
          <w:spacing w:val="-4"/>
          <w:sz w:val="22"/>
        </w:rPr>
        <w:t>入治疗</w:t>
      </w:r>
    </w:p>
    <w:p>
      <w:pPr>
        <w:pStyle w:val="6"/>
        <w:spacing w:before="71"/>
        <w:ind w:left="208"/>
      </w:pPr>
      <w:r>
        <w:br w:type="column"/>
      </w:r>
      <w:r>
        <w:rPr>
          <w:spacing w:val="-3"/>
        </w:rPr>
        <w:t>指为治疗一条或者一条以上的下列动脉狭窄而实施的血管介入治疗：</w:t>
      </w:r>
    </w:p>
    <w:p>
      <w:pPr>
        <w:pStyle w:val="10"/>
        <w:numPr>
          <w:ilvl w:val="1"/>
          <w:numId w:val="48"/>
        </w:numPr>
        <w:tabs>
          <w:tab w:val="left" w:pos="738"/>
        </w:tabs>
        <w:spacing w:before="12" w:after="0" w:line="240" w:lineRule="auto"/>
        <w:ind w:left="737" w:right="0" w:hanging="530"/>
        <w:jc w:val="left"/>
        <w:rPr>
          <w:sz w:val="21"/>
        </w:rPr>
      </w:pPr>
      <w:r>
        <w:rPr>
          <w:spacing w:val="-3"/>
          <w:sz w:val="21"/>
        </w:rPr>
        <w:t>为下肢或者上肢供血的动脉；</w:t>
      </w:r>
    </w:p>
    <w:p>
      <w:pPr>
        <w:pStyle w:val="10"/>
        <w:numPr>
          <w:ilvl w:val="1"/>
          <w:numId w:val="48"/>
        </w:numPr>
        <w:tabs>
          <w:tab w:val="left" w:pos="738"/>
        </w:tabs>
        <w:spacing w:before="10" w:after="0" w:line="240" w:lineRule="auto"/>
        <w:ind w:left="737" w:right="0" w:hanging="530"/>
        <w:jc w:val="left"/>
        <w:rPr>
          <w:sz w:val="21"/>
        </w:rPr>
      </w:pPr>
      <w:r>
        <w:rPr>
          <w:spacing w:val="-4"/>
          <w:sz w:val="21"/>
        </w:rPr>
        <w:t>肾动脉；</w:t>
      </w:r>
    </w:p>
    <w:p>
      <w:pPr>
        <w:pStyle w:val="10"/>
        <w:numPr>
          <w:ilvl w:val="1"/>
          <w:numId w:val="48"/>
        </w:numPr>
        <w:tabs>
          <w:tab w:val="left" w:pos="738"/>
        </w:tabs>
        <w:spacing w:before="11" w:after="0" w:line="249" w:lineRule="auto"/>
        <w:ind w:left="208" w:right="5142" w:firstLine="0"/>
        <w:jc w:val="left"/>
        <w:rPr>
          <w:sz w:val="21"/>
        </w:rPr>
      </w:pPr>
      <w:r>
        <w:rPr>
          <w:spacing w:val="-2"/>
          <w:sz w:val="21"/>
        </w:rPr>
        <w:t>肠系膜动脉。</w:t>
      </w:r>
      <w:r>
        <w:rPr>
          <w:spacing w:val="105"/>
          <w:sz w:val="21"/>
        </w:rPr>
        <w:t xml:space="preserve"> </w:t>
      </w:r>
      <w:r>
        <w:rPr>
          <w:spacing w:val="-2"/>
          <w:sz w:val="21"/>
        </w:rPr>
        <w:t>须满足下列全部条件：</w:t>
      </w:r>
    </w:p>
    <w:p>
      <w:pPr>
        <w:pStyle w:val="10"/>
        <w:numPr>
          <w:ilvl w:val="0"/>
          <w:numId w:val="49"/>
        </w:numPr>
        <w:tabs>
          <w:tab w:val="left" w:pos="738"/>
        </w:tabs>
        <w:spacing w:before="0" w:after="0" w:line="249" w:lineRule="auto"/>
        <w:ind w:left="208" w:right="408" w:firstLine="0"/>
        <w:jc w:val="left"/>
        <w:rPr>
          <w:sz w:val="21"/>
        </w:rPr>
      </w:pPr>
      <w:r>
        <w:rPr>
          <w:spacing w:val="-2"/>
          <w:sz w:val="21"/>
        </w:rPr>
        <w:t xml:space="preserve">经血管造影术证实一条或者一条以上的上述动脉狭窄达到 </w:t>
      </w:r>
      <w:r>
        <w:rPr>
          <w:sz w:val="21"/>
        </w:rPr>
        <w:t>50%或者以</w:t>
      </w:r>
      <w:r>
        <w:rPr>
          <w:spacing w:val="-6"/>
          <w:sz w:val="21"/>
        </w:rPr>
        <w:t>上；</w:t>
      </w:r>
    </w:p>
    <w:p>
      <w:pPr>
        <w:pStyle w:val="10"/>
        <w:numPr>
          <w:ilvl w:val="0"/>
          <w:numId w:val="49"/>
        </w:numPr>
        <w:tabs>
          <w:tab w:val="left" w:pos="738"/>
        </w:tabs>
        <w:spacing w:before="2" w:after="0" w:line="247" w:lineRule="auto"/>
        <w:ind w:left="208" w:right="411" w:firstLine="0"/>
        <w:jc w:val="left"/>
        <w:rPr>
          <w:sz w:val="21"/>
        </w:rPr>
      </w:pPr>
      <w:r>
        <w:rPr>
          <w:spacing w:val="-2"/>
          <w:sz w:val="21"/>
        </w:rPr>
        <w:t>对一条或者一条以上的上述动脉施行了血管介入治疗，介入治疗包括血管成形术及/或进行植入支架或颈动脉粥样斑块清除手术。</w:t>
      </w:r>
    </w:p>
    <w:p>
      <w:pPr>
        <w:pStyle w:val="6"/>
        <w:spacing w:before="14" w:line="278" w:lineRule="auto"/>
        <w:ind w:left="174" w:right="417"/>
      </w:pPr>
      <w:r>
        <w:rPr>
          <w:spacing w:val="1"/>
          <w:w w:val="100"/>
        </w:rPr>
        <w:t>上述动脉疾病的诊断以及相关治疗的必要性必须由血管疾病的专科医生确定。</w:t>
      </w:r>
    </w:p>
    <w:p>
      <w:pPr>
        <w:spacing w:after="0" w:line="278" w:lineRule="auto"/>
        <w:sectPr>
          <w:type w:val="continuous"/>
          <w:pgSz w:w="11910" w:h="16840"/>
          <w:pgMar w:top="280" w:right="660" w:bottom="280" w:left="580" w:header="0" w:footer="1060" w:gutter="0"/>
          <w:cols w:equalWidth="0" w:num="2">
            <w:col w:w="3171" w:space="40"/>
            <w:col w:w="7459"/>
          </w:cols>
        </w:sectPr>
      </w:pPr>
    </w:p>
    <w:p>
      <w:pPr>
        <w:pStyle w:val="6"/>
        <w:rPr>
          <w:sz w:val="18"/>
        </w:rPr>
      </w:pPr>
    </w:p>
    <w:p>
      <w:pPr>
        <w:pStyle w:val="10"/>
        <w:numPr>
          <w:ilvl w:val="2"/>
          <w:numId w:val="46"/>
        </w:numPr>
        <w:tabs>
          <w:tab w:val="left" w:pos="1825"/>
          <w:tab w:val="left" w:pos="1826"/>
          <w:tab w:val="left" w:pos="3421"/>
        </w:tabs>
        <w:spacing w:before="71" w:after="0" w:line="273" w:lineRule="auto"/>
        <w:ind w:left="3421" w:right="406" w:hanging="2698"/>
        <w:jc w:val="left"/>
        <w:rPr>
          <w:sz w:val="21"/>
        </w:rPr>
      </w:pPr>
      <w:r>
        <w:rPr>
          <w:spacing w:val="-2"/>
          <w:sz w:val="22"/>
        </w:rPr>
        <w:t>轻度面部烧伤</w:t>
      </w:r>
      <w:r>
        <w:rPr>
          <w:sz w:val="22"/>
        </w:rPr>
        <w:tab/>
      </w:r>
      <w:r>
        <w:rPr>
          <w:sz w:val="21"/>
        </w:rPr>
        <w:t>指面部烧伤程度为Ⅲ度，且Ⅲ度烧伤的面积达到面部表面积的 30％或者 30％以上，但未达到面部表面积的</w:t>
      </w:r>
      <w:r>
        <w:rPr>
          <w:spacing w:val="-42"/>
          <w:sz w:val="21"/>
        </w:rPr>
        <w:t xml:space="preserve"> </w:t>
      </w:r>
      <w:r>
        <w:rPr>
          <w:sz w:val="21"/>
        </w:rPr>
        <w:t>60%。</w:t>
      </w:r>
    </w:p>
    <w:p>
      <w:pPr>
        <w:pStyle w:val="6"/>
        <w:spacing w:before="7"/>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71" w:after="0" w:line="266" w:lineRule="auto"/>
        <w:ind w:left="1825" w:right="0" w:hanging="1102"/>
        <w:jc w:val="left"/>
      </w:pPr>
      <w:r>
        <w:rPr>
          <w:spacing w:val="12"/>
          <w:w w:val="95"/>
        </w:rPr>
        <w:t>双侧睾丸切</w:t>
      </w:r>
      <w:r>
        <w:rPr>
          <w:w w:val="95"/>
        </w:rPr>
        <w:t>除</w:t>
      </w:r>
      <w:r>
        <w:rPr>
          <w:spacing w:val="-10"/>
        </w:rPr>
        <w:t>术</w:t>
      </w:r>
    </w:p>
    <w:p>
      <w:pPr>
        <w:pStyle w:val="6"/>
        <w:spacing w:before="88" w:line="266" w:lineRule="auto"/>
        <w:ind w:left="174" w:right="397"/>
      </w:pPr>
      <w:r>
        <w:br w:type="column"/>
      </w:r>
      <w:r>
        <w:rPr>
          <w:spacing w:val="1"/>
          <w:w w:val="100"/>
        </w:rPr>
        <w:t>指为治疗疾病实际接受了经腹部切开或腹腔镜进行的双侧睾丸完全切除手术。</w:t>
      </w:r>
      <w:r>
        <w:rPr>
          <w:color w:val="000000"/>
          <w:spacing w:val="-3"/>
          <w:w w:val="100"/>
          <w:shd w:val="clear" w:color="auto" w:fill="C0C0C0"/>
        </w:rPr>
        <w:t>部分或单侧睾丸切除、变性手术不在本保障范围内。</w:t>
      </w:r>
    </w:p>
    <w:p>
      <w:pPr>
        <w:spacing w:after="0" w:line="266" w:lineRule="auto"/>
        <w:sectPr>
          <w:type w:val="continuous"/>
          <w:pgSz w:w="11910" w:h="16840"/>
          <w:pgMar w:top="280" w:right="660" w:bottom="280" w:left="580" w:header="0" w:footer="1060" w:gutter="0"/>
          <w:cols w:equalWidth="0" w:num="2">
            <w:col w:w="3171" w:space="40"/>
            <w:col w:w="7459"/>
          </w:cols>
        </w:sectPr>
      </w:pPr>
    </w:p>
    <w:p>
      <w:pPr>
        <w:pStyle w:val="6"/>
        <w:spacing w:before="8"/>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46"/>
        </w:numPr>
        <w:tabs>
          <w:tab w:val="left" w:pos="1825"/>
          <w:tab w:val="left" w:pos="1826"/>
        </w:tabs>
        <w:spacing w:before="72" w:after="0" w:line="266" w:lineRule="auto"/>
        <w:ind w:left="1825" w:right="0" w:hanging="1102"/>
        <w:jc w:val="left"/>
      </w:pPr>
      <w:r>
        <w:rPr>
          <w:spacing w:val="12"/>
          <w:w w:val="95"/>
        </w:rPr>
        <w:t>双侧卵巢切</w:t>
      </w:r>
      <w:r>
        <w:rPr>
          <w:w w:val="95"/>
        </w:rPr>
        <w:t>除</w:t>
      </w:r>
      <w:r>
        <w:rPr>
          <w:spacing w:val="-10"/>
        </w:rPr>
        <w:t>术</w:t>
      </w:r>
    </w:p>
    <w:p>
      <w:pPr>
        <w:pStyle w:val="6"/>
        <w:spacing w:before="89" w:line="266" w:lineRule="auto"/>
        <w:ind w:left="174" w:right="397"/>
      </w:pPr>
      <w:r>
        <w:br w:type="column"/>
      </w:r>
      <w:r>
        <w:rPr>
          <w:spacing w:val="1"/>
          <w:w w:val="100"/>
        </w:rPr>
        <w:t>指为治疗疾病实际接受了经腹部切开或腹腔镜进行的双侧卵巢完全切除手术。</w:t>
      </w:r>
      <w:r>
        <w:rPr>
          <w:color w:val="000000"/>
          <w:spacing w:val="-3"/>
          <w:w w:val="100"/>
          <w:shd w:val="clear" w:color="auto" w:fill="C0C0C0"/>
        </w:rPr>
        <w:t>部分或单侧的卵巢切除、变性手术不在本保障范围内。</w:t>
      </w:r>
    </w:p>
    <w:p>
      <w:pPr>
        <w:spacing w:after="0" w:line="266" w:lineRule="auto"/>
        <w:sectPr>
          <w:type w:val="continuous"/>
          <w:pgSz w:w="11910" w:h="16840"/>
          <w:pgMar w:top="280" w:right="660" w:bottom="280" w:left="580" w:header="0" w:footer="1060" w:gutter="0"/>
          <w:cols w:equalWidth="0" w:num="2">
            <w:col w:w="3171" w:space="40"/>
            <w:col w:w="7459"/>
          </w:cols>
        </w:sectPr>
      </w:pPr>
    </w:p>
    <w:p>
      <w:pPr>
        <w:pStyle w:val="6"/>
        <w:spacing w:before="8"/>
        <w:rPr>
          <w:sz w:val="18"/>
        </w:rPr>
      </w:pPr>
    </w:p>
    <w:p>
      <w:pPr>
        <w:pStyle w:val="10"/>
        <w:numPr>
          <w:ilvl w:val="2"/>
          <w:numId w:val="46"/>
        </w:numPr>
        <w:tabs>
          <w:tab w:val="left" w:pos="1778"/>
        </w:tabs>
        <w:spacing w:before="71" w:after="0" w:line="278" w:lineRule="auto"/>
        <w:ind w:left="3351" w:right="382" w:hanging="2629"/>
        <w:jc w:val="both"/>
        <w:rPr>
          <w:sz w:val="21"/>
        </w:rPr>
      </w:pPr>
      <w:r>
        <w:rPr>
          <w:spacing w:val="-2"/>
          <w:w w:val="96"/>
          <w:sz w:val="22"/>
        </w:rPr>
        <w:t>面部重建手术</w:t>
      </w:r>
      <w:r>
        <w:rPr>
          <w:spacing w:val="-7"/>
          <w:sz w:val="22"/>
        </w:rPr>
        <w:t xml:space="preserve">   </w:t>
      </w:r>
      <w:r>
        <w:rPr>
          <w:spacing w:val="-5"/>
          <w:w w:val="100"/>
          <w:sz w:val="21"/>
        </w:rPr>
        <w:t>因疾病或意外伤害导致面部毁容，确实进行整形或者重建手术</w:t>
      </w:r>
      <w:r>
        <w:rPr>
          <w:spacing w:val="-3"/>
          <w:w w:val="100"/>
          <w:sz w:val="21"/>
        </w:rPr>
        <w:t>（颈部以上的</w:t>
      </w:r>
      <w:r>
        <w:rPr>
          <w:w w:val="100"/>
          <w:sz w:val="21"/>
        </w:rPr>
        <w:t>面部构造不完整、缺失或者受损而对其形态及外观进行修复或者重建</w:t>
      </w:r>
      <w:r>
        <w:rPr>
          <w:spacing w:val="-101"/>
          <w:w w:val="100"/>
          <w:sz w:val="21"/>
        </w:rPr>
        <w:t>）</w:t>
      </w:r>
      <w:r>
        <w:rPr>
          <w:spacing w:val="1"/>
          <w:w w:val="100"/>
          <w:sz w:val="21"/>
        </w:rPr>
        <w:t>，同</w:t>
      </w:r>
      <w:r>
        <w:rPr>
          <w:spacing w:val="3"/>
          <w:w w:val="100"/>
          <w:sz w:val="21"/>
        </w:rPr>
        <w:t>时必须由专科医生认为该面部毁容是需要接受住院治疗，及其后接受该手</w:t>
      </w:r>
      <w:r>
        <w:rPr>
          <w:spacing w:val="-4"/>
          <w:w w:val="100"/>
          <w:sz w:val="21"/>
        </w:rPr>
        <w:t>术，而对该面部毁容所进行的治疗亦是医疗所需。</w:t>
      </w:r>
      <w:r>
        <w:rPr>
          <w:color w:val="000000"/>
          <w:spacing w:val="-3"/>
          <w:w w:val="100"/>
          <w:sz w:val="21"/>
          <w:shd w:val="clear" w:color="auto" w:fill="C0C0C0"/>
        </w:rPr>
        <w:t>因纯粹整容原因、独立的</w:t>
      </w:r>
      <w:r>
        <w:rPr>
          <w:color w:val="000000"/>
          <w:w w:val="100"/>
          <w:sz w:val="21"/>
          <w:shd w:val="clear" w:color="auto" w:fill="C0C0C0"/>
        </w:rPr>
        <w:t xml:space="preserve">                                                                                                                                </w:t>
      </w:r>
      <w:r>
        <w:rPr>
          <w:color w:val="000000"/>
          <w:spacing w:val="3"/>
          <w:w w:val="100"/>
          <w:sz w:val="21"/>
          <w:shd w:val="clear" w:color="auto" w:fill="C0C0C0"/>
        </w:rPr>
        <w:t>牙齿修复、独立的鼻骨骨折或者独立的皮肤伤口所进行的手术均不受此保</w:t>
      </w:r>
      <w:r>
        <w:rPr>
          <w:color w:val="000000"/>
          <w:spacing w:val="-4"/>
          <w:w w:val="100"/>
          <w:sz w:val="21"/>
          <w:shd w:val="clear" w:color="auto" w:fill="C0C0C0"/>
        </w:rPr>
        <w:t>障。被保险人达到条款约定的“轻度面部烧伤”轻症赔付责任，且因此需行</w:t>
      </w:r>
      <w:r>
        <w:rPr>
          <w:color w:val="000000"/>
          <w:spacing w:val="-4"/>
          <w:w w:val="100"/>
          <w:sz w:val="21"/>
        </w:rPr>
        <w:t xml:space="preserve"> </w:t>
      </w:r>
      <w:r>
        <w:rPr>
          <w:color w:val="000000"/>
          <w:spacing w:val="-12"/>
          <w:w w:val="100"/>
          <w:sz w:val="21"/>
          <w:shd w:val="clear" w:color="auto" w:fill="C0C0C0"/>
        </w:rPr>
        <w:t>“面部重建手术”，则不在此保障范围内。</w:t>
      </w:r>
    </w:p>
    <w:p>
      <w:pPr>
        <w:pStyle w:val="6"/>
        <w:spacing w:before="12"/>
        <w:rPr>
          <w:sz w:val="15"/>
        </w:rPr>
      </w:pPr>
    </w:p>
    <w:p>
      <w:pPr>
        <w:spacing w:after="0"/>
        <w:rPr>
          <w:sz w:val="15"/>
        </w:rPr>
        <w:sectPr>
          <w:type w:val="continuous"/>
          <w:pgSz w:w="11910" w:h="16840"/>
          <w:pgMar w:top="280" w:right="660" w:bottom="280" w:left="580" w:header="0" w:footer="1060" w:gutter="0"/>
          <w:cols w:space="720" w:num="1"/>
        </w:sectPr>
      </w:pPr>
    </w:p>
    <w:p>
      <w:pPr>
        <w:pStyle w:val="4"/>
        <w:numPr>
          <w:ilvl w:val="2"/>
          <w:numId w:val="46"/>
        </w:numPr>
        <w:tabs>
          <w:tab w:val="left" w:pos="1777"/>
          <w:tab w:val="left" w:pos="1778"/>
        </w:tabs>
        <w:spacing w:before="90" w:after="0" w:line="218" w:lineRule="auto"/>
        <w:ind w:left="1777" w:right="0" w:hanging="1054"/>
        <w:jc w:val="left"/>
      </w:pPr>
      <w:r>
        <w:rPr>
          <w:spacing w:val="15"/>
          <w:w w:val="95"/>
        </w:rPr>
        <w:t>植入大脑分</w:t>
      </w:r>
      <w:r>
        <w:rPr>
          <w:w w:val="95"/>
        </w:rPr>
        <w:t>流</w:t>
      </w:r>
      <w:r>
        <w:rPr>
          <w:spacing w:val="-10"/>
        </w:rPr>
        <w:t>器</w:t>
      </w:r>
    </w:p>
    <w:p>
      <w:pPr>
        <w:pStyle w:val="6"/>
        <w:spacing w:before="110" w:line="266" w:lineRule="auto"/>
        <w:ind w:left="174" w:right="364"/>
        <w:jc w:val="both"/>
      </w:pPr>
      <w:r>
        <w:br w:type="column"/>
      </w:r>
      <w:r>
        <w:rPr>
          <w:spacing w:val="-2"/>
        </w:rPr>
        <w:t>指为缓解已升高的脑脊液压力而确实已在脑室进行分流器植入手术。诊断及治疗均须在我们认可的医院内由脑神经科专科医生认为是医疗必需的情况下</w:t>
      </w:r>
      <w:r>
        <w:rPr>
          <w:spacing w:val="-4"/>
        </w:rPr>
        <w:t>进行。</w:t>
      </w:r>
    </w:p>
    <w:p>
      <w:pPr>
        <w:spacing w:after="0" w:line="266" w:lineRule="auto"/>
        <w:jc w:val="both"/>
        <w:sectPr>
          <w:type w:val="continuous"/>
          <w:pgSz w:w="11910" w:h="16840"/>
          <w:pgMar w:top="280" w:right="660" w:bottom="280" w:left="580" w:header="0" w:footer="1060" w:gutter="0"/>
          <w:cols w:equalWidth="0" w:num="2">
            <w:col w:w="3138" w:space="40"/>
            <w:col w:w="7492"/>
          </w:cols>
        </w:sectPr>
      </w:pPr>
    </w:p>
    <w:p>
      <w:pPr>
        <w:pStyle w:val="6"/>
        <w:spacing w:before="12"/>
        <w:rPr>
          <w:sz w:val="17"/>
        </w:rPr>
      </w:pPr>
    </w:p>
    <w:p>
      <w:pPr>
        <w:spacing w:after="0"/>
        <w:rPr>
          <w:sz w:val="17"/>
        </w:rPr>
        <w:sectPr>
          <w:pgSz w:w="11910" w:h="16840"/>
          <w:pgMar w:top="1480" w:right="660" w:bottom="1260" w:left="580" w:header="0" w:footer="1060" w:gutter="0"/>
          <w:cols w:space="720" w:num="1"/>
        </w:sectPr>
      </w:pPr>
    </w:p>
    <w:p>
      <w:pPr>
        <w:pStyle w:val="4"/>
        <w:numPr>
          <w:ilvl w:val="2"/>
          <w:numId w:val="46"/>
        </w:numPr>
        <w:tabs>
          <w:tab w:val="left" w:pos="1777"/>
          <w:tab w:val="left" w:pos="1778"/>
        </w:tabs>
        <w:spacing w:before="92" w:after="0" w:line="216" w:lineRule="auto"/>
        <w:ind w:left="1777" w:right="0" w:hanging="1054"/>
        <w:jc w:val="left"/>
      </w:pPr>
      <w:r>
        <w:drawing>
          <wp:anchor distT="0" distB="0" distL="0" distR="0" simplePos="0" relativeHeight="251727872" behindDoc="1" locked="0" layoutInCell="1" allowOverlap="1">
            <wp:simplePos x="0" y="0"/>
            <wp:positionH relativeFrom="page">
              <wp:posOffset>2496185</wp:posOffset>
            </wp:positionH>
            <wp:positionV relativeFrom="paragraph">
              <wp:posOffset>-718185</wp:posOffset>
            </wp:positionV>
            <wp:extent cx="4410075" cy="381000"/>
            <wp:effectExtent l="0" t="0" r="0" b="0"/>
            <wp:wrapNone/>
            <wp:docPr id="9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4.png"/>
                    <pic:cNvPicPr>
                      <a:picLocks noChangeAspect="1"/>
                    </pic:cNvPicPr>
                  </pic:nvPicPr>
                  <pic:blipFill>
                    <a:blip r:embed="rId40" cstate="print"/>
                    <a:stretch>
                      <a:fillRect/>
                    </a:stretch>
                  </pic:blipFill>
                  <pic:spPr>
                    <a:xfrm>
                      <a:off x="0" y="0"/>
                      <a:ext cx="4409821" cy="381253"/>
                    </a:xfrm>
                    <a:prstGeom prst="rect">
                      <a:avLst/>
                    </a:prstGeom>
                  </pic:spPr>
                </pic:pic>
              </a:graphicData>
            </a:graphic>
          </wp:anchor>
        </w:drawing>
      </w:r>
      <w:r>
        <w:pict>
          <v:shape id="docshape89" o:spid="_x0000_s1113" o:spt="202" type="#_x0000_t202" style="position:absolute;left:0pt;margin-left:196.55pt;margin-top:-56.55pt;height:30.05pt;width:352.65pt;mso-position-horizontal-relative:page;z-index:-251587584;mso-width-relative:page;mso-height-relative:page;" filled="f" stroked="f" coordsize="21600,21600">
            <v:path/>
            <v:fill on="f" focussize="0,0"/>
            <v:stroke on="f" joinstyle="miter"/>
            <v:imagedata o:title=""/>
            <o:lock v:ext="edit"/>
            <v:textbox inset="0mm,0mm,0mm,0mm">
              <w:txbxContent>
                <w:p>
                  <w:pPr>
                    <w:pStyle w:val="6"/>
                    <w:spacing w:before="30"/>
                  </w:pPr>
                  <w:r>
                    <w:rPr>
                      <w:spacing w:val="-7"/>
                    </w:rPr>
                    <w:t>我们仅对“脑垂体瘤、脑囊肿、脑动脉瘤及脑血管瘤”和“植入大脑分流器”</w:t>
                  </w:r>
                </w:p>
                <w:p>
                  <w:pPr>
                    <w:pStyle w:val="6"/>
                    <w:spacing w:before="31"/>
                  </w:pPr>
                  <w:r>
                    <w:rPr>
                      <w:spacing w:val="-3"/>
                    </w:rPr>
                    <w:t>两项中的其中一项承担保险责任，给付其中一项保险金后，对其它项轻症疾</w:t>
                  </w:r>
                </w:p>
              </w:txbxContent>
            </v:textbox>
          </v:shape>
        </w:pict>
      </w:r>
      <w:r>
        <w:pict>
          <v:shape id="docshape90" o:spid="_x0000_s1114" o:spt="202" type="#_x0000_t202" style="position:absolute;left:0pt;margin-left:196.55pt;margin-top:-26.55pt;height:15pt;width:105.05pt;mso-position-horizontal-relative:page;z-index:-251587584;mso-width-relative:page;mso-height-relative:page;" fillcolor="#C0C0C0" filled="t" stroked="f" coordsize="21600,21600">
            <v:path/>
            <v:fill on="t" focussize="0,0"/>
            <v:stroke on="f" joinstyle="miter"/>
            <v:imagedata o:title=""/>
            <o:lock v:ext="edit"/>
            <v:textbox inset="0mm,0mm,0mm,0mm">
              <w:txbxContent>
                <w:p>
                  <w:pPr>
                    <w:pStyle w:val="6"/>
                    <w:spacing w:before="30"/>
                    <w:ind w:right="-15"/>
                    <w:rPr>
                      <w:color w:val="000000"/>
                    </w:rPr>
                  </w:pPr>
                  <w:r>
                    <w:rPr>
                      <w:color w:val="000000"/>
                      <w:spacing w:val="-3"/>
                    </w:rPr>
                    <w:t>病保险责任同时终止。</w:t>
                  </w:r>
                </w:p>
              </w:txbxContent>
            </v:textbox>
          </v:shape>
        </w:pict>
      </w:r>
      <w:r>
        <w:rPr>
          <w:spacing w:val="15"/>
          <w:w w:val="95"/>
        </w:rPr>
        <w:t>轻度闭锁综</w:t>
      </w:r>
      <w:r>
        <w:rPr>
          <w:w w:val="95"/>
        </w:rPr>
        <w:t>合</w:t>
      </w:r>
      <w:r>
        <w:rPr>
          <w:spacing w:val="-10"/>
        </w:rPr>
        <w:t>征</w:t>
      </w:r>
    </w:p>
    <w:p>
      <w:pPr>
        <w:pStyle w:val="6"/>
        <w:spacing w:before="103" w:line="278" w:lineRule="auto"/>
        <w:ind w:left="174" w:right="382"/>
        <w:jc w:val="both"/>
      </w:pPr>
      <w:r>
        <w:br w:type="column"/>
      </w:r>
      <w:r>
        <w:rPr>
          <w:spacing w:val="-2"/>
        </w:rPr>
        <w:t>又称闭锁症候群，即去传出状态，系脑桥基底部病变所致。须经专科医生明确诊断，并需满足自主生活能力严重丧失，无法独立完成六项基本日常生活活动中的二项。</w:t>
      </w:r>
    </w:p>
    <w:p>
      <w:pPr>
        <w:spacing w:after="0" w:line="278" w:lineRule="auto"/>
        <w:jc w:val="both"/>
        <w:sectPr>
          <w:type w:val="continuous"/>
          <w:pgSz w:w="11910" w:h="16840"/>
          <w:pgMar w:top="280" w:right="660" w:bottom="280" w:left="580" w:header="0" w:footer="1060" w:gutter="0"/>
          <w:cols w:equalWidth="0" w:num="2">
            <w:col w:w="3138" w:space="40"/>
            <w:col w:w="7492"/>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46"/>
        </w:numPr>
        <w:tabs>
          <w:tab w:val="left" w:pos="1777"/>
          <w:tab w:val="left" w:pos="1778"/>
        </w:tabs>
        <w:spacing w:before="71" w:after="0" w:line="240" w:lineRule="auto"/>
        <w:ind w:left="1777" w:right="0" w:hanging="1055"/>
        <w:jc w:val="left"/>
      </w:pPr>
      <w:r>
        <w:rPr>
          <w:spacing w:val="18"/>
          <w:w w:val="95"/>
        </w:rPr>
        <w:t>骨质疏松骨</w:t>
      </w:r>
      <w:r>
        <w:rPr>
          <w:spacing w:val="-10"/>
          <w:w w:val="95"/>
        </w:rPr>
        <w:t>折</w:t>
      </w:r>
    </w:p>
    <w:p>
      <w:pPr>
        <w:spacing w:before="30" w:line="266" w:lineRule="auto"/>
        <w:ind w:left="1777" w:right="0" w:firstLine="0"/>
        <w:jc w:val="left"/>
        <w:rPr>
          <w:sz w:val="22"/>
        </w:rPr>
      </w:pPr>
      <w:r>
        <w:rPr>
          <w:spacing w:val="15"/>
          <w:w w:val="95"/>
          <w:sz w:val="22"/>
        </w:rPr>
        <w:t>导致的全</w:t>
      </w:r>
      <w:r>
        <w:rPr>
          <w:spacing w:val="7"/>
          <w:w w:val="95"/>
          <w:sz w:val="22"/>
        </w:rPr>
        <w:t>髋关</w:t>
      </w:r>
      <w:r>
        <w:rPr>
          <w:spacing w:val="-2"/>
          <w:sz w:val="22"/>
        </w:rPr>
        <w:t>节置换手术</w:t>
      </w:r>
    </w:p>
    <w:p>
      <w:pPr>
        <w:pStyle w:val="6"/>
        <w:spacing w:before="89" w:line="266" w:lineRule="auto"/>
        <w:ind w:left="174" w:right="272"/>
      </w:pPr>
      <w:r>
        <w:br w:type="column"/>
      </w:r>
      <w:r>
        <w:rPr>
          <w:spacing w:val="-2"/>
        </w:rPr>
        <w:t>骨质疏松是一种系统性疾病，其特征为骨质量减少，骨小梁数目减少、变细和骨皮质变薄，导致骨脆性增加，骨折危险增加。根据世界卫生组织（WHO）</w:t>
      </w:r>
      <w:r>
        <w:t>建议，骨密度（BMD）</w:t>
      </w:r>
      <w:r>
        <w:rPr>
          <w:spacing w:val="-4"/>
        </w:rPr>
        <w:t xml:space="preserve">较正常成人骨密度平均值降低 </w:t>
      </w:r>
      <w:r>
        <w:t>2.5</w:t>
      </w:r>
      <w:r>
        <w:rPr>
          <w:spacing w:val="-8"/>
        </w:rPr>
        <w:t xml:space="preserve"> 个标准差为骨质疏松</w:t>
      </w:r>
      <w:r>
        <w:rPr>
          <w:spacing w:val="-2"/>
        </w:rPr>
        <w:t>症。骨质疏松骨折髋关节置换手术必须满足下列所有条件：</w:t>
      </w:r>
    </w:p>
    <w:p>
      <w:pPr>
        <w:pStyle w:val="10"/>
        <w:numPr>
          <w:ilvl w:val="0"/>
          <w:numId w:val="50"/>
        </w:numPr>
        <w:tabs>
          <w:tab w:val="left" w:pos="705"/>
        </w:tabs>
        <w:spacing w:before="5" w:after="0" w:line="240" w:lineRule="auto"/>
        <w:ind w:left="704" w:right="0" w:hanging="531"/>
        <w:jc w:val="left"/>
        <w:rPr>
          <w:sz w:val="21"/>
        </w:rPr>
      </w:pPr>
      <w:r>
        <w:rPr>
          <w:spacing w:val="-3"/>
          <w:sz w:val="21"/>
        </w:rPr>
        <w:t>依照诊断标准确诊为骨质疏松症；</w:t>
      </w:r>
    </w:p>
    <w:p>
      <w:pPr>
        <w:pStyle w:val="10"/>
        <w:numPr>
          <w:ilvl w:val="0"/>
          <w:numId w:val="50"/>
        </w:numPr>
        <w:tabs>
          <w:tab w:val="left" w:pos="705"/>
        </w:tabs>
        <w:spacing w:before="31" w:after="0" w:line="240" w:lineRule="auto"/>
        <w:ind w:left="704" w:right="0" w:hanging="531"/>
        <w:jc w:val="left"/>
        <w:rPr>
          <w:sz w:val="21"/>
        </w:rPr>
      </w:pPr>
      <w:r>
        <w:rPr>
          <w:spacing w:val="-3"/>
          <w:sz w:val="21"/>
        </w:rPr>
        <w:t>实际发生了股骨颈骨折并接受了髋关节置换手术。</w:t>
      </w:r>
    </w:p>
    <w:p>
      <w:pPr>
        <w:spacing w:after="0" w:line="240" w:lineRule="auto"/>
        <w:jc w:val="left"/>
        <w:rPr>
          <w:sz w:val="21"/>
        </w:rPr>
        <w:sectPr>
          <w:type w:val="continuous"/>
          <w:pgSz w:w="11910" w:h="16840"/>
          <w:pgMar w:top="280" w:right="660" w:bottom="280" w:left="580" w:header="0" w:footer="1060" w:gutter="0"/>
          <w:cols w:equalWidth="0" w:num="2">
            <w:col w:w="3138" w:space="40"/>
            <w:col w:w="7492"/>
          </w:cols>
        </w:sectPr>
      </w:pPr>
    </w:p>
    <w:p>
      <w:pPr>
        <w:pStyle w:val="6"/>
        <w:spacing w:before="11"/>
        <w:rPr>
          <w:sz w:val="19"/>
        </w:rPr>
      </w:pPr>
    </w:p>
    <w:p>
      <w:pPr>
        <w:spacing w:after="0"/>
        <w:rPr>
          <w:sz w:val="19"/>
        </w:rPr>
        <w:sectPr>
          <w:type w:val="continuous"/>
          <w:pgSz w:w="11910" w:h="16840"/>
          <w:pgMar w:top="280" w:right="660" w:bottom="280" w:left="580" w:header="0" w:footer="1060" w:gutter="0"/>
          <w:cols w:space="720" w:num="1"/>
        </w:sectPr>
      </w:pPr>
    </w:p>
    <w:p>
      <w:pPr>
        <w:pStyle w:val="4"/>
        <w:numPr>
          <w:ilvl w:val="2"/>
          <w:numId w:val="46"/>
        </w:numPr>
        <w:tabs>
          <w:tab w:val="left" w:pos="1777"/>
          <w:tab w:val="left" w:pos="1778"/>
        </w:tabs>
        <w:spacing w:before="72" w:after="0" w:line="240" w:lineRule="auto"/>
        <w:ind w:left="1777" w:right="0" w:hanging="1055"/>
        <w:jc w:val="left"/>
      </w:pPr>
      <w:r>
        <w:rPr>
          <w:spacing w:val="18"/>
          <w:w w:val="95"/>
        </w:rPr>
        <w:t>急性肾衰竭</w:t>
      </w:r>
      <w:r>
        <w:rPr>
          <w:spacing w:val="-10"/>
          <w:w w:val="95"/>
        </w:rPr>
        <w:t>肾</w:t>
      </w:r>
    </w:p>
    <w:p>
      <w:pPr>
        <w:spacing w:before="30"/>
        <w:ind w:left="1777" w:right="0" w:firstLine="0"/>
        <w:jc w:val="left"/>
        <w:rPr>
          <w:sz w:val="22"/>
        </w:rPr>
      </w:pPr>
      <w:r>
        <w:rPr>
          <w:w w:val="95"/>
          <w:sz w:val="22"/>
        </w:rPr>
        <w:t>脏透析治</w:t>
      </w:r>
      <w:r>
        <w:rPr>
          <w:spacing w:val="-10"/>
          <w:w w:val="95"/>
          <w:sz w:val="22"/>
        </w:rPr>
        <w:t>疗</w:t>
      </w:r>
    </w:p>
    <w:p>
      <w:pPr>
        <w:pStyle w:val="6"/>
        <w:spacing w:before="89" w:line="266" w:lineRule="auto"/>
        <w:ind w:left="174" w:right="363"/>
        <w:jc w:val="both"/>
      </w:pPr>
      <w:r>
        <w:br w:type="column"/>
      </w:r>
      <w:r>
        <w:rPr>
          <w:spacing w:val="-4"/>
        </w:rPr>
        <w:t>急性肾衰竭（ARF）是指各种病因引起的肾功能在短期内（数小时或数周）急</w:t>
      </w:r>
      <w:r>
        <w:rPr>
          <w:spacing w:val="-2"/>
        </w:rPr>
        <w:t>剧进行性下降，导致体内氮质产物潴留而出现的临床综合征，国际上近年来</w:t>
      </w:r>
      <w:r>
        <w:rPr>
          <w:spacing w:val="-4"/>
        </w:rPr>
        <w:t>改称为急性肾损伤</w:t>
      </w:r>
      <w:r>
        <w:rPr>
          <w:spacing w:val="17"/>
        </w:rPr>
        <w:t>（AKI</w:t>
      </w:r>
      <w:r>
        <w:rPr>
          <w:spacing w:val="-91"/>
        </w:rPr>
        <w:t>）</w:t>
      </w:r>
      <w:r>
        <w:rPr>
          <w:spacing w:val="-4"/>
        </w:rPr>
        <w:t>。急性肾衰竭肾脏透析治疗指诊断为急性肾衰竭，</w:t>
      </w:r>
      <w:r>
        <w:rPr>
          <w:spacing w:val="-2"/>
        </w:rPr>
        <w:t>且满足下列全部条件：</w:t>
      </w:r>
    </w:p>
    <w:p>
      <w:pPr>
        <w:pStyle w:val="10"/>
        <w:numPr>
          <w:ilvl w:val="0"/>
          <w:numId w:val="51"/>
        </w:numPr>
        <w:tabs>
          <w:tab w:val="left" w:pos="493"/>
        </w:tabs>
        <w:spacing w:before="5" w:after="0" w:line="240" w:lineRule="auto"/>
        <w:ind w:left="492" w:right="0" w:hanging="319"/>
        <w:jc w:val="both"/>
        <w:rPr>
          <w:sz w:val="21"/>
        </w:rPr>
      </w:pPr>
      <w:r>
        <w:rPr>
          <w:spacing w:val="-11"/>
          <w:sz w:val="21"/>
        </w:rPr>
        <w:t xml:space="preserve">少尿或无尿 </w:t>
      </w:r>
      <w:r>
        <w:rPr>
          <w:spacing w:val="-2"/>
          <w:sz w:val="21"/>
        </w:rPr>
        <w:t>2</w:t>
      </w:r>
      <w:r>
        <w:rPr>
          <w:spacing w:val="-14"/>
          <w:sz w:val="21"/>
        </w:rPr>
        <w:t xml:space="preserve"> 天以上；</w:t>
      </w:r>
    </w:p>
    <w:p>
      <w:pPr>
        <w:pStyle w:val="10"/>
        <w:numPr>
          <w:ilvl w:val="0"/>
          <w:numId w:val="51"/>
        </w:numPr>
        <w:tabs>
          <w:tab w:val="left" w:pos="493"/>
        </w:tabs>
        <w:spacing w:before="31" w:after="0" w:line="266" w:lineRule="auto"/>
        <w:ind w:left="174" w:right="3265" w:firstLine="0"/>
        <w:jc w:val="left"/>
        <w:rPr>
          <w:sz w:val="21"/>
        </w:rPr>
      </w:pPr>
      <w:r>
        <w:rPr>
          <w:spacing w:val="-2"/>
          <w:sz w:val="21"/>
        </w:rPr>
        <w:t>血肌酐（Scr）&gt;5mg/dl</w:t>
      </w:r>
      <w:r>
        <w:rPr>
          <w:spacing w:val="-16"/>
          <w:sz w:val="21"/>
        </w:rPr>
        <w:t xml:space="preserve"> 或&gt;</w:t>
      </w:r>
      <w:r>
        <w:rPr>
          <w:spacing w:val="-2"/>
          <w:sz w:val="21"/>
        </w:rPr>
        <w:t>442μmol/L； 3．血钾&gt;6.5mmol/L；</w:t>
      </w:r>
    </w:p>
    <w:p>
      <w:pPr>
        <w:pStyle w:val="6"/>
        <w:spacing w:before="3"/>
        <w:ind w:left="174"/>
      </w:pPr>
      <w:r>
        <w:rPr>
          <w:spacing w:val="-2"/>
        </w:rPr>
        <w:t>4．</w:t>
      </w:r>
      <w:r>
        <w:rPr>
          <w:spacing w:val="-4"/>
        </w:rPr>
        <w:t>接受了透析治疗。</w:t>
      </w:r>
    </w:p>
    <w:p>
      <w:pPr>
        <w:spacing w:after="0"/>
        <w:sectPr>
          <w:type w:val="continuous"/>
          <w:pgSz w:w="11910" w:h="16840"/>
          <w:pgMar w:top="280" w:right="660" w:bottom="280" w:left="580" w:header="0" w:footer="1060" w:gutter="0"/>
          <w:cols w:equalWidth="0" w:num="2">
            <w:col w:w="3138" w:space="40"/>
            <w:col w:w="7492"/>
          </w:cols>
        </w:sectPr>
      </w:pPr>
    </w:p>
    <w:p>
      <w:pPr>
        <w:pStyle w:val="6"/>
        <w:ind w:left="3351"/>
        <w:rPr>
          <w:sz w:val="20"/>
        </w:rPr>
      </w:pPr>
      <w:r>
        <w:rPr>
          <w:sz w:val="20"/>
        </w:rPr>
        <w:pict>
          <v:shape id="docshape91" o:spid="_x0000_s1115" o:spt="202" type="#_x0000_t202" style="height:30pt;width:347.25pt;" fillcolor="#C0C0C0" filled="t" stroked="f" coordsize="21600,21600">
            <v:path/>
            <v:fill on="t" focussize="0,0"/>
            <v:stroke on="f" joinstyle="miter"/>
            <v:imagedata o:title=""/>
            <o:lock v:ext="edit"/>
            <v:textbox inset="0mm,0mm,0mm,0mm">
              <w:txbxContent>
                <w:p>
                  <w:pPr>
                    <w:pStyle w:val="6"/>
                    <w:spacing w:before="25" w:line="266" w:lineRule="auto"/>
                    <w:ind w:right="-15"/>
                    <w:rPr>
                      <w:color w:val="000000"/>
                    </w:rPr>
                  </w:pPr>
                  <w:r>
                    <w:rPr>
                      <w:color w:val="000000"/>
                      <w:spacing w:val="-2"/>
                    </w:rPr>
                    <w:t>被保险人已达到本合同所指的重大疾病“严重慢性肾衰竭”或“严重的系统性硬皮病”或“肾髓质囊性病”标准的，本公司不承担本项保险责任。</w:t>
                  </w:r>
                </w:p>
              </w:txbxContent>
            </v:textbox>
            <w10:wrap type="none"/>
            <w10:anchorlock/>
          </v:shape>
        </w:pict>
      </w:r>
    </w:p>
    <w:p>
      <w:pPr>
        <w:pStyle w:val="6"/>
        <w:spacing w:before="12"/>
        <w:rPr>
          <w:sz w:val="16"/>
        </w:rPr>
      </w:pPr>
    </w:p>
    <w:p>
      <w:pPr>
        <w:spacing w:after="0"/>
        <w:rPr>
          <w:sz w:val="16"/>
        </w:rPr>
        <w:sectPr>
          <w:type w:val="continuous"/>
          <w:pgSz w:w="11910" w:h="16840"/>
          <w:pgMar w:top="280" w:right="660" w:bottom="280" w:left="580" w:header="0" w:footer="1060" w:gutter="0"/>
          <w:cols w:space="720" w:num="1"/>
        </w:sectPr>
      </w:pPr>
    </w:p>
    <w:p>
      <w:pPr>
        <w:pStyle w:val="4"/>
        <w:numPr>
          <w:ilvl w:val="2"/>
          <w:numId w:val="46"/>
        </w:numPr>
        <w:tabs>
          <w:tab w:val="left" w:pos="1777"/>
          <w:tab w:val="left" w:pos="1778"/>
        </w:tabs>
        <w:spacing w:before="71" w:after="0" w:line="287" w:lineRule="exact"/>
        <w:ind w:left="1777" w:right="0" w:hanging="1055"/>
        <w:jc w:val="left"/>
      </w:pPr>
      <w:r>
        <w:rPr>
          <w:spacing w:val="18"/>
          <w:w w:val="95"/>
        </w:rPr>
        <w:t>病毒性肝炎</w:t>
      </w:r>
      <w:r>
        <w:rPr>
          <w:spacing w:val="-10"/>
          <w:w w:val="95"/>
        </w:rPr>
        <w:t>导</w:t>
      </w:r>
    </w:p>
    <w:p>
      <w:pPr>
        <w:spacing w:before="0" w:line="267" w:lineRule="exact"/>
        <w:ind w:left="1729" w:right="0" w:firstLine="0"/>
        <w:jc w:val="left"/>
        <w:rPr>
          <w:sz w:val="22"/>
        </w:rPr>
      </w:pPr>
      <w:r>
        <w:rPr>
          <w:w w:val="95"/>
          <w:sz w:val="22"/>
        </w:rPr>
        <w:t>致的肝硬</w:t>
      </w:r>
      <w:r>
        <w:rPr>
          <w:spacing w:val="-10"/>
          <w:w w:val="95"/>
          <w:sz w:val="22"/>
        </w:rPr>
        <w:t>化</w:t>
      </w:r>
    </w:p>
    <w:p>
      <w:pPr>
        <w:pStyle w:val="6"/>
        <w:spacing w:before="103" w:line="278" w:lineRule="auto"/>
        <w:ind w:left="174" w:right="382"/>
      </w:pPr>
      <w:r>
        <w:br w:type="column"/>
      </w:r>
      <w:r>
        <w:rPr>
          <w:spacing w:val="-2"/>
        </w:rPr>
        <w:t>因肝炎病毒感染的肝脏慢性炎症并发展为肝硬化。且未达到本合同所指重大</w:t>
      </w:r>
      <w:r>
        <w:t>疾病“严重慢性肝衰竭 ”的给付标准。理赔时须满足下列全部条件：</w:t>
      </w:r>
    </w:p>
    <w:p>
      <w:pPr>
        <w:pStyle w:val="10"/>
        <w:numPr>
          <w:ilvl w:val="0"/>
          <w:numId w:val="52"/>
        </w:numPr>
        <w:tabs>
          <w:tab w:val="left" w:pos="705"/>
        </w:tabs>
        <w:spacing w:before="0" w:after="0" w:line="269" w:lineRule="exact"/>
        <w:ind w:left="704" w:right="0" w:hanging="531"/>
        <w:jc w:val="left"/>
        <w:rPr>
          <w:sz w:val="21"/>
        </w:rPr>
      </w:pPr>
      <w:r>
        <w:rPr>
          <w:spacing w:val="-3"/>
          <w:sz w:val="21"/>
        </w:rPr>
        <w:t>被保险人有感染慢性肝炎病毒的血清学及实验室检查报告等临床证据；</w:t>
      </w:r>
    </w:p>
    <w:p>
      <w:pPr>
        <w:pStyle w:val="10"/>
        <w:numPr>
          <w:ilvl w:val="0"/>
          <w:numId w:val="52"/>
        </w:numPr>
        <w:tabs>
          <w:tab w:val="left" w:pos="710"/>
        </w:tabs>
        <w:spacing w:before="43" w:after="0" w:line="278" w:lineRule="auto"/>
        <w:ind w:left="174" w:right="390" w:firstLine="0"/>
        <w:jc w:val="left"/>
        <w:rPr>
          <w:sz w:val="21"/>
        </w:rPr>
      </w:pPr>
      <w:r>
        <w:rPr>
          <w:spacing w:val="-2"/>
          <w:sz w:val="21"/>
        </w:rPr>
        <w:t>必须由本公司认可医院的消化科专科医生基于肝脏组织病理学检查报告、临床表现及病史对肝炎病毒感染导致肝硬化作出明确诊断；</w:t>
      </w:r>
    </w:p>
    <w:p>
      <w:pPr>
        <w:pStyle w:val="10"/>
        <w:numPr>
          <w:ilvl w:val="0"/>
          <w:numId w:val="52"/>
        </w:numPr>
        <w:tabs>
          <w:tab w:val="left" w:pos="705"/>
        </w:tabs>
        <w:spacing w:before="0" w:after="0" w:line="278" w:lineRule="auto"/>
        <w:ind w:left="174" w:right="382" w:firstLine="0"/>
        <w:jc w:val="left"/>
        <w:rPr>
          <w:sz w:val="21"/>
        </w:rPr>
      </w:pPr>
      <w:r>
        <w:rPr>
          <w:spacing w:val="-3"/>
          <w:sz w:val="21"/>
        </w:rPr>
        <w:t xml:space="preserve">病理学检查报告证明肝脏病变按 </w:t>
      </w:r>
      <w:r>
        <w:rPr>
          <w:sz w:val="21"/>
        </w:rPr>
        <w:t>Metavir</w:t>
      </w:r>
      <w:r>
        <w:rPr>
          <w:spacing w:val="-13"/>
          <w:sz w:val="21"/>
        </w:rPr>
        <w:t xml:space="preserve"> 分级表中属 </w:t>
      </w:r>
      <w:r>
        <w:rPr>
          <w:sz w:val="21"/>
        </w:rPr>
        <w:t>F4</w:t>
      </w:r>
      <w:r>
        <w:rPr>
          <w:spacing w:val="-9"/>
          <w:sz w:val="21"/>
        </w:rPr>
        <w:t xml:space="preserve"> 阶段或</w:t>
      </w:r>
      <w:r>
        <w:rPr>
          <w:sz w:val="21"/>
        </w:rPr>
        <w:t xml:space="preserve"> Knodell</w:t>
      </w:r>
      <w:r>
        <w:rPr>
          <w:spacing w:val="-3"/>
          <w:sz w:val="21"/>
        </w:rPr>
        <w:t xml:space="preserve">肝纤维化标准达到 </w:t>
      </w:r>
      <w:r>
        <w:rPr>
          <w:sz w:val="21"/>
        </w:rPr>
        <w:t>4</w:t>
      </w:r>
      <w:r>
        <w:rPr>
          <w:spacing w:val="-9"/>
          <w:sz w:val="21"/>
        </w:rPr>
        <w:t xml:space="preserve"> 分。</w:t>
      </w:r>
    </w:p>
    <w:p>
      <w:pPr>
        <w:pStyle w:val="6"/>
        <w:spacing w:line="269" w:lineRule="exact"/>
        <w:ind w:left="174"/>
      </w:pPr>
      <w:r>
        <w:rPr>
          <w:color w:val="000000"/>
          <w:spacing w:val="-3"/>
          <w:shd w:val="clear" w:color="auto" w:fill="C0C0C0"/>
        </w:rPr>
        <w:t>由酒精或药物滥用而引起的本疾病不在保障范围内。</w:t>
      </w:r>
    </w:p>
    <w:p>
      <w:pPr>
        <w:spacing w:after="0" w:line="269" w:lineRule="exact"/>
        <w:sectPr>
          <w:type w:val="continuous"/>
          <w:pgSz w:w="11910" w:h="16840"/>
          <w:pgMar w:top="280" w:right="660" w:bottom="280" w:left="580" w:header="0" w:footer="1060" w:gutter="0"/>
          <w:cols w:equalWidth="0" w:num="2">
            <w:col w:w="3138" w:space="40"/>
            <w:col w:w="7492"/>
          </w:cols>
        </w:sectPr>
      </w:pPr>
    </w:p>
    <w:p>
      <w:pPr>
        <w:pStyle w:val="6"/>
        <w:spacing w:before="8"/>
        <w:rPr>
          <w:sz w:val="19"/>
        </w:rPr>
      </w:pPr>
    </w:p>
    <w:p>
      <w:pPr>
        <w:spacing w:after="0"/>
        <w:rPr>
          <w:sz w:val="19"/>
        </w:rPr>
        <w:sectPr>
          <w:type w:val="continuous"/>
          <w:pgSz w:w="11910" w:h="16840"/>
          <w:pgMar w:top="280" w:right="660" w:bottom="280" w:left="580" w:header="0" w:footer="1060" w:gutter="0"/>
          <w:cols w:space="720" w:num="1"/>
        </w:sectPr>
      </w:pPr>
    </w:p>
    <w:p>
      <w:pPr>
        <w:pStyle w:val="4"/>
        <w:numPr>
          <w:ilvl w:val="2"/>
          <w:numId w:val="46"/>
        </w:numPr>
        <w:tabs>
          <w:tab w:val="left" w:pos="1777"/>
          <w:tab w:val="left" w:pos="1778"/>
        </w:tabs>
        <w:spacing w:before="72" w:after="0" w:line="287" w:lineRule="exact"/>
        <w:ind w:left="1777" w:right="0" w:hanging="1055"/>
        <w:jc w:val="left"/>
      </w:pPr>
      <w:r>
        <w:rPr>
          <w:spacing w:val="18"/>
          <w:w w:val="95"/>
        </w:rPr>
        <w:t>激光心肌血</w:t>
      </w:r>
      <w:r>
        <w:rPr>
          <w:spacing w:val="-10"/>
          <w:w w:val="95"/>
        </w:rPr>
        <w:t>运</w:t>
      </w:r>
    </w:p>
    <w:p>
      <w:pPr>
        <w:spacing w:before="0" w:line="267" w:lineRule="exact"/>
        <w:ind w:left="1777" w:right="0" w:firstLine="0"/>
        <w:jc w:val="left"/>
        <w:rPr>
          <w:sz w:val="22"/>
        </w:rPr>
      </w:pPr>
      <w:r>
        <w:rPr>
          <w:w w:val="95"/>
          <w:sz w:val="22"/>
        </w:rPr>
        <w:t>重建</w:t>
      </w:r>
      <w:r>
        <w:rPr>
          <w:spacing w:val="-10"/>
          <w:w w:val="95"/>
          <w:sz w:val="22"/>
        </w:rPr>
        <w:t>术</w:t>
      </w:r>
    </w:p>
    <w:p>
      <w:pPr>
        <w:pStyle w:val="6"/>
        <w:spacing w:before="103" w:line="278" w:lineRule="auto"/>
        <w:ind w:left="174" w:right="382"/>
        <w:jc w:val="both"/>
      </w:pPr>
      <w:r>
        <w:br w:type="column"/>
      </w:r>
      <w:r>
        <w:rPr>
          <w:spacing w:val="-2"/>
        </w:rPr>
        <w:t>指患有顽固性心绞痛，经持续药物治疗后无改善，冠状动脉搭桥手术及经皮血管成形手术已失败或者被认为不适合。在本公司认可医院内实际进行了开胸手术下或者胸腔镜下的激光心肌血运重建术。并且未达到本合同所指重大疾病“较重急性心肌梗死”的给付标准。</w:t>
      </w:r>
    </w:p>
    <w:p>
      <w:pPr>
        <w:pStyle w:val="6"/>
        <w:spacing w:line="278" w:lineRule="auto"/>
        <w:ind w:left="174" w:right="383"/>
        <w:jc w:val="both"/>
      </w:pPr>
      <w:r>
        <w:rPr>
          <w:color w:val="000000"/>
          <w:spacing w:val="-17"/>
          <w:shd w:val="clear" w:color="auto" w:fill="C0C0C0"/>
        </w:rPr>
        <w:t>本公司对“冠状动脉介入手术”、“较轻急性心肌梗死”和“激光心肌血运重</w:t>
      </w:r>
      <w:r>
        <w:rPr>
          <w:color w:val="000000"/>
          <w:spacing w:val="40"/>
          <w:shd w:val="clear" w:color="auto" w:fill="C0C0C0"/>
        </w:rPr>
        <w:t xml:space="preserve"> </w:t>
      </w:r>
      <w:r>
        <w:rPr>
          <w:color w:val="000000"/>
          <w:spacing w:val="-2"/>
          <w:shd w:val="clear" w:color="auto" w:fill="C0C0C0"/>
        </w:rPr>
        <w:t>建术”三项中的其中一项承担保险责任，给付其中一项保险金后，对其他项轻症疾病保险责任同时终止。</w:t>
      </w:r>
    </w:p>
    <w:p>
      <w:pPr>
        <w:spacing w:after="0" w:line="278" w:lineRule="auto"/>
        <w:jc w:val="both"/>
        <w:sectPr>
          <w:type w:val="continuous"/>
          <w:pgSz w:w="11910" w:h="16840"/>
          <w:pgMar w:top="280" w:right="660" w:bottom="280" w:left="580" w:header="0" w:footer="1060" w:gutter="0"/>
          <w:cols w:equalWidth="0" w:num="2">
            <w:col w:w="3138" w:space="40"/>
            <w:col w:w="7492"/>
          </w:cols>
        </w:sectPr>
      </w:pPr>
    </w:p>
    <w:p>
      <w:pPr>
        <w:pStyle w:val="6"/>
        <w:rPr>
          <w:sz w:val="18"/>
        </w:rPr>
      </w:pPr>
    </w:p>
    <w:p>
      <w:pPr>
        <w:spacing w:after="0"/>
        <w:rPr>
          <w:sz w:val="18"/>
        </w:rPr>
        <w:sectPr>
          <w:type w:val="continuous"/>
          <w:pgSz w:w="11910" w:h="16840"/>
          <w:pgMar w:top="280" w:right="660" w:bottom="280" w:left="580" w:header="0" w:footer="1060" w:gutter="0"/>
          <w:cols w:space="720" w:num="1"/>
        </w:sectPr>
      </w:pPr>
    </w:p>
    <w:p>
      <w:pPr>
        <w:pStyle w:val="4"/>
        <w:numPr>
          <w:ilvl w:val="2"/>
          <w:numId w:val="46"/>
        </w:numPr>
        <w:tabs>
          <w:tab w:val="left" w:pos="1053"/>
          <w:tab w:val="left" w:pos="1054"/>
        </w:tabs>
        <w:spacing w:before="71" w:after="0" w:line="240" w:lineRule="auto"/>
        <w:ind w:left="1054" w:right="0" w:hanging="1054"/>
        <w:jc w:val="right"/>
      </w:pPr>
      <w:r>
        <w:rPr>
          <w:spacing w:val="13"/>
          <w:w w:val="95"/>
        </w:rPr>
        <w:t>急性出血坏死</w:t>
      </w:r>
    </w:p>
    <w:p>
      <w:pPr>
        <w:spacing w:before="30"/>
        <w:ind w:left="0" w:right="0" w:firstLine="0"/>
        <w:jc w:val="right"/>
        <w:rPr>
          <w:sz w:val="22"/>
        </w:rPr>
      </w:pPr>
      <w:r>
        <w:rPr>
          <w:spacing w:val="19"/>
          <w:w w:val="95"/>
          <w:sz w:val="22"/>
        </w:rPr>
        <w:t>性胰腺炎</w:t>
      </w:r>
      <w:r>
        <w:rPr>
          <w:spacing w:val="3"/>
          <w:w w:val="95"/>
          <w:sz w:val="22"/>
        </w:rPr>
        <w:t>腹腔</w:t>
      </w:r>
    </w:p>
    <w:p>
      <w:pPr>
        <w:pStyle w:val="6"/>
        <w:spacing w:before="72" w:line="247" w:lineRule="auto"/>
        <w:ind w:left="208" w:right="342"/>
      </w:pPr>
      <w:r>
        <w:br w:type="column"/>
      </w:r>
      <w:r>
        <w:rPr>
          <w:spacing w:val="-2"/>
        </w:rPr>
        <w:t>指被保险人确诊为急性出血坏死性胰腺炎，并实际接受了腹腔镜手术治疗，以进行坏死组织清除、坏死病灶切除或胰腺切除。</w:t>
      </w:r>
    </w:p>
    <w:p>
      <w:pPr>
        <w:spacing w:after="0" w:line="247" w:lineRule="auto"/>
        <w:sectPr>
          <w:type w:val="continuous"/>
          <w:pgSz w:w="11910" w:h="16840"/>
          <w:pgMar w:top="280" w:right="660" w:bottom="280" w:left="580" w:header="0" w:footer="1060" w:gutter="0"/>
          <w:cols w:equalWidth="0" w:num="2">
            <w:col w:w="3138" w:space="40"/>
            <w:col w:w="7492"/>
          </w:cols>
        </w:sectPr>
      </w:pPr>
    </w:p>
    <w:tbl>
      <w:tblPr>
        <w:tblStyle w:val="7"/>
        <w:tblW w:w="0" w:type="auto"/>
        <w:tblInd w:w="68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94"/>
        <w:gridCol w:w="1677"/>
        <w:gridCol w:w="71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3" w:hRule="atLeast"/>
        </w:trPr>
        <w:tc>
          <w:tcPr>
            <w:tcW w:w="894" w:type="dxa"/>
          </w:tcPr>
          <w:p>
            <w:pPr>
              <w:pStyle w:val="11"/>
              <w:rPr>
                <w:rFonts w:ascii="Times New Roman"/>
                <w:sz w:val="20"/>
              </w:rPr>
            </w:pPr>
          </w:p>
        </w:tc>
        <w:tc>
          <w:tcPr>
            <w:tcW w:w="1677" w:type="dxa"/>
          </w:tcPr>
          <w:p>
            <w:pPr>
              <w:pStyle w:val="11"/>
              <w:spacing w:line="253" w:lineRule="exact"/>
              <w:ind w:left="209"/>
              <w:rPr>
                <w:sz w:val="22"/>
              </w:rPr>
            </w:pPr>
            <w:r>
              <w:rPr>
                <w:w w:val="95"/>
                <w:sz w:val="22"/>
              </w:rPr>
              <w:t>镜手</w:t>
            </w:r>
            <w:r>
              <w:rPr>
                <w:spacing w:val="-10"/>
                <w:w w:val="95"/>
                <w:sz w:val="22"/>
              </w:rPr>
              <w:t>术</w:t>
            </w:r>
          </w:p>
        </w:tc>
        <w:tc>
          <w:tcPr>
            <w:tcW w:w="7106" w:type="dxa"/>
          </w:tcPr>
          <w:p>
            <w:pPr>
              <w:pStyle w:val="11"/>
              <w:spacing w:line="241" w:lineRule="exact"/>
              <w:ind w:left="140"/>
              <w:rPr>
                <w:sz w:val="21"/>
              </w:rPr>
            </w:pPr>
            <w:r>
              <w:rPr>
                <w:color w:val="000000"/>
                <w:spacing w:val="-3"/>
                <w:sz w:val="21"/>
                <w:shd w:val="clear" w:color="auto" w:fill="C0C0C0"/>
              </w:rPr>
              <w:t>因酗酒或饮酒过量所致的急性坏死胰腺炎不在保障范围内。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894" w:type="dxa"/>
          </w:tcPr>
          <w:p>
            <w:pPr>
              <w:pStyle w:val="11"/>
              <w:spacing w:before="172" w:line="281" w:lineRule="exact"/>
              <w:ind w:left="50"/>
              <w:rPr>
                <w:sz w:val="22"/>
              </w:rPr>
            </w:pPr>
            <w:r>
              <w:rPr>
                <w:spacing w:val="-2"/>
                <w:sz w:val="22"/>
              </w:rPr>
              <w:t>8.3.39</w:t>
            </w:r>
          </w:p>
        </w:tc>
        <w:tc>
          <w:tcPr>
            <w:tcW w:w="1677" w:type="dxa"/>
          </w:tcPr>
          <w:p>
            <w:pPr>
              <w:pStyle w:val="11"/>
              <w:spacing w:before="172" w:line="281" w:lineRule="exact"/>
              <w:ind w:left="209"/>
              <w:rPr>
                <w:sz w:val="22"/>
              </w:rPr>
            </w:pPr>
            <w:r>
              <w:rPr>
                <w:w w:val="95"/>
                <w:sz w:val="22"/>
              </w:rPr>
              <w:t>破伤风感</w:t>
            </w:r>
            <w:r>
              <w:rPr>
                <w:spacing w:val="-10"/>
                <w:w w:val="95"/>
                <w:sz w:val="22"/>
              </w:rPr>
              <w:t>染</w:t>
            </w:r>
          </w:p>
        </w:tc>
        <w:tc>
          <w:tcPr>
            <w:tcW w:w="7106" w:type="dxa"/>
          </w:tcPr>
          <w:p>
            <w:pPr>
              <w:pStyle w:val="11"/>
              <w:spacing w:before="10"/>
              <w:rPr>
                <w:sz w:val="14"/>
              </w:rPr>
            </w:pPr>
          </w:p>
          <w:p>
            <w:pPr>
              <w:pStyle w:val="11"/>
              <w:spacing w:line="264" w:lineRule="exact"/>
              <w:ind w:left="107"/>
              <w:rPr>
                <w:sz w:val="21"/>
              </w:rPr>
            </w:pPr>
            <w:r>
              <w:rPr>
                <w:spacing w:val="-3"/>
                <w:sz w:val="21"/>
              </w:rPr>
              <w:t>破伤风梭菌经由皮或黏膜伤口侵入人体，在缺氧环境下生长繁殖，产生毒素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0" w:hRule="atLeast"/>
        </w:trPr>
        <w:tc>
          <w:tcPr>
            <w:tcW w:w="894" w:type="dxa"/>
          </w:tcPr>
          <w:p>
            <w:pPr>
              <w:pStyle w:val="11"/>
              <w:rPr>
                <w:rFonts w:ascii="Times New Roman"/>
                <w:sz w:val="20"/>
              </w:rPr>
            </w:pPr>
          </w:p>
        </w:tc>
        <w:tc>
          <w:tcPr>
            <w:tcW w:w="1677" w:type="dxa"/>
          </w:tcPr>
          <w:p>
            <w:pPr>
              <w:pStyle w:val="11"/>
              <w:rPr>
                <w:rFonts w:ascii="Times New Roman"/>
                <w:sz w:val="20"/>
              </w:rPr>
            </w:pPr>
          </w:p>
        </w:tc>
        <w:tc>
          <w:tcPr>
            <w:tcW w:w="7106" w:type="dxa"/>
          </w:tcPr>
          <w:p>
            <w:pPr>
              <w:pStyle w:val="11"/>
              <w:spacing w:before="16" w:line="264" w:lineRule="exact"/>
              <w:ind w:left="107"/>
              <w:rPr>
                <w:sz w:val="21"/>
              </w:rPr>
            </w:pPr>
            <w:r>
              <w:rPr>
                <w:spacing w:val="-3"/>
                <w:sz w:val="21"/>
              </w:rPr>
              <w:t>而引起肌痉挛的一种特异性感染，须经专科医生明确诊断，并有病原学检测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7" w:hRule="atLeast"/>
        </w:trPr>
        <w:tc>
          <w:tcPr>
            <w:tcW w:w="894" w:type="dxa"/>
          </w:tcPr>
          <w:p>
            <w:pPr>
              <w:pStyle w:val="11"/>
              <w:rPr>
                <w:rFonts w:ascii="Times New Roman"/>
                <w:sz w:val="20"/>
              </w:rPr>
            </w:pPr>
          </w:p>
        </w:tc>
        <w:tc>
          <w:tcPr>
            <w:tcW w:w="1677" w:type="dxa"/>
          </w:tcPr>
          <w:p>
            <w:pPr>
              <w:pStyle w:val="11"/>
              <w:rPr>
                <w:rFonts w:ascii="Times New Roman"/>
                <w:sz w:val="20"/>
              </w:rPr>
            </w:pPr>
          </w:p>
        </w:tc>
        <w:tc>
          <w:tcPr>
            <w:tcW w:w="7106" w:type="dxa"/>
          </w:tcPr>
          <w:p>
            <w:pPr>
              <w:pStyle w:val="11"/>
              <w:spacing w:before="16"/>
              <w:ind w:left="107"/>
              <w:rPr>
                <w:sz w:val="21"/>
              </w:rPr>
            </w:pPr>
            <w:r>
              <w:rPr>
                <w:spacing w:val="-4"/>
                <w:sz w:val="21"/>
              </w:rPr>
              <w:t>的结果证实。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trPr>
        <w:tc>
          <w:tcPr>
            <w:tcW w:w="894" w:type="dxa"/>
          </w:tcPr>
          <w:p>
            <w:pPr>
              <w:pStyle w:val="11"/>
              <w:spacing w:before="163" w:line="276" w:lineRule="exact"/>
              <w:ind w:left="50"/>
              <w:rPr>
                <w:sz w:val="22"/>
              </w:rPr>
            </w:pPr>
            <w:r>
              <w:rPr>
                <w:spacing w:val="-2"/>
                <w:sz w:val="22"/>
              </w:rPr>
              <w:t>8.3.40</w:t>
            </w:r>
          </w:p>
        </w:tc>
        <w:tc>
          <w:tcPr>
            <w:tcW w:w="1677" w:type="dxa"/>
          </w:tcPr>
          <w:p>
            <w:pPr>
              <w:pStyle w:val="11"/>
              <w:spacing w:before="163" w:line="276" w:lineRule="exact"/>
              <w:ind w:left="209"/>
              <w:rPr>
                <w:sz w:val="22"/>
              </w:rPr>
            </w:pPr>
            <w:r>
              <w:rPr>
                <w:spacing w:val="19"/>
                <w:w w:val="95"/>
                <w:sz w:val="22"/>
              </w:rPr>
              <w:t>外伤性全</w:t>
            </w:r>
            <w:r>
              <w:rPr>
                <w:spacing w:val="3"/>
                <w:w w:val="95"/>
                <w:sz w:val="22"/>
              </w:rPr>
              <w:t>脾切</w:t>
            </w:r>
          </w:p>
        </w:tc>
        <w:tc>
          <w:tcPr>
            <w:tcW w:w="7106" w:type="dxa"/>
          </w:tcPr>
          <w:p>
            <w:pPr>
              <w:pStyle w:val="11"/>
              <w:spacing w:before="173" w:line="266" w:lineRule="exact"/>
              <w:ind w:left="109"/>
              <w:rPr>
                <w:sz w:val="21"/>
              </w:rPr>
            </w:pPr>
            <w:r>
              <w:rPr>
                <w:spacing w:val="-2"/>
                <w:sz w:val="21"/>
              </w:rPr>
              <w:t>被保险人因严重腹部外伤，脾破裂实际接受了全脾切除手术，</w:t>
            </w:r>
            <w:r>
              <w:rPr>
                <w:color w:val="000000"/>
                <w:spacing w:val="-4"/>
                <w:sz w:val="21"/>
                <w:shd w:val="clear" w:color="auto" w:fill="C0C0C0"/>
              </w:rPr>
              <w:t>单纯脾修补术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6" w:hRule="atLeast"/>
        </w:trPr>
        <w:tc>
          <w:tcPr>
            <w:tcW w:w="894" w:type="dxa"/>
          </w:tcPr>
          <w:p>
            <w:pPr>
              <w:pStyle w:val="11"/>
              <w:rPr>
                <w:rFonts w:ascii="Times New Roman"/>
                <w:sz w:val="20"/>
              </w:rPr>
            </w:pPr>
          </w:p>
        </w:tc>
        <w:tc>
          <w:tcPr>
            <w:tcW w:w="1677" w:type="dxa"/>
          </w:tcPr>
          <w:p>
            <w:pPr>
              <w:pStyle w:val="11"/>
              <w:spacing w:before="16" w:line="281" w:lineRule="exact"/>
              <w:ind w:left="209"/>
              <w:rPr>
                <w:sz w:val="22"/>
              </w:rPr>
            </w:pPr>
            <w:r>
              <w:rPr>
                <w:w w:val="95"/>
                <w:sz w:val="22"/>
              </w:rPr>
              <w:t>除手</w:t>
            </w:r>
            <w:r>
              <w:rPr>
                <w:spacing w:val="-10"/>
                <w:w w:val="95"/>
                <w:sz w:val="22"/>
              </w:rPr>
              <w:t>术</w:t>
            </w:r>
          </w:p>
        </w:tc>
        <w:tc>
          <w:tcPr>
            <w:tcW w:w="7106" w:type="dxa"/>
          </w:tcPr>
          <w:p>
            <w:pPr>
              <w:pStyle w:val="11"/>
              <w:spacing w:before="26"/>
              <w:ind w:left="109"/>
              <w:rPr>
                <w:sz w:val="21"/>
              </w:rPr>
            </w:pPr>
            <w:r>
              <w:rPr>
                <w:color w:val="000000"/>
                <w:spacing w:val="-3"/>
                <w:sz w:val="21"/>
                <w:shd w:val="clear" w:color="auto" w:fill="C0C0C0"/>
              </w:rPr>
              <w:t>和脾部分切除术不在保障范围内，因外伤以外原因导致的全脾切除术不在保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2" w:hRule="atLeast"/>
        </w:trPr>
        <w:tc>
          <w:tcPr>
            <w:tcW w:w="894" w:type="dxa"/>
          </w:tcPr>
          <w:p>
            <w:pPr>
              <w:pStyle w:val="11"/>
              <w:rPr>
                <w:rFonts w:ascii="Times New Roman"/>
                <w:sz w:val="20"/>
              </w:rPr>
            </w:pPr>
          </w:p>
        </w:tc>
        <w:tc>
          <w:tcPr>
            <w:tcW w:w="1677" w:type="dxa"/>
          </w:tcPr>
          <w:p>
            <w:pPr>
              <w:pStyle w:val="11"/>
              <w:rPr>
                <w:rFonts w:ascii="Times New Roman"/>
                <w:sz w:val="20"/>
              </w:rPr>
            </w:pPr>
          </w:p>
        </w:tc>
        <w:tc>
          <w:tcPr>
            <w:tcW w:w="7106" w:type="dxa"/>
          </w:tcPr>
          <w:p>
            <w:pPr>
              <w:pStyle w:val="11"/>
              <w:spacing w:before="21"/>
              <w:ind w:left="109"/>
              <w:rPr>
                <w:sz w:val="21"/>
              </w:rPr>
            </w:pPr>
            <w:r>
              <w:rPr>
                <w:color w:val="000000"/>
                <w:spacing w:val="-4"/>
                <w:sz w:val="21"/>
                <w:shd w:val="clear" w:color="auto" w:fill="C0C0C0"/>
              </w:rPr>
              <w:t>障范围内。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894" w:type="dxa"/>
          </w:tcPr>
          <w:p>
            <w:pPr>
              <w:pStyle w:val="11"/>
              <w:spacing w:before="173" w:line="281" w:lineRule="exact"/>
              <w:ind w:left="50"/>
              <w:rPr>
                <w:sz w:val="22"/>
              </w:rPr>
            </w:pPr>
            <w:r>
              <w:rPr>
                <w:spacing w:val="-2"/>
                <w:sz w:val="22"/>
              </w:rPr>
              <w:t>8.3.41</w:t>
            </w:r>
          </w:p>
        </w:tc>
        <w:tc>
          <w:tcPr>
            <w:tcW w:w="1677" w:type="dxa"/>
          </w:tcPr>
          <w:p>
            <w:pPr>
              <w:pStyle w:val="11"/>
              <w:spacing w:before="173" w:line="281" w:lineRule="exact"/>
              <w:ind w:left="209"/>
              <w:rPr>
                <w:sz w:val="22"/>
              </w:rPr>
            </w:pPr>
            <w:r>
              <w:rPr>
                <w:w w:val="95"/>
                <w:sz w:val="22"/>
              </w:rPr>
              <w:t>原位</w:t>
            </w:r>
            <w:r>
              <w:rPr>
                <w:spacing w:val="-10"/>
                <w:w w:val="95"/>
                <w:sz w:val="22"/>
              </w:rPr>
              <w:t>癌</w:t>
            </w:r>
          </w:p>
        </w:tc>
        <w:tc>
          <w:tcPr>
            <w:tcW w:w="7106" w:type="dxa"/>
          </w:tcPr>
          <w:p>
            <w:pPr>
              <w:pStyle w:val="11"/>
              <w:spacing w:before="3"/>
              <w:rPr>
                <w:sz w:val="14"/>
              </w:rPr>
            </w:pPr>
          </w:p>
          <w:p>
            <w:pPr>
              <w:pStyle w:val="11"/>
              <w:ind w:left="109"/>
              <w:rPr>
                <w:sz w:val="21"/>
              </w:rPr>
            </w:pPr>
            <w:r>
              <w:rPr>
                <w:spacing w:val="-3"/>
                <w:sz w:val="21"/>
              </w:rPr>
              <w:t>恶性细胞局限于上皮内尚未穿破基底膜浸润周围正常组织的癌细胞新生物，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894" w:type="dxa"/>
          </w:tcPr>
          <w:p>
            <w:pPr>
              <w:pStyle w:val="11"/>
              <w:rPr>
                <w:rFonts w:ascii="Times New Roman"/>
                <w:sz w:val="20"/>
              </w:rPr>
            </w:pPr>
          </w:p>
        </w:tc>
        <w:tc>
          <w:tcPr>
            <w:tcW w:w="1677" w:type="dxa"/>
          </w:tcPr>
          <w:p>
            <w:pPr>
              <w:pStyle w:val="11"/>
              <w:rPr>
                <w:rFonts w:ascii="Times New Roman"/>
                <w:sz w:val="20"/>
              </w:rPr>
            </w:pPr>
          </w:p>
        </w:tc>
        <w:tc>
          <w:tcPr>
            <w:tcW w:w="7106" w:type="dxa"/>
          </w:tcPr>
          <w:p>
            <w:pPr>
              <w:pStyle w:val="11"/>
              <w:spacing w:before="21"/>
              <w:ind w:left="109"/>
              <w:rPr>
                <w:sz w:val="21"/>
              </w:rPr>
            </w:pPr>
            <w:r>
              <w:rPr>
                <w:spacing w:val="-3"/>
                <w:sz w:val="21"/>
              </w:rPr>
              <w:t>且须满足全部以下两个条件：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8" w:hRule="atLeast"/>
        </w:trPr>
        <w:tc>
          <w:tcPr>
            <w:tcW w:w="894" w:type="dxa"/>
          </w:tcPr>
          <w:p>
            <w:pPr>
              <w:pStyle w:val="11"/>
              <w:rPr>
                <w:rFonts w:ascii="Times New Roman"/>
                <w:sz w:val="20"/>
              </w:rPr>
            </w:pPr>
          </w:p>
        </w:tc>
        <w:tc>
          <w:tcPr>
            <w:tcW w:w="1677" w:type="dxa"/>
          </w:tcPr>
          <w:p>
            <w:pPr>
              <w:pStyle w:val="11"/>
              <w:rPr>
                <w:rFonts w:ascii="Times New Roman"/>
                <w:sz w:val="20"/>
              </w:rPr>
            </w:pPr>
          </w:p>
        </w:tc>
        <w:tc>
          <w:tcPr>
            <w:tcW w:w="7106" w:type="dxa"/>
          </w:tcPr>
          <w:p>
            <w:pPr>
              <w:pStyle w:val="11"/>
              <w:spacing w:before="22" w:line="267" w:lineRule="exact"/>
              <w:ind w:left="109"/>
              <w:rPr>
                <w:sz w:val="21"/>
              </w:rPr>
            </w:pPr>
            <w:r>
              <w:rPr>
                <w:sz w:val="21"/>
              </w:rPr>
              <w:t>（1）</w:t>
            </w:r>
            <w:r>
              <w:rPr>
                <w:spacing w:val="-1"/>
                <w:sz w:val="21"/>
              </w:rPr>
              <w:t>必须经对固定活组织的组织病理学检查明确诊断，属于世界卫生组织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7" w:hRule="atLeast"/>
        </w:trPr>
        <w:tc>
          <w:tcPr>
            <w:tcW w:w="894" w:type="dxa"/>
          </w:tcPr>
          <w:p>
            <w:pPr>
              <w:pStyle w:val="11"/>
              <w:rPr>
                <w:rFonts w:ascii="Times New Roman"/>
                <w:sz w:val="20"/>
              </w:rPr>
            </w:pPr>
          </w:p>
        </w:tc>
        <w:tc>
          <w:tcPr>
            <w:tcW w:w="1677" w:type="dxa"/>
          </w:tcPr>
          <w:p>
            <w:pPr>
              <w:pStyle w:val="11"/>
              <w:rPr>
                <w:rFonts w:ascii="Times New Roman"/>
                <w:sz w:val="20"/>
              </w:rPr>
            </w:pPr>
          </w:p>
        </w:tc>
        <w:tc>
          <w:tcPr>
            <w:tcW w:w="7106" w:type="dxa"/>
          </w:tcPr>
          <w:p>
            <w:pPr>
              <w:pStyle w:val="11"/>
              <w:spacing w:before="25"/>
              <w:ind w:left="109"/>
              <w:rPr>
                <w:sz w:val="21"/>
              </w:rPr>
            </w:pPr>
            <w:r>
              <w:rPr>
                <w:spacing w:val="-4"/>
                <w:sz w:val="21"/>
              </w:rPr>
              <w:t>《疾病和有关健康问题的国际统计分类</w:t>
            </w:r>
            <w:r>
              <w:rPr>
                <w:spacing w:val="-205"/>
                <w:sz w:val="21"/>
              </w:rPr>
              <w:t>》</w:t>
            </w:r>
            <w:r>
              <w:rPr>
                <w:spacing w:val="-4"/>
                <w:sz w:val="21"/>
              </w:rPr>
              <w:t>（</w:t>
            </w:r>
            <w:r>
              <w:rPr>
                <w:rFonts w:ascii="Times New Roman" w:eastAsia="Times New Roman"/>
                <w:spacing w:val="-4"/>
                <w:sz w:val="21"/>
              </w:rPr>
              <w:t>ICD-10</w:t>
            </w:r>
            <w:r>
              <w:rPr>
                <w:spacing w:val="-4"/>
                <w:sz w:val="21"/>
              </w:rPr>
              <w:t>）</w:t>
            </w:r>
            <w:r>
              <w:rPr>
                <w:spacing w:val="-20"/>
                <w:sz w:val="21"/>
              </w:rPr>
              <w:t>的原位癌范畴</w:t>
            </w:r>
            <w:r>
              <w:rPr>
                <w:spacing w:val="-4"/>
                <w:sz w:val="21"/>
              </w:rPr>
              <w:t>（</w:t>
            </w:r>
            <w:r>
              <w:rPr>
                <w:rFonts w:ascii="Times New Roman" w:eastAsia="Times New Roman"/>
                <w:spacing w:val="-4"/>
                <w:sz w:val="21"/>
              </w:rPr>
              <w:t>D00-</w:t>
            </w:r>
            <w:r>
              <w:rPr>
                <w:rFonts w:ascii="Times New Roman" w:eastAsia="Times New Roman"/>
                <w:spacing w:val="23"/>
                <w:sz w:val="21"/>
              </w:rPr>
              <w:t>D0</w:t>
            </w:r>
            <w:r>
              <w:rPr>
                <w:rFonts w:ascii="Times New Roman" w:eastAsia="Times New Roman"/>
                <w:spacing w:val="20"/>
                <w:sz w:val="21"/>
              </w:rPr>
              <w:t>9</w:t>
            </w:r>
            <w:r>
              <w:rPr>
                <w:spacing w:val="-85"/>
                <w:sz w:val="21"/>
              </w:rPr>
              <w:t>）；</w:t>
            </w:r>
          </w:p>
          <w:p>
            <w:pPr>
              <w:pStyle w:val="11"/>
              <w:spacing w:before="43" w:line="220" w:lineRule="exact"/>
              <w:ind w:left="109"/>
              <w:rPr>
                <w:sz w:val="21"/>
              </w:rPr>
            </w:pPr>
            <w:r>
              <w:rPr>
                <w:spacing w:val="-2"/>
                <w:sz w:val="21"/>
              </w:rPr>
              <w:t>（2）</w:t>
            </w:r>
            <w:r>
              <w:rPr>
                <w:spacing w:val="-3"/>
                <w:sz w:val="21"/>
              </w:rPr>
              <w:t>被保险人必须已经接受了针对原位癌病灶的手术治疗。</w:t>
            </w:r>
          </w:p>
        </w:tc>
      </w:tr>
    </w:tbl>
    <w:p>
      <w:pPr>
        <w:pStyle w:val="6"/>
        <w:rPr>
          <w:sz w:val="20"/>
        </w:rPr>
      </w:pPr>
    </w:p>
    <w:p>
      <w:pPr>
        <w:pStyle w:val="6"/>
        <w:rPr>
          <w:sz w:val="20"/>
        </w:rPr>
      </w:pPr>
    </w:p>
    <w:p>
      <w:pPr>
        <w:pStyle w:val="6"/>
        <w:rPr>
          <w:sz w:val="20"/>
        </w:rPr>
      </w:pPr>
    </w:p>
    <w:p>
      <w:pPr>
        <w:pStyle w:val="6"/>
        <w:spacing w:before="11"/>
        <w:rPr>
          <w:sz w:val="16"/>
        </w:rPr>
      </w:pPr>
      <w:r>
        <w:drawing>
          <wp:anchor distT="0" distB="0" distL="0" distR="0" simplePos="0" relativeHeight="251659264" behindDoc="0" locked="0" layoutInCell="1" allowOverlap="1">
            <wp:simplePos x="0" y="0"/>
            <wp:positionH relativeFrom="page">
              <wp:posOffset>808990</wp:posOffset>
            </wp:positionH>
            <wp:positionV relativeFrom="paragraph">
              <wp:posOffset>152400</wp:posOffset>
            </wp:positionV>
            <wp:extent cx="6086475" cy="8890"/>
            <wp:effectExtent l="0" t="0" r="0" b="0"/>
            <wp:wrapTopAndBottom/>
            <wp:docPr id="9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5.png"/>
                    <pic:cNvPicPr>
                      <a:picLocks noChangeAspect="1"/>
                    </pic:cNvPicPr>
                  </pic:nvPicPr>
                  <pic:blipFill>
                    <a:blip r:embed="rId41" cstate="print"/>
                    <a:stretch>
                      <a:fillRect/>
                    </a:stretch>
                  </pic:blipFill>
                  <pic:spPr>
                    <a:xfrm>
                      <a:off x="0" y="0"/>
                      <a:ext cx="6086601" cy="9144"/>
                    </a:xfrm>
                    <a:prstGeom prst="rect">
                      <a:avLst/>
                    </a:prstGeom>
                  </pic:spPr>
                </pic:pic>
              </a:graphicData>
            </a:graphic>
          </wp:anchor>
        </w:drawing>
      </w:r>
    </w:p>
    <w:p>
      <w:pPr>
        <w:pStyle w:val="6"/>
        <w:spacing w:before="22"/>
        <w:ind w:left="4906" w:right="4597"/>
        <w:jc w:val="center"/>
      </w:pPr>
      <w:r>
        <w:rPr>
          <w:spacing w:val="-4"/>
        </w:rPr>
        <w:t>以 下 空 白</w:t>
      </w:r>
    </w:p>
    <w:sectPr>
      <w:pgSz w:w="11910" w:h="16840"/>
      <w:pgMar w:top="1520" w:right="660" w:bottom="1260" w:left="580" w:header="0" w:footer="106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pict>
        <v:shape id="docshape11" o:spid="_x0000_s2049" o:spt="202" type="#_x0000_t202" style="position:absolute;left:0pt;margin-left:291.85pt;margin-top:777.9pt;height:12pt;width:26.15pt;mso-position-horizontal-relative:page;mso-position-vertical-relative:page;z-index:-251618304;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r>
                  <w:rPr>
                    <w:rFonts w:ascii="Times New Roman"/>
                    <w:spacing w:val="-2"/>
                    <w:sz w:val="18"/>
                  </w:rPr>
                  <w:t>41-</w:t>
                </w:r>
                <w:r>
                  <w:rPr>
                    <w:rFonts w:ascii="Times New Roman"/>
                    <w:spacing w:val="-7"/>
                    <w:sz w:val="18"/>
                  </w:rPr>
                  <w:fldChar w:fldCharType="begin"/>
                </w:r>
                <w:r>
                  <w:rPr>
                    <w:rFonts w:ascii="Times New Roman"/>
                    <w:spacing w:val="-7"/>
                    <w:sz w:val="18"/>
                  </w:rPr>
                  <w:instrText xml:space="preserve"> PAGE </w:instrText>
                </w:r>
                <w:r>
                  <w:rPr>
                    <w:rFonts w:ascii="Times New Roman"/>
                    <w:spacing w:val="-7"/>
                    <w:sz w:val="18"/>
                  </w:rPr>
                  <w:fldChar w:fldCharType="separate"/>
                </w:r>
                <w:r>
                  <w:rPr>
                    <w:rFonts w:ascii="Times New Roman"/>
                    <w:spacing w:val="-7"/>
                    <w:sz w:val="18"/>
                  </w:rPr>
                  <w:t>10</w:t>
                </w:r>
                <w:r>
                  <w:rPr>
                    <w:rFonts w:ascii="Times New Roman"/>
                    <w:spacing w:val="-7"/>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8"/>
      <w:numFmt w:val="decimal"/>
      <w:lvlText w:val="%1"/>
      <w:lvlJc w:val="left"/>
      <w:pPr>
        <w:ind w:left="3385" w:hanging="1102"/>
        <w:jc w:val="left"/>
      </w:pPr>
      <w:rPr>
        <w:rFonts w:hint="default"/>
        <w:lang w:val="en-US" w:eastAsia="zh-CN" w:bidi="ar-SA"/>
      </w:rPr>
    </w:lvl>
    <w:lvl w:ilvl="1" w:tentative="0">
      <w:start w:val="1"/>
      <w:numFmt w:val="decimal"/>
      <w:lvlText w:val="%1.%2"/>
      <w:lvlJc w:val="left"/>
      <w:pPr>
        <w:ind w:left="3385" w:hanging="1102"/>
        <w:jc w:val="left"/>
      </w:pPr>
      <w:rPr>
        <w:rFonts w:hint="default"/>
        <w:lang w:val="en-US" w:eastAsia="zh-CN" w:bidi="ar-SA"/>
      </w:rPr>
    </w:lvl>
    <w:lvl w:ilvl="2" w:tentative="0">
      <w:start w:val="106"/>
      <w:numFmt w:val="decimal"/>
      <w:lvlText w:val="%1.%2.%3"/>
      <w:lvlJc w:val="left"/>
      <w:pPr>
        <w:ind w:left="3385" w:hanging="1102"/>
        <w:jc w:val="left"/>
      </w:pPr>
      <w:rPr>
        <w:rFonts w:hint="default" w:ascii="宋体" w:hAnsi="宋体" w:eastAsia="宋体" w:cs="宋体"/>
        <w:b w:val="0"/>
        <w:bCs w:val="0"/>
        <w:i w:val="0"/>
        <w:iCs w:val="0"/>
        <w:spacing w:val="-3"/>
        <w:w w:val="96"/>
        <w:sz w:val="22"/>
        <w:szCs w:val="22"/>
        <w:lang w:val="en-US" w:eastAsia="zh-CN" w:bidi="ar-SA"/>
      </w:rPr>
    </w:lvl>
    <w:lvl w:ilvl="3" w:tentative="0">
      <w:start w:val="0"/>
      <w:numFmt w:val="bullet"/>
      <w:lvlText w:val="•"/>
      <w:lvlJc w:val="left"/>
      <w:pPr>
        <w:ind w:left="5565" w:hanging="1102"/>
      </w:pPr>
      <w:rPr>
        <w:rFonts w:hint="default"/>
        <w:lang w:val="en-US" w:eastAsia="zh-CN" w:bidi="ar-SA"/>
      </w:rPr>
    </w:lvl>
    <w:lvl w:ilvl="4" w:tentative="0">
      <w:start w:val="0"/>
      <w:numFmt w:val="bullet"/>
      <w:lvlText w:val="•"/>
      <w:lvlJc w:val="left"/>
      <w:pPr>
        <w:ind w:left="6294" w:hanging="1102"/>
      </w:pPr>
      <w:rPr>
        <w:rFonts w:hint="default"/>
        <w:lang w:val="en-US" w:eastAsia="zh-CN" w:bidi="ar-SA"/>
      </w:rPr>
    </w:lvl>
    <w:lvl w:ilvl="5" w:tentative="0">
      <w:start w:val="0"/>
      <w:numFmt w:val="bullet"/>
      <w:lvlText w:val="•"/>
      <w:lvlJc w:val="left"/>
      <w:pPr>
        <w:ind w:left="7023" w:hanging="1102"/>
      </w:pPr>
      <w:rPr>
        <w:rFonts w:hint="default"/>
        <w:lang w:val="en-US" w:eastAsia="zh-CN" w:bidi="ar-SA"/>
      </w:rPr>
    </w:lvl>
    <w:lvl w:ilvl="6" w:tentative="0">
      <w:start w:val="0"/>
      <w:numFmt w:val="bullet"/>
      <w:lvlText w:val="•"/>
      <w:lvlJc w:val="left"/>
      <w:pPr>
        <w:ind w:left="7751" w:hanging="1102"/>
      </w:pPr>
      <w:rPr>
        <w:rFonts w:hint="default"/>
        <w:lang w:val="en-US" w:eastAsia="zh-CN" w:bidi="ar-SA"/>
      </w:rPr>
    </w:lvl>
    <w:lvl w:ilvl="7" w:tentative="0">
      <w:start w:val="0"/>
      <w:numFmt w:val="bullet"/>
      <w:lvlText w:val="•"/>
      <w:lvlJc w:val="left"/>
      <w:pPr>
        <w:ind w:left="8480" w:hanging="1102"/>
      </w:pPr>
      <w:rPr>
        <w:rFonts w:hint="default"/>
        <w:lang w:val="en-US" w:eastAsia="zh-CN" w:bidi="ar-SA"/>
      </w:rPr>
    </w:lvl>
    <w:lvl w:ilvl="8" w:tentative="0">
      <w:start w:val="0"/>
      <w:numFmt w:val="bullet"/>
      <w:lvlText w:val="•"/>
      <w:lvlJc w:val="left"/>
      <w:pPr>
        <w:ind w:left="9209" w:hanging="1102"/>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174" w:hanging="528"/>
        <w:jc w:val="left"/>
      </w:pPr>
      <w:rPr>
        <w:rFonts w:hint="default" w:ascii="宋体" w:hAnsi="宋体" w:eastAsia="宋体" w:cs="宋体"/>
        <w:b w:val="0"/>
        <w:bCs w:val="0"/>
        <w:i w:val="0"/>
        <w:iCs w:val="0"/>
        <w:spacing w:val="-13"/>
        <w:w w:val="100"/>
        <w:sz w:val="19"/>
        <w:szCs w:val="19"/>
        <w:lang w:val="en-US" w:eastAsia="zh-CN" w:bidi="ar-SA"/>
      </w:rPr>
    </w:lvl>
    <w:lvl w:ilvl="1" w:tentative="0">
      <w:start w:val="1"/>
      <w:numFmt w:val="decimal"/>
      <w:lvlText w:val="（%2）"/>
      <w:lvlJc w:val="left"/>
      <w:pPr>
        <w:ind w:left="3914" w:hanging="530"/>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312" w:hanging="530"/>
      </w:pPr>
      <w:rPr>
        <w:rFonts w:hint="default"/>
        <w:lang w:val="en-US" w:eastAsia="zh-CN" w:bidi="ar-SA"/>
      </w:rPr>
    </w:lvl>
    <w:lvl w:ilvl="3" w:tentative="0">
      <w:start w:val="0"/>
      <w:numFmt w:val="bullet"/>
      <w:lvlText w:val="•"/>
      <w:lvlJc w:val="left"/>
      <w:pPr>
        <w:ind w:left="4705" w:hanging="530"/>
      </w:pPr>
      <w:rPr>
        <w:rFonts w:hint="default"/>
        <w:lang w:val="en-US" w:eastAsia="zh-CN" w:bidi="ar-SA"/>
      </w:rPr>
    </w:lvl>
    <w:lvl w:ilvl="4" w:tentative="0">
      <w:start w:val="0"/>
      <w:numFmt w:val="bullet"/>
      <w:lvlText w:val="•"/>
      <w:lvlJc w:val="left"/>
      <w:pPr>
        <w:ind w:left="5098" w:hanging="530"/>
      </w:pPr>
      <w:rPr>
        <w:rFonts w:hint="default"/>
        <w:lang w:val="en-US" w:eastAsia="zh-CN" w:bidi="ar-SA"/>
      </w:rPr>
    </w:lvl>
    <w:lvl w:ilvl="5" w:tentative="0">
      <w:start w:val="0"/>
      <w:numFmt w:val="bullet"/>
      <w:lvlText w:val="•"/>
      <w:lvlJc w:val="left"/>
      <w:pPr>
        <w:ind w:left="5491" w:hanging="530"/>
      </w:pPr>
      <w:rPr>
        <w:rFonts w:hint="default"/>
        <w:lang w:val="en-US" w:eastAsia="zh-CN" w:bidi="ar-SA"/>
      </w:rPr>
    </w:lvl>
    <w:lvl w:ilvl="6" w:tentative="0">
      <w:start w:val="0"/>
      <w:numFmt w:val="bullet"/>
      <w:lvlText w:val="•"/>
      <w:lvlJc w:val="left"/>
      <w:pPr>
        <w:ind w:left="5884" w:hanging="530"/>
      </w:pPr>
      <w:rPr>
        <w:rFonts w:hint="default"/>
        <w:lang w:val="en-US" w:eastAsia="zh-CN" w:bidi="ar-SA"/>
      </w:rPr>
    </w:lvl>
    <w:lvl w:ilvl="7" w:tentative="0">
      <w:start w:val="0"/>
      <w:numFmt w:val="bullet"/>
      <w:lvlText w:val="•"/>
      <w:lvlJc w:val="left"/>
      <w:pPr>
        <w:ind w:left="6277" w:hanging="530"/>
      </w:pPr>
      <w:rPr>
        <w:rFonts w:hint="default"/>
        <w:lang w:val="en-US" w:eastAsia="zh-CN" w:bidi="ar-SA"/>
      </w:rPr>
    </w:lvl>
    <w:lvl w:ilvl="8" w:tentative="0">
      <w:start w:val="0"/>
      <w:numFmt w:val="bullet"/>
      <w:lvlText w:val="•"/>
      <w:lvlJc w:val="left"/>
      <w:pPr>
        <w:ind w:left="6669" w:hanging="530"/>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174" w:hanging="530"/>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07" w:hanging="530"/>
      </w:pPr>
      <w:rPr>
        <w:rFonts w:hint="default"/>
        <w:lang w:val="en-US" w:eastAsia="zh-CN" w:bidi="ar-SA"/>
      </w:rPr>
    </w:lvl>
    <w:lvl w:ilvl="2" w:tentative="0">
      <w:start w:val="0"/>
      <w:numFmt w:val="bullet"/>
      <w:lvlText w:val="•"/>
      <w:lvlJc w:val="left"/>
      <w:pPr>
        <w:ind w:left="1635" w:hanging="530"/>
      </w:pPr>
      <w:rPr>
        <w:rFonts w:hint="default"/>
        <w:lang w:val="en-US" w:eastAsia="zh-CN" w:bidi="ar-SA"/>
      </w:rPr>
    </w:lvl>
    <w:lvl w:ilvl="3" w:tentative="0">
      <w:start w:val="0"/>
      <w:numFmt w:val="bullet"/>
      <w:lvlText w:val="•"/>
      <w:lvlJc w:val="left"/>
      <w:pPr>
        <w:ind w:left="2362" w:hanging="530"/>
      </w:pPr>
      <w:rPr>
        <w:rFonts w:hint="default"/>
        <w:lang w:val="en-US" w:eastAsia="zh-CN" w:bidi="ar-SA"/>
      </w:rPr>
    </w:lvl>
    <w:lvl w:ilvl="4" w:tentative="0">
      <w:start w:val="0"/>
      <w:numFmt w:val="bullet"/>
      <w:lvlText w:val="•"/>
      <w:lvlJc w:val="left"/>
      <w:pPr>
        <w:ind w:left="3090" w:hanging="530"/>
      </w:pPr>
      <w:rPr>
        <w:rFonts w:hint="default"/>
        <w:lang w:val="en-US" w:eastAsia="zh-CN" w:bidi="ar-SA"/>
      </w:rPr>
    </w:lvl>
    <w:lvl w:ilvl="5" w:tentative="0">
      <w:start w:val="0"/>
      <w:numFmt w:val="bullet"/>
      <w:lvlText w:val="•"/>
      <w:lvlJc w:val="left"/>
      <w:pPr>
        <w:ind w:left="3817" w:hanging="530"/>
      </w:pPr>
      <w:rPr>
        <w:rFonts w:hint="default"/>
        <w:lang w:val="en-US" w:eastAsia="zh-CN" w:bidi="ar-SA"/>
      </w:rPr>
    </w:lvl>
    <w:lvl w:ilvl="6" w:tentative="0">
      <w:start w:val="0"/>
      <w:numFmt w:val="bullet"/>
      <w:lvlText w:val="•"/>
      <w:lvlJc w:val="left"/>
      <w:pPr>
        <w:ind w:left="4545" w:hanging="530"/>
      </w:pPr>
      <w:rPr>
        <w:rFonts w:hint="default"/>
        <w:lang w:val="en-US" w:eastAsia="zh-CN" w:bidi="ar-SA"/>
      </w:rPr>
    </w:lvl>
    <w:lvl w:ilvl="7" w:tentative="0">
      <w:start w:val="0"/>
      <w:numFmt w:val="bullet"/>
      <w:lvlText w:val="•"/>
      <w:lvlJc w:val="left"/>
      <w:pPr>
        <w:ind w:left="5272" w:hanging="530"/>
      </w:pPr>
      <w:rPr>
        <w:rFonts w:hint="default"/>
        <w:lang w:val="en-US" w:eastAsia="zh-CN" w:bidi="ar-SA"/>
      </w:rPr>
    </w:lvl>
    <w:lvl w:ilvl="8" w:tentative="0">
      <w:start w:val="0"/>
      <w:numFmt w:val="bullet"/>
      <w:lvlText w:val="•"/>
      <w:lvlJc w:val="left"/>
      <w:pPr>
        <w:ind w:left="6000" w:hanging="530"/>
      </w:pPr>
      <w:rPr>
        <w:rFonts w:hint="default"/>
        <w:lang w:val="en-US" w:eastAsia="zh-CN" w:bidi="ar-SA"/>
      </w:rPr>
    </w:lvl>
  </w:abstractNum>
  <w:abstractNum w:abstractNumId="5">
    <w:nsid w:val="9239341B"/>
    <w:multiLevelType w:val="multilevel"/>
    <w:tmpl w:val="9239341B"/>
    <w:lvl w:ilvl="0" w:tentative="0">
      <w:start w:val="4"/>
      <w:numFmt w:val="decimal"/>
      <w:lvlText w:val="%1"/>
      <w:lvlJc w:val="left"/>
      <w:pPr>
        <w:ind w:left="1825" w:hanging="1102"/>
        <w:jc w:val="left"/>
      </w:pPr>
      <w:rPr>
        <w:rFonts w:hint="default"/>
        <w:lang w:val="en-US" w:eastAsia="zh-CN" w:bidi="ar-SA"/>
      </w:rPr>
    </w:lvl>
    <w:lvl w:ilvl="1" w:tentative="0">
      <w:start w:val="1"/>
      <w:numFmt w:val="decimal"/>
      <w:lvlText w:val="%1.%2"/>
      <w:lvlJc w:val="left"/>
      <w:pPr>
        <w:ind w:left="1825" w:hanging="1102"/>
        <w:jc w:val="left"/>
      </w:pPr>
      <w:rPr>
        <w:rFonts w:hint="default" w:ascii="微软雅黑" w:hAnsi="微软雅黑" w:eastAsia="微软雅黑" w:cs="微软雅黑"/>
        <w:b/>
        <w:bCs/>
        <w:i w:val="0"/>
        <w:iCs w:val="0"/>
        <w:w w:val="99"/>
        <w:sz w:val="21"/>
        <w:szCs w:val="21"/>
        <w:lang w:val="en-US" w:eastAsia="zh-CN" w:bidi="ar-SA"/>
      </w:rPr>
    </w:lvl>
    <w:lvl w:ilvl="2" w:tentative="0">
      <w:start w:val="1"/>
      <w:numFmt w:val="decimal"/>
      <w:lvlText w:val="（%3）"/>
      <w:lvlJc w:val="left"/>
      <w:pPr>
        <w:ind w:left="3914"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3736" w:hanging="530"/>
      </w:pPr>
      <w:rPr>
        <w:rFonts w:hint="default"/>
        <w:lang w:val="en-US" w:eastAsia="zh-CN" w:bidi="ar-SA"/>
      </w:rPr>
    </w:lvl>
    <w:lvl w:ilvl="4" w:tentative="0">
      <w:start w:val="0"/>
      <w:numFmt w:val="bullet"/>
      <w:lvlText w:val="•"/>
      <w:lvlJc w:val="left"/>
      <w:pPr>
        <w:ind w:left="3644" w:hanging="530"/>
      </w:pPr>
      <w:rPr>
        <w:rFonts w:hint="default"/>
        <w:lang w:val="en-US" w:eastAsia="zh-CN" w:bidi="ar-SA"/>
      </w:rPr>
    </w:lvl>
    <w:lvl w:ilvl="5" w:tentative="0">
      <w:start w:val="0"/>
      <w:numFmt w:val="bullet"/>
      <w:lvlText w:val="•"/>
      <w:lvlJc w:val="left"/>
      <w:pPr>
        <w:ind w:left="3552" w:hanging="530"/>
      </w:pPr>
      <w:rPr>
        <w:rFonts w:hint="default"/>
        <w:lang w:val="en-US" w:eastAsia="zh-CN" w:bidi="ar-SA"/>
      </w:rPr>
    </w:lvl>
    <w:lvl w:ilvl="6" w:tentative="0">
      <w:start w:val="0"/>
      <w:numFmt w:val="bullet"/>
      <w:lvlText w:val="•"/>
      <w:lvlJc w:val="left"/>
      <w:pPr>
        <w:ind w:left="3460" w:hanging="530"/>
      </w:pPr>
      <w:rPr>
        <w:rFonts w:hint="default"/>
        <w:lang w:val="en-US" w:eastAsia="zh-CN" w:bidi="ar-SA"/>
      </w:rPr>
    </w:lvl>
    <w:lvl w:ilvl="7" w:tentative="0">
      <w:start w:val="0"/>
      <w:numFmt w:val="bullet"/>
      <w:lvlText w:val="•"/>
      <w:lvlJc w:val="left"/>
      <w:pPr>
        <w:ind w:left="3368" w:hanging="530"/>
      </w:pPr>
      <w:rPr>
        <w:rFonts w:hint="default"/>
        <w:lang w:val="en-US" w:eastAsia="zh-CN" w:bidi="ar-SA"/>
      </w:rPr>
    </w:lvl>
    <w:lvl w:ilvl="8" w:tentative="0">
      <w:start w:val="0"/>
      <w:numFmt w:val="bullet"/>
      <w:lvlText w:val="•"/>
      <w:lvlJc w:val="left"/>
      <w:pPr>
        <w:ind w:left="3276" w:hanging="530"/>
      </w:pPr>
      <w:rPr>
        <w:rFonts w:hint="default"/>
        <w:lang w:val="en-US" w:eastAsia="zh-CN" w:bidi="ar-SA"/>
      </w:rPr>
    </w:lvl>
  </w:abstractNum>
  <w:abstractNum w:abstractNumId="6">
    <w:nsid w:val="9288B902"/>
    <w:multiLevelType w:val="multilevel"/>
    <w:tmpl w:val="9288B902"/>
    <w:lvl w:ilvl="0" w:tentative="0">
      <w:start w:val="2"/>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7">
    <w:nsid w:val="9C8AC8EF"/>
    <w:multiLevelType w:val="multilevel"/>
    <w:tmpl w:val="9C8AC8EF"/>
    <w:lvl w:ilvl="0" w:tentative="0">
      <w:start w:val="1"/>
      <w:numFmt w:val="decimal"/>
      <w:lvlText w:val="（%1）"/>
      <w:lvlJc w:val="left"/>
      <w:pPr>
        <w:ind w:left="619"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5" w:hanging="530"/>
      </w:pPr>
      <w:rPr>
        <w:rFonts w:hint="default"/>
        <w:lang w:val="en-US" w:eastAsia="zh-CN" w:bidi="ar-SA"/>
      </w:rPr>
    </w:lvl>
    <w:lvl w:ilvl="2" w:tentative="0">
      <w:start w:val="0"/>
      <w:numFmt w:val="bullet"/>
      <w:lvlText w:val="•"/>
      <w:lvlJc w:val="left"/>
      <w:pPr>
        <w:ind w:left="1911" w:hanging="530"/>
      </w:pPr>
      <w:rPr>
        <w:rFonts w:hint="default"/>
        <w:lang w:val="en-US" w:eastAsia="zh-CN" w:bidi="ar-SA"/>
      </w:rPr>
    </w:lvl>
    <w:lvl w:ilvl="3" w:tentative="0">
      <w:start w:val="0"/>
      <w:numFmt w:val="bullet"/>
      <w:lvlText w:val="•"/>
      <w:lvlJc w:val="left"/>
      <w:pPr>
        <w:ind w:left="2557" w:hanging="530"/>
      </w:pPr>
      <w:rPr>
        <w:rFonts w:hint="default"/>
        <w:lang w:val="en-US" w:eastAsia="zh-CN" w:bidi="ar-SA"/>
      </w:rPr>
    </w:lvl>
    <w:lvl w:ilvl="4" w:tentative="0">
      <w:start w:val="0"/>
      <w:numFmt w:val="bullet"/>
      <w:lvlText w:val="•"/>
      <w:lvlJc w:val="left"/>
      <w:pPr>
        <w:ind w:left="3202" w:hanging="530"/>
      </w:pPr>
      <w:rPr>
        <w:rFonts w:hint="default"/>
        <w:lang w:val="en-US" w:eastAsia="zh-CN" w:bidi="ar-SA"/>
      </w:rPr>
    </w:lvl>
    <w:lvl w:ilvl="5" w:tentative="0">
      <w:start w:val="0"/>
      <w:numFmt w:val="bullet"/>
      <w:lvlText w:val="•"/>
      <w:lvlJc w:val="left"/>
      <w:pPr>
        <w:ind w:left="3848" w:hanging="530"/>
      </w:pPr>
      <w:rPr>
        <w:rFonts w:hint="default"/>
        <w:lang w:val="en-US" w:eastAsia="zh-CN" w:bidi="ar-SA"/>
      </w:rPr>
    </w:lvl>
    <w:lvl w:ilvl="6" w:tentative="0">
      <w:start w:val="0"/>
      <w:numFmt w:val="bullet"/>
      <w:lvlText w:val="•"/>
      <w:lvlJc w:val="left"/>
      <w:pPr>
        <w:ind w:left="4494" w:hanging="530"/>
      </w:pPr>
      <w:rPr>
        <w:rFonts w:hint="default"/>
        <w:lang w:val="en-US" w:eastAsia="zh-CN" w:bidi="ar-SA"/>
      </w:rPr>
    </w:lvl>
    <w:lvl w:ilvl="7" w:tentative="0">
      <w:start w:val="0"/>
      <w:numFmt w:val="bullet"/>
      <w:lvlText w:val="•"/>
      <w:lvlJc w:val="left"/>
      <w:pPr>
        <w:ind w:left="5139" w:hanging="530"/>
      </w:pPr>
      <w:rPr>
        <w:rFonts w:hint="default"/>
        <w:lang w:val="en-US" w:eastAsia="zh-CN" w:bidi="ar-SA"/>
      </w:rPr>
    </w:lvl>
    <w:lvl w:ilvl="8" w:tentative="0">
      <w:start w:val="0"/>
      <w:numFmt w:val="bullet"/>
      <w:lvlText w:val="•"/>
      <w:lvlJc w:val="left"/>
      <w:pPr>
        <w:ind w:left="5785" w:hanging="530"/>
      </w:pPr>
      <w:rPr>
        <w:rFonts w:hint="default"/>
        <w:lang w:val="en-US" w:eastAsia="zh-CN" w:bidi="ar-SA"/>
      </w:rPr>
    </w:lvl>
  </w:abstractNum>
  <w:abstractNum w:abstractNumId="8">
    <w:nsid w:val="B0F1ACD9"/>
    <w:multiLevelType w:val="multilevel"/>
    <w:tmpl w:val="B0F1ACD9"/>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9">
    <w:nsid w:val="B5E306ED"/>
    <w:multiLevelType w:val="multilevel"/>
    <w:tmpl w:val="B5E306ED"/>
    <w:lvl w:ilvl="0" w:tentative="0">
      <w:start w:val="7"/>
      <w:numFmt w:val="decimal"/>
      <w:lvlText w:val="%1"/>
      <w:lvlJc w:val="left"/>
      <w:pPr>
        <w:ind w:left="318" w:hanging="212"/>
        <w:jc w:val="left"/>
      </w:pPr>
      <w:rPr>
        <w:rFonts w:hint="default" w:ascii="微软雅黑" w:hAnsi="微软雅黑" w:eastAsia="微软雅黑" w:cs="微软雅黑"/>
        <w:b/>
        <w:bCs/>
        <w:i w:val="0"/>
        <w:iCs w:val="0"/>
        <w:w w:val="81"/>
        <w:sz w:val="21"/>
        <w:szCs w:val="21"/>
        <w:lang w:val="en-US" w:eastAsia="zh-CN" w:bidi="ar-SA"/>
      </w:rPr>
    </w:lvl>
    <w:lvl w:ilvl="1" w:tentative="0">
      <w:start w:val="1"/>
      <w:numFmt w:val="decimal"/>
      <w:lvlText w:val="%1.%2"/>
      <w:lvlJc w:val="left"/>
      <w:pPr>
        <w:ind w:left="738" w:hanging="418"/>
        <w:jc w:val="left"/>
      </w:pPr>
      <w:rPr>
        <w:rFonts w:hint="default" w:ascii="宋体" w:hAnsi="宋体" w:eastAsia="宋体" w:cs="宋体"/>
        <w:b w:val="0"/>
        <w:bCs w:val="0"/>
        <w:i w:val="0"/>
        <w:iCs w:val="0"/>
        <w:spacing w:val="-3"/>
        <w:w w:val="100"/>
        <w:sz w:val="21"/>
        <w:szCs w:val="21"/>
        <w:lang w:val="en-US" w:eastAsia="zh-CN" w:bidi="ar-SA"/>
      </w:rPr>
    </w:lvl>
    <w:lvl w:ilvl="2" w:tentative="0">
      <w:start w:val="0"/>
      <w:numFmt w:val="bullet"/>
      <w:lvlText w:val="•"/>
      <w:lvlJc w:val="left"/>
      <w:pPr>
        <w:ind w:left="972" w:hanging="418"/>
      </w:pPr>
      <w:rPr>
        <w:rFonts w:hint="default"/>
        <w:lang w:val="en-US" w:eastAsia="zh-CN" w:bidi="ar-SA"/>
      </w:rPr>
    </w:lvl>
    <w:lvl w:ilvl="3" w:tentative="0">
      <w:start w:val="0"/>
      <w:numFmt w:val="bullet"/>
      <w:lvlText w:val="•"/>
      <w:lvlJc w:val="left"/>
      <w:pPr>
        <w:ind w:left="1205" w:hanging="418"/>
      </w:pPr>
      <w:rPr>
        <w:rFonts w:hint="default"/>
        <w:lang w:val="en-US" w:eastAsia="zh-CN" w:bidi="ar-SA"/>
      </w:rPr>
    </w:lvl>
    <w:lvl w:ilvl="4" w:tentative="0">
      <w:start w:val="0"/>
      <w:numFmt w:val="bullet"/>
      <w:lvlText w:val="•"/>
      <w:lvlJc w:val="left"/>
      <w:pPr>
        <w:ind w:left="1437" w:hanging="418"/>
      </w:pPr>
      <w:rPr>
        <w:rFonts w:hint="default"/>
        <w:lang w:val="en-US" w:eastAsia="zh-CN" w:bidi="ar-SA"/>
      </w:rPr>
    </w:lvl>
    <w:lvl w:ilvl="5" w:tentative="0">
      <w:start w:val="0"/>
      <w:numFmt w:val="bullet"/>
      <w:lvlText w:val="•"/>
      <w:lvlJc w:val="left"/>
      <w:pPr>
        <w:ind w:left="1670" w:hanging="418"/>
      </w:pPr>
      <w:rPr>
        <w:rFonts w:hint="default"/>
        <w:lang w:val="en-US" w:eastAsia="zh-CN" w:bidi="ar-SA"/>
      </w:rPr>
    </w:lvl>
    <w:lvl w:ilvl="6" w:tentative="0">
      <w:start w:val="0"/>
      <w:numFmt w:val="bullet"/>
      <w:lvlText w:val="•"/>
      <w:lvlJc w:val="left"/>
      <w:pPr>
        <w:ind w:left="1902" w:hanging="418"/>
      </w:pPr>
      <w:rPr>
        <w:rFonts w:hint="default"/>
        <w:lang w:val="en-US" w:eastAsia="zh-CN" w:bidi="ar-SA"/>
      </w:rPr>
    </w:lvl>
    <w:lvl w:ilvl="7" w:tentative="0">
      <w:start w:val="0"/>
      <w:numFmt w:val="bullet"/>
      <w:lvlText w:val="•"/>
      <w:lvlJc w:val="left"/>
      <w:pPr>
        <w:ind w:left="2135" w:hanging="418"/>
      </w:pPr>
      <w:rPr>
        <w:rFonts w:hint="default"/>
        <w:lang w:val="en-US" w:eastAsia="zh-CN" w:bidi="ar-SA"/>
      </w:rPr>
    </w:lvl>
    <w:lvl w:ilvl="8" w:tentative="0">
      <w:start w:val="0"/>
      <w:numFmt w:val="bullet"/>
      <w:lvlText w:val="•"/>
      <w:lvlJc w:val="left"/>
      <w:pPr>
        <w:ind w:left="2367" w:hanging="418"/>
      </w:pPr>
      <w:rPr>
        <w:rFonts w:hint="default"/>
        <w:lang w:val="en-US" w:eastAsia="zh-CN" w:bidi="ar-SA"/>
      </w:rPr>
    </w:lvl>
  </w:abstractNum>
  <w:abstractNum w:abstractNumId="10">
    <w:nsid w:val="B8CEF35B"/>
    <w:multiLevelType w:val="multilevel"/>
    <w:tmpl w:val="B8CEF35B"/>
    <w:lvl w:ilvl="0" w:tentative="0">
      <w:start w:val="1"/>
      <w:numFmt w:val="decimal"/>
      <w:lvlText w:val="（%1）"/>
      <w:lvlJc w:val="left"/>
      <w:pPr>
        <w:ind w:left="698" w:hanging="530"/>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73" w:hanging="530"/>
      </w:pPr>
      <w:rPr>
        <w:rFonts w:hint="default"/>
        <w:lang w:val="en-US" w:eastAsia="zh-CN" w:bidi="ar-SA"/>
      </w:rPr>
    </w:lvl>
    <w:lvl w:ilvl="2" w:tentative="0">
      <w:start w:val="0"/>
      <w:numFmt w:val="bullet"/>
      <w:lvlText w:val="•"/>
      <w:lvlJc w:val="left"/>
      <w:pPr>
        <w:ind w:left="2047" w:hanging="530"/>
      </w:pPr>
      <w:rPr>
        <w:rFonts w:hint="default"/>
        <w:lang w:val="en-US" w:eastAsia="zh-CN" w:bidi="ar-SA"/>
      </w:rPr>
    </w:lvl>
    <w:lvl w:ilvl="3" w:tentative="0">
      <w:start w:val="0"/>
      <w:numFmt w:val="bullet"/>
      <w:lvlText w:val="•"/>
      <w:lvlJc w:val="left"/>
      <w:pPr>
        <w:ind w:left="2721" w:hanging="530"/>
      </w:pPr>
      <w:rPr>
        <w:rFonts w:hint="default"/>
        <w:lang w:val="en-US" w:eastAsia="zh-CN" w:bidi="ar-SA"/>
      </w:rPr>
    </w:lvl>
    <w:lvl w:ilvl="4" w:tentative="0">
      <w:start w:val="0"/>
      <w:numFmt w:val="bullet"/>
      <w:lvlText w:val="•"/>
      <w:lvlJc w:val="left"/>
      <w:pPr>
        <w:ind w:left="3395" w:hanging="530"/>
      </w:pPr>
      <w:rPr>
        <w:rFonts w:hint="default"/>
        <w:lang w:val="en-US" w:eastAsia="zh-CN" w:bidi="ar-SA"/>
      </w:rPr>
    </w:lvl>
    <w:lvl w:ilvl="5" w:tentative="0">
      <w:start w:val="0"/>
      <w:numFmt w:val="bullet"/>
      <w:lvlText w:val="•"/>
      <w:lvlJc w:val="left"/>
      <w:pPr>
        <w:ind w:left="4069" w:hanging="530"/>
      </w:pPr>
      <w:rPr>
        <w:rFonts w:hint="default"/>
        <w:lang w:val="en-US" w:eastAsia="zh-CN" w:bidi="ar-SA"/>
      </w:rPr>
    </w:lvl>
    <w:lvl w:ilvl="6" w:tentative="0">
      <w:start w:val="0"/>
      <w:numFmt w:val="bullet"/>
      <w:lvlText w:val="•"/>
      <w:lvlJc w:val="left"/>
      <w:pPr>
        <w:ind w:left="4742" w:hanging="530"/>
      </w:pPr>
      <w:rPr>
        <w:rFonts w:hint="default"/>
        <w:lang w:val="en-US" w:eastAsia="zh-CN" w:bidi="ar-SA"/>
      </w:rPr>
    </w:lvl>
    <w:lvl w:ilvl="7" w:tentative="0">
      <w:start w:val="0"/>
      <w:numFmt w:val="bullet"/>
      <w:lvlText w:val="•"/>
      <w:lvlJc w:val="left"/>
      <w:pPr>
        <w:ind w:left="5416" w:hanging="530"/>
      </w:pPr>
      <w:rPr>
        <w:rFonts w:hint="default"/>
        <w:lang w:val="en-US" w:eastAsia="zh-CN" w:bidi="ar-SA"/>
      </w:rPr>
    </w:lvl>
    <w:lvl w:ilvl="8" w:tentative="0">
      <w:start w:val="0"/>
      <w:numFmt w:val="bullet"/>
      <w:lvlText w:val="•"/>
      <w:lvlJc w:val="left"/>
      <w:pPr>
        <w:ind w:left="6090" w:hanging="530"/>
      </w:pPr>
      <w:rPr>
        <w:rFonts w:hint="default"/>
        <w:lang w:val="en-US" w:eastAsia="zh-CN" w:bidi="ar-SA"/>
      </w:rPr>
    </w:lvl>
  </w:abstractNum>
  <w:abstractNum w:abstractNumId="11">
    <w:nsid w:val="BB64CFA9"/>
    <w:multiLevelType w:val="multilevel"/>
    <w:tmpl w:val="BB64CFA9"/>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12">
    <w:nsid w:val="BE923771"/>
    <w:multiLevelType w:val="multilevel"/>
    <w:tmpl w:val="BE923771"/>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13">
    <w:nsid w:val="BF205925"/>
    <w:multiLevelType w:val="multilevel"/>
    <w:tmpl w:val="BF205925"/>
    <w:lvl w:ilvl="0" w:tentative="0">
      <w:start w:val="4"/>
      <w:numFmt w:val="decimal"/>
      <w:lvlText w:val="%1"/>
      <w:lvlJc w:val="left"/>
      <w:pPr>
        <w:ind w:left="278" w:hanging="212"/>
        <w:jc w:val="left"/>
      </w:pPr>
      <w:rPr>
        <w:rFonts w:hint="default" w:ascii="微软雅黑" w:hAnsi="微软雅黑" w:eastAsia="微软雅黑" w:cs="微软雅黑"/>
        <w:b/>
        <w:bCs/>
        <w:i w:val="0"/>
        <w:iCs w:val="0"/>
        <w:w w:val="81"/>
        <w:sz w:val="21"/>
        <w:szCs w:val="21"/>
        <w:lang w:val="en-US" w:eastAsia="zh-CN" w:bidi="ar-SA"/>
      </w:rPr>
    </w:lvl>
    <w:lvl w:ilvl="1" w:tentative="0">
      <w:start w:val="1"/>
      <w:numFmt w:val="decimal"/>
      <w:lvlText w:val="%1.%2"/>
      <w:lvlJc w:val="left"/>
      <w:pPr>
        <w:ind w:left="645" w:hanging="368"/>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862" w:hanging="368"/>
      </w:pPr>
      <w:rPr>
        <w:rFonts w:hint="default"/>
        <w:lang w:val="en-US" w:eastAsia="zh-CN" w:bidi="ar-SA"/>
      </w:rPr>
    </w:lvl>
    <w:lvl w:ilvl="3" w:tentative="0">
      <w:start w:val="0"/>
      <w:numFmt w:val="bullet"/>
      <w:lvlText w:val="•"/>
      <w:lvlJc w:val="left"/>
      <w:pPr>
        <w:ind w:left="1084" w:hanging="368"/>
      </w:pPr>
      <w:rPr>
        <w:rFonts w:hint="default"/>
        <w:lang w:val="en-US" w:eastAsia="zh-CN" w:bidi="ar-SA"/>
      </w:rPr>
    </w:lvl>
    <w:lvl w:ilvl="4" w:tentative="0">
      <w:start w:val="0"/>
      <w:numFmt w:val="bullet"/>
      <w:lvlText w:val="•"/>
      <w:lvlJc w:val="left"/>
      <w:pPr>
        <w:ind w:left="1306" w:hanging="368"/>
      </w:pPr>
      <w:rPr>
        <w:rFonts w:hint="default"/>
        <w:lang w:val="en-US" w:eastAsia="zh-CN" w:bidi="ar-SA"/>
      </w:rPr>
    </w:lvl>
    <w:lvl w:ilvl="5" w:tentative="0">
      <w:start w:val="0"/>
      <w:numFmt w:val="bullet"/>
      <w:lvlText w:val="•"/>
      <w:lvlJc w:val="left"/>
      <w:pPr>
        <w:ind w:left="1528" w:hanging="368"/>
      </w:pPr>
      <w:rPr>
        <w:rFonts w:hint="default"/>
        <w:lang w:val="en-US" w:eastAsia="zh-CN" w:bidi="ar-SA"/>
      </w:rPr>
    </w:lvl>
    <w:lvl w:ilvl="6" w:tentative="0">
      <w:start w:val="0"/>
      <w:numFmt w:val="bullet"/>
      <w:lvlText w:val="•"/>
      <w:lvlJc w:val="left"/>
      <w:pPr>
        <w:ind w:left="1750" w:hanging="368"/>
      </w:pPr>
      <w:rPr>
        <w:rFonts w:hint="default"/>
        <w:lang w:val="en-US" w:eastAsia="zh-CN" w:bidi="ar-SA"/>
      </w:rPr>
    </w:lvl>
    <w:lvl w:ilvl="7" w:tentative="0">
      <w:start w:val="0"/>
      <w:numFmt w:val="bullet"/>
      <w:lvlText w:val="•"/>
      <w:lvlJc w:val="left"/>
      <w:pPr>
        <w:ind w:left="1972" w:hanging="368"/>
      </w:pPr>
      <w:rPr>
        <w:rFonts w:hint="default"/>
        <w:lang w:val="en-US" w:eastAsia="zh-CN" w:bidi="ar-SA"/>
      </w:rPr>
    </w:lvl>
    <w:lvl w:ilvl="8" w:tentative="0">
      <w:start w:val="0"/>
      <w:numFmt w:val="bullet"/>
      <w:lvlText w:val="•"/>
      <w:lvlJc w:val="left"/>
      <w:pPr>
        <w:ind w:left="2194" w:hanging="368"/>
      </w:pPr>
      <w:rPr>
        <w:rFonts w:hint="default"/>
        <w:lang w:val="en-US" w:eastAsia="zh-CN" w:bidi="ar-SA"/>
      </w:rPr>
    </w:lvl>
  </w:abstractNum>
  <w:abstractNum w:abstractNumId="14">
    <w:nsid w:val="C8879AEF"/>
    <w:multiLevelType w:val="multilevel"/>
    <w:tmpl w:val="C8879AEF"/>
    <w:lvl w:ilvl="0" w:tentative="0">
      <w:start w:val="7"/>
      <w:numFmt w:val="decimal"/>
      <w:lvlText w:val="%1"/>
      <w:lvlJc w:val="left"/>
      <w:pPr>
        <w:ind w:left="3472" w:hanging="1102"/>
        <w:jc w:val="left"/>
      </w:pPr>
      <w:rPr>
        <w:rFonts w:hint="default"/>
        <w:lang w:val="en-US" w:eastAsia="zh-CN" w:bidi="ar-SA"/>
      </w:rPr>
    </w:lvl>
    <w:lvl w:ilvl="1" w:tentative="0">
      <w:start w:val="1"/>
      <w:numFmt w:val="decimal"/>
      <w:lvlText w:val="%1.%2"/>
      <w:lvlJc w:val="left"/>
      <w:pPr>
        <w:ind w:left="3472" w:hanging="1102"/>
        <w:jc w:val="left"/>
      </w:pPr>
      <w:rPr>
        <w:rFonts w:hint="default" w:ascii="微软雅黑" w:hAnsi="微软雅黑" w:eastAsia="微软雅黑" w:cs="微软雅黑"/>
        <w:b/>
        <w:bCs/>
        <w:i w:val="0"/>
        <w:iCs w:val="0"/>
        <w:w w:val="81"/>
        <w:position w:val="-1"/>
        <w:sz w:val="21"/>
        <w:szCs w:val="21"/>
        <w:lang w:val="en-US" w:eastAsia="zh-CN" w:bidi="ar-SA"/>
      </w:rPr>
    </w:lvl>
    <w:lvl w:ilvl="2" w:tentative="0">
      <w:start w:val="1"/>
      <w:numFmt w:val="decimal"/>
      <w:lvlText w:val="%3."/>
      <w:lvlJc w:val="left"/>
      <w:pPr>
        <w:ind w:left="3472" w:hanging="214"/>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5635" w:hanging="214"/>
      </w:pPr>
      <w:rPr>
        <w:rFonts w:hint="default"/>
        <w:lang w:val="en-US" w:eastAsia="zh-CN" w:bidi="ar-SA"/>
      </w:rPr>
    </w:lvl>
    <w:lvl w:ilvl="4" w:tentative="0">
      <w:start w:val="0"/>
      <w:numFmt w:val="bullet"/>
      <w:lvlText w:val="•"/>
      <w:lvlJc w:val="left"/>
      <w:pPr>
        <w:ind w:left="6354" w:hanging="214"/>
      </w:pPr>
      <w:rPr>
        <w:rFonts w:hint="default"/>
        <w:lang w:val="en-US" w:eastAsia="zh-CN" w:bidi="ar-SA"/>
      </w:rPr>
    </w:lvl>
    <w:lvl w:ilvl="5" w:tentative="0">
      <w:start w:val="0"/>
      <w:numFmt w:val="bullet"/>
      <w:lvlText w:val="•"/>
      <w:lvlJc w:val="left"/>
      <w:pPr>
        <w:ind w:left="7073" w:hanging="214"/>
      </w:pPr>
      <w:rPr>
        <w:rFonts w:hint="default"/>
        <w:lang w:val="en-US" w:eastAsia="zh-CN" w:bidi="ar-SA"/>
      </w:rPr>
    </w:lvl>
    <w:lvl w:ilvl="6" w:tentative="0">
      <w:start w:val="0"/>
      <w:numFmt w:val="bullet"/>
      <w:lvlText w:val="•"/>
      <w:lvlJc w:val="left"/>
      <w:pPr>
        <w:ind w:left="7791" w:hanging="214"/>
      </w:pPr>
      <w:rPr>
        <w:rFonts w:hint="default"/>
        <w:lang w:val="en-US" w:eastAsia="zh-CN" w:bidi="ar-SA"/>
      </w:rPr>
    </w:lvl>
    <w:lvl w:ilvl="7" w:tentative="0">
      <w:start w:val="0"/>
      <w:numFmt w:val="bullet"/>
      <w:lvlText w:val="•"/>
      <w:lvlJc w:val="left"/>
      <w:pPr>
        <w:ind w:left="8510" w:hanging="214"/>
      </w:pPr>
      <w:rPr>
        <w:rFonts w:hint="default"/>
        <w:lang w:val="en-US" w:eastAsia="zh-CN" w:bidi="ar-SA"/>
      </w:rPr>
    </w:lvl>
    <w:lvl w:ilvl="8" w:tentative="0">
      <w:start w:val="0"/>
      <w:numFmt w:val="bullet"/>
      <w:lvlText w:val="•"/>
      <w:lvlJc w:val="left"/>
      <w:pPr>
        <w:ind w:left="9229" w:hanging="214"/>
      </w:pPr>
      <w:rPr>
        <w:rFonts w:hint="default"/>
        <w:lang w:val="en-US" w:eastAsia="zh-CN" w:bidi="ar-SA"/>
      </w:rPr>
    </w:lvl>
  </w:abstractNum>
  <w:abstractNum w:abstractNumId="15">
    <w:nsid w:val="CF092B84"/>
    <w:multiLevelType w:val="multilevel"/>
    <w:tmpl w:val="CF092B84"/>
    <w:lvl w:ilvl="0" w:tentative="0">
      <w:start w:val="0"/>
      <w:numFmt w:val="bullet"/>
      <w:lvlText w:val=""/>
      <w:lvlJc w:val="left"/>
      <w:pPr>
        <w:ind w:left="1856" w:hanging="293"/>
      </w:pPr>
      <w:rPr>
        <w:rFonts w:hint="default" w:ascii="Wingdings" w:hAnsi="Wingdings" w:eastAsia="Wingdings" w:cs="Wingdings"/>
        <w:b/>
        <w:bCs/>
        <w:i w:val="0"/>
        <w:iCs w:val="0"/>
        <w:w w:val="100"/>
        <w:sz w:val="21"/>
        <w:szCs w:val="21"/>
        <w:lang w:val="en-US" w:eastAsia="zh-CN" w:bidi="ar-SA"/>
      </w:rPr>
    </w:lvl>
    <w:lvl w:ilvl="1" w:tentative="0">
      <w:start w:val="0"/>
      <w:numFmt w:val="bullet"/>
      <w:lvlText w:val="•"/>
      <w:lvlJc w:val="left"/>
      <w:pPr>
        <w:ind w:left="2740" w:hanging="293"/>
      </w:pPr>
      <w:rPr>
        <w:rFonts w:hint="default"/>
        <w:lang w:val="en-US" w:eastAsia="zh-CN" w:bidi="ar-SA"/>
      </w:rPr>
    </w:lvl>
    <w:lvl w:ilvl="2" w:tentative="0">
      <w:start w:val="0"/>
      <w:numFmt w:val="bullet"/>
      <w:lvlText w:val="•"/>
      <w:lvlJc w:val="left"/>
      <w:pPr>
        <w:ind w:left="3621" w:hanging="293"/>
      </w:pPr>
      <w:rPr>
        <w:rFonts w:hint="default"/>
        <w:lang w:val="en-US" w:eastAsia="zh-CN" w:bidi="ar-SA"/>
      </w:rPr>
    </w:lvl>
    <w:lvl w:ilvl="3" w:tentative="0">
      <w:start w:val="0"/>
      <w:numFmt w:val="bullet"/>
      <w:lvlText w:val="•"/>
      <w:lvlJc w:val="left"/>
      <w:pPr>
        <w:ind w:left="4501" w:hanging="293"/>
      </w:pPr>
      <w:rPr>
        <w:rFonts w:hint="default"/>
        <w:lang w:val="en-US" w:eastAsia="zh-CN" w:bidi="ar-SA"/>
      </w:rPr>
    </w:lvl>
    <w:lvl w:ilvl="4" w:tentative="0">
      <w:start w:val="0"/>
      <w:numFmt w:val="bullet"/>
      <w:lvlText w:val="•"/>
      <w:lvlJc w:val="left"/>
      <w:pPr>
        <w:ind w:left="5382" w:hanging="293"/>
      </w:pPr>
      <w:rPr>
        <w:rFonts w:hint="default"/>
        <w:lang w:val="en-US" w:eastAsia="zh-CN" w:bidi="ar-SA"/>
      </w:rPr>
    </w:lvl>
    <w:lvl w:ilvl="5" w:tentative="0">
      <w:start w:val="0"/>
      <w:numFmt w:val="bullet"/>
      <w:lvlText w:val="•"/>
      <w:lvlJc w:val="left"/>
      <w:pPr>
        <w:ind w:left="6263" w:hanging="293"/>
      </w:pPr>
      <w:rPr>
        <w:rFonts w:hint="default"/>
        <w:lang w:val="en-US" w:eastAsia="zh-CN" w:bidi="ar-SA"/>
      </w:rPr>
    </w:lvl>
    <w:lvl w:ilvl="6" w:tentative="0">
      <w:start w:val="0"/>
      <w:numFmt w:val="bullet"/>
      <w:lvlText w:val="•"/>
      <w:lvlJc w:val="left"/>
      <w:pPr>
        <w:ind w:left="7143" w:hanging="293"/>
      </w:pPr>
      <w:rPr>
        <w:rFonts w:hint="default"/>
        <w:lang w:val="en-US" w:eastAsia="zh-CN" w:bidi="ar-SA"/>
      </w:rPr>
    </w:lvl>
    <w:lvl w:ilvl="7" w:tentative="0">
      <w:start w:val="0"/>
      <w:numFmt w:val="bullet"/>
      <w:lvlText w:val="•"/>
      <w:lvlJc w:val="left"/>
      <w:pPr>
        <w:ind w:left="8024" w:hanging="293"/>
      </w:pPr>
      <w:rPr>
        <w:rFonts w:hint="default"/>
        <w:lang w:val="en-US" w:eastAsia="zh-CN" w:bidi="ar-SA"/>
      </w:rPr>
    </w:lvl>
    <w:lvl w:ilvl="8" w:tentative="0">
      <w:start w:val="0"/>
      <w:numFmt w:val="bullet"/>
      <w:lvlText w:val="•"/>
      <w:lvlJc w:val="left"/>
      <w:pPr>
        <w:ind w:left="8905" w:hanging="293"/>
      </w:pPr>
      <w:rPr>
        <w:rFonts w:hint="default"/>
        <w:lang w:val="en-US" w:eastAsia="zh-CN" w:bidi="ar-SA"/>
      </w:rPr>
    </w:lvl>
  </w:abstractNum>
  <w:abstractNum w:abstractNumId="16">
    <w:nsid w:val="D7F9FE59"/>
    <w:multiLevelType w:val="multilevel"/>
    <w:tmpl w:val="D7F9FE59"/>
    <w:lvl w:ilvl="0" w:tentative="0">
      <w:start w:val="1"/>
      <w:numFmt w:val="decimal"/>
      <w:lvlText w:val="（%1）"/>
      <w:lvlJc w:val="left"/>
      <w:pPr>
        <w:ind w:left="619"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265" w:hanging="530"/>
      </w:pPr>
      <w:rPr>
        <w:rFonts w:hint="default"/>
        <w:lang w:val="en-US" w:eastAsia="zh-CN" w:bidi="ar-SA"/>
      </w:rPr>
    </w:lvl>
    <w:lvl w:ilvl="2" w:tentative="0">
      <w:start w:val="0"/>
      <w:numFmt w:val="bullet"/>
      <w:lvlText w:val="•"/>
      <w:lvlJc w:val="left"/>
      <w:pPr>
        <w:ind w:left="1911" w:hanging="530"/>
      </w:pPr>
      <w:rPr>
        <w:rFonts w:hint="default"/>
        <w:lang w:val="en-US" w:eastAsia="zh-CN" w:bidi="ar-SA"/>
      </w:rPr>
    </w:lvl>
    <w:lvl w:ilvl="3" w:tentative="0">
      <w:start w:val="0"/>
      <w:numFmt w:val="bullet"/>
      <w:lvlText w:val="•"/>
      <w:lvlJc w:val="left"/>
      <w:pPr>
        <w:ind w:left="2557" w:hanging="530"/>
      </w:pPr>
      <w:rPr>
        <w:rFonts w:hint="default"/>
        <w:lang w:val="en-US" w:eastAsia="zh-CN" w:bidi="ar-SA"/>
      </w:rPr>
    </w:lvl>
    <w:lvl w:ilvl="4" w:tentative="0">
      <w:start w:val="0"/>
      <w:numFmt w:val="bullet"/>
      <w:lvlText w:val="•"/>
      <w:lvlJc w:val="left"/>
      <w:pPr>
        <w:ind w:left="3202" w:hanging="530"/>
      </w:pPr>
      <w:rPr>
        <w:rFonts w:hint="default"/>
        <w:lang w:val="en-US" w:eastAsia="zh-CN" w:bidi="ar-SA"/>
      </w:rPr>
    </w:lvl>
    <w:lvl w:ilvl="5" w:tentative="0">
      <w:start w:val="0"/>
      <w:numFmt w:val="bullet"/>
      <w:lvlText w:val="•"/>
      <w:lvlJc w:val="left"/>
      <w:pPr>
        <w:ind w:left="3848" w:hanging="530"/>
      </w:pPr>
      <w:rPr>
        <w:rFonts w:hint="default"/>
        <w:lang w:val="en-US" w:eastAsia="zh-CN" w:bidi="ar-SA"/>
      </w:rPr>
    </w:lvl>
    <w:lvl w:ilvl="6" w:tentative="0">
      <w:start w:val="0"/>
      <w:numFmt w:val="bullet"/>
      <w:lvlText w:val="•"/>
      <w:lvlJc w:val="left"/>
      <w:pPr>
        <w:ind w:left="4494" w:hanging="530"/>
      </w:pPr>
      <w:rPr>
        <w:rFonts w:hint="default"/>
        <w:lang w:val="en-US" w:eastAsia="zh-CN" w:bidi="ar-SA"/>
      </w:rPr>
    </w:lvl>
    <w:lvl w:ilvl="7" w:tentative="0">
      <w:start w:val="0"/>
      <w:numFmt w:val="bullet"/>
      <w:lvlText w:val="•"/>
      <w:lvlJc w:val="left"/>
      <w:pPr>
        <w:ind w:left="5139" w:hanging="530"/>
      </w:pPr>
      <w:rPr>
        <w:rFonts w:hint="default"/>
        <w:lang w:val="en-US" w:eastAsia="zh-CN" w:bidi="ar-SA"/>
      </w:rPr>
    </w:lvl>
    <w:lvl w:ilvl="8" w:tentative="0">
      <w:start w:val="0"/>
      <w:numFmt w:val="bullet"/>
      <w:lvlText w:val="•"/>
      <w:lvlJc w:val="left"/>
      <w:pPr>
        <w:ind w:left="5785" w:hanging="530"/>
      </w:pPr>
      <w:rPr>
        <w:rFonts w:hint="default"/>
        <w:lang w:val="en-US" w:eastAsia="zh-CN" w:bidi="ar-SA"/>
      </w:rPr>
    </w:lvl>
  </w:abstractNum>
  <w:abstractNum w:abstractNumId="17">
    <w:nsid w:val="DCBA6B53"/>
    <w:multiLevelType w:val="multilevel"/>
    <w:tmpl w:val="DCBA6B53"/>
    <w:lvl w:ilvl="0" w:tentative="0">
      <w:start w:val="0"/>
      <w:numFmt w:val="decimal"/>
      <w:lvlText w:val="%1"/>
      <w:lvlJc w:val="left"/>
      <w:pPr>
        <w:ind w:left="906" w:hanging="183"/>
        <w:jc w:val="left"/>
      </w:pPr>
      <w:rPr>
        <w:rFonts w:hint="default" w:ascii="宋体" w:hAnsi="宋体" w:eastAsia="宋体" w:cs="宋体"/>
        <w:b w:val="0"/>
        <w:bCs w:val="0"/>
        <w:i w:val="0"/>
        <w:iCs w:val="0"/>
        <w:w w:val="100"/>
        <w:sz w:val="18"/>
        <w:szCs w:val="18"/>
        <w:lang w:val="en-US" w:eastAsia="zh-CN" w:bidi="ar-SA"/>
      </w:rPr>
    </w:lvl>
    <w:lvl w:ilvl="1" w:tentative="0">
      <w:start w:val="0"/>
      <w:numFmt w:val="bullet"/>
      <w:lvlText w:val="•"/>
      <w:lvlJc w:val="left"/>
      <w:pPr>
        <w:ind w:left="1876" w:hanging="183"/>
      </w:pPr>
      <w:rPr>
        <w:rFonts w:hint="default"/>
        <w:lang w:val="en-US" w:eastAsia="zh-CN" w:bidi="ar-SA"/>
      </w:rPr>
    </w:lvl>
    <w:lvl w:ilvl="2" w:tentative="0">
      <w:start w:val="0"/>
      <w:numFmt w:val="bullet"/>
      <w:lvlText w:val="•"/>
      <w:lvlJc w:val="left"/>
      <w:pPr>
        <w:ind w:left="2853" w:hanging="183"/>
      </w:pPr>
      <w:rPr>
        <w:rFonts w:hint="default"/>
        <w:lang w:val="en-US" w:eastAsia="zh-CN" w:bidi="ar-SA"/>
      </w:rPr>
    </w:lvl>
    <w:lvl w:ilvl="3" w:tentative="0">
      <w:start w:val="0"/>
      <w:numFmt w:val="bullet"/>
      <w:lvlText w:val="•"/>
      <w:lvlJc w:val="left"/>
      <w:pPr>
        <w:ind w:left="3829" w:hanging="183"/>
      </w:pPr>
      <w:rPr>
        <w:rFonts w:hint="default"/>
        <w:lang w:val="en-US" w:eastAsia="zh-CN" w:bidi="ar-SA"/>
      </w:rPr>
    </w:lvl>
    <w:lvl w:ilvl="4" w:tentative="0">
      <w:start w:val="0"/>
      <w:numFmt w:val="bullet"/>
      <w:lvlText w:val="•"/>
      <w:lvlJc w:val="left"/>
      <w:pPr>
        <w:ind w:left="4806" w:hanging="183"/>
      </w:pPr>
      <w:rPr>
        <w:rFonts w:hint="default"/>
        <w:lang w:val="en-US" w:eastAsia="zh-CN" w:bidi="ar-SA"/>
      </w:rPr>
    </w:lvl>
    <w:lvl w:ilvl="5" w:tentative="0">
      <w:start w:val="0"/>
      <w:numFmt w:val="bullet"/>
      <w:lvlText w:val="•"/>
      <w:lvlJc w:val="left"/>
      <w:pPr>
        <w:ind w:left="5783" w:hanging="183"/>
      </w:pPr>
      <w:rPr>
        <w:rFonts w:hint="default"/>
        <w:lang w:val="en-US" w:eastAsia="zh-CN" w:bidi="ar-SA"/>
      </w:rPr>
    </w:lvl>
    <w:lvl w:ilvl="6" w:tentative="0">
      <w:start w:val="0"/>
      <w:numFmt w:val="bullet"/>
      <w:lvlText w:val="•"/>
      <w:lvlJc w:val="left"/>
      <w:pPr>
        <w:ind w:left="6759" w:hanging="183"/>
      </w:pPr>
      <w:rPr>
        <w:rFonts w:hint="default"/>
        <w:lang w:val="en-US" w:eastAsia="zh-CN" w:bidi="ar-SA"/>
      </w:rPr>
    </w:lvl>
    <w:lvl w:ilvl="7" w:tentative="0">
      <w:start w:val="0"/>
      <w:numFmt w:val="bullet"/>
      <w:lvlText w:val="•"/>
      <w:lvlJc w:val="left"/>
      <w:pPr>
        <w:ind w:left="7736" w:hanging="183"/>
      </w:pPr>
      <w:rPr>
        <w:rFonts w:hint="default"/>
        <w:lang w:val="en-US" w:eastAsia="zh-CN" w:bidi="ar-SA"/>
      </w:rPr>
    </w:lvl>
    <w:lvl w:ilvl="8" w:tentative="0">
      <w:start w:val="0"/>
      <w:numFmt w:val="bullet"/>
      <w:lvlText w:val="•"/>
      <w:lvlJc w:val="left"/>
      <w:pPr>
        <w:ind w:left="8713" w:hanging="183"/>
      </w:pPr>
      <w:rPr>
        <w:rFonts w:hint="default"/>
        <w:lang w:val="en-US" w:eastAsia="zh-CN" w:bidi="ar-SA"/>
      </w:rPr>
    </w:lvl>
  </w:abstractNum>
  <w:abstractNum w:abstractNumId="18">
    <w:nsid w:val="E093A4B0"/>
    <w:multiLevelType w:val="multilevel"/>
    <w:tmpl w:val="E093A4B0"/>
    <w:lvl w:ilvl="0" w:tentative="0">
      <w:start w:val="1"/>
      <w:numFmt w:val="decimal"/>
      <w:lvlText w:val="（%1）"/>
      <w:lvlJc w:val="left"/>
      <w:pPr>
        <w:ind w:left="739" w:hanging="530"/>
        <w:jc w:val="left"/>
      </w:pPr>
      <w:rPr>
        <w:rFonts w:hint="default" w:ascii="宋体" w:hAnsi="宋体" w:eastAsia="宋体" w:cs="宋体"/>
        <w:b w:val="0"/>
        <w:bCs w:val="0"/>
        <w:i w:val="0"/>
        <w:iCs w:val="0"/>
        <w:spacing w:val="-3"/>
        <w:w w:val="100"/>
        <w:position w:val="1"/>
        <w:sz w:val="19"/>
        <w:szCs w:val="19"/>
        <w:lang w:val="en-US" w:eastAsia="zh-CN" w:bidi="ar-SA"/>
      </w:rPr>
    </w:lvl>
    <w:lvl w:ilvl="1" w:tentative="0">
      <w:start w:val="0"/>
      <w:numFmt w:val="bullet"/>
      <w:lvlText w:val="•"/>
      <w:lvlJc w:val="left"/>
      <w:pPr>
        <w:ind w:left="1411" w:hanging="530"/>
      </w:pPr>
      <w:rPr>
        <w:rFonts w:hint="default"/>
        <w:lang w:val="en-US" w:eastAsia="zh-CN" w:bidi="ar-SA"/>
      </w:rPr>
    </w:lvl>
    <w:lvl w:ilvl="2" w:tentative="0">
      <w:start w:val="0"/>
      <w:numFmt w:val="bullet"/>
      <w:lvlText w:val="•"/>
      <w:lvlJc w:val="left"/>
      <w:pPr>
        <w:ind w:left="2082" w:hanging="530"/>
      </w:pPr>
      <w:rPr>
        <w:rFonts w:hint="default"/>
        <w:lang w:val="en-US" w:eastAsia="zh-CN" w:bidi="ar-SA"/>
      </w:rPr>
    </w:lvl>
    <w:lvl w:ilvl="3" w:tentative="0">
      <w:start w:val="0"/>
      <w:numFmt w:val="bullet"/>
      <w:lvlText w:val="•"/>
      <w:lvlJc w:val="left"/>
      <w:pPr>
        <w:ind w:left="2754" w:hanging="530"/>
      </w:pPr>
      <w:rPr>
        <w:rFonts w:hint="default"/>
        <w:lang w:val="en-US" w:eastAsia="zh-CN" w:bidi="ar-SA"/>
      </w:rPr>
    </w:lvl>
    <w:lvl w:ilvl="4" w:tentative="0">
      <w:start w:val="0"/>
      <w:numFmt w:val="bullet"/>
      <w:lvlText w:val="•"/>
      <w:lvlJc w:val="left"/>
      <w:pPr>
        <w:ind w:left="3425" w:hanging="530"/>
      </w:pPr>
      <w:rPr>
        <w:rFonts w:hint="default"/>
        <w:lang w:val="en-US" w:eastAsia="zh-CN" w:bidi="ar-SA"/>
      </w:rPr>
    </w:lvl>
    <w:lvl w:ilvl="5" w:tentative="0">
      <w:start w:val="0"/>
      <w:numFmt w:val="bullet"/>
      <w:lvlText w:val="•"/>
      <w:lvlJc w:val="left"/>
      <w:pPr>
        <w:ind w:left="4097" w:hanging="530"/>
      </w:pPr>
      <w:rPr>
        <w:rFonts w:hint="default"/>
        <w:lang w:val="en-US" w:eastAsia="zh-CN" w:bidi="ar-SA"/>
      </w:rPr>
    </w:lvl>
    <w:lvl w:ilvl="6" w:tentative="0">
      <w:start w:val="0"/>
      <w:numFmt w:val="bullet"/>
      <w:lvlText w:val="•"/>
      <w:lvlJc w:val="left"/>
      <w:pPr>
        <w:ind w:left="4768" w:hanging="530"/>
      </w:pPr>
      <w:rPr>
        <w:rFonts w:hint="default"/>
        <w:lang w:val="en-US" w:eastAsia="zh-CN" w:bidi="ar-SA"/>
      </w:rPr>
    </w:lvl>
    <w:lvl w:ilvl="7" w:tentative="0">
      <w:start w:val="0"/>
      <w:numFmt w:val="bullet"/>
      <w:lvlText w:val="•"/>
      <w:lvlJc w:val="left"/>
      <w:pPr>
        <w:ind w:left="5440" w:hanging="530"/>
      </w:pPr>
      <w:rPr>
        <w:rFonts w:hint="default"/>
        <w:lang w:val="en-US" w:eastAsia="zh-CN" w:bidi="ar-SA"/>
      </w:rPr>
    </w:lvl>
    <w:lvl w:ilvl="8" w:tentative="0">
      <w:start w:val="0"/>
      <w:numFmt w:val="bullet"/>
      <w:lvlText w:val="•"/>
      <w:lvlJc w:val="left"/>
      <w:pPr>
        <w:ind w:left="6111" w:hanging="530"/>
      </w:pPr>
      <w:rPr>
        <w:rFonts w:hint="default"/>
        <w:lang w:val="en-US" w:eastAsia="zh-CN" w:bidi="ar-SA"/>
      </w:rPr>
    </w:lvl>
  </w:abstractNum>
  <w:abstractNum w:abstractNumId="19">
    <w:nsid w:val="F4B5D9F5"/>
    <w:multiLevelType w:val="multilevel"/>
    <w:tmpl w:val="F4B5D9F5"/>
    <w:lvl w:ilvl="0" w:tentative="0">
      <w:start w:val="1"/>
      <w:numFmt w:val="decimal"/>
      <w:lvlText w:val="（%1）"/>
      <w:lvlJc w:val="left"/>
      <w:pPr>
        <w:ind w:left="3385" w:hanging="530"/>
        <w:jc w:val="left"/>
      </w:pPr>
      <w:rPr>
        <w:rFonts w:hint="default" w:ascii="宋体" w:hAnsi="宋体" w:eastAsia="宋体" w:cs="宋体"/>
        <w:b w:val="0"/>
        <w:bCs w:val="0"/>
        <w:i w:val="0"/>
        <w:iCs w:val="0"/>
        <w:spacing w:val="-17"/>
        <w:w w:val="100"/>
        <w:sz w:val="19"/>
        <w:szCs w:val="19"/>
        <w:lang w:val="en-US" w:eastAsia="zh-CN" w:bidi="ar-SA"/>
      </w:rPr>
    </w:lvl>
    <w:lvl w:ilvl="1" w:tentative="0">
      <w:start w:val="0"/>
      <w:numFmt w:val="bullet"/>
      <w:lvlText w:val="•"/>
      <w:lvlJc w:val="left"/>
      <w:pPr>
        <w:ind w:left="4108" w:hanging="530"/>
      </w:pPr>
      <w:rPr>
        <w:rFonts w:hint="default"/>
        <w:lang w:val="en-US" w:eastAsia="zh-CN" w:bidi="ar-SA"/>
      </w:rPr>
    </w:lvl>
    <w:lvl w:ilvl="2" w:tentative="0">
      <w:start w:val="0"/>
      <w:numFmt w:val="bullet"/>
      <w:lvlText w:val="•"/>
      <w:lvlJc w:val="left"/>
      <w:pPr>
        <w:ind w:left="4837" w:hanging="530"/>
      </w:pPr>
      <w:rPr>
        <w:rFonts w:hint="default"/>
        <w:lang w:val="en-US" w:eastAsia="zh-CN" w:bidi="ar-SA"/>
      </w:rPr>
    </w:lvl>
    <w:lvl w:ilvl="3" w:tentative="0">
      <w:start w:val="0"/>
      <w:numFmt w:val="bullet"/>
      <w:lvlText w:val="•"/>
      <w:lvlJc w:val="left"/>
      <w:pPr>
        <w:ind w:left="5565" w:hanging="530"/>
      </w:pPr>
      <w:rPr>
        <w:rFonts w:hint="default"/>
        <w:lang w:val="en-US" w:eastAsia="zh-CN" w:bidi="ar-SA"/>
      </w:rPr>
    </w:lvl>
    <w:lvl w:ilvl="4" w:tentative="0">
      <w:start w:val="0"/>
      <w:numFmt w:val="bullet"/>
      <w:lvlText w:val="•"/>
      <w:lvlJc w:val="left"/>
      <w:pPr>
        <w:ind w:left="6294" w:hanging="530"/>
      </w:pPr>
      <w:rPr>
        <w:rFonts w:hint="default"/>
        <w:lang w:val="en-US" w:eastAsia="zh-CN" w:bidi="ar-SA"/>
      </w:rPr>
    </w:lvl>
    <w:lvl w:ilvl="5" w:tentative="0">
      <w:start w:val="0"/>
      <w:numFmt w:val="bullet"/>
      <w:lvlText w:val="•"/>
      <w:lvlJc w:val="left"/>
      <w:pPr>
        <w:ind w:left="7023" w:hanging="530"/>
      </w:pPr>
      <w:rPr>
        <w:rFonts w:hint="default"/>
        <w:lang w:val="en-US" w:eastAsia="zh-CN" w:bidi="ar-SA"/>
      </w:rPr>
    </w:lvl>
    <w:lvl w:ilvl="6" w:tentative="0">
      <w:start w:val="0"/>
      <w:numFmt w:val="bullet"/>
      <w:lvlText w:val="•"/>
      <w:lvlJc w:val="left"/>
      <w:pPr>
        <w:ind w:left="7751" w:hanging="530"/>
      </w:pPr>
      <w:rPr>
        <w:rFonts w:hint="default"/>
        <w:lang w:val="en-US" w:eastAsia="zh-CN" w:bidi="ar-SA"/>
      </w:rPr>
    </w:lvl>
    <w:lvl w:ilvl="7" w:tentative="0">
      <w:start w:val="0"/>
      <w:numFmt w:val="bullet"/>
      <w:lvlText w:val="•"/>
      <w:lvlJc w:val="left"/>
      <w:pPr>
        <w:ind w:left="8480" w:hanging="530"/>
      </w:pPr>
      <w:rPr>
        <w:rFonts w:hint="default"/>
        <w:lang w:val="en-US" w:eastAsia="zh-CN" w:bidi="ar-SA"/>
      </w:rPr>
    </w:lvl>
    <w:lvl w:ilvl="8" w:tentative="0">
      <w:start w:val="0"/>
      <w:numFmt w:val="bullet"/>
      <w:lvlText w:val="•"/>
      <w:lvlJc w:val="left"/>
      <w:pPr>
        <w:ind w:left="9209" w:hanging="530"/>
      </w:pPr>
      <w:rPr>
        <w:rFonts w:hint="default"/>
        <w:lang w:val="en-US" w:eastAsia="zh-CN" w:bidi="ar-SA"/>
      </w:rPr>
    </w:lvl>
  </w:abstractNum>
  <w:abstractNum w:abstractNumId="20">
    <w:nsid w:val="F7735DC9"/>
    <w:multiLevelType w:val="multilevel"/>
    <w:tmpl w:val="F7735DC9"/>
    <w:lvl w:ilvl="0" w:tentative="0">
      <w:start w:val="8"/>
      <w:numFmt w:val="decimal"/>
      <w:lvlText w:val="%1"/>
      <w:lvlJc w:val="left"/>
      <w:pPr>
        <w:ind w:left="1825" w:hanging="1102"/>
        <w:jc w:val="left"/>
      </w:pPr>
      <w:rPr>
        <w:rFonts w:hint="default"/>
        <w:lang w:val="en-US" w:eastAsia="zh-CN" w:bidi="ar-SA"/>
      </w:rPr>
    </w:lvl>
    <w:lvl w:ilvl="1" w:tentative="0">
      <w:start w:val="2"/>
      <w:numFmt w:val="decimal"/>
      <w:lvlText w:val="%1.%2"/>
      <w:lvlJc w:val="left"/>
      <w:pPr>
        <w:ind w:left="1825" w:hanging="1102"/>
        <w:jc w:val="left"/>
      </w:pPr>
      <w:rPr>
        <w:rFonts w:hint="default" w:ascii="微软雅黑" w:hAnsi="微软雅黑" w:eastAsia="微软雅黑" w:cs="微软雅黑"/>
        <w:b/>
        <w:bCs/>
        <w:i w:val="0"/>
        <w:iCs w:val="0"/>
        <w:w w:val="99"/>
        <w:sz w:val="21"/>
        <w:szCs w:val="21"/>
        <w:lang w:val="en-US" w:eastAsia="zh-CN" w:bidi="ar-SA"/>
      </w:rPr>
    </w:lvl>
    <w:lvl w:ilvl="2" w:tentative="0">
      <w:start w:val="1"/>
      <w:numFmt w:val="decimal"/>
      <w:lvlText w:val="%1.%2.%3"/>
      <w:lvlJc w:val="left"/>
      <w:pPr>
        <w:ind w:left="1825" w:hanging="1102"/>
        <w:jc w:val="left"/>
      </w:pPr>
      <w:rPr>
        <w:rFonts w:hint="default" w:ascii="宋体" w:hAnsi="宋体" w:eastAsia="宋体" w:cs="宋体"/>
        <w:b w:val="0"/>
        <w:bCs w:val="0"/>
        <w:i w:val="0"/>
        <w:iCs w:val="0"/>
        <w:w w:val="96"/>
        <w:sz w:val="22"/>
        <w:szCs w:val="22"/>
        <w:lang w:val="en-US" w:eastAsia="zh-CN" w:bidi="ar-SA"/>
      </w:rPr>
    </w:lvl>
    <w:lvl w:ilvl="3" w:tentative="0">
      <w:start w:val="1"/>
      <w:numFmt w:val="decimal"/>
      <w:lvlText w:val="（%4）"/>
      <w:lvlJc w:val="left"/>
      <w:pPr>
        <w:ind w:left="3914" w:hanging="530"/>
        <w:jc w:val="left"/>
      </w:pPr>
      <w:rPr>
        <w:rFonts w:hint="default" w:ascii="宋体" w:hAnsi="宋体" w:eastAsia="宋体" w:cs="宋体"/>
        <w:b w:val="0"/>
        <w:bCs w:val="0"/>
        <w:i w:val="0"/>
        <w:iCs w:val="0"/>
        <w:spacing w:val="-3"/>
        <w:w w:val="100"/>
        <w:sz w:val="19"/>
        <w:szCs w:val="19"/>
        <w:lang w:val="en-US" w:eastAsia="zh-CN" w:bidi="ar-SA"/>
      </w:rPr>
    </w:lvl>
    <w:lvl w:ilvl="4" w:tentative="0">
      <w:start w:val="0"/>
      <w:numFmt w:val="bullet"/>
      <w:lvlText w:val="•"/>
      <w:lvlJc w:val="left"/>
      <w:pPr>
        <w:ind w:left="3670" w:hanging="530"/>
      </w:pPr>
      <w:rPr>
        <w:rFonts w:hint="default"/>
        <w:lang w:val="en-US" w:eastAsia="zh-CN" w:bidi="ar-SA"/>
      </w:rPr>
    </w:lvl>
    <w:lvl w:ilvl="5" w:tentative="0">
      <w:start w:val="0"/>
      <w:numFmt w:val="bullet"/>
      <w:lvlText w:val="•"/>
      <w:lvlJc w:val="left"/>
      <w:pPr>
        <w:ind w:left="3587" w:hanging="530"/>
      </w:pPr>
      <w:rPr>
        <w:rFonts w:hint="default"/>
        <w:lang w:val="en-US" w:eastAsia="zh-CN" w:bidi="ar-SA"/>
      </w:rPr>
    </w:lvl>
    <w:lvl w:ilvl="6" w:tentative="0">
      <w:start w:val="0"/>
      <w:numFmt w:val="bullet"/>
      <w:lvlText w:val="•"/>
      <w:lvlJc w:val="left"/>
      <w:pPr>
        <w:ind w:left="3503" w:hanging="530"/>
      </w:pPr>
      <w:rPr>
        <w:rFonts w:hint="default"/>
        <w:lang w:val="en-US" w:eastAsia="zh-CN" w:bidi="ar-SA"/>
      </w:rPr>
    </w:lvl>
    <w:lvl w:ilvl="7" w:tentative="0">
      <w:start w:val="0"/>
      <w:numFmt w:val="bullet"/>
      <w:lvlText w:val="•"/>
      <w:lvlJc w:val="left"/>
      <w:pPr>
        <w:ind w:left="3420" w:hanging="530"/>
      </w:pPr>
      <w:rPr>
        <w:rFonts w:hint="default"/>
        <w:lang w:val="en-US" w:eastAsia="zh-CN" w:bidi="ar-SA"/>
      </w:rPr>
    </w:lvl>
    <w:lvl w:ilvl="8" w:tentative="0">
      <w:start w:val="0"/>
      <w:numFmt w:val="bullet"/>
      <w:lvlText w:val="•"/>
      <w:lvlJc w:val="left"/>
      <w:pPr>
        <w:ind w:left="3337" w:hanging="530"/>
      </w:pPr>
      <w:rPr>
        <w:rFonts w:hint="default"/>
        <w:lang w:val="en-US" w:eastAsia="zh-CN" w:bidi="ar-SA"/>
      </w:rPr>
    </w:lvl>
  </w:abstractNum>
  <w:abstractNum w:abstractNumId="21">
    <w:nsid w:val="0053208E"/>
    <w:multiLevelType w:val="multilevel"/>
    <w:tmpl w:val="0053208E"/>
    <w:lvl w:ilvl="0" w:tentative="0">
      <w:start w:val="0"/>
      <w:numFmt w:val="bullet"/>
      <w:lvlText w:val=""/>
      <w:lvlJc w:val="left"/>
      <w:pPr>
        <w:ind w:left="2271" w:hanging="416"/>
      </w:pPr>
      <w:rPr>
        <w:rFonts w:hint="default" w:ascii="Wingdings" w:hAnsi="Wingdings" w:eastAsia="Wingdings" w:cs="Wingdings"/>
        <w:b/>
        <w:bCs/>
        <w:i w:val="0"/>
        <w:iCs w:val="0"/>
        <w:spacing w:val="1"/>
        <w:w w:val="99"/>
        <w:sz w:val="42"/>
        <w:szCs w:val="42"/>
        <w:lang w:val="en-US" w:eastAsia="zh-CN" w:bidi="ar-SA"/>
      </w:rPr>
    </w:lvl>
    <w:lvl w:ilvl="1" w:tentative="0">
      <w:start w:val="0"/>
      <w:numFmt w:val="bullet"/>
      <w:lvlText w:val="•"/>
      <w:lvlJc w:val="left"/>
      <w:pPr>
        <w:ind w:left="3118" w:hanging="416"/>
      </w:pPr>
      <w:rPr>
        <w:rFonts w:hint="default"/>
        <w:lang w:val="en-US" w:eastAsia="zh-CN" w:bidi="ar-SA"/>
      </w:rPr>
    </w:lvl>
    <w:lvl w:ilvl="2" w:tentative="0">
      <w:start w:val="0"/>
      <w:numFmt w:val="bullet"/>
      <w:lvlText w:val="•"/>
      <w:lvlJc w:val="left"/>
      <w:pPr>
        <w:ind w:left="3957" w:hanging="416"/>
      </w:pPr>
      <w:rPr>
        <w:rFonts w:hint="default"/>
        <w:lang w:val="en-US" w:eastAsia="zh-CN" w:bidi="ar-SA"/>
      </w:rPr>
    </w:lvl>
    <w:lvl w:ilvl="3" w:tentative="0">
      <w:start w:val="0"/>
      <w:numFmt w:val="bullet"/>
      <w:lvlText w:val="•"/>
      <w:lvlJc w:val="left"/>
      <w:pPr>
        <w:ind w:left="4795" w:hanging="416"/>
      </w:pPr>
      <w:rPr>
        <w:rFonts w:hint="default"/>
        <w:lang w:val="en-US" w:eastAsia="zh-CN" w:bidi="ar-SA"/>
      </w:rPr>
    </w:lvl>
    <w:lvl w:ilvl="4" w:tentative="0">
      <w:start w:val="0"/>
      <w:numFmt w:val="bullet"/>
      <w:lvlText w:val="•"/>
      <w:lvlJc w:val="left"/>
      <w:pPr>
        <w:ind w:left="5634" w:hanging="416"/>
      </w:pPr>
      <w:rPr>
        <w:rFonts w:hint="default"/>
        <w:lang w:val="en-US" w:eastAsia="zh-CN" w:bidi="ar-SA"/>
      </w:rPr>
    </w:lvl>
    <w:lvl w:ilvl="5" w:tentative="0">
      <w:start w:val="0"/>
      <w:numFmt w:val="bullet"/>
      <w:lvlText w:val="•"/>
      <w:lvlJc w:val="left"/>
      <w:pPr>
        <w:ind w:left="6473" w:hanging="416"/>
      </w:pPr>
      <w:rPr>
        <w:rFonts w:hint="default"/>
        <w:lang w:val="en-US" w:eastAsia="zh-CN" w:bidi="ar-SA"/>
      </w:rPr>
    </w:lvl>
    <w:lvl w:ilvl="6" w:tentative="0">
      <w:start w:val="0"/>
      <w:numFmt w:val="bullet"/>
      <w:lvlText w:val="•"/>
      <w:lvlJc w:val="left"/>
      <w:pPr>
        <w:ind w:left="7311" w:hanging="416"/>
      </w:pPr>
      <w:rPr>
        <w:rFonts w:hint="default"/>
        <w:lang w:val="en-US" w:eastAsia="zh-CN" w:bidi="ar-SA"/>
      </w:rPr>
    </w:lvl>
    <w:lvl w:ilvl="7" w:tentative="0">
      <w:start w:val="0"/>
      <w:numFmt w:val="bullet"/>
      <w:lvlText w:val="•"/>
      <w:lvlJc w:val="left"/>
      <w:pPr>
        <w:ind w:left="8150" w:hanging="416"/>
      </w:pPr>
      <w:rPr>
        <w:rFonts w:hint="default"/>
        <w:lang w:val="en-US" w:eastAsia="zh-CN" w:bidi="ar-SA"/>
      </w:rPr>
    </w:lvl>
    <w:lvl w:ilvl="8" w:tentative="0">
      <w:start w:val="0"/>
      <w:numFmt w:val="bullet"/>
      <w:lvlText w:val="•"/>
      <w:lvlJc w:val="left"/>
      <w:pPr>
        <w:ind w:left="8989" w:hanging="416"/>
      </w:pPr>
      <w:rPr>
        <w:rFonts w:hint="default"/>
        <w:lang w:val="en-US" w:eastAsia="zh-CN" w:bidi="ar-SA"/>
      </w:rPr>
    </w:lvl>
  </w:abstractNum>
  <w:abstractNum w:abstractNumId="22">
    <w:nsid w:val="0248C179"/>
    <w:multiLevelType w:val="multilevel"/>
    <w:tmpl w:val="0248C179"/>
    <w:lvl w:ilvl="0" w:tentative="0">
      <w:start w:val="3"/>
      <w:numFmt w:val="decimal"/>
      <w:lvlText w:val="%1"/>
      <w:lvlJc w:val="left"/>
      <w:pPr>
        <w:ind w:left="1825" w:hanging="1102"/>
        <w:jc w:val="left"/>
      </w:pPr>
      <w:rPr>
        <w:rFonts w:hint="default"/>
        <w:lang w:val="en-US" w:eastAsia="zh-CN" w:bidi="ar-SA"/>
      </w:rPr>
    </w:lvl>
    <w:lvl w:ilvl="1" w:tentative="0">
      <w:start w:val="1"/>
      <w:numFmt w:val="decimal"/>
      <w:lvlText w:val="%1.%2"/>
      <w:lvlJc w:val="left"/>
      <w:pPr>
        <w:ind w:left="1825" w:hanging="1102"/>
        <w:jc w:val="left"/>
      </w:pPr>
      <w:rPr>
        <w:rFonts w:hint="default" w:ascii="微软雅黑" w:hAnsi="微软雅黑" w:eastAsia="微软雅黑" w:cs="微软雅黑"/>
        <w:b/>
        <w:bCs/>
        <w:i w:val="0"/>
        <w:iCs w:val="0"/>
        <w:w w:val="99"/>
        <w:sz w:val="21"/>
        <w:szCs w:val="21"/>
        <w:lang w:val="en-US" w:eastAsia="zh-CN" w:bidi="ar-SA"/>
      </w:rPr>
    </w:lvl>
    <w:lvl w:ilvl="2" w:tentative="0">
      <w:start w:val="0"/>
      <w:numFmt w:val="bullet"/>
      <w:lvlText w:val="•"/>
      <w:lvlJc w:val="left"/>
      <w:pPr>
        <w:ind w:left="3589" w:hanging="1102"/>
      </w:pPr>
      <w:rPr>
        <w:rFonts w:hint="default"/>
        <w:lang w:val="en-US" w:eastAsia="zh-CN" w:bidi="ar-SA"/>
      </w:rPr>
    </w:lvl>
    <w:lvl w:ilvl="3" w:tentative="0">
      <w:start w:val="0"/>
      <w:numFmt w:val="bullet"/>
      <w:lvlText w:val="•"/>
      <w:lvlJc w:val="left"/>
      <w:pPr>
        <w:ind w:left="4473" w:hanging="1102"/>
      </w:pPr>
      <w:rPr>
        <w:rFonts w:hint="default"/>
        <w:lang w:val="en-US" w:eastAsia="zh-CN" w:bidi="ar-SA"/>
      </w:rPr>
    </w:lvl>
    <w:lvl w:ilvl="4" w:tentative="0">
      <w:start w:val="0"/>
      <w:numFmt w:val="bullet"/>
      <w:lvlText w:val="•"/>
      <w:lvlJc w:val="left"/>
      <w:pPr>
        <w:ind w:left="5358" w:hanging="1102"/>
      </w:pPr>
      <w:rPr>
        <w:rFonts w:hint="default"/>
        <w:lang w:val="en-US" w:eastAsia="zh-CN" w:bidi="ar-SA"/>
      </w:rPr>
    </w:lvl>
    <w:lvl w:ilvl="5" w:tentative="0">
      <w:start w:val="0"/>
      <w:numFmt w:val="bullet"/>
      <w:lvlText w:val="•"/>
      <w:lvlJc w:val="left"/>
      <w:pPr>
        <w:ind w:left="6243" w:hanging="1102"/>
      </w:pPr>
      <w:rPr>
        <w:rFonts w:hint="default"/>
        <w:lang w:val="en-US" w:eastAsia="zh-CN" w:bidi="ar-SA"/>
      </w:rPr>
    </w:lvl>
    <w:lvl w:ilvl="6" w:tentative="0">
      <w:start w:val="0"/>
      <w:numFmt w:val="bullet"/>
      <w:lvlText w:val="•"/>
      <w:lvlJc w:val="left"/>
      <w:pPr>
        <w:ind w:left="7127" w:hanging="1102"/>
      </w:pPr>
      <w:rPr>
        <w:rFonts w:hint="default"/>
        <w:lang w:val="en-US" w:eastAsia="zh-CN" w:bidi="ar-SA"/>
      </w:rPr>
    </w:lvl>
    <w:lvl w:ilvl="7" w:tentative="0">
      <w:start w:val="0"/>
      <w:numFmt w:val="bullet"/>
      <w:lvlText w:val="•"/>
      <w:lvlJc w:val="left"/>
      <w:pPr>
        <w:ind w:left="8012" w:hanging="1102"/>
      </w:pPr>
      <w:rPr>
        <w:rFonts w:hint="default"/>
        <w:lang w:val="en-US" w:eastAsia="zh-CN" w:bidi="ar-SA"/>
      </w:rPr>
    </w:lvl>
    <w:lvl w:ilvl="8" w:tentative="0">
      <w:start w:val="0"/>
      <w:numFmt w:val="bullet"/>
      <w:lvlText w:val="•"/>
      <w:lvlJc w:val="left"/>
      <w:pPr>
        <w:ind w:left="8897" w:hanging="1102"/>
      </w:pPr>
      <w:rPr>
        <w:rFonts w:hint="default"/>
        <w:lang w:val="en-US" w:eastAsia="zh-CN" w:bidi="ar-SA"/>
      </w:rPr>
    </w:lvl>
  </w:abstractNum>
  <w:abstractNum w:abstractNumId="23">
    <w:nsid w:val="03D62ECE"/>
    <w:multiLevelType w:val="multilevel"/>
    <w:tmpl w:val="03D62ECE"/>
    <w:lvl w:ilvl="0" w:tentative="0">
      <w:start w:val="8"/>
      <w:numFmt w:val="decimal"/>
      <w:lvlText w:val="%1"/>
      <w:lvlJc w:val="left"/>
      <w:pPr>
        <w:ind w:left="735" w:hanging="418"/>
        <w:jc w:val="left"/>
      </w:pPr>
      <w:rPr>
        <w:rFonts w:hint="default"/>
        <w:lang w:val="en-US" w:eastAsia="zh-CN" w:bidi="ar-SA"/>
      </w:rPr>
    </w:lvl>
    <w:lvl w:ilvl="1" w:tentative="0">
      <w:start w:val="1"/>
      <w:numFmt w:val="decimal"/>
      <w:lvlText w:val="%1.%2"/>
      <w:lvlJc w:val="left"/>
      <w:pPr>
        <w:ind w:left="735" w:hanging="418"/>
        <w:jc w:val="left"/>
      </w:pPr>
      <w:rPr>
        <w:rFonts w:hint="default" w:ascii="宋体" w:hAnsi="宋体" w:eastAsia="宋体" w:cs="宋体"/>
        <w:b w:val="0"/>
        <w:bCs w:val="0"/>
        <w:i w:val="0"/>
        <w:iCs w:val="0"/>
        <w:spacing w:val="-3"/>
        <w:w w:val="100"/>
        <w:sz w:val="21"/>
        <w:szCs w:val="21"/>
        <w:lang w:val="en-US" w:eastAsia="zh-CN" w:bidi="ar-SA"/>
      </w:rPr>
    </w:lvl>
    <w:lvl w:ilvl="2" w:tentative="0">
      <w:start w:val="0"/>
      <w:numFmt w:val="bullet"/>
      <w:lvlText w:val="•"/>
      <w:lvlJc w:val="left"/>
      <w:pPr>
        <w:ind w:left="1192" w:hanging="418"/>
      </w:pPr>
      <w:rPr>
        <w:rFonts w:hint="default"/>
        <w:lang w:val="en-US" w:eastAsia="zh-CN" w:bidi="ar-SA"/>
      </w:rPr>
    </w:lvl>
    <w:lvl w:ilvl="3" w:tentative="0">
      <w:start w:val="0"/>
      <w:numFmt w:val="bullet"/>
      <w:lvlText w:val="•"/>
      <w:lvlJc w:val="left"/>
      <w:pPr>
        <w:ind w:left="1418" w:hanging="418"/>
      </w:pPr>
      <w:rPr>
        <w:rFonts w:hint="default"/>
        <w:lang w:val="en-US" w:eastAsia="zh-CN" w:bidi="ar-SA"/>
      </w:rPr>
    </w:lvl>
    <w:lvl w:ilvl="4" w:tentative="0">
      <w:start w:val="0"/>
      <w:numFmt w:val="bullet"/>
      <w:lvlText w:val="•"/>
      <w:lvlJc w:val="left"/>
      <w:pPr>
        <w:ind w:left="1645" w:hanging="418"/>
      </w:pPr>
      <w:rPr>
        <w:rFonts w:hint="default"/>
        <w:lang w:val="en-US" w:eastAsia="zh-CN" w:bidi="ar-SA"/>
      </w:rPr>
    </w:lvl>
    <w:lvl w:ilvl="5" w:tentative="0">
      <w:start w:val="0"/>
      <w:numFmt w:val="bullet"/>
      <w:lvlText w:val="•"/>
      <w:lvlJc w:val="left"/>
      <w:pPr>
        <w:ind w:left="1871" w:hanging="418"/>
      </w:pPr>
      <w:rPr>
        <w:rFonts w:hint="default"/>
        <w:lang w:val="en-US" w:eastAsia="zh-CN" w:bidi="ar-SA"/>
      </w:rPr>
    </w:lvl>
    <w:lvl w:ilvl="6" w:tentative="0">
      <w:start w:val="0"/>
      <w:numFmt w:val="bullet"/>
      <w:lvlText w:val="•"/>
      <w:lvlJc w:val="left"/>
      <w:pPr>
        <w:ind w:left="2097" w:hanging="418"/>
      </w:pPr>
      <w:rPr>
        <w:rFonts w:hint="default"/>
        <w:lang w:val="en-US" w:eastAsia="zh-CN" w:bidi="ar-SA"/>
      </w:rPr>
    </w:lvl>
    <w:lvl w:ilvl="7" w:tentative="0">
      <w:start w:val="0"/>
      <w:numFmt w:val="bullet"/>
      <w:lvlText w:val="•"/>
      <w:lvlJc w:val="left"/>
      <w:pPr>
        <w:ind w:left="2324" w:hanging="418"/>
      </w:pPr>
      <w:rPr>
        <w:rFonts w:hint="default"/>
        <w:lang w:val="en-US" w:eastAsia="zh-CN" w:bidi="ar-SA"/>
      </w:rPr>
    </w:lvl>
    <w:lvl w:ilvl="8" w:tentative="0">
      <w:start w:val="0"/>
      <w:numFmt w:val="bullet"/>
      <w:lvlText w:val="•"/>
      <w:lvlJc w:val="left"/>
      <w:pPr>
        <w:ind w:left="2550" w:hanging="418"/>
      </w:pPr>
      <w:rPr>
        <w:rFonts w:hint="default"/>
        <w:lang w:val="en-US" w:eastAsia="zh-CN" w:bidi="ar-SA"/>
      </w:rPr>
    </w:lvl>
  </w:abstractNum>
  <w:abstractNum w:abstractNumId="24">
    <w:nsid w:val="0E640482"/>
    <w:multiLevelType w:val="multilevel"/>
    <w:tmpl w:val="0E640482"/>
    <w:lvl w:ilvl="0" w:tentative="0">
      <w:start w:val="1"/>
      <w:numFmt w:val="decimal"/>
      <w:lvlText w:val="（%1）"/>
      <w:lvlJc w:val="left"/>
      <w:pPr>
        <w:ind w:left="698"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1" w:hanging="530"/>
      </w:pPr>
      <w:rPr>
        <w:rFonts w:hint="default"/>
        <w:lang w:val="en-US" w:eastAsia="zh-CN" w:bidi="ar-SA"/>
      </w:rPr>
    </w:lvl>
    <w:lvl w:ilvl="2" w:tentative="0">
      <w:start w:val="0"/>
      <w:numFmt w:val="bullet"/>
      <w:lvlText w:val="•"/>
      <w:lvlJc w:val="left"/>
      <w:pPr>
        <w:ind w:left="2042" w:hanging="530"/>
      </w:pPr>
      <w:rPr>
        <w:rFonts w:hint="default"/>
        <w:lang w:val="en-US" w:eastAsia="zh-CN" w:bidi="ar-SA"/>
      </w:rPr>
    </w:lvl>
    <w:lvl w:ilvl="3" w:tentative="0">
      <w:start w:val="0"/>
      <w:numFmt w:val="bullet"/>
      <w:lvlText w:val="•"/>
      <w:lvlJc w:val="left"/>
      <w:pPr>
        <w:ind w:left="2714" w:hanging="530"/>
      </w:pPr>
      <w:rPr>
        <w:rFonts w:hint="default"/>
        <w:lang w:val="en-US" w:eastAsia="zh-CN" w:bidi="ar-SA"/>
      </w:rPr>
    </w:lvl>
    <w:lvl w:ilvl="4" w:tentative="0">
      <w:start w:val="0"/>
      <w:numFmt w:val="bullet"/>
      <w:lvlText w:val="•"/>
      <w:lvlJc w:val="left"/>
      <w:pPr>
        <w:ind w:left="3385" w:hanging="530"/>
      </w:pPr>
      <w:rPr>
        <w:rFonts w:hint="default"/>
        <w:lang w:val="en-US" w:eastAsia="zh-CN" w:bidi="ar-SA"/>
      </w:rPr>
    </w:lvl>
    <w:lvl w:ilvl="5" w:tentative="0">
      <w:start w:val="0"/>
      <w:numFmt w:val="bullet"/>
      <w:lvlText w:val="•"/>
      <w:lvlJc w:val="left"/>
      <w:pPr>
        <w:ind w:left="4057" w:hanging="530"/>
      </w:pPr>
      <w:rPr>
        <w:rFonts w:hint="default"/>
        <w:lang w:val="en-US" w:eastAsia="zh-CN" w:bidi="ar-SA"/>
      </w:rPr>
    </w:lvl>
    <w:lvl w:ilvl="6" w:tentative="0">
      <w:start w:val="0"/>
      <w:numFmt w:val="bullet"/>
      <w:lvlText w:val="•"/>
      <w:lvlJc w:val="left"/>
      <w:pPr>
        <w:ind w:left="4728" w:hanging="530"/>
      </w:pPr>
      <w:rPr>
        <w:rFonts w:hint="default"/>
        <w:lang w:val="en-US" w:eastAsia="zh-CN" w:bidi="ar-SA"/>
      </w:rPr>
    </w:lvl>
    <w:lvl w:ilvl="7" w:tentative="0">
      <w:start w:val="0"/>
      <w:numFmt w:val="bullet"/>
      <w:lvlText w:val="•"/>
      <w:lvlJc w:val="left"/>
      <w:pPr>
        <w:ind w:left="5399" w:hanging="530"/>
      </w:pPr>
      <w:rPr>
        <w:rFonts w:hint="default"/>
        <w:lang w:val="en-US" w:eastAsia="zh-CN" w:bidi="ar-SA"/>
      </w:rPr>
    </w:lvl>
    <w:lvl w:ilvl="8" w:tentative="0">
      <w:start w:val="0"/>
      <w:numFmt w:val="bullet"/>
      <w:lvlText w:val="•"/>
      <w:lvlJc w:val="left"/>
      <w:pPr>
        <w:ind w:left="6071" w:hanging="530"/>
      </w:pPr>
      <w:rPr>
        <w:rFonts w:hint="default"/>
        <w:lang w:val="en-US" w:eastAsia="zh-CN" w:bidi="ar-SA"/>
      </w:rPr>
    </w:lvl>
  </w:abstractNum>
  <w:abstractNum w:abstractNumId="25">
    <w:nsid w:val="1ACDE60F"/>
    <w:multiLevelType w:val="multilevel"/>
    <w:tmpl w:val="1ACDE60F"/>
    <w:lvl w:ilvl="0" w:tentative="0">
      <w:start w:val="8"/>
      <w:numFmt w:val="decimal"/>
      <w:lvlText w:val="%1"/>
      <w:lvlJc w:val="left"/>
      <w:pPr>
        <w:ind w:left="1825" w:hanging="1102"/>
        <w:jc w:val="left"/>
      </w:pPr>
      <w:rPr>
        <w:rFonts w:hint="default"/>
        <w:lang w:val="en-US" w:eastAsia="zh-CN" w:bidi="ar-SA"/>
      </w:rPr>
    </w:lvl>
    <w:lvl w:ilvl="1" w:tentative="0">
      <w:start w:val="3"/>
      <w:numFmt w:val="decimal"/>
      <w:lvlText w:val="%1.%2"/>
      <w:lvlJc w:val="left"/>
      <w:pPr>
        <w:ind w:left="1825" w:hanging="1102"/>
        <w:jc w:val="left"/>
      </w:pPr>
      <w:rPr>
        <w:rFonts w:hint="default"/>
        <w:lang w:val="en-US" w:eastAsia="zh-CN" w:bidi="ar-SA"/>
      </w:rPr>
    </w:lvl>
    <w:lvl w:ilvl="2" w:tentative="0">
      <w:start w:val="15"/>
      <w:numFmt w:val="decimal"/>
      <w:lvlText w:val="%1.%2.%3"/>
      <w:lvlJc w:val="left"/>
      <w:pPr>
        <w:ind w:left="1825" w:hanging="1102"/>
        <w:jc w:val="left"/>
      </w:pPr>
      <w:rPr>
        <w:rFonts w:hint="default" w:ascii="宋体" w:hAnsi="宋体" w:eastAsia="宋体" w:cs="宋体"/>
        <w:b w:val="0"/>
        <w:bCs w:val="0"/>
        <w:i w:val="0"/>
        <w:iCs w:val="0"/>
        <w:w w:val="96"/>
        <w:sz w:val="22"/>
        <w:szCs w:val="22"/>
        <w:lang w:val="en-US" w:eastAsia="zh-CN" w:bidi="ar-SA"/>
      </w:rPr>
    </w:lvl>
    <w:lvl w:ilvl="3" w:tentative="0">
      <w:start w:val="0"/>
      <w:numFmt w:val="bullet"/>
      <w:lvlText w:val="•"/>
      <w:lvlJc w:val="left"/>
      <w:pPr>
        <w:ind w:left="2225" w:hanging="1102"/>
      </w:pPr>
      <w:rPr>
        <w:rFonts w:hint="default"/>
        <w:lang w:val="en-US" w:eastAsia="zh-CN" w:bidi="ar-SA"/>
      </w:rPr>
    </w:lvl>
    <w:lvl w:ilvl="4" w:tentative="0">
      <w:start w:val="0"/>
      <w:numFmt w:val="bullet"/>
      <w:lvlText w:val="•"/>
      <w:lvlJc w:val="left"/>
      <w:pPr>
        <w:ind w:left="2360" w:hanging="1102"/>
      </w:pPr>
      <w:rPr>
        <w:rFonts w:hint="default"/>
        <w:lang w:val="en-US" w:eastAsia="zh-CN" w:bidi="ar-SA"/>
      </w:rPr>
    </w:lvl>
    <w:lvl w:ilvl="5" w:tentative="0">
      <w:start w:val="0"/>
      <w:numFmt w:val="bullet"/>
      <w:lvlText w:val="•"/>
      <w:lvlJc w:val="left"/>
      <w:pPr>
        <w:ind w:left="2495" w:hanging="1102"/>
      </w:pPr>
      <w:rPr>
        <w:rFonts w:hint="default"/>
        <w:lang w:val="en-US" w:eastAsia="zh-CN" w:bidi="ar-SA"/>
      </w:rPr>
    </w:lvl>
    <w:lvl w:ilvl="6" w:tentative="0">
      <w:start w:val="0"/>
      <w:numFmt w:val="bullet"/>
      <w:lvlText w:val="•"/>
      <w:lvlJc w:val="left"/>
      <w:pPr>
        <w:ind w:left="2630" w:hanging="1102"/>
      </w:pPr>
      <w:rPr>
        <w:rFonts w:hint="default"/>
        <w:lang w:val="en-US" w:eastAsia="zh-CN" w:bidi="ar-SA"/>
      </w:rPr>
    </w:lvl>
    <w:lvl w:ilvl="7" w:tentative="0">
      <w:start w:val="0"/>
      <w:numFmt w:val="bullet"/>
      <w:lvlText w:val="•"/>
      <w:lvlJc w:val="left"/>
      <w:pPr>
        <w:ind w:left="2765" w:hanging="1102"/>
      </w:pPr>
      <w:rPr>
        <w:rFonts w:hint="default"/>
        <w:lang w:val="en-US" w:eastAsia="zh-CN" w:bidi="ar-SA"/>
      </w:rPr>
    </w:lvl>
    <w:lvl w:ilvl="8" w:tentative="0">
      <w:start w:val="0"/>
      <w:numFmt w:val="bullet"/>
      <w:lvlText w:val="•"/>
      <w:lvlJc w:val="left"/>
      <w:pPr>
        <w:ind w:left="2900" w:hanging="1102"/>
      </w:pPr>
      <w:rPr>
        <w:rFonts w:hint="default"/>
        <w:lang w:val="en-US" w:eastAsia="zh-CN" w:bidi="ar-SA"/>
      </w:rPr>
    </w:lvl>
  </w:abstractNum>
  <w:abstractNum w:abstractNumId="26">
    <w:nsid w:val="243FCF68"/>
    <w:multiLevelType w:val="multilevel"/>
    <w:tmpl w:val="243FCF68"/>
    <w:lvl w:ilvl="0" w:tentative="0">
      <w:start w:val="1"/>
      <w:numFmt w:val="decimal"/>
      <w:lvlText w:val="（%1）"/>
      <w:lvlJc w:val="left"/>
      <w:pPr>
        <w:ind w:left="391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594" w:hanging="530"/>
      </w:pPr>
      <w:rPr>
        <w:rFonts w:hint="default"/>
        <w:lang w:val="en-US" w:eastAsia="zh-CN" w:bidi="ar-SA"/>
      </w:rPr>
    </w:lvl>
    <w:lvl w:ilvl="2" w:tentative="0">
      <w:start w:val="0"/>
      <w:numFmt w:val="bullet"/>
      <w:lvlText w:val="•"/>
      <w:lvlJc w:val="left"/>
      <w:pPr>
        <w:ind w:left="5269" w:hanging="530"/>
      </w:pPr>
      <w:rPr>
        <w:rFonts w:hint="default"/>
        <w:lang w:val="en-US" w:eastAsia="zh-CN" w:bidi="ar-SA"/>
      </w:rPr>
    </w:lvl>
    <w:lvl w:ilvl="3" w:tentative="0">
      <w:start w:val="0"/>
      <w:numFmt w:val="bullet"/>
      <w:lvlText w:val="•"/>
      <w:lvlJc w:val="left"/>
      <w:pPr>
        <w:ind w:left="5943" w:hanging="530"/>
      </w:pPr>
      <w:rPr>
        <w:rFonts w:hint="default"/>
        <w:lang w:val="en-US" w:eastAsia="zh-CN" w:bidi="ar-SA"/>
      </w:rPr>
    </w:lvl>
    <w:lvl w:ilvl="4" w:tentative="0">
      <w:start w:val="0"/>
      <w:numFmt w:val="bullet"/>
      <w:lvlText w:val="•"/>
      <w:lvlJc w:val="left"/>
      <w:pPr>
        <w:ind w:left="6618" w:hanging="530"/>
      </w:pPr>
      <w:rPr>
        <w:rFonts w:hint="default"/>
        <w:lang w:val="en-US" w:eastAsia="zh-CN" w:bidi="ar-SA"/>
      </w:rPr>
    </w:lvl>
    <w:lvl w:ilvl="5" w:tentative="0">
      <w:start w:val="0"/>
      <w:numFmt w:val="bullet"/>
      <w:lvlText w:val="•"/>
      <w:lvlJc w:val="left"/>
      <w:pPr>
        <w:ind w:left="7293" w:hanging="530"/>
      </w:pPr>
      <w:rPr>
        <w:rFonts w:hint="default"/>
        <w:lang w:val="en-US" w:eastAsia="zh-CN" w:bidi="ar-SA"/>
      </w:rPr>
    </w:lvl>
    <w:lvl w:ilvl="6" w:tentative="0">
      <w:start w:val="0"/>
      <w:numFmt w:val="bullet"/>
      <w:lvlText w:val="•"/>
      <w:lvlJc w:val="left"/>
      <w:pPr>
        <w:ind w:left="7967" w:hanging="530"/>
      </w:pPr>
      <w:rPr>
        <w:rFonts w:hint="default"/>
        <w:lang w:val="en-US" w:eastAsia="zh-CN" w:bidi="ar-SA"/>
      </w:rPr>
    </w:lvl>
    <w:lvl w:ilvl="7" w:tentative="0">
      <w:start w:val="0"/>
      <w:numFmt w:val="bullet"/>
      <w:lvlText w:val="•"/>
      <w:lvlJc w:val="left"/>
      <w:pPr>
        <w:ind w:left="8642" w:hanging="530"/>
      </w:pPr>
      <w:rPr>
        <w:rFonts w:hint="default"/>
        <w:lang w:val="en-US" w:eastAsia="zh-CN" w:bidi="ar-SA"/>
      </w:rPr>
    </w:lvl>
    <w:lvl w:ilvl="8" w:tentative="0">
      <w:start w:val="0"/>
      <w:numFmt w:val="bullet"/>
      <w:lvlText w:val="•"/>
      <w:lvlJc w:val="left"/>
      <w:pPr>
        <w:ind w:left="9317" w:hanging="530"/>
      </w:pPr>
      <w:rPr>
        <w:rFonts w:hint="default"/>
        <w:lang w:val="en-US" w:eastAsia="zh-CN" w:bidi="ar-SA"/>
      </w:rPr>
    </w:lvl>
  </w:abstractNum>
  <w:abstractNum w:abstractNumId="27">
    <w:nsid w:val="2470EC97"/>
    <w:multiLevelType w:val="multilevel"/>
    <w:tmpl w:val="2470EC97"/>
    <w:lvl w:ilvl="0" w:tentative="0">
      <w:start w:val="1"/>
      <w:numFmt w:val="decimal"/>
      <w:lvlText w:val="（%1）"/>
      <w:lvlJc w:val="left"/>
      <w:pPr>
        <w:ind w:left="787"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3380" w:hanging="530"/>
      </w:pPr>
      <w:rPr>
        <w:rFonts w:hint="default"/>
        <w:lang w:val="en-US" w:eastAsia="zh-CN" w:bidi="ar-SA"/>
      </w:rPr>
    </w:lvl>
    <w:lvl w:ilvl="2" w:tentative="0">
      <w:start w:val="0"/>
      <w:numFmt w:val="bullet"/>
      <w:lvlText w:val="•"/>
      <w:lvlJc w:val="left"/>
      <w:pPr>
        <w:ind w:left="3842" w:hanging="530"/>
      </w:pPr>
      <w:rPr>
        <w:rFonts w:hint="default"/>
        <w:lang w:val="en-US" w:eastAsia="zh-CN" w:bidi="ar-SA"/>
      </w:rPr>
    </w:lvl>
    <w:lvl w:ilvl="3" w:tentative="0">
      <w:start w:val="0"/>
      <w:numFmt w:val="bullet"/>
      <w:lvlText w:val="•"/>
      <w:lvlJc w:val="left"/>
      <w:pPr>
        <w:ind w:left="4304" w:hanging="530"/>
      </w:pPr>
      <w:rPr>
        <w:rFonts w:hint="default"/>
        <w:lang w:val="en-US" w:eastAsia="zh-CN" w:bidi="ar-SA"/>
      </w:rPr>
    </w:lvl>
    <w:lvl w:ilvl="4" w:tentative="0">
      <w:start w:val="0"/>
      <w:numFmt w:val="bullet"/>
      <w:lvlText w:val="•"/>
      <w:lvlJc w:val="left"/>
      <w:pPr>
        <w:ind w:left="4766" w:hanging="530"/>
      </w:pPr>
      <w:rPr>
        <w:rFonts w:hint="default"/>
        <w:lang w:val="en-US" w:eastAsia="zh-CN" w:bidi="ar-SA"/>
      </w:rPr>
    </w:lvl>
    <w:lvl w:ilvl="5" w:tentative="0">
      <w:start w:val="0"/>
      <w:numFmt w:val="bullet"/>
      <w:lvlText w:val="•"/>
      <w:lvlJc w:val="left"/>
      <w:pPr>
        <w:ind w:left="5228" w:hanging="530"/>
      </w:pPr>
      <w:rPr>
        <w:rFonts w:hint="default"/>
        <w:lang w:val="en-US" w:eastAsia="zh-CN" w:bidi="ar-SA"/>
      </w:rPr>
    </w:lvl>
    <w:lvl w:ilvl="6" w:tentative="0">
      <w:start w:val="0"/>
      <w:numFmt w:val="bullet"/>
      <w:lvlText w:val="•"/>
      <w:lvlJc w:val="left"/>
      <w:pPr>
        <w:ind w:left="5690" w:hanging="530"/>
      </w:pPr>
      <w:rPr>
        <w:rFonts w:hint="default"/>
        <w:lang w:val="en-US" w:eastAsia="zh-CN" w:bidi="ar-SA"/>
      </w:rPr>
    </w:lvl>
    <w:lvl w:ilvl="7" w:tentative="0">
      <w:start w:val="0"/>
      <w:numFmt w:val="bullet"/>
      <w:lvlText w:val="•"/>
      <w:lvlJc w:val="left"/>
      <w:pPr>
        <w:ind w:left="6152" w:hanging="530"/>
      </w:pPr>
      <w:rPr>
        <w:rFonts w:hint="default"/>
        <w:lang w:val="en-US" w:eastAsia="zh-CN" w:bidi="ar-SA"/>
      </w:rPr>
    </w:lvl>
    <w:lvl w:ilvl="8" w:tentative="0">
      <w:start w:val="0"/>
      <w:numFmt w:val="bullet"/>
      <w:lvlText w:val="•"/>
      <w:lvlJc w:val="left"/>
      <w:pPr>
        <w:ind w:left="6614" w:hanging="530"/>
      </w:pPr>
      <w:rPr>
        <w:rFonts w:hint="default"/>
        <w:lang w:val="en-US" w:eastAsia="zh-CN" w:bidi="ar-SA"/>
      </w:rPr>
    </w:lvl>
  </w:abstractNum>
  <w:abstractNum w:abstractNumId="28">
    <w:nsid w:val="25B654F3"/>
    <w:multiLevelType w:val="multilevel"/>
    <w:tmpl w:val="25B654F3"/>
    <w:lvl w:ilvl="0" w:tentative="0">
      <w:start w:val="1"/>
      <w:numFmt w:val="decimal"/>
      <w:lvlText w:val="%1"/>
      <w:lvlJc w:val="left"/>
      <w:pPr>
        <w:ind w:left="3385" w:hanging="1102"/>
        <w:jc w:val="left"/>
      </w:pPr>
      <w:rPr>
        <w:rFonts w:hint="default"/>
        <w:lang w:val="en-US" w:eastAsia="zh-CN" w:bidi="ar-SA"/>
      </w:rPr>
    </w:lvl>
    <w:lvl w:ilvl="1" w:tentative="0">
      <w:start w:val="1"/>
      <w:numFmt w:val="decimal"/>
      <w:lvlText w:val="%1.%2"/>
      <w:lvlJc w:val="left"/>
      <w:pPr>
        <w:ind w:left="3385" w:hanging="1102"/>
        <w:jc w:val="left"/>
      </w:pPr>
      <w:rPr>
        <w:rFonts w:hint="default" w:ascii="微软雅黑" w:hAnsi="微软雅黑" w:eastAsia="微软雅黑" w:cs="微软雅黑"/>
        <w:b/>
        <w:bCs/>
        <w:i w:val="0"/>
        <w:iCs w:val="0"/>
        <w:w w:val="99"/>
        <w:sz w:val="21"/>
        <w:szCs w:val="21"/>
        <w:lang w:val="en-US" w:eastAsia="zh-CN" w:bidi="ar-SA"/>
      </w:rPr>
    </w:lvl>
    <w:lvl w:ilvl="2" w:tentative="0">
      <w:start w:val="1"/>
      <w:numFmt w:val="decimal"/>
      <w:lvlText w:val="%1.%2.%3"/>
      <w:lvlJc w:val="left"/>
      <w:pPr>
        <w:ind w:left="1825" w:hanging="1102"/>
        <w:jc w:val="left"/>
      </w:pPr>
      <w:rPr>
        <w:rFonts w:hint="default" w:ascii="宋体" w:hAnsi="宋体" w:eastAsia="宋体" w:cs="宋体"/>
        <w:b w:val="0"/>
        <w:bCs w:val="0"/>
        <w:i w:val="0"/>
        <w:iCs w:val="0"/>
        <w:w w:val="96"/>
        <w:sz w:val="22"/>
        <w:szCs w:val="22"/>
        <w:lang w:val="en-US" w:eastAsia="zh-CN" w:bidi="ar-SA"/>
      </w:rPr>
    </w:lvl>
    <w:lvl w:ilvl="3" w:tentative="0">
      <w:start w:val="1"/>
      <w:numFmt w:val="decimal"/>
      <w:lvlText w:val="%1.%2.%3.%4"/>
      <w:lvlJc w:val="left"/>
      <w:pPr>
        <w:ind w:left="1825" w:hanging="1102"/>
        <w:jc w:val="left"/>
      </w:pPr>
      <w:rPr>
        <w:rFonts w:hint="default" w:ascii="宋体" w:hAnsi="宋体" w:eastAsia="宋体" w:cs="宋体"/>
        <w:b w:val="0"/>
        <w:bCs w:val="0"/>
        <w:i w:val="0"/>
        <w:iCs w:val="0"/>
        <w:spacing w:val="-3"/>
        <w:w w:val="96"/>
        <w:sz w:val="22"/>
        <w:szCs w:val="22"/>
        <w:lang w:val="en-US" w:eastAsia="zh-CN" w:bidi="ar-SA"/>
      </w:rPr>
    </w:lvl>
    <w:lvl w:ilvl="4" w:tentative="0">
      <w:start w:val="0"/>
      <w:numFmt w:val="bullet"/>
      <w:lvlText w:val="•"/>
      <w:lvlJc w:val="left"/>
      <w:pPr>
        <w:ind w:left="3282" w:hanging="1102"/>
      </w:pPr>
      <w:rPr>
        <w:rFonts w:hint="default"/>
        <w:lang w:val="en-US" w:eastAsia="zh-CN" w:bidi="ar-SA"/>
      </w:rPr>
    </w:lvl>
    <w:lvl w:ilvl="5" w:tentative="0">
      <w:start w:val="0"/>
      <w:numFmt w:val="bullet"/>
      <w:lvlText w:val="•"/>
      <w:lvlJc w:val="left"/>
      <w:pPr>
        <w:ind w:left="3250" w:hanging="1102"/>
      </w:pPr>
      <w:rPr>
        <w:rFonts w:hint="default"/>
        <w:lang w:val="en-US" w:eastAsia="zh-CN" w:bidi="ar-SA"/>
      </w:rPr>
    </w:lvl>
    <w:lvl w:ilvl="6" w:tentative="0">
      <w:start w:val="0"/>
      <w:numFmt w:val="bullet"/>
      <w:lvlText w:val="•"/>
      <w:lvlJc w:val="left"/>
      <w:pPr>
        <w:ind w:left="3217" w:hanging="1102"/>
      </w:pPr>
      <w:rPr>
        <w:rFonts w:hint="default"/>
        <w:lang w:val="en-US" w:eastAsia="zh-CN" w:bidi="ar-SA"/>
      </w:rPr>
    </w:lvl>
    <w:lvl w:ilvl="7" w:tentative="0">
      <w:start w:val="0"/>
      <w:numFmt w:val="bullet"/>
      <w:lvlText w:val="•"/>
      <w:lvlJc w:val="left"/>
      <w:pPr>
        <w:ind w:left="3185" w:hanging="1102"/>
      </w:pPr>
      <w:rPr>
        <w:rFonts w:hint="default"/>
        <w:lang w:val="en-US" w:eastAsia="zh-CN" w:bidi="ar-SA"/>
      </w:rPr>
    </w:lvl>
    <w:lvl w:ilvl="8" w:tentative="0">
      <w:start w:val="0"/>
      <w:numFmt w:val="bullet"/>
      <w:lvlText w:val="•"/>
      <w:lvlJc w:val="left"/>
      <w:pPr>
        <w:ind w:left="3152" w:hanging="1102"/>
      </w:pPr>
      <w:rPr>
        <w:rFonts w:hint="default"/>
        <w:lang w:val="en-US" w:eastAsia="zh-CN" w:bidi="ar-SA"/>
      </w:rPr>
    </w:lvl>
  </w:abstractNum>
  <w:abstractNum w:abstractNumId="29">
    <w:nsid w:val="2A8F537B"/>
    <w:multiLevelType w:val="multilevel"/>
    <w:tmpl w:val="2A8F537B"/>
    <w:lvl w:ilvl="0" w:tentative="0">
      <w:start w:val="4"/>
      <w:numFmt w:val="decimal"/>
      <w:lvlText w:val="%1"/>
      <w:lvlJc w:val="left"/>
      <w:pPr>
        <w:ind w:left="1825" w:hanging="1102"/>
        <w:jc w:val="left"/>
      </w:pPr>
      <w:rPr>
        <w:rFonts w:hint="default"/>
        <w:lang w:val="en-US" w:eastAsia="zh-CN" w:bidi="ar-SA"/>
      </w:rPr>
    </w:lvl>
    <w:lvl w:ilvl="1" w:tentative="0">
      <w:start w:val="3"/>
      <w:numFmt w:val="decimal"/>
      <w:lvlText w:val="%1.%2"/>
      <w:lvlJc w:val="left"/>
      <w:pPr>
        <w:ind w:left="1825" w:hanging="1102"/>
        <w:jc w:val="left"/>
      </w:pPr>
      <w:rPr>
        <w:rFonts w:hint="default"/>
        <w:lang w:val="en-US" w:eastAsia="zh-CN" w:bidi="ar-SA"/>
      </w:rPr>
    </w:lvl>
    <w:lvl w:ilvl="2" w:tentative="0">
      <w:start w:val="1"/>
      <w:numFmt w:val="decimal"/>
      <w:lvlText w:val="%1.%2.%3"/>
      <w:lvlJc w:val="left"/>
      <w:pPr>
        <w:ind w:left="1825" w:hanging="1102"/>
        <w:jc w:val="left"/>
      </w:pPr>
      <w:rPr>
        <w:rFonts w:hint="default" w:ascii="宋体" w:hAnsi="宋体" w:eastAsia="宋体" w:cs="宋体"/>
        <w:b w:val="0"/>
        <w:bCs w:val="0"/>
        <w:i w:val="0"/>
        <w:iCs w:val="0"/>
        <w:w w:val="96"/>
        <w:sz w:val="22"/>
        <w:szCs w:val="22"/>
        <w:lang w:val="en-US" w:eastAsia="zh-CN" w:bidi="ar-SA"/>
      </w:rPr>
    </w:lvl>
    <w:lvl w:ilvl="3" w:tentative="0">
      <w:start w:val="0"/>
      <w:numFmt w:val="bullet"/>
      <w:lvlText w:val="•"/>
      <w:lvlJc w:val="left"/>
      <w:pPr>
        <w:ind w:left="2200" w:hanging="1102"/>
      </w:pPr>
      <w:rPr>
        <w:rFonts w:hint="default"/>
        <w:lang w:val="en-US" w:eastAsia="zh-CN" w:bidi="ar-SA"/>
      </w:rPr>
    </w:lvl>
    <w:lvl w:ilvl="4" w:tentative="0">
      <w:start w:val="0"/>
      <w:numFmt w:val="bullet"/>
      <w:lvlText w:val="•"/>
      <w:lvlJc w:val="left"/>
      <w:pPr>
        <w:ind w:left="2327" w:hanging="1102"/>
      </w:pPr>
      <w:rPr>
        <w:rFonts w:hint="default"/>
        <w:lang w:val="en-US" w:eastAsia="zh-CN" w:bidi="ar-SA"/>
      </w:rPr>
    </w:lvl>
    <w:lvl w:ilvl="5" w:tentative="0">
      <w:start w:val="0"/>
      <w:numFmt w:val="bullet"/>
      <w:lvlText w:val="•"/>
      <w:lvlJc w:val="left"/>
      <w:pPr>
        <w:ind w:left="2453" w:hanging="1102"/>
      </w:pPr>
      <w:rPr>
        <w:rFonts w:hint="default"/>
        <w:lang w:val="en-US" w:eastAsia="zh-CN" w:bidi="ar-SA"/>
      </w:rPr>
    </w:lvl>
    <w:lvl w:ilvl="6" w:tentative="0">
      <w:start w:val="0"/>
      <w:numFmt w:val="bullet"/>
      <w:lvlText w:val="•"/>
      <w:lvlJc w:val="left"/>
      <w:pPr>
        <w:ind w:left="2580" w:hanging="1102"/>
      </w:pPr>
      <w:rPr>
        <w:rFonts w:hint="default"/>
        <w:lang w:val="en-US" w:eastAsia="zh-CN" w:bidi="ar-SA"/>
      </w:rPr>
    </w:lvl>
    <w:lvl w:ilvl="7" w:tentative="0">
      <w:start w:val="0"/>
      <w:numFmt w:val="bullet"/>
      <w:lvlText w:val="•"/>
      <w:lvlJc w:val="left"/>
      <w:pPr>
        <w:ind w:left="2707" w:hanging="1102"/>
      </w:pPr>
      <w:rPr>
        <w:rFonts w:hint="default"/>
        <w:lang w:val="en-US" w:eastAsia="zh-CN" w:bidi="ar-SA"/>
      </w:rPr>
    </w:lvl>
    <w:lvl w:ilvl="8" w:tentative="0">
      <w:start w:val="0"/>
      <w:numFmt w:val="bullet"/>
      <w:lvlText w:val="•"/>
      <w:lvlJc w:val="left"/>
      <w:pPr>
        <w:ind w:left="2834" w:hanging="1102"/>
      </w:pPr>
      <w:rPr>
        <w:rFonts w:hint="default"/>
        <w:lang w:val="en-US" w:eastAsia="zh-CN" w:bidi="ar-SA"/>
      </w:rPr>
    </w:lvl>
  </w:abstractNum>
  <w:abstractNum w:abstractNumId="30">
    <w:nsid w:val="30FC5B15"/>
    <w:multiLevelType w:val="multilevel"/>
    <w:tmpl w:val="30FC5B15"/>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31">
    <w:nsid w:val="322D85CA"/>
    <w:multiLevelType w:val="multilevel"/>
    <w:tmpl w:val="322D85CA"/>
    <w:lvl w:ilvl="0" w:tentative="0">
      <w:start w:val="1"/>
      <w:numFmt w:val="decimal"/>
      <w:lvlText w:val="%1."/>
      <w:lvlJc w:val="left"/>
      <w:pPr>
        <w:ind w:left="492" w:hanging="31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98" w:hanging="319"/>
      </w:pPr>
      <w:rPr>
        <w:rFonts w:hint="default"/>
        <w:lang w:val="en-US" w:eastAsia="zh-CN" w:bidi="ar-SA"/>
      </w:rPr>
    </w:lvl>
    <w:lvl w:ilvl="2" w:tentative="0">
      <w:start w:val="0"/>
      <w:numFmt w:val="bullet"/>
      <w:lvlText w:val="•"/>
      <w:lvlJc w:val="left"/>
      <w:pPr>
        <w:ind w:left="1897" w:hanging="319"/>
      </w:pPr>
      <w:rPr>
        <w:rFonts w:hint="default"/>
        <w:lang w:val="en-US" w:eastAsia="zh-CN" w:bidi="ar-SA"/>
      </w:rPr>
    </w:lvl>
    <w:lvl w:ilvl="3" w:tentative="0">
      <w:start w:val="0"/>
      <w:numFmt w:val="bullet"/>
      <w:lvlText w:val="•"/>
      <w:lvlJc w:val="left"/>
      <w:pPr>
        <w:ind w:left="2596" w:hanging="319"/>
      </w:pPr>
      <w:rPr>
        <w:rFonts w:hint="default"/>
        <w:lang w:val="en-US" w:eastAsia="zh-CN" w:bidi="ar-SA"/>
      </w:rPr>
    </w:lvl>
    <w:lvl w:ilvl="4" w:tentative="0">
      <w:start w:val="0"/>
      <w:numFmt w:val="bullet"/>
      <w:lvlText w:val="•"/>
      <w:lvlJc w:val="left"/>
      <w:pPr>
        <w:ind w:left="3295" w:hanging="319"/>
      </w:pPr>
      <w:rPr>
        <w:rFonts w:hint="default"/>
        <w:lang w:val="en-US" w:eastAsia="zh-CN" w:bidi="ar-SA"/>
      </w:rPr>
    </w:lvl>
    <w:lvl w:ilvl="5" w:tentative="0">
      <w:start w:val="0"/>
      <w:numFmt w:val="bullet"/>
      <w:lvlText w:val="•"/>
      <w:lvlJc w:val="left"/>
      <w:pPr>
        <w:ind w:left="3994" w:hanging="319"/>
      </w:pPr>
      <w:rPr>
        <w:rFonts w:hint="default"/>
        <w:lang w:val="en-US" w:eastAsia="zh-CN" w:bidi="ar-SA"/>
      </w:rPr>
    </w:lvl>
    <w:lvl w:ilvl="6" w:tentative="0">
      <w:start w:val="0"/>
      <w:numFmt w:val="bullet"/>
      <w:lvlText w:val="•"/>
      <w:lvlJc w:val="left"/>
      <w:pPr>
        <w:ind w:left="4693" w:hanging="319"/>
      </w:pPr>
      <w:rPr>
        <w:rFonts w:hint="default"/>
        <w:lang w:val="en-US" w:eastAsia="zh-CN" w:bidi="ar-SA"/>
      </w:rPr>
    </w:lvl>
    <w:lvl w:ilvl="7" w:tentative="0">
      <w:start w:val="0"/>
      <w:numFmt w:val="bullet"/>
      <w:lvlText w:val="•"/>
      <w:lvlJc w:val="left"/>
      <w:pPr>
        <w:ind w:left="5392" w:hanging="319"/>
      </w:pPr>
      <w:rPr>
        <w:rFonts w:hint="default"/>
        <w:lang w:val="en-US" w:eastAsia="zh-CN" w:bidi="ar-SA"/>
      </w:rPr>
    </w:lvl>
    <w:lvl w:ilvl="8" w:tentative="0">
      <w:start w:val="0"/>
      <w:numFmt w:val="bullet"/>
      <w:lvlText w:val="•"/>
      <w:lvlJc w:val="left"/>
      <w:pPr>
        <w:ind w:left="6091" w:hanging="319"/>
      </w:pPr>
      <w:rPr>
        <w:rFonts w:hint="default"/>
        <w:lang w:val="en-US" w:eastAsia="zh-CN" w:bidi="ar-SA"/>
      </w:rPr>
    </w:lvl>
  </w:abstractNum>
  <w:abstractNum w:abstractNumId="32">
    <w:nsid w:val="39A0D9AC"/>
    <w:multiLevelType w:val="multilevel"/>
    <w:tmpl w:val="39A0D9AC"/>
    <w:lvl w:ilvl="0" w:tentative="0">
      <w:start w:val="3"/>
      <w:numFmt w:val="decimal"/>
      <w:lvlText w:val="（%1）"/>
      <w:lvlJc w:val="left"/>
      <w:pPr>
        <w:ind w:left="633"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1"/>
      <w:numFmt w:val="decimal"/>
      <w:lvlText w:val="（%2）"/>
      <w:lvlJc w:val="left"/>
      <w:pPr>
        <w:ind w:left="740" w:hanging="530"/>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1478" w:hanging="530"/>
      </w:pPr>
      <w:rPr>
        <w:rFonts w:hint="default"/>
        <w:lang w:val="en-US" w:eastAsia="zh-CN" w:bidi="ar-SA"/>
      </w:rPr>
    </w:lvl>
    <w:lvl w:ilvl="3" w:tentative="0">
      <w:start w:val="0"/>
      <w:numFmt w:val="bullet"/>
      <w:lvlText w:val="•"/>
      <w:lvlJc w:val="left"/>
      <w:pPr>
        <w:ind w:left="2216" w:hanging="530"/>
      </w:pPr>
      <w:rPr>
        <w:rFonts w:hint="default"/>
        <w:lang w:val="en-US" w:eastAsia="zh-CN" w:bidi="ar-SA"/>
      </w:rPr>
    </w:lvl>
    <w:lvl w:ilvl="4" w:tentative="0">
      <w:start w:val="0"/>
      <w:numFmt w:val="bullet"/>
      <w:lvlText w:val="•"/>
      <w:lvlJc w:val="left"/>
      <w:pPr>
        <w:ind w:left="2955" w:hanging="530"/>
      </w:pPr>
      <w:rPr>
        <w:rFonts w:hint="default"/>
        <w:lang w:val="en-US" w:eastAsia="zh-CN" w:bidi="ar-SA"/>
      </w:rPr>
    </w:lvl>
    <w:lvl w:ilvl="5" w:tentative="0">
      <w:start w:val="0"/>
      <w:numFmt w:val="bullet"/>
      <w:lvlText w:val="•"/>
      <w:lvlJc w:val="left"/>
      <w:pPr>
        <w:ind w:left="3693" w:hanging="530"/>
      </w:pPr>
      <w:rPr>
        <w:rFonts w:hint="default"/>
        <w:lang w:val="en-US" w:eastAsia="zh-CN" w:bidi="ar-SA"/>
      </w:rPr>
    </w:lvl>
    <w:lvl w:ilvl="6" w:tentative="0">
      <w:start w:val="0"/>
      <w:numFmt w:val="bullet"/>
      <w:lvlText w:val="•"/>
      <w:lvlJc w:val="left"/>
      <w:pPr>
        <w:ind w:left="4431" w:hanging="530"/>
      </w:pPr>
      <w:rPr>
        <w:rFonts w:hint="default"/>
        <w:lang w:val="en-US" w:eastAsia="zh-CN" w:bidi="ar-SA"/>
      </w:rPr>
    </w:lvl>
    <w:lvl w:ilvl="7" w:tentative="0">
      <w:start w:val="0"/>
      <w:numFmt w:val="bullet"/>
      <w:lvlText w:val="•"/>
      <w:lvlJc w:val="left"/>
      <w:pPr>
        <w:ind w:left="5170" w:hanging="530"/>
      </w:pPr>
      <w:rPr>
        <w:rFonts w:hint="default"/>
        <w:lang w:val="en-US" w:eastAsia="zh-CN" w:bidi="ar-SA"/>
      </w:rPr>
    </w:lvl>
    <w:lvl w:ilvl="8" w:tentative="0">
      <w:start w:val="0"/>
      <w:numFmt w:val="bullet"/>
      <w:lvlText w:val="•"/>
      <w:lvlJc w:val="left"/>
      <w:pPr>
        <w:ind w:left="5908" w:hanging="530"/>
      </w:pPr>
      <w:rPr>
        <w:rFonts w:hint="default"/>
        <w:lang w:val="en-US" w:eastAsia="zh-CN" w:bidi="ar-SA"/>
      </w:rPr>
    </w:lvl>
  </w:abstractNum>
  <w:abstractNum w:abstractNumId="33">
    <w:nsid w:val="46A08BB8"/>
    <w:multiLevelType w:val="multilevel"/>
    <w:tmpl w:val="46A08BB8"/>
    <w:lvl w:ilvl="0" w:tentative="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34">
    <w:nsid w:val="4C1BAE26"/>
    <w:multiLevelType w:val="multilevel"/>
    <w:tmpl w:val="4C1BAE26"/>
    <w:lvl w:ilvl="0" w:tentative="0">
      <w:start w:val="1"/>
      <w:numFmt w:val="decimal"/>
      <w:lvlText w:val="（%1）"/>
      <w:lvlJc w:val="left"/>
      <w:pPr>
        <w:ind w:left="529"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154" w:hanging="530"/>
      </w:pPr>
      <w:rPr>
        <w:rFonts w:hint="default"/>
        <w:lang w:val="en-US" w:eastAsia="zh-CN" w:bidi="ar-SA"/>
      </w:rPr>
    </w:lvl>
    <w:lvl w:ilvl="2" w:tentative="0">
      <w:start w:val="0"/>
      <w:numFmt w:val="bullet"/>
      <w:lvlText w:val="•"/>
      <w:lvlJc w:val="left"/>
      <w:pPr>
        <w:ind w:left="1789" w:hanging="530"/>
      </w:pPr>
      <w:rPr>
        <w:rFonts w:hint="default"/>
        <w:lang w:val="en-US" w:eastAsia="zh-CN" w:bidi="ar-SA"/>
      </w:rPr>
    </w:lvl>
    <w:lvl w:ilvl="3" w:tentative="0">
      <w:start w:val="0"/>
      <w:numFmt w:val="bullet"/>
      <w:lvlText w:val="•"/>
      <w:lvlJc w:val="left"/>
      <w:pPr>
        <w:ind w:left="2424" w:hanging="530"/>
      </w:pPr>
      <w:rPr>
        <w:rFonts w:hint="default"/>
        <w:lang w:val="en-US" w:eastAsia="zh-CN" w:bidi="ar-SA"/>
      </w:rPr>
    </w:lvl>
    <w:lvl w:ilvl="4" w:tentative="0">
      <w:start w:val="0"/>
      <w:numFmt w:val="bullet"/>
      <w:lvlText w:val="•"/>
      <w:lvlJc w:val="left"/>
      <w:pPr>
        <w:ind w:left="3059" w:hanging="530"/>
      </w:pPr>
      <w:rPr>
        <w:rFonts w:hint="default"/>
        <w:lang w:val="en-US" w:eastAsia="zh-CN" w:bidi="ar-SA"/>
      </w:rPr>
    </w:lvl>
    <w:lvl w:ilvl="5" w:tentative="0">
      <w:start w:val="0"/>
      <w:numFmt w:val="bullet"/>
      <w:lvlText w:val="•"/>
      <w:lvlJc w:val="left"/>
      <w:pPr>
        <w:ind w:left="3694" w:hanging="530"/>
      </w:pPr>
      <w:rPr>
        <w:rFonts w:hint="default"/>
        <w:lang w:val="en-US" w:eastAsia="zh-CN" w:bidi="ar-SA"/>
      </w:rPr>
    </w:lvl>
    <w:lvl w:ilvl="6" w:tentative="0">
      <w:start w:val="0"/>
      <w:numFmt w:val="bullet"/>
      <w:lvlText w:val="•"/>
      <w:lvlJc w:val="left"/>
      <w:pPr>
        <w:ind w:left="4329" w:hanging="530"/>
      </w:pPr>
      <w:rPr>
        <w:rFonts w:hint="default"/>
        <w:lang w:val="en-US" w:eastAsia="zh-CN" w:bidi="ar-SA"/>
      </w:rPr>
    </w:lvl>
    <w:lvl w:ilvl="7" w:tentative="0">
      <w:start w:val="0"/>
      <w:numFmt w:val="bullet"/>
      <w:lvlText w:val="•"/>
      <w:lvlJc w:val="left"/>
      <w:pPr>
        <w:ind w:left="4964" w:hanging="530"/>
      </w:pPr>
      <w:rPr>
        <w:rFonts w:hint="default"/>
        <w:lang w:val="en-US" w:eastAsia="zh-CN" w:bidi="ar-SA"/>
      </w:rPr>
    </w:lvl>
    <w:lvl w:ilvl="8" w:tentative="0">
      <w:start w:val="0"/>
      <w:numFmt w:val="bullet"/>
      <w:lvlText w:val="•"/>
      <w:lvlJc w:val="left"/>
      <w:pPr>
        <w:ind w:left="5599" w:hanging="530"/>
      </w:pPr>
      <w:rPr>
        <w:rFonts w:hint="default"/>
        <w:lang w:val="en-US" w:eastAsia="zh-CN" w:bidi="ar-SA"/>
      </w:rPr>
    </w:lvl>
  </w:abstractNum>
  <w:abstractNum w:abstractNumId="35">
    <w:nsid w:val="4C3D7A74"/>
    <w:multiLevelType w:val="multilevel"/>
    <w:tmpl w:val="4C3D7A74"/>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8" w:hanging="530"/>
      </w:pPr>
      <w:rPr>
        <w:rFonts w:hint="default"/>
        <w:lang w:val="en-US" w:eastAsia="zh-CN" w:bidi="ar-SA"/>
      </w:rPr>
    </w:lvl>
    <w:lvl w:ilvl="2" w:tentative="0">
      <w:start w:val="0"/>
      <w:numFmt w:val="bullet"/>
      <w:lvlText w:val="•"/>
      <w:lvlJc w:val="left"/>
      <w:pPr>
        <w:ind w:left="2057" w:hanging="530"/>
      </w:pPr>
      <w:rPr>
        <w:rFonts w:hint="default"/>
        <w:lang w:val="en-US" w:eastAsia="zh-CN" w:bidi="ar-SA"/>
      </w:rPr>
    </w:lvl>
    <w:lvl w:ilvl="3" w:tentative="0">
      <w:start w:val="0"/>
      <w:numFmt w:val="bullet"/>
      <w:lvlText w:val="•"/>
      <w:lvlJc w:val="left"/>
      <w:pPr>
        <w:ind w:left="2736" w:hanging="530"/>
      </w:pPr>
      <w:rPr>
        <w:rFonts w:hint="default"/>
        <w:lang w:val="en-US" w:eastAsia="zh-CN" w:bidi="ar-SA"/>
      </w:rPr>
    </w:lvl>
    <w:lvl w:ilvl="4" w:tentative="0">
      <w:start w:val="0"/>
      <w:numFmt w:val="bullet"/>
      <w:lvlText w:val="•"/>
      <w:lvlJc w:val="left"/>
      <w:pPr>
        <w:ind w:left="3415" w:hanging="530"/>
      </w:pPr>
      <w:rPr>
        <w:rFonts w:hint="default"/>
        <w:lang w:val="en-US" w:eastAsia="zh-CN" w:bidi="ar-SA"/>
      </w:rPr>
    </w:lvl>
    <w:lvl w:ilvl="5" w:tentative="0">
      <w:start w:val="0"/>
      <w:numFmt w:val="bullet"/>
      <w:lvlText w:val="•"/>
      <w:lvlJc w:val="left"/>
      <w:pPr>
        <w:ind w:left="4094" w:hanging="530"/>
      </w:pPr>
      <w:rPr>
        <w:rFonts w:hint="default"/>
        <w:lang w:val="en-US" w:eastAsia="zh-CN" w:bidi="ar-SA"/>
      </w:rPr>
    </w:lvl>
    <w:lvl w:ilvl="6" w:tentative="0">
      <w:start w:val="0"/>
      <w:numFmt w:val="bullet"/>
      <w:lvlText w:val="•"/>
      <w:lvlJc w:val="left"/>
      <w:pPr>
        <w:ind w:left="4773" w:hanging="530"/>
      </w:pPr>
      <w:rPr>
        <w:rFonts w:hint="default"/>
        <w:lang w:val="en-US" w:eastAsia="zh-CN" w:bidi="ar-SA"/>
      </w:rPr>
    </w:lvl>
    <w:lvl w:ilvl="7" w:tentative="0">
      <w:start w:val="0"/>
      <w:numFmt w:val="bullet"/>
      <w:lvlText w:val="•"/>
      <w:lvlJc w:val="left"/>
      <w:pPr>
        <w:ind w:left="5452" w:hanging="530"/>
      </w:pPr>
      <w:rPr>
        <w:rFonts w:hint="default"/>
        <w:lang w:val="en-US" w:eastAsia="zh-CN" w:bidi="ar-SA"/>
      </w:rPr>
    </w:lvl>
    <w:lvl w:ilvl="8" w:tentative="0">
      <w:start w:val="0"/>
      <w:numFmt w:val="bullet"/>
      <w:lvlText w:val="•"/>
      <w:lvlJc w:val="left"/>
      <w:pPr>
        <w:ind w:left="6131" w:hanging="530"/>
      </w:pPr>
      <w:rPr>
        <w:rFonts w:hint="default"/>
        <w:lang w:val="en-US" w:eastAsia="zh-CN" w:bidi="ar-SA"/>
      </w:rPr>
    </w:lvl>
  </w:abstractNum>
  <w:abstractNum w:abstractNumId="36">
    <w:nsid w:val="4D4DC07F"/>
    <w:multiLevelType w:val="multilevel"/>
    <w:tmpl w:val="4D4DC07F"/>
    <w:lvl w:ilvl="0" w:tentative="0">
      <w:start w:val="8"/>
      <w:numFmt w:val="decimal"/>
      <w:lvlText w:val="%1"/>
      <w:lvlJc w:val="left"/>
      <w:pPr>
        <w:ind w:left="1825" w:hanging="1102"/>
        <w:jc w:val="left"/>
      </w:pPr>
      <w:rPr>
        <w:rFonts w:hint="default"/>
        <w:lang w:val="en-US" w:eastAsia="zh-CN" w:bidi="ar-SA"/>
      </w:rPr>
    </w:lvl>
    <w:lvl w:ilvl="1" w:tentative="0">
      <w:start w:val="1"/>
      <w:numFmt w:val="decimal"/>
      <w:lvlText w:val="%1.%2"/>
      <w:lvlJc w:val="left"/>
      <w:pPr>
        <w:ind w:left="1825" w:hanging="1102"/>
        <w:jc w:val="left"/>
      </w:pPr>
      <w:rPr>
        <w:rFonts w:hint="default"/>
        <w:lang w:val="en-US" w:eastAsia="zh-CN" w:bidi="ar-SA"/>
      </w:rPr>
    </w:lvl>
    <w:lvl w:ilvl="2" w:tentative="0">
      <w:start w:val="2"/>
      <w:numFmt w:val="decimal"/>
      <w:lvlText w:val="%1.%2.%3"/>
      <w:lvlJc w:val="left"/>
      <w:pPr>
        <w:ind w:left="1825" w:hanging="1102"/>
        <w:jc w:val="left"/>
      </w:pPr>
      <w:rPr>
        <w:rFonts w:hint="default" w:ascii="宋体" w:hAnsi="宋体" w:eastAsia="宋体" w:cs="宋体"/>
        <w:b w:val="0"/>
        <w:bCs w:val="0"/>
        <w:i w:val="0"/>
        <w:iCs w:val="0"/>
        <w:w w:val="96"/>
        <w:sz w:val="22"/>
        <w:szCs w:val="22"/>
        <w:lang w:val="en-US" w:eastAsia="zh-CN" w:bidi="ar-SA"/>
      </w:rPr>
    </w:lvl>
    <w:lvl w:ilvl="3" w:tentative="0">
      <w:start w:val="0"/>
      <w:numFmt w:val="bullet"/>
      <w:lvlText w:val="•"/>
      <w:lvlJc w:val="left"/>
      <w:pPr>
        <w:ind w:left="4999" w:hanging="1102"/>
      </w:pPr>
      <w:rPr>
        <w:rFonts w:hint="default"/>
        <w:lang w:val="en-US" w:eastAsia="zh-CN" w:bidi="ar-SA"/>
      </w:rPr>
    </w:lvl>
    <w:lvl w:ilvl="4" w:tentative="0">
      <w:start w:val="0"/>
      <w:numFmt w:val="bullet"/>
      <w:lvlText w:val="•"/>
      <w:lvlJc w:val="left"/>
      <w:pPr>
        <w:ind w:left="5808" w:hanging="1102"/>
      </w:pPr>
      <w:rPr>
        <w:rFonts w:hint="default"/>
        <w:lang w:val="en-US" w:eastAsia="zh-CN" w:bidi="ar-SA"/>
      </w:rPr>
    </w:lvl>
    <w:lvl w:ilvl="5" w:tentative="0">
      <w:start w:val="0"/>
      <w:numFmt w:val="bullet"/>
      <w:lvlText w:val="•"/>
      <w:lvlJc w:val="left"/>
      <w:pPr>
        <w:ind w:left="6618" w:hanging="1102"/>
      </w:pPr>
      <w:rPr>
        <w:rFonts w:hint="default"/>
        <w:lang w:val="en-US" w:eastAsia="zh-CN" w:bidi="ar-SA"/>
      </w:rPr>
    </w:lvl>
    <w:lvl w:ilvl="6" w:tentative="0">
      <w:start w:val="0"/>
      <w:numFmt w:val="bullet"/>
      <w:lvlText w:val="•"/>
      <w:lvlJc w:val="left"/>
      <w:pPr>
        <w:ind w:left="7428" w:hanging="1102"/>
      </w:pPr>
      <w:rPr>
        <w:rFonts w:hint="default"/>
        <w:lang w:val="en-US" w:eastAsia="zh-CN" w:bidi="ar-SA"/>
      </w:rPr>
    </w:lvl>
    <w:lvl w:ilvl="7" w:tentative="0">
      <w:start w:val="0"/>
      <w:numFmt w:val="bullet"/>
      <w:lvlText w:val="•"/>
      <w:lvlJc w:val="left"/>
      <w:pPr>
        <w:ind w:left="8237" w:hanging="1102"/>
      </w:pPr>
      <w:rPr>
        <w:rFonts w:hint="default"/>
        <w:lang w:val="en-US" w:eastAsia="zh-CN" w:bidi="ar-SA"/>
      </w:rPr>
    </w:lvl>
    <w:lvl w:ilvl="8" w:tentative="0">
      <w:start w:val="0"/>
      <w:numFmt w:val="bullet"/>
      <w:lvlText w:val="•"/>
      <w:lvlJc w:val="left"/>
      <w:pPr>
        <w:ind w:left="9047" w:hanging="1102"/>
      </w:pPr>
      <w:rPr>
        <w:rFonts w:hint="default"/>
        <w:lang w:val="en-US" w:eastAsia="zh-CN" w:bidi="ar-SA"/>
      </w:rPr>
    </w:lvl>
  </w:abstractNum>
  <w:abstractNum w:abstractNumId="37">
    <w:nsid w:val="4D94DA66"/>
    <w:multiLevelType w:val="multilevel"/>
    <w:tmpl w:val="4D94DA66"/>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38">
    <w:nsid w:val="58765686"/>
    <w:multiLevelType w:val="multilevel"/>
    <w:tmpl w:val="58765686"/>
    <w:lvl w:ilvl="0" w:tentative="0">
      <w:start w:val="0"/>
      <w:numFmt w:val="bullet"/>
      <w:lvlText w:val="■"/>
      <w:lvlJc w:val="left"/>
      <w:pPr>
        <w:ind w:left="424" w:hanging="318"/>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091" w:hanging="318"/>
      </w:pPr>
      <w:rPr>
        <w:rFonts w:hint="default"/>
        <w:lang w:val="en-US" w:eastAsia="zh-CN" w:bidi="ar-SA"/>
      </w:rPr>
    </w:lvl>
    <w:lvl w:ilvl="2" w:tentative="0">
      <w:start w:val="0"/>
      <w:numFmt w:val="bullet"/>
      <w:lvlText w:val="•"/>
      <w:lvlJc w:val="left"/>
      <w:pPr>
        <w:ind w:left="1762" w:hanging="318"/>
      </w:pPr>
      <w:rPr>
        <w:rFonts w:hint="default"/>
        <w:lang w:val="en-US" w:eastAsia="zh-CN" w:bidi="ar-SA"/>
      </w:rPr>
    </w:lvl>
    <w:lvl w:ilvl="3" w:tentative="0">
      <w:start w:val="0"/>
      <w:numFmt w:val="bullet"/>
      <w:lvlText w:val="•"/>
      <w:lvlJc w:val="left"/>
      <w:pPr>
        <w:ind w:left="2433" w:hanging="318"/>
      </w:pPr>
      <w:rPr>
        <w:rFonts w:hint="default"/>
        <w:lang w:val="en-US" w:eastAsia="zh-CN" w:bidi="ar-SA"/>
      </w:rPr>
    </w:lvl>
    <w:lvl w:ilvl="4" w:tentative="0">
      <w:start w:val="0"/>
      <w:numFmt w:val="bullet"/>
      <w:lvlText w:val="•"/>
      <w:lvlJc w:val="left"/>
      <w:pPr>
        <w:ind w:left="3105" w:hanging="318"/>
      </w:pPr>
      <w:rPr>
        <w:rFonts w:hint="default"/>
        <w:lang w:val="en-US" w:eastAsia="zh-CN" w:bidi="ar-SA"/>
      </w:rPr>
    </w:lvl>
    <w:lvl w:ilvl="5" w:tentative="0">
      <w:start w:val="0"/>
      <w:numFmt w:val="bullet"/>
      <w:lvlText w:val="•"/>
      <w:lvlJc w:val="left"/>
      <w:pPr>
        <w:ind w:left="3776" w:hanging="318"/>
      </w:pPr>
      <w:rPr>
        <w:rFonts w:hint="default"/>
        <w:lang w:val="en-US" w:eastAsia="zh-CN" w:bidi="ar-SA"/>
      </w:rPr>
    </w:lvl>
    <w:lvl w:ilvl="6" w:tentative="0">
      <w:start w:val="0"/>
      <w:numFmt w:val="bullet"/>
      <w:lvlText w:val="•"/>
      <w:lvlJc w:val="left"/>
      <w:pPr>
        <w:ind w:left="4447" w:hanging="318"/>
      </w:pPr>
      <w:rPr>
        <w:rFonts w:hint="default"/>
        <w:lang w:val="en-US" w:eastAsia="zh-CN" w:bidi="ar-SA"/>
      </w:rPr>
    </w:lvl>
    <w:lvl w:ilvl="7" w:tentative="0">
      <w:start w:val="0"/>
      <w:numFmt w:val="bullet"/>
      <w:lvlText w:val="•"/>
      <w:lvlJc w:val="left"/>
      <w:pPr>
        <w:ind w:left="5119" w:hanging="318"/>
      </w:pPr>
      <w:rPr>
        <w:rFonts w:hint="default"/>
        <w:lang w:val="en-US" w:eastAsia="zh-CN" w:bidi="ar-SA"/>
      </w:rPr>
    </w:lvl>
    <w:lvl w:ilvl="8" w:tentative="0">
      <w:start w:val="0"/>
      <w:numFmt w:val="bullet"/>
      <w:lvlText w:val="•"/>
      <w:lvlJc w:val="left"/>
      <w:pPr>
        <w:ind w:left="5790" w:hanging="318"/>
      </w:pPr>
      <w:rPr>
        <w:rFonts w:hint="default"/>
        <w:lang w:val="en-US" w:eastAsia="zh-CN" w:bidi="ar-SA"/>
      </w:rPr>
    </w:lvl>
  </w:abstractNum>
  <w:abstractNum w:abstractNumId="39">
    <w:nsid w:val="59ADCABA"/>
    <w:multiLevelType w:val="multilevel"/>
    <w:tmpl w:val="59ADCABA"/>
    <w:lvl w:ilvl="0" w:tentative="0">
      <w:start w:val="1"/>
      <w:numFmt w:val="decimal"/>
      <w:lvlText w:val="%1"/>
      <w:lvlJc w:val="left"/>
      <w:pPr>
        <w:ind w:left="648" w:hanging="370"/>
        <w:jc w:val="left"/>
      </w:pPr>
      <w:rPr>
        <w:rFonts w:hint="default"/>
        <w:lang w:val="en-US" w:eastAsia="zh-CN" w:bidi="ar-SA"/>
      </w:rPr>
    </w:lvl>
    <w:lvl w:ilvl="1" w:tentative="0">
      <w:start w:val="1"/>
      <w:numFmt w:val="decimal"/>
      <w:lvlText w:val="%1.%2"/>
      <w:lvlJc w:val="left"/>
      <w:pPr>
        <w:ind w:left="648" w:hanging="370"/>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1039" w:hanging="370"/>
      </w:pPr>
      <w:rPr>
        <w:rFonts w:hint="default"/>
        <w:lang w:val="en-US" w:eastAsia="zh-CN" w:bidi="ar-SA"/>
      </w:rPr>
    </w:lvl>
    <w:lvl w:ilvl="3" w:tentative="0">
      <w:start w:val="0"/>
      <w:numFmt w:val="bullet"/>
      <w:lvlText w:val="•"/>
      <w:lvlJc w:val="left"/>
      <w:pPr>
        <w:ind w:left="1239" w:hanging="370"/>
      </w:pPr>
      <w:rPr>
        <w:rFonts w:hint="default"/>
        <w:lang w:val="en-US" w:eastAsia="zh-CN" w:bidi="ar-SA"/>
      </w:rPr>
    </w:lvl>
    <w:lvl w:ilvl="4" w:tentative="0">
      <w:start w:val="0"/>
      <w:numFmt w:val="bullet"/>
      <w:lvlText w:val="•"/>
      <w:lvlJc w:val="left"/>
      <w:pPr>
        <w:ind w:left="1439" w:hanging="370"/>
      </w:pPr>
      <w:rPr>
        <w:rFonts w:hint="default"/>
        <w:lang w:val="en-US" w:eastAsia="zh-CN" w:bidi="ar-SA"/>
      </w:rPr>
    </w:lvl>
    <w:lvl w:ilvl="5" w:tentative="0">
      <w:start w:val="0"/>
      <w:numFmt w:val="bullet"/>
      <w:lvlText w:val="•"/>
      <w:lvlJc w:val="left"/>
      <w:pPr>
        <w:ind w:left="1639" w:hanging="370"/>
      </w:pPr>
      <w:rPr>
        <w:rFonts w:hint="default"/>
        <w:lang w:val="en-US" w:eastAsia="zh-CN" w:bidi="ar-SA"/>
      </w:rPr>
    </w:lvl>
    <w:lvl w:ilvl="6" w:tentative="0">
      <w:start w:val="0"/>
      <w:numFmt w:val="bullet"/>
      <w:lvlText w:val="•"/>
      <w:lvlJc w:val="left"/>
      <w:pPr>
        <w:ind w:left="1839" w:hanging="370"/>
      </w:pPr>
      <w:rPr>
        <w:rFonts w:hint="default"/>
        <w:lang w:val="en-US" w:eastAsia="zh-CN" w:bidi="ar-SA"/>
      </w:rPr>
    </w:lvl>
    <w:lvl w:ilvl="7" w:tentative="0">
      <w:start w:val="0"/>
      <w:numFmt w:val="bullet"/>
      <w:lvlText w:val="•"/>
      <w:lvlJc w:val="left"/>
      <w:pPr>
        <w:ind w:left="2039" w:hanging="370"/>
      </w:pPr>
      <w:rPr>
        <w:rFonts w:hint="default"/>
        <w:lang w:val="en-US" w:eastAsia="zh-CN" w:bidi="ar-SA"/>
      </w:rPr>
    </w:lvl>
    <w:lvl w:ilvl="8" w:tentative="0">
      <w:start w:val="0"/>
      <w:numFmt w:val="bullet"/>
      <w:lvlText w:val="•"/>
      <w:lvlJc w:val="left"/>
      <w:pPr>
        <w:ind w:left="2239" w:hanging="370"/>
      </w:pPr>
      <w:rPr>
        <w:rFonts w:hint="default"/>
        <w:lang w:val="en-US" w:eastAsia="zh-CN" w:bidi="ar-SA"/>
      </w:rPr>
    </w:lvl>
  </w:abstractNum>
  <w:abstractNum w:abstractNumId="40">
    <w:nsid w:val="5A241D34"/>
    <w:multiLevelType w:val="multilevel"/>
    <w:tmpl w:val="5A241D34"/>
    <w:lvl w:ilvl="0" w:tentative="0">
      <w:start w:val="5"/>
      <w:numFmt w:val="decimal"/>
      <w:lvlText w:val="%1"/>
      <w:lvlJc w:val="left"/>
      <w:pPr>
        <w:ind w:left="1825" w:hanging="1102"/>
        <w:jc w:val="left"/>
      </w:pPr>
      <w:rPr>
        <w:rFonts w:hint="default"/>
        <w:lang w:val="en-US" w:eastAsia="zh-CN" w:bidi="ar-SA"/>
      </w:rPr>
    </w:lvl>
    <w:lvl w:ilvl="1" w:tentative="0">
      <w:start w:val="1"/>
      <w:numFmt w:val="decimal"/>
      <w:lvlText w:val="%1.%2"/>
      <w:lvlJc w:val="left"/>
      <w:pPr>
        <w:ind w:left="1825" w:hanging="1102"/>
        <w:jc w:val="left"/>
      </w:pPr>
      <w:rPr>
        <w:rFonts w:hint="default" w:ascii="微软雅黑" w:hAnsi="微软雅黑" w:eastAsia="微软雅黑" w:cs="微软雅黑"/>
        <w:b/>
        <w:bCs/>
        <w:i w:val="0"/>
        <w:iCs w:val="0"/>
        <w:w w:val="99"/>
        <w:position w:val="-1"/>
        <w:sz w:val="21"/>
        <w:szCs w:val="21"/>
        <w:lang w:val="en-US" w:eastAsia="zh-CN" w:bidi="ar-SA"/>
      </w:rPr>
    </w:lvl>
    <w:lvl w:ilvl="2" w:tentative="0">
      <w:start w:val="0"/>
      <w:numFmt w:val="bullet"/>
      <w:lvlText w:val="•"/>
      <w:lvlJc w:val="left"/>
      <w:pPr>
        <w:ind w:left="3589" w:hanging="1102"/>
      </w:pPr>
      <w:rPr>
        <w:rFonts w:hint="default"/>
        <w:lang w:val="en-US" w:eastAsia="zh-CN" w:bidi="ar-SA"/>
      </w:rPr>
    </w:lvl>
    <w:lvl w:ilvl="3" w:tentative="0">
      <w:start w:val="0"/>
      <w:numFmt w:val="bullet"/>
      <w:lvlText w:val="•"/>
      <w:lvlJc w:val="left"/>
      <w:pPr>
        <w:ind w:left="4473" w:hanging="1102"/>
      </w:pPr>
      <w:rPr>
        <w:rFonts w:hint="default"/>
        <w:lang w:val="en-US" w:eastAsia="zh-CN" w:bidi="ar-SA"/>
      </w:rPr>
    </w:lvl>
    <w:lvl w:ilvl="4" w:tentative="0">
      <w:start w:val="0"/>
      <w:numFmt w:val="bullet"/>
      <w:lvlText w:val="•"/>
      <w:lvlJc w:val="left"/>
      <w:pPr>
        <w:ind w:left="5358" w:hanging="1102"/>
      </w:pPr>
      <w:rPr>
        <w:rFonts w:hint="default"/>
        <w:lang w:val="en-US" w:eastAsia="zh-CN" w:bidi="ar-SA"/>
      </w:rPr>
    </w:lvl>
    <w:lvl w:ilvl="5" w:tentative="0">
      <w:start w:val="0"/>
      <w:numFmt w:val="bullet"/>
      <w:lvlText w:val="•"/>
      <w:lvlJc w:val="left"/>
      <w:pPr>
        <w:ind w:left="6243" w:hanging="1102"/>
      </w:pPr>
      <w:rPr>
        <w:rFonts w:hint="default"/>
        <w:lang w:val="en-US" w:eastAsia="zh-CN" w:bidi="ar-SA"/>
      </w:rPr>
    </w:lvl>
    <w:lvl w:ilvl="6" w:tentative="0">
      <w:start w:val="0"/>
      <w:numFmt w:val="bullet"/>
      <w:lvlText w:val="•"/>
      <w:lvlJc w:val="left"/>
      <w:pPr>
        <w:ind w:left="7127" w:hanging="1102"/>
      </w:pPr>
      <w:rPr>
        <w:rFonts w:hint="default"/>
        <w:lang w:val="en-US" w:eastAsia="zh-CN" w:bidi="ar-SA"/>
      </w:rPr>
    </w:lvl>
    <w:lvl w:ilvl="7" w:tentative="0">
      <w:start w:val="0"/>
      <w:numFmt w:val="bullet"/>
      <w:lvlText w:val="•"/>
      <w:lvlJc w:val="left"/>
      <w:pPr>
        <w:ind w:left="8012" w:hanging="1102"/>
      </w:pPr>
      <w:rPr>
        <w:rFonts w:hint="default"/>
        <w:lang w:val="en-US" w:eastAsia="zh-CN" w:bidi="ar-SA"/>
      </w:rPr>
    </w:lvl>
    <w:lvl w:ilvl="8" w:tentative="0">
      <w:start w:val="0"/>
      <w:numFmt w:val="bullet"/>
      <w:lvlText w:val="•"/>
      <w:lvlJc w:val="left"/>
      <w:pPr>
        <w:ind w:left="8897" w:hanging="1102"/>
      </w:pPr>
      <w:rPr>
        <w:rFonts w:hint="default"/>
        <w:lang w:val="en-US" w:eastAsia="zh-CN" w:bidi="ar-SA"/>
      </w:rPr>
    </w:lvl>
  </w:abstractNum>
  <w:abstractNum w:abstractNumId="41">
    <w:nsid w:val="5E29AB5A"/>
    <w:multiLevelType w:val="multilevel"/>
    <w:tmpl w:val="5E29AB5A"/>
    <w:lvl w:ilvl="0" w:tentative="0">
      <w:start w:val="1"/>
      <w:numFmt w:val="lowerLetter"/>
      <w:lvlText w:val="%1."/>
      <w:lvlJc w:val="left"/>
      <w:pPr>
        <w:ind w:left="168" w:hanging="213"/>
        <w:jc w:val="left"/>
      </w:pPr>
      <w:rPr>
        <w:rFonts w:hint="default" w:ascii="宋体" w:hAnsi="宋体" w:eastAsia="宋体" w:cs="宋体"/>
        <w:b w:val="0"/>
        <w:bCs w:val="0"/>
        <w:i w:val="0"/>
        <w:iCs w:val="0"/>
        <w:w w:val="100"/>
        <w:sz w:val="19"/>
        <w:szCs w:val="19"/>
        <w:shd w:val="clear" w:color="auto" w:fill="C0C0C0"/>
        <w:lang w:val="en-US" w:eastAsia="zh-CN" w:bidi="ar-SA"/>
      </w:rPr>
    </w:lvl>
    <w:lvl w:ilvl="1" w:tentative="0">
      <w:start w:val="0"/>
      <w:numFmt w:val="bullet"/>
      <w:lvlText w:val="•"/>
      <w:lvlJc w:val="left"/>
      <w:pPr>
        <w:ind w:left="887" w:hanging="213"/>
      </w:pPr>
      <w:rPr>
        <w:rFonts w:hint="default"/>
        <w:lang w:val="en-US" w:eastAsia="zh-CN" w:bidi="ar-SA"/>
      </w:rPr>
    </w:lvl>
    <w:lvl w:ilvl="2" w:tentative="0">
      <w:start w:val="0"/>
      <w:numFmt w:val="bullet"/>
      <w:lvlText w:val="•"/>
      <w:lvlJc w:val="left"/>
      <w:pPr>
        <w:ind w:left="1615" w:hanging="213"/>
      </w:pPr>
      <w:rPr>
        <w:rFonts w:hint="default"/>
        <w:lang w:val="en-US" w:eastAsia="zh-CN" w:bidi="ar-SA"/>
      </w:rPr>
    </w:lvl>
    <w:lvl w:ilvl="3" w:tentative="0">
      <w:start w:val="0"/>
      <w:numFmt w:val="bullet"/>
      <w:lvlText w:val="•"/>
      <w:lvlJc w:val="left"/>
      <w:pPr>
        <w:ind w:left="2343" w:hanging="213"/>
      </w:pPr>
      <w:rPr>
        <w:rFonts w:hint="default"/>
        <w:lang w:val="en-US" w:eastAsia="zh-CN" w:bidi="ar-SA"/>
      </w:rPr>
    </w:lvl>
    <w:lvl w:ilvl="4" w:tentative="0">
      <w:start w:val="0"/>
      <w:numFmt w:val="bullet"/>
      <w:lvlText w:val="•"/>
      <w:lvlJc w:val="left"/>
      <w:pPr>
        <w:ind w:left="3071" w:hanging="213"/>
      </w:pPr>
      <w:rPr>
        <w:rFonts w:hint="default"/>
        <w:lang w:val="en-US" w:eastAsia="zh-CN" w:bidi="ar-SA"/>
      </w:rPr>
    </w:lvl>
    <w:lvl w:ilvl="5" w:tentative="0">
      <w:start w:val="0"/>
      <w:numFmt w:val="bullet"/>
      <w:lvlText w:val="•"/>
      <w:lvlJc w:val="left"/>
      <w:pPr>
        <w:ind w:left="3799" w:hanging="213"/>
      </w:pPr>
      <w:rPr>
        <w:rFonts w:hint="default"/>
        <w:lang w:val="en-US" w:eastAsia="zh-CN" w:bidi="ar-SA"/>
      </w:rPr>
    </w:lvl>
    <w:lvl w:ilvl="6" w:tentative="0">
      <w:start w:val="0"/>
      <w:numFmt w:val="bullet"/>
      <w:lvlText w:val="•"/>
      <w:lvlJc w:val="left"/>
      <w:pPr>
        <w:ind w:left="4526" w:hanging="213"/>
      </w:pPr>
      <w:rPr>
        <w:rFonts w:hint="default"/>
        <w:lang w:val="en-US" w:eastAsia="zh-CN" w:bidi="ar-SA"/>
      </w:rPr>
    </w:lvl>
    <w:lvl w:ilvl="7" w:tentative="0">
      <w:start w:val="0"/>
      <w:numFmt w:val="bullet"/>
      <w:lvlText w:val="•"/>
      <w:lvlJc w:val="left"/>
      <w:pPr>
        <w:ind w:left="5254" w:hanging="213"/>
      </w:pPr>
      <w:rPr>
        <w:rFonts w:hint="default"/>
        <w:lang w:val="en-US" w:eastAsia="zh-CN" w:bidi="ar-SA"/>
      </w:rPr>
    </w:lvl>
    <w:lvl w:ilvl="8" w:tentative="0">
      <w:start w:val="0"/>
      <w:numFmt w:val="bullet"/>
      <w:lvlText w:val="•"/>
      <w:lvlJc w:val="left"/>
      <w:pPr>
        <w:ind w:left="5982" w:hanging="213"/>
      </w:pPr>
      <w:rPr>
        <w:rFonts w:hint="default"/>
        <w:lang w:val="en-US" w:eastAsia="zh-CN" w:bidi="ar-SA"/>
      </w:rPr>
    </w:lvl>
  </w:abstractNum>
  <w:abstractNum w:abstractNumId="42">
    <w:nsid w:val="5FFFB1A7"/>
    <w:multiLevelType w:val="multilevel"/>
    <w:tmpl w:val="5FFFB1A7"/>
    <w:lvl w:ilvl="0" w:tentative="0">
      <w:start w:val="1"/>
      <w:numFmt w:val="decimal"/>
      <w:lvlText w:val="（%1）"/>
      <w:lvlJc w:val="left"/>
      <w:pPr>
        <w:ind w:left="633"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1"/>
      <w:numFmt w:val="decimal"/>
      <w:lvlText w:val="（%2）"/>
      <w:lvlJc w:val="left"/>
      <w:pPr>
        <w:ind w:left="737" w:hanging="530"/>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1478" w:hanging="530"/>
      </w:pPr>
      <w:rPr>
        <w:rFonts w:hint="default"/>
        <w:lang w:val="en-US" w:eastAsia="zh-CN" w:bidi="ar-SA"/>
      </w:rPr>
    </w:lvl>
    <w:lvl w:ilvl="3" w:tentative="0">
      <w:start w:val="0"/>
      <w:numFmt w:val="bullet"/>
      <w:lvlText w:val="•"/>
      <w:lvlJc w:val="left"/>
      <w:pPr>
        <w:ind w:left="2216" w:hanging="530"/>
      </w:pPr>
      <w:rPr>
        <w:rFonts w:hint="default"/>
        <w:lang w:val="en-US" w:eastAsia="zh-CN" w:bidi="ar-SA"/>
      </w:rPr>
    </w:lvl>
    <w:lvl w:ilvl="4" w:tentative="0">
      <w:start w:val="0"/>
      <w:numFmt w:val="bullet"/>
      <w:lvlText w:val="•"/>
      <w:lvlJc w:val="left"/>
      <w:pPr>
        <w:ind w:left="2955" w:hanging="530"/>
      </w:pPr>
      <w:rPr>
        <w:rFonts w:hint="default"/>
        <w:lang w:val="en-US" w:eastAsia="zh-CN" w:bidi="ar-SA"/>
      </w:rPr>
    </w:lvl>
    <w:lvl w:ilvl="5" w:tentative="0">
      <w:start w:val="0"/>
      <w:numFmt w:val="bullet"/>
      <w:lvlText w:val="•"/>
      <w:lvlJc w:val="left"/>
      <w:pPr>
        <w:ind w:left="3693" w:hanging="530"/>
      </w:pPr>
      <w:rPr>
        <w:rFonts w:hint="default"/>
        <w:lang w:val="en-US" w:eastAsia="zh-CN" w:bidi="ar-SA"/>
      </w:rPr>
    </w:lvl>
    <w:lvl w:ilvl="6" w:tentative="0">
      <w:start w:val="0"/>
      <w:numFmt w:val="bullet"/>
      <w:lvlText w:val="•"/>
      <w:lvlJc w:val="left"/>
      <w:pPr>
        <w:ind w:left="4431" w:hanging="530"/>
      </w:pPr>
      <w:rPr>
        <w:rFonts w:hint="default"/>
        <w:lang w:val="en-US" w:eastAsia="zh-CN" w:bidi="ar-SA"/>
      </w:rPr>
    </w:lvl>
    <w:lvl w:ilvl="7" w:tentative="0">
      <w:start w:val="0"/>
      <w:numFmt w:val="bullet"/>
      <w:lvlText w:val="•"/>
      <w:lvlJc w:val="left"/>
      <w:pPr>
        <w:ind w:left="5170" w:hanging="530"/>
      </w:pPr>
      <w:rPr>
        <w:rFonts w:hint="default"/>
        <w:lang w:val="en-US" w:eastAsia="zh-CN" w:bidi="ar-SA"/>
      </w:rPr>
    </w:lvl>
    <w:lvl w:ilvl="8" w:tentative="0">
      <w:start w:val="0"/>
      <w:numFmt w:val="bullet"/>
      <w:lvlText w:val="•"/>
      <w:lvlJc w:val="left"/>
      <w:pPr>
        <w:ind w:left="5908" w:hanging="530"/>
      </w:pPr>
      <w:rPr>
        <w:rFonts w:hint="default"/>
        <w:lang w:val="en-US" w:eastAsia="zh-CN" w:bidi="ar-SA"/>
      </w:rPr>
    </w:lvl>
  </w:abstractNum>
  <w:abstractNum w:abstractNumId="43">
    <w:nsid w:val="60382F6E"/>
    <w:multiLevelType w:val="multilevel"/>
    <w:tmpl w:val="60382F6E"/>
    <w:lvl w:ilvl="0" w:tentative="0">
      <w:start w:val="8"/>
      <w:numFmt w:val="decimal"/>
      <w:lvlText w:val="%1"/>
      <w:lvlJc w:val="left"/>
      <w:pPr>
        <w:ind w:left="1825" w:hanging="1102"/>
        <w:jc w:val="left"/>
      </w:pPr>
      <w:rPr>
        <w:rFonts w:hint="default"/>
        <w:lang w:val="en-US" w:eastAsia="zh-CN" w:bidi="ar-SA"/>
      </w:rPr>
    </w:lvl>
    <w:lvl w:ilvl="1" w:tentative="0">
      <w:start w:val="1"/>
      <w:numFmt w:val="decimal"/>
      <w:lvlText w:val="%1.%2"/>
      <w:lvlJc w:val="left"/>
      <w:pPr>
        <w:ind w:left="1825" w:hanging="1102"/>
        <w:jc w:val="left"/>
      </w:pPr>
      <w:rPr>
        <w:rFonts w:hint="default"/>
        <w:lang w:val="en-US" w:eastAsia="zh-CN" w:bidi="ar-SA"/>
      </w:rPr>
    </w:lvl>
    <w:lvl w:ilvl="2" w:tentative="0">
      <w:start w:val="57"/>
      <w:numFmt w:val="decimal"/>
      <w:lvlText w:val="%1.%2.%3"/>
      <w:lvlJc w:val="left"/>
      <w:pPr>
        <w:ind w:left="1825" w:hanging="1102"/>
        <w:jc w:val="left"/>
      </w:pPr>
      <w:rPr>
        <w:rFonts w:hint="default" w:ascii="宋体" w:hAnsi="宋体" w:eastAsia="宋体" w:cs="宋体"/>
        <w:b w:val="0"/>
        <w:bCs w:val="0"/>
        <w:i w:val="0"/>
        <w:iCs w:val="0"/>
        <w:w w:val="96"/>
        <w:sz w:val="22"/>
        <w:szCs w:val="22"/>
        <w:lang w:val="en-US" w:eastAsia="zh-CN" w:bidi="ar-SA"/>
      </w:rPr>
    </w:lvl>
    <w:lvl w:ilvl="3" w:tentative="0">
      <w:start w:val="0"/>
      <w:numFmt w:val="bullet"/>
      <w:lvlText w:val="•"/>
      <w:lvlJc w:val="left"/>
      <w:pPr>
        <w:ind w:left="2225" w:hanging="1102"/>
      </w:pPr>
      <w:rPr>
        <w:rFonts w:hint="default"/>
        <w:lang w:val="en-US" w:eastAsia="zh-CN" w:bidi="ar-SA"/>
      </w:rPr>
    </w:lvl>
    <w:lvl w:ilvl="4" w:tentative="0">
      <w:start w:val="0"/>
      <w:numFmt w:val="bullet"/>
      <w:lvlText w:val="•"/>
      <w:lvlJc w:val="left"/>
      <w:pPr>
        <w:ind w:left="2360" w:hanging="1102"/>
      </w:pPr>
      <w:rPr>
        <w:rFonts w:hint="default"/>
        <w:lang w:val="en-US" w:eastAsia="zh-CN" w:bidi="ar-SA"/>
      </w:rPr>
    </w:lvl>
    <w:lvl w:ilvl="5" w:tentative="0">
      <w:start w:val="0"/>
      <w:numFmt w:val="bullet"/>
      <w:lvlText w:val="•"/>
      <w:lvlJc w:val="left"/>
      <w:pPr>
        <w:ind w:left="2495" w:hanging="1102"/>
      </w:pPr>
      <w:rPr>
        <w:rFonts w:hint="default"/>
        <w:lang w:val="en-US" w:eastAsia="zh-CN" w:bidi="ar-SA"/>
      </w:rPr>
    </w:lvl>
    <w:lvl w:ilvl="6" w:tentative="0">
      <w:start w:val="0"/>
      <w:numFmt w:val="bullet"/>
      <w:lvlText w:val="•"/>
      <w:lvlJc w:val="left"/>
      <w:pPr>
        <w:ind w:left="2630" w:hanging="1102"/>
      </w:pPr>
      <w:rPr>
        <w:rFonts w:hint="default"/>
        <w:lang w:val="en-US" w:eastAsia="zh-CN" w:bidi="ar-SA"/>
      </w:rPr>
    </w:lvl>
    <w:lvl w:ilvl="7" w:tentative="0">
      <w:start w:val="0"/>
      <w:numFmt w:val="bullet"/>
      <w:lvlText w:val="•"/>
      <w:lvlJc w:val="left"/>
      <w:pPr>
        <w:ind w:left="2765" w:hanging="1102"/>
      </w:pPr>
      <w:rPr>
        <w:rFonts w:hint="default"/>
        <w:lang w:val="en-US" w:eastAsia="zh-CN" w:bidi="ar-SA"/>
      </w:rPr>
    </w:lvl>
    <w:lvl w:ilvl="8" w:tentative="0">
      <w:start w:val="0"/>
      <w:numFmt w:val="bullet"/>
      <w:lvlText w:val="•"/>
      <w:lvlJc w:val="left"/>
      <w:pPr>
        <w:ind w:left="2900" w:hanging="1102"/>
      </w:pPr>
      <w:rPr>
        <w:rFonts w:hint="default"/>
        <w:lang w:val="en-US" w:eastAsia="zh-CN" w:bidi="ar-SA"/>
      </w:rPr>
    </w:lvl>
  </w:abstractNum>
  <w:abstractNum w:abstractNumId="44">
    <w:nsid w:val="629F7852"/>
    <w:multiLevelType w:val="multilevel"/>
    <w:tmpl w:val="629F7852"/>
    <w:lvl w:ilvl="0" w:tentative="0">
      <w:start w:val="1"/>
      <w:numFmt w:val="decimal"/>
      <w:lvlText w:val="（%1）"/>
      <w:lvlJc w:val="left"/>
      <w:pPr>
        <w:ind w:left="703"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0"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1"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2"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3" w:hanging="530"/>
      </w:pPr>
      <w:rPr>
        <w:rFonts w:hint="default"/>
        <w:lang w:val="en-US" w:eastAsia="zh-CN" w:bidi="ar-SA"/>
      </w:rPr>
    </w:lvl>
  </w:abstractNum>
  <w:abstractNum w:abstractNumId="45">
    <w:nsid w:val="65CD0074"/>
    <w:multiLevelType w:val="multilevel"/>
    <w:tmpl w:val="65CD0074"/>
    <w:lvl w:ilvl="0" w:tentative="0">
      <w:start w:val="1"/>
      <w:numFmt w:val="decimal"/>
      <w:lvlText w:val="（%1）"/>
      <w:lvlJc w:val="left"/>
      <w:pPr>
        <w:ind w:left="704" w:hanging="530"/>
        <w:jc w:val="left"/>
      </w:pPr>
      <w:rPr>
        <w:rFonts w:hint="default" w:ascii="宋体" w:hAnsi="宋体" w:eastAsia="宋体" w:cs="宋体"/>
        <w:b w:val="0"/>
        <w:bCs w:val="0"/>
        <w:i w:val="0"/>
        <w:iCs w:val="0"/>
        <w:spacing w:val="-8"/>
        <w:w w:val="100"/>
        <w:sz w:val="19"/>
        <w:szCs w:val="19"/>
        <w:lang w:val="en-US" w:eastAsia="zh-CN" w:bidi="ar-SA"/>
      </w:rPr>
    </w:lvl>
    <w:lvl w:ilvl="1" w:tentative="0">
      <w:start w:val="0"/>
      <w:numFmt w:val="bullet"/>
      <w:lvlText w:val="•"/>
      <w:lvlJc w:val="left"/>
      <w:pPr>
        <w:ind w:left="1378" w:hanging="530"/>
      </w:pPr>
      <w:rPr>
        <w:rFonts w:hint="default"/>
        <w:lang w:val="en-US" w:eastAsia="zh-CN" w:bidi="ar-SA"/>
      </w:rPr>
    </w:lvl>
    <w:lvl w:ilvl="2" w:tentative="0">
      <w:start w:val="0"/>
      <w:numFmt w:val="bullet"/>
      <w:lvlText w:val="•"/>
      <w:lvlJc w:val="left"/>
      <w:pPr>
        <w:ind w:left="2057" w:hanging="530"/>
      </w:pPr>
      <w:rPr>
        <w:rFonts w:hint="default"/>
        <w:lang w:val="en-US" w:eastAsia="zh-CN" w:bidi="ar-SA"/>
      </w:rPr>
    </w:lvl>
    <w:lvl w:ilvl="3" w:tentative="0">
      <w:start w:val="0"/>
      <w:numFmt w:val="bullet"/>
      <w:lvlText w:val="•"/>
      <w:lvlJc w:val="left"/>
      <w:pPr>
        <w:ind w:left="2736" w:hanging="530"/>
      </w:pPr>
      <w:rPr>
        <w:rFonts w:hint="default"/>
        <w:lang w:val="en-US" w:eastAsia="zh-CN" w:bidi="ar-SA"/>
      </w:rPr>
    </w:lvl>
    <w:lvl w:ilvl="4" w:tentative="0">
      <w:start w:val="0"/>
      <w:numFmt w:val="bullet"/>
      <w:lvlText w:val="•"/>
      <w:lvlJc w:val="left"/>
      <w:pPr>
        <w:ind w:left="3415" w:hanging="530"/>
      </w:pPr>
      <w:rPr>
        <w:rFonts w:hint="default"/>
        <w:lang w:val="en-US" w:eastAsia="zh-CN" w:bidi="ar-SA"/>
      </w:rPr>
    </w:lvl>
    <w:lvl w:ilvl="5" w:tentative="0">
      <w:start w:val="0"/>
      <w:numFmt w:val="bullet"/>
      <w:lvlText w:val="•"/>
      <w:lvlJc w:val="left"/>
      <w:pPr>
        <w:ind w:left="4094" w:hanging="530"/>
      </w:pPr>
      <w:rPr>
        <w:rFonts w:hint="default"/>
        <w:lang w:val="en-US" w:eastAsia="zh-CN" w:bidi="ar-SA"/>
      </w:rPr>
    </w:lvl>
    <w:lvl w:ilvl="6" w:tentative="0">
      <w:start w:val="0"/>
      <w:numFmt w:val="bullet"/>
      <w:lvlText w:val="•"/>
      <w:lvlJc w:val="left"/>
      <w:pPr>
        <w:ind w:left="4773" w:hanging="530"/>
      </w:pPr>
      <w:rPr>
        <w:rFonts w:hint="default"/>
        <w:lang w:val="en-US" w:eastAsia="zh-CN" w:bidi="ar-SA"/>
      </w:rPr>
    </w:lvl>
    <w:lvl w:ilvl="7" w:tentative="0">
      <w:start w:val="0"/>
      <w:numFmt w:val="bullet"/>
      <w:lvlText w:val="•"/>
      <w:lvlJc w:val="left"/>
      <w:pPr>
        <w:ind w:left="5452" w:hanging="530"/>
      </w:pPr>
      <w:rPr>
        <w:rFonts w:hint="default"/>
        <w:lang w:val="en-US" w:eastAsia="zh-CN" w:bidi="ar-SA"/>
      </w:rPr>
    </w:lvl>
    <w:lvl w:ilvl="8" w:tentative="0">
      <w:start w:val="0"/>
      <w:numFmt w:val="bullet"/>
      <w:lvlText w:val="•"/>
      <w:lvlJc w:val="left"/>
      <w:pPr>
        <w:ind w:left="6131" w:hanging="530"/>
      </w:pPr>
      <w:rPr>
        <w:rFonts w:hint="default"/>
        <w:lang w:val="en-US" w:eastAsia="zh-CN" w:bidi="ar-SA"/>
      </w:rPr>
    </w:lvl>
  </w:abstractNum>
  <w:abstractNum w:abstractNumId="46">
    <w:nsid w:val="72183CF9"/>
    <w:multiLevelType w:val="multilevel"/>
    <w:tmpl w:val="72183CF9"/>
    <w:lvl w:ilvl="0" w:tentative="0">
      <w:start w:val="2"/>
      <w:numFmt w:val="decimal"/>
      <w:lvlText w:val="%1"/>
      <w:lvlJc w:val="left"/>
      <w:pPr>
        <w:ind w:left="1825" w:hanging="1102"/>
        <w:jc w:val="left"/>
      </w:pPr>
      <w:rPr>
        <w:rFonts w:hint="default"/>
        <w:lang w:val="en-US" w:eastAsia="zh-CN" w:bidi="ar-SA"/>
      </w:rPr>
    </w:lvl>
    <w:lvl w:ilvl="1" w:tentative="0">
      <w:start w:val="1"/>
      <w:numFmt w:val="decimal"/>
      <w:lvlText w:val="%1.%2"/>
      <w:lvlJc w:val="left"/>
      <w:pPr>
        <w:ind w:left="1825" w:hanging="1102"/>
        <w:jc w:val="left"/>
      </w:pPr>
      <w:rPr>
        <w:rFonts w:hint="default" w:ascii="微软雅黑" w:hAnsi="微软雅黑" w:eastAsia="微软雅黑" w:cs="微软雅黑"/>
        <w:b/>
        <w:bCs/>
        <w:i w:val="0"/>
        <w:iCs w:val="0"/>
        <w:w w:val="99"/>
        <w:sz w:val="21"/>
        <w:szCs w:val="21"/>
        <w:lang w:val="en-US" w:eastAsia="zh-CN" w:bidi="ar-SA"/>
      </w:rPr>
    </w:lvl>
    <w:lvl w:ilvl="2" w:tentative="0">
      <w:start w:val="0"/>
      <w:numFmt w:val="bullet"/>
      <w:lvlText w:val="•"/>
      <w:lvlJc w:val="left"/>
      <w:pPr>
        <w:ind w:left="3589" w:hanging="1102"/>
      </w:pPr>
      <w:rPr>
        <w:rFonts w:hint="default"/>
        <w:lang w:val="en-US" w:eastAsia="zh-CN" w:bidi="ar-SA"/>
      </w:rPr>
    </w:lvl>
    <w:lvl w:ilvl="3" w:tentative="0">
      <w:start w:val="0"/>
      <w:numFmt w:val="bullet"/>
      <w:lvlText w:val="•"/>
      <w:lvlJc w:val="left"/>
      <w:pPr>
        <w:ind w:left="4473" w:hanging="1102"/>
      </w:pPr>
      <w:rPr>
        <w:rFonts w:hint="default"/>
        <w:lang w:val="en-US" w:eastAsia="zh-CN" w:bidi="ar-SA"/>
      </w:rPr>
    </w:lvl>
    <w:lvl w:ilvl="4" w:tentative="0">
      <w:start w:val="0"/>
      <w:numFmt w:val="bullet"/>
      <w:lvlText w:val="•"/>
      <w:lvlJc w:val="left"/>
      <w:pPr>
        <w:ind w:left="5358" w:hanging="1102"/>
      </w:pPr>
      <w:rPr>
        <w:rFonts w:hint="default"/>
        <w:lang w:val="en-US" w:eastAsia="zh-CN" w:bidi="ar-SA"/>
      </w:rPr>
    </w:lvl>
    <w:lvl w:ilvl="5" w:tentative="0">
      <w:start w:val="0"/>
      <w:numFmt w:val="bullet"/>
      <w:lvlText w:val="•"/>
      <w:lvlJc w:val="left"/>
      <w:pPr>
        <w:ind w:left="6243" w:hanging="1102"/>
      </w:pPr>
      <w:rPr>
        <w:rFonts w:hint="default"/>
        <w:lang w:val="en-US" w:eastAsia="zh-CN" w:bidi="ar-SA"/>
      </w:rPr>
    </w:lvl>
    <w:lvl w:ilvl="6" w:tentative="0">
      <w:start w:val="0"/>
      <w:numFmt w:val="bullet"/>
      <w:lvlText w:val="•"/>
      <w:lvlJc w:val="left"/>
      <w:pPr>
        <w:ind w:left="7127" w:hanging="1102"/>
      </w:pPr>
      <w:rPr>
        <w:rFonts w:hint="default"/>
        <w:lang w:val="en-US" w:eastAsia="zh-CN" w:bidi="ar-SA"/>
      </w:rPr>
    </w:lvl>
    <w:lvl w:ilvl="7" w:tentative="0">
      <w:start w:val="0"/>
      <w:numFmt w:val="bullet"/>
      <w:lvlText w:val="•"/>
      <w:lvlJc w:val="left"/>
      <w:pPr>
        <w:ind w:left="8012" w:hanging="1102"/>
      </w:pPr>
      <w:rPr>
        <w:rFonts w:hint="default"/>
        <w:lang w:val="en-US" w:eastAsia="zh-CN" w:bidi="ar-SA"/>
      </w:rPr>
    </w:lvl>
    <w:lvl w:ilvl="8" w:tentative="0">
      <w:start w:val="0"/>
      <w:numFmt w:val="bullet"/>
      <w:lvlText w:val="•"/>
      <w:lvlJc w:val="left"/>
      <w:pPr>
        <w:ind w:left="8897" w:hanging="1102"/>
      </w:pPr>
      <w:rPr>
        <w:rFonts w:hint="default"/>
        <w:lang w:val="en-US" w:eastAsia="zh-CN" w:bidi="ar-SA"/>
      </w:rPr>
    </w:lvl>
  </w:abstractNum>
  <w:abstractNum w:abstractNumId="47">
    <w:nsid w:val="74C28B35"/>
    <w:multiLevelType w:val="multilevel"/>
    <w:tmpl w:val="74C28B35"/>
    <w:lvl w:ilvl="0" w:tentative="0">
      <w:start w:val="1"/>
      <w:numFmt w:val="decimal"/>
      <w:lvlText w:val="（%1）"/>
      <w:lvlJc w:val="left"/>
      <w:pPr>
        <w:ind w:left="208" w:hanging="530"/>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25" w:hanging="530"/>
      </w:pPr>
      <w:rPr>
        <w:rFonts w:hint="default"/>
        <w:lang w:val="en-US" w:eastAsia="zh-CN" w:bidi="ar-SA"/>
      </w:rPr>
    </w:lvl>
    <w:lvl w:ilvl="2" w:tentative="0">
      <w:start w:val="0"/>
      <w:numFmt w:val="bullet"/>
      <w:lvlText w:val="•"/>
      <w:lvlJc w:val="left"/>
      <w:pPr>
        <w:ind w:left="1651" w:hanging="530"/>
      </w:pPr>
      <w:rPr>
        <w:rFonts w:hint="default"/>
        <w:lang w:val="en-US" w:eastAsia="zh-CN" w:bidi="ar-SA"/>
      </w:rPr>
    </w:lvl>
    <w:lvl w:ilvl="3" w:tentative="0">
      <w:start w:val="0"/>
      <w:numFmt w:val="bullet"/>
      <w:lvlText w:val="•"/>
      <w:lvlJc w:val="left"/>
      <w:pPr>
        <w:ind w:left="2376" w:hanging="530"/>
      </w:pPr>
      <w:rPr>
        <w:rFonts w:hint="default"/>
        <w:lang w:val="en-US" w:eastAsia="zh-CN" w:bidi="ar-SA"/>
      </w:rPr>
    </w:lvl>
    <w:lvl w:ilvl="4" w:tentative="0">
      <w:start w:val="0"/>
      <w:numFmt w:val="bullet"/>
      <w:lvlText w:val="•"/>
      <w:lvlJc w:val="left"/>
      <w:pPr>
        <w:ind w:left="3102" w:hanging="530"/>
      </w:pPr>
      <w:rPr>
        <w:rFonts w:hint="default"/>
        <w:lang w:val="en-US" w:eastAsia="zh-CN" w:bidi="ar-SA"/>
      </w:rPr>
    </w:lvl>
    <w:lvl w:ilvl="5" w:tentative="0">
      <w:start w:val="0"/>
      <w:numFmt w:val="bullet"/>
      <w:lvlText w:val="•"/>
      <w:lvlJc w:val="left"/>
      <w:pPr>
        <w:ind w:left="3827" w:hanging="530"/>
      </w:pPr>
      <w:rPr>
        <w:rFonts w:hint="default"/>
        <w:lang w:val="en-US" w:eastAsia="zh-CN" w:bidi="ar-SA"/>
      </w:rPr>
    </w:lvl>
    <w:lvl w:ilvl="6" w:tentative="0">
      <w:start w:val="0"/>
      <w:numFmt w:val="bullet"/>
      <w:lvlText w:val="•"/>
      <w:lvlJc w:val="left"/>
      <w:pPr>
        <w:ind w:left="4553" w:hanging="530"/>
      </w:pPr>
      <w:rPr>
        <w:rFonts w:hint="default"/>
        <w:lang w:val="en-US" w:eastAsia="zh-CN" w:bidi="ar-SA"/>
      </w:rPr>
    </w:lvl>
    <w:lvl w:ilvl="7" w:tentative="0">
      <w:start w:val="0"/>
      <w:numFmt w:val="bullet"/>
      <w:lvlText w:val="•"/>
      <w:lvlJc w:val="left"/>
      <w:pPr>
        <w:ind w:left="5278" w:hanging="530"/>
      </w:pPr>
      <w:rPr>
        <w:rFonts w:hint="default"/>
        <w:lang w:val="en-US" w:eastAsia="zh-CN" w:bidi="ar-SA"/>
      </w:rPr>
    </w:lvl>
    <w:lvl w:ilvl="8" w:tentative="0">
      <w:start w:val="0"/>
      <w:numFmt w:val="bullet"/>
      <w:lvlText w:val="•"/>
      <w:lvlJc w:val="left"/>
      <w:pPr>
        <w:ind w:left="6004" w:hanging="530"/>
      </w:pPr>
      <w:rPr>
        <w:rFonts w:hint="default"/>
        <w:lang w:val="en-US" w:eastAsia="zh-CN" w:bidi="ar-SA"/>
      </w:rPr>
    </w:lvl>
  </w:abstractNum>
  <w:abstractNum w:abstractNumId="48">
    <w:nsid w:val="77ECEA79"/>
    <w:multiLevelType w:val="multilevel"/>
    <w:tmpl w:val="77ECEA79"/>
    <w:lvl w:ilvl="0" w:tentative="0">
      <w:start w:val="8"/>
      <w:numFmt w:val="decimal"/>
      <w:lvlText w:val="%1"/>
      <w:lvlJc w:val="left"/>
      <w:pPr>
        <w:ind w:left="1825" w:hanging="1102"/>
        <w:jc w:val="left"/>
      </w:pPr>
      <w:rPr>
        <w:rFonts w:hint="default"/>
        <w:lang w:val="en-US" w:eastAsia="zh-CN" w:bidi="ar-SA"/>
      </w:rPr>
    </w:lvl>
    <w:lvl w:ilvl="1" w:tentative="0">
      <w:start w:val="1"/>
      <w:numFmt w:val="decimal"/>
      <w:lvlText w:val="%1.%2"/>
      <w:lvlJc w:val="left"/>
      <w:pPr>
        <w:ind w:left="1825" w:hanging="1102"/>
        <w:jc w:val="left"/>
      </w:pPr>
      <w:rPr>
        <w:rFonts w:hint="default"/>
        <w:lang w:val="en-US" w:eastAsia="zh-CN" w:bidi="ar-SA"/>
      </w:rPr>
    </w:lvl>
    <w:lvl w:ilvl="2" w:tentative="0">
      <w:start w:val="78"/>
      <w:numFmt w:val="decimal"/>
      <w:lvlText w:val="%1.%2.%3"/>
      <w:lvlJc w:val="left"/>
      <w:pPr>
        <w:ind w:left="1825" w:hanging="1102"/>
        <w:jc w:val="left"/>
      </w:pPr>
      <w:rPr>
        <w:rFonts w:hint="default" w:ascii="宋体" w:hAnsi="宋体" w:eastAsia="宋体" w:cs="宋体"/>
        <w:b w:val="0"/>
        <w:bCs w:val="0"/>
        <w:i w:val="0"/>
        <w:iCs w:val="0"/>
        <w:w w:val="96"/>
        <w:sz w:val="22"/>
        <w:szCs w:val="22"/>
        <w:lang w:val="en-US" w:eastAsia="zh-CN" w:bidi="ar-SA"/>
      </w:rPr>
    </w:lvl>
    <w:lvl w:ilvl="3" w:tentative="0">
      <w:start w:val="1"/>
      <w:numFmt w:val="decimal"/>
      <w:lvlText w:val="（%4）"/>
      <w:lvlJc w:val="left"/>
      <w:pPr>
        <w:ind w:left="3914" w:hanging="530"/>
        <w:jc w:val="left"/>
      </w:pPr>
      <w:rPr>
        <w:rFonts w:hint="default" w:ascii="宋体" w:hAnsi="宋体" w:eastAsia="宋体" w:cs="宋体"/>
        <w:b w:val="0"/>
        <w:bCs w:val="0"/>
        <w:i w:val="0"/>
        <w:iCs w:val="0"/>
        <w:spacing w:val="-3"/>
        <w:w w:val="100"/>
        <w:sz w:val="19"/>
        <w:szCs w:val="19"/>
        <w:lang w:val="en-US" w:eastAsia="zh-CN" w:bidi="ar-SA"/>
      </w:rPr>
    </w:lvl>
    <w:lvl w:ilvl="4" w:tentative="0">
      <w:start w:val="0"/>
      <w:numFmt w:val="bullet"/>
      <w:lvlText w:val="•"/>
      <w:lvlJc w:val="left"/>
      <w:pPr>
        <w:ind w:left="3670" w:hanging="530"/>
      </w:pPr>
      <w:rPr>
        <w:rFonts w:hint="default"/>
        <w:lang w:val="en-US" w:eastAsia="zh-CN" w:bidi="ar-SA"/>
      </w:rPr>
    </w:lvl>
    <w:lvl w:ilvl="5" w:tentative="0">
      <w:start w:val="0"/>
      <w:numFmt w:val="bullet"/>
      <w:lvlText w:val="•"/>
      <w:lvlJc w:val="left"/>
      <w:pPr>
        <w:ind w:left="3587" w:hanging="530"/>
      </w:pPr>
      <w:rPr>
        <w:rFonts w:hint="default"/>
        <w:lang w:val="en-US" w:eastAsia="zh-CN" w:bidi="ar-SA"/>
      </w:rPr>
    </w:lvl>
    <w:lvl w:ilvl="6" w:tentative="0">
      <w:start w:val="0"/>
      <w:numFmt w:val="bullet"/>
      <w:lvlText w:val="•"/>
      <w:lvlJc w:val="left"/>
      <w:pPr>
        <w:ind w:left="3503" w:hanging="530"/>
      </w:pPr>
      <w:rPr>
        <w:rFonts w:hint="default"/>
        <w:lang w:val="en-US" w:eastAsia="zh-CN" w:bidi="ar-SA"/>
      </w:rPr>
    </w:lvl>
    <w:lvl w:ilvl="7" w:tentative="0">
      <w:start w:val="0"/>
      <w:numFmt w:val="bullet"/>
      <w:lvlText w:val="•"/>
      <w:lvlJc w:val="left"/>
      <w:pPr>
        <w:ind w:left="3420" w:hanging="530"/>
      </w:pPr>
      <w:rPr>
        <w:rFonts w:hint="default"/>
        <w:lang w:val="en-US" w:eastAsia="zh-CN" w:bidi="ar-SA"/>
      </w:rPr>
    </w:lvl>
    <w:lvl w:ilvl="8" w:tentative="0">
      <w:start w:val="0"/>
      <w:numFmt w:val="bullet"/>
      <w:lvlText w:val="•"/>
      <w:lvlJc w:val="left"/>
      <w:pPr>
        <w:ind w:left="3337" w:hanging="530"/>
      </w:pPr>
      <w:rPr>
        <w:rFonts w:hint="default"/>
        <w:lang w:val="en-US" w:eastAsia="zh-CN" w:bidi="ar-SA"/>
      </w:rPr>
    </w:lvl>
  </w:abstractNum>
  <w:abstractNum w:abstractNumId="49">
    <w:nsid w:val="79AA4FA4"/>
    <w:multiLevelType w:val="multilevel"/>
    <w:tmpl w:val="79AA4FA4"/>
    <w:lvl w:ilvl="0" w:tentative="0">
      <w:start w:val="1"/>
      <w:numFmt w:val="decimal"/>
      <w:lvlText w:val="（%1）"/>
      <w:lvlJc w:val="left"/>
      <w:pPr>
        <w:ind w:left="740"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11" w:hanging="530"/>
      </w:pPr>
      <w:rPr>
        <w:rFonts w:hint="default"/>
        <w:lang w:val="en-US" w:eastAsia="zh-CN" w:bidi="ar-SA"/>
      </w:rPr>
    </w:lvl>
    <w:lvl w:ilvl="2" w:tentative="0">
      <w:start w:val="0"/>
      <w:numFmt w:val="bullet"/>
      <w:lvlText w:val="•"/>
      <w:lvlJc w:val="left"/>
      <w:pPr>
        <w:ind w:left="2083" w:hanging="530"/>
      </w:pPr>
      <w:rPr>
        <w:rFonts w:hint="default"/>
        <w:lang w:val="en-US" w:eastAsia="zh-CN" w:bidi="ar-SA"/>
      </w:rPr>
    </w:lvl>
    <w:lvl w:ilvl="3" w:tentative="0">
      <w:start w:val="0"/>
      <w:numFmt w:val="bullet"/>
      <w:lvlText w:val="•"/>
      <w:lvlJc w:val="left"/>
      <w:pPr>
        <w:ind w:left="2754" w:hanging="530"/>
      </w:pPr>
      <w:rPr>
        <w:rFonts w:hint="default"/>
        <w:lang w:val="en-US" w:eastAsia="zh-CN" w:bidi="ar-SA"/>
      </w:rPr>
    </w:lvl>
    <w:lvl w:ilvl="4" w:tentative="0">
      <w:start w:val="0"/>
      <w:numFmt w:val="bullet"/>
      <w:lvlText w:val="•"/>
      <w:lvlJc w:val="left"/>
      <w:pPr>
        <w:ind w:left="3426" w:hanging="530"/>
      </w:pPr>
      <w:rPr>
        <w:rFonts w:hint="default"/>
        <w:lang w:val="en-US" w:eastAsia="zh-CN" w:bidi="ar-SA"/>
      </w:rPr>
    </w:lvl>
    <w:lvl w:ilvl="5" w:tentative="0">
      <w:start w:val="0"/>
      <w:numFmt w:val="bullet"/>
      <w:lvlText w:val="•"/>
      <w:lvlJc w:val="left"/>
      <w:pPr>
        <w:ind w:left="4097" w:hanging="530"/>
      </w:pPr>
      <w:rPr>
        <w:rFonts w:hint="default"/>
        <w:lang w:val="en-US" w:eastAsia="zh-CN" w:bidi="ar-SA"/>
      </w:rPr>
    </w:lvl>
    <w:lvl w:ilvl="6" w:tentative="0">
      <w:start w:val="0"/>
      <w:numFmt w:val="bullet"/>
      <w:lvlText w:val="•"/>
      <w:lvlJc w:val="left"/>
      <w:pPr>
        <w:ind w:left="4769" w:hanging="530"/>
      </w:pPr>
      <w:rPr>
        <w:rFonts w:hint="default"/>
        <w:lang w:val="en-US" w:eastAsia="zh-CN" w:bidi="ar-SA"/>
      </w:rPr>
    </w:lvl>
    <w:lvl w:ilvl="7" w:tentative="0">
      <w:start w:val="0"/>
      <w:numFmt w:val="bullet"/>
      <w:lvlText w:val="•"/>
      <w:lvlJc w:val="left"/>
      <w:pPr>
        <w:ind w:left="5440" w:hanging="530"/>
      </w:pPr>
      <w:rPr>
        <w:rFonts w:hint="default"/>
        <w:lang w:val="en-US" w:eastAsia="zh-CN" w:bidi="ar-SA"/>
      </w:rPr>
    </w:lvl>
    <w:lvl w:ilvl="8" w:tentative="0">
      <w:start w:val="0"/>
      <w:numFmt w:val="bullet"/>
      <w:lvlText w:val="•"/>
      <w:lvlJc w:val="left"/>
      <w:pPr>
        <w:ind w:left="6112" w:hanging="530"/>
      </w:pPr>
      <w:rPr>
        <w:rFonts w:hint="default"/>
        <w:lang w:val="en-US" w:eastAsia="zh-CN" w:bidi="ar-SA"/>
      </w:rPr>
    </w:lvl>
  </w:abstractNum>
  <w:abstractNum w:abstractNumId="50">
    <w:nsid w:val="7C246926"/>
    <w:multiLevelType w:val="multilevel"/>
    <w:tmpl w:val="7C246926"/>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375" w:hanging="530"/>
      </w:pPr>
      <w:rPr>
        <w:rFonts w:hint="default"/>
        <w:lang w:val="en-US" w:eastAsia="zh-CN" w:bidi="ar-SA"/>
      </w:rPr>
    </w:lvl>
    <w:lvl w:ilvl="2" w:tentative="0">
      <w:start w:val="0"/>
      <w:numFmt w:val="bullet"/>
      <w:lvlText w:val="•"/>
      <w:lvlJc w:val="left"/>
      <w:pPr>
        <w:ind w:left="2051" w:hanging="530"/>
      </w:pPr>
      <w:rPr>
        <w:rFonts w:hint="default"/>
        <w:lang w:val="en-US" w:eastAsia="zh-CN" w:bidi="ar-SA"/>
      </w:rPr>
    </w:lvl>
    <w:lvl w:ilvl="3" w:tentative="0">
      <w:start w:val="0"/>
      <w:numFmt w:val="bullet"/>
      <w:lvlText w:val="•"/>
      <w:lvlJc w:val="left"/>
      <w:pPr>
        <w:ind w:left="2726" w:hanging="530"/>
      </w:pPr>
      <w:rPr>
        <w:rFonts w:hint="default"/>
        <w:lang w:val="en-US" w:eastAsia="zh-CN" w:bidi="ar-SA"/>
      </w:rPr>
    </w:lvl>
    <w:lvl w:ilvl="4" w:tentative="0">
      <w:start w:val="0"/>
      <w:numFmt w:val="bullet"/>
      <w:lvlText w:val="•"/>
      <w:lvlJc w:val="left"/>
      <w:pPr>
        <w:ind w:left="3402" w:hanging="530"/>
      </w:pPr>
      <w:rPr>
        <w:rFonts w:hint="default"/>
        <w:lang w:val="en-US" w:eastAsia="zh-CN" w:bidi="ar-SA"/>
      </w:rPr>
    </w:lvl>
    <w:lvl w:ilvl="5" w:tentative="0">
      <w:start w:val="0"/>
      <w:numFmt w:val="bullet"/>
      <w:lvlText w:val="•"/>
      <w:lvlJc w:val="left"/>
      <w:pPr>
        <w:ind w:left="4077" w:hanging="530"/>
      </w:pPr>
      <w:rPr>
        <w:rFonts w:hint="default"/>
        <w:lang w:val="en-US" w:eastAsia="zh-CN" w:bidi="ar-SA"/>
      </w:rPr>
    </w:lvl>
    <w:lvl w:ilvl="6" w:tentative="0">
      <w:start w:val="0"/>
      <w:numFmt w:val="bullet"/>
      <w:lvlText w:val="•"/>
      <w:lvlJc w:val="left"/>
      <w:pPr>
        <w:ind w:left="4753" w:hanging="530"/>
      </w:pPr>
      <w:rPr>
        <w:rFonts w:hint="default"/>
        <w:lang w:val="en-US" w:eastAsia="zh-CN" w:bidi="ar-SA"/>
      </w:rPr>
    </w:lvl>
    <w:lvl w:ilvl="7" w:tentative="0">
      <w:start w:val="0"/>
      <w:numFmt w:val="bullet"/>
      <w:lvlText w:val="•"/>
      <w:lvlJc w:val="left"/>
      <w:pPr>
        <w:ind w:left="5428" w:hanging="530"/>
      </w:pPr>
      <w:rPr>
        <w:rFonts w:hint="default"/>
        <w:lang w:val="en-US" w:eastAsia="zh-CN" w:bidi="ar-SA"/>
      </w:rPr>
    </w:lvl>
    <w:lvl w:ilvl="8" w:tentative="0">
      <w:start w:val="0"/>
      <w:numFmt w:val="bullet"/>
      <w:lvlText w:val="•"/>
      <w:lvlJc w:val="left"/>
      <w:pPr>
        <w:ind w:left="6104" w:hanging="530"/>
      </w:pPr>
      <w:rPr>
        <w:rFonts w:hint="default"/>
        <w:lang w:val="en-US" w:eastAsia="zh-CN" w:bidi="ar-SA"/>
      </w:rPr>
    </w:lvl>
  </w:abstractNum>
  <w:abstractNum w:abstractNumId="51">
    <w:nsid w:val="7DEC2089"/>
    <w:multiLevelType w:val="multilevel"/>
    <w:tmpl w:val="7DEC2089"/>
    <w:lvl w:ilvl="0" w:tentative="0">
      <w:start w:val="0"/>
      <w:numFmt w:val="bullet"/>
      <w:lvlText w:val="■"/>
      <w:lvlJc w:val="left"/>
      <w:pPr>
        <w:ind w:left="424" w:hanging="318"/>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1091" w:hanging="318"/>
      </w:pPr>
      <w:rPr>
        <w:rFonts w:hint="default"/>
        <w:lang w:val="en-US" w:eastAsia="zh-CN" w:bidi="ar-SA"/>
      </w:rPr>
    </w:lvl>
    <w:lvl w:ilvl="2" w:tentative="0">
      <w:start w:val="0"/>
      <w:numFmt w:val="bullet"/>
      <w:lvlText w:val="•"/>
      <w:lvlJc w:val="left"/>
      <w:pPr>
        <w:ind w:left="1762" w:hanging="318"/>
      </w:pPr>
      <w:rPr>
        <w:rFonts w:hint="default"/>
        <w:lang w:val="en-US" w:eastAsia="zh-CN" w:bidi="ar-SA"/>
      </w:rPr>
    </w:lvl>
    <w:lvl w:ilvl="3" w:tentative="0">
      <w:start w:val="0"/>
      <w:numFmt w:val="bullet"/>
      <w:lvlText w:val="•"/>
      <w:lvlJc w:val="left"/>
      <w:pPr>
        <w:ind w:left="2433" w:hanging="318"/>
      </w:pPr>
      <w:rPr>
        <w:rFonts w:hint="default"/>
        <w:lang w:val="en-US" w:eastAsia="zh-CN" w:bidi="ar-SA"/>
      </w:rPr>
    </w:lvl>
    <w:lvl w:ilvl="4" w:tentative="0">
      <w:start w:val="0"/>
      <w:numFmt w:val="bullet"/>
      <w:lvlText w:val="•"/>
      <w:lvlJc w:val="left"/>
      <w:pPr>
        <w:ind w:left="3105" w:hanging="318"/>
      </w:pPr>
      <w:rPr>
        <w:rFonts w:hint="default"/>
        <w:lang w:val="en-US" w:eastAsia="zh-CN" w:bidi="ar-SA"/>
      </w:rPr>
    </w:lvl>
    <w:lvl w:ilvl="5" w:tentative="0">
      <w:start w:val="0"/>
      <w:numFmt w:val="bullet"/>
      <w:lvlText w:val="•"/>
      <w:lvlJc w:val="left"/>
      <w:pPr>
        <w:ind w:left="3776" w:hanging="318"/>
      </w:pPr>
      <w:rPr>
        <w:rFonts w:hint="default"/>
        <w:lang w:val="en-US" w:eastAsia="zh-CN" w:bidi="ar-SA"/>
      </w:rPr>
    </w:lvl>
    <w:lvl w:ilvl="6" w:tentative="0">
      <w:start w:val="0"/>
      <w:numFmt w:val="bullet"/>
      <w:lvlText w:val="•"/>
      <w:lvlJc w:val="left"/>
      <w:pPr>
        <w:ind w:left="4447" w:hanging="318"/>
      </w:pPr>
      <w:rPr>
        <w:rFonts w:hint="default"/>
        <w:lang w:val="en-US" w:eastAsia="zh-CN" w:bidi="ar-SA"/>
      </w:rPr>
    </w:lvl>
    <w:lvl w:ilvl="7" w:tentative="0">
      <w:start w:val="0"/>
      <w:numFmt w:val="bullet"/>
      <w:lvlText w:val="•"/>
      <w:lvlJc w:val="left"/>
      <w:pPr>
        <w:ind w:left="5119" w:hanging="318"/>
      </w:pPr>
      <w:rPr>
        <w:rFonts w:hint="default"/>
        <w:lang w:val="en-US" w:eastAsia="zh-CN" w:bidi="ar-SA"/>
      </w:rPr>
    </w:lvl>
    <w:lvl w:ilvl="8" w:tentative="0">
      <w:start w:val="0"/>
      <w:numFmt w:val="bullet"/>
      <w:lvlText w:val="•"/>
      <w:lvlJc w:val="left"/>
      <w:pPr>
        <w:ind w:left="5790" w:hanging="318"/>
      </w:pPr>
      <w:rPr>
        <w:rFonts w:hint="default"/>
        <w:lang w:val="en-US" w:eastAsia="zh-CN" w:bidi="ar-SA"/>
      </w:rPr>
    </w:lvl>
  </w:abstractNum>
  <w:num w:numId="1">
    <w:abstractNumId w:val="21"/>
  </w:num>
  <w:num w:numId="2">
    <w:abstractNumId w:val="15"/>
  </w:num>
  <w:num w:numId="3">
    <w:abstractNumId w:val="39"/>
  </w:num>
  <w:num w:numId="4">
    <w:abstractNumId w:val="13"/>
  </w:num>
  <w:num w:numId="5">
    <w:abstractNumId w:val="9"/>
  </w:num>
  <w:num w:numId="6">
    <w:abstractNumId w:val="23"/>
  </w:num>
  <w:num w:numId="7">
    <w:abstractNumId w:val="28"/>
  </w:num>
  <w:num w:numId="8">
    <w:abstractNumId w:val="46"/>
  </w:num>
  <w:num w:numId="9">
    <w:abstractNumId w:val="22"/>
  </w:num>
  <w:num w:numId="10">
    <w:abstractNumId w:val="5"/>
  </w:num>
  <w:num w:numId="11">
    <w:abstractNumId w:val="29"/>
  </w:num>
  <w:num w:numId="12">
    <w:abstractNumId w:val="40"/>
  </w:num>
  <w:num w:numId="13">
    <w:abstractNumId w:val="14"/>
  </w:num>
  <w:num w:numId="14">
    <w:abstractNumId w:val="36"/>
  </w:num>
  <w:num w:numId="15">
    <w:abstractNumId w:val="19"/>
  </w:num>
  <w:num w:numId="16">
    <w:abstractNumId w:val="27"/>
  </w:num>
  <w:num w:numId="17">
    <w:abstractNumId w:val="17"/>
  </w:num>
  <w:num w:numId="18">
    <w:abstractNumId w:val="16"/>
  </w:num>
  <w:num w:numId="19">
    <w:abstractNumId w:val="7"/>
  </w:num>
  <w:num w:numId="20">
    <w:abstractNumId w:val="34"/>
  </w:num>
  <w:num w:numId="21">
    <w:abstractNumId w:val="43"/>
  </w:num>
  <w:num w:numId="22">
    <w:abstractNumId w:val="24"/>
  </w:num>
  <w:num w:numId="23">
    <w:abstractNumId w:val="33"/>
  </w:num>
  <w:num w:numId="24">
    <w:abstractNumId w:val="8"/>
  </w:num>
  <w:num w:numId="25">
    <w:abstractNumId w:val="50"/>
  </w:num>
  <w:num w:numId="26">
    <w:abstractNumId w:val="48"/>
  </w:num>
  <w:num w:numId="27">
    <w:abstractNumId w:val="12"/>
  </w:num>
  <w:num w:numId="28">
    <w:abstractNumId w:val="44"/>
  </w:num>
  <w:num w:numId="29">
    <w:abstractNumId w:val="6"/>
  </w:num>
  <w:num w:numId="30">
    <w:abstractNumId w:val="32"/>
  </w:num>
  <w:num w:numId="31">
    <w:abstractNumId w:val="2"/>
  </w:num>
  <w:num w:numId="32">
    <w:abstractNumId w:val="38"/>
  </w:num>
  <w:num w:numId="33">
    <w:abstractNumId w:val="51"/>
  </w:num>
  <w:num w:numId="34">
    <w:abstractNumId w:val="0"/>
  </w:num>
  <w:num w:numId="35">
    <w:abstractNumId w:val="26"/>
  </w:num>
  <w:num w:numId="36">
    <w:abstractNumId w:val="37"/>
  </w:num>
  <w:num w:numId="37">
    <w:abstractNumId w:val="20"/>
  </w:num>
  <w:num w:numId="38">
    <w:abstractNumId w:val="18"/>
  </w:num>
  <w:num w:numId="39">
    <w:abstractNumId w:val="30"/>
  </w:num>
  <w:num w:numId="40">
    <w:abstractNumId w:val="49"/>
  </w:num>
  <w:num w:numId="41">
    <w:abstractNumId w:val="11"/>
  </w:num>
  <w:num w:numId="42">
    <w:abstractNumId w:val="4"/>
  </w:num>
  <w:num w:numId="43">
    <w:abstractNumId w:val="10"/>
  </w:num>
  <w:num w:numId="44">
    <w:abstractNumId w:val="41"/>
  </w:num>
  <w:num w:numId="45">
    <w:abstractNumId w:val="1"/>
  </w:num>
  <w:num w:numId="46">
    <w:abstractNumId w:val="25"/>
  </w:num>
  <w:num w:numId="47">
    <w:abstractNumId w:val="3"/>
  </w:num>
  <w:num w:numId="48">
    <w:abstractNumId w:val="42"/>
  </w:num>
  <w:num w:numId="49">
    <w:abstractNumId w:val="47"/>
  </w:num>
  <w:num w:numId="50">
    <w:abstractNumId w:val="35"/>
  </w:num>
  <w:num w:numId="51">
    <w:abstractNumId w:val="31"/>
  </w:num>
  <w:num w:numId="52">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0E6C5D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004"/>
      <w:outlineLvl w:val="1"/>
    </w:pPr>
    <w:rPr>
      <w:rFonts w:ascii="微软雅黑" w:hAnsi="微软雅黑" w:eastAsia="微软雅黑" w:cs="微软雅黑"/>
      <w:b/>
      <w:bCs/>
      <w:sz w:val="28"/>
      <w:szCs w:val="28"/>
      <w:lang w:val="en-US" w:eastAsia="zh-CN" w:bidi="ar-SA"/>
    </w:rPr>
  </w:style>
  <w:style w:type="paragraph" w:styleId="3">
    <w:name w:val="heading 2"/>
    <w:basedOn w:val="1"/>
    <w:next w:val="1"/>
    <w:qFormat/>
    <w:uiPriority w:val="1"/>
    <w:pPr>
      <w:spacing w:before="20"/>
      <w:ind w:left="1825"/>
      <w:outlineLvl w:val="2"/>
    </w:pPr>
    <w:rPr>
      <w:rFonts w:ascii="微软雅黑" w:hAnsi="微软雅黑" w:eastAsia="微软雅黑" w:cs="微软雅黑"/>
      <w:b/>
      <w:bCs/>
      <w:sz w:val="22"/>
      <w:szCs w:val="22"/>
      <w:lang w:val="en-US" w:eastAsia="zh-CN" w:bidi="ar-SA"/>
    </w:rPr>
  </w:style>
  <w:style w:type="paragraph" w:styleId="4">
    <w:name w:val="heading 3"/>
    <w:basedOn w:val="1"/>
    <w:next w:val="1"/>
    <w:qFormat/>
    <w:uiPriority w:val="1"/>
    <w:pPr>
      <w:spacing w:before="71"/>
      <w:ind w:left="1825" w:hanging="1102"/>
      <w:outlineLvl w:val="3"/>
    </w:pPr>
    <w:rPr>
      <w:rFonts w:ascii="宋体" w:hAnsi="宋体" w:eastAsia="宋体" w:cs="宋体"/>
      <w:sz w:val="22"/>
      <w:szCs w:val="22"/>
      <w:lang w:val="en-US" w:eastAsia="zh-CN" w:bidi="ar-SA"/>
    </w:rPr>
  </w:style>
  <w:style w:type="paragraph" w:styleId="5">
    <w:name w:val="heading 4"/>
    <w:basedOn w:val="1"/>
    <w:next w:val="1"/>
    <w:qFormat/>
    <w:uiPriority w:val="1"/>
    <w:pPr>
      <w:ind w:left="1825"/>
      <w:outlineLvl w:val="4"/>
    </w:pPr>
    <w:rPr>
      <w:rFonts w:ascii="微软雅黑" w:hAnsi="微软雅黑" w:eastAsia="微软雅黑" w:cs="微软雅黑"/>
      <w:b/>
      <w:bCs/>
      <w:sz w:val="21"/>
      <w:szCs w:val="21"/>
      <w:lang w:val="en-US" w:eastAsia="zh-CN"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1"/>
      <w:szCs w:val="21"/>
      <w:lang w:val="en-US" w:eastAsia="zh-CN"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825" w:hanging="531"/>
    </w:pPr>
    <w:rPr>
      <w:rFonts w:ascii="宋体" w:hAnsi="宋体" w:eastAsia="宋体" w:cs="宋体"/>
      <w:lang w:val="en-US" w:eastAsia="zh-CN" w:bidi="ar-SA"/>
    </w:rPr>
  </w:style>
  <w:style w:type="paragraph" w:customStyle="1" w:styleId="11">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4" Type="http://schemas.openxmlformats.org/officeDocument/2006/relationships/fontTable" Target="fontTable.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endnotes" Target="endnotes.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2023-06-05T08:50:00Z</dcterms:created>
  <dc:creator>木木</dc:creator>
  <cp:lastModifiedBy>木木</cp:lastModifiedBy>
  <dcterms:modified xsi:type="dcterms:W3CDTF">2023-06-05T08:48:23Z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2023-06-05T00:00:00Z</vt:filetime>
  </property>
  <property fmtid="{D5CDD505-2E9C-101B-9397-08002B2CF9AE}" pid="3" name="Creator">
    <vt:lpwstr>Aspose Ltd.</vt:lpwstr>
  </property>
  <property fmtid="{D5CDD505-2E9C-101B-9397-08002B2CF9AE}" pid="4" name="LastSaved">
    <vt:filetime>2023-06-05T00:00:00Z</vt:filetime>
  </property>
  <property fmtid="{D5CDD505-2E9C-101B-9397-08002B2CF9AE}" pid="5" name="KSOProductBuildVer">
    <vt:lpwstr>2052-11.1.0.14309</vt:lpwstr>
  </property>
  <property fmtid="{D5CDD505-2E9C-101B-9397-08002B2CF9AE}" pid="6" name="ICV">
    <vt:lpwstr>DD12681A5F2645AC9AF93DD8D2DA844C_12</vt:lpwstr>
  </property>
</Properties>
</file>